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COST-GROWTH HAZARD IN JPL DEEP-SPACE MISSIONS: A SURVIVAL-ANALYSIS CLIOMETRIC OF CONFIRMATION-TO-LAUNCH BUDGET ESCALATION</w:t>
      </w:r>
    </w:p>
    <w:p>
      <w:pPr>
        <w:jc w:val="center"/>
      </w:pPr>
    </w:p>
    <w:p>
      <w:pPr>
        <w:jc w:val="center"/>
      </w:pPr>
      <w:r>
        <w:rPr>
          <w:rFonts w:ascii="Times New Roman" w:hAnsi="Times New Roman"/>
          <w:sz w:val="24"/>
        </w:rPr>
        <w:t>by</w:t>
      </w:r>
    </w:p>
    <w:p>
      <w:pPr>
        <w:jc w:val="center"/>
      </w:pPr>
      <w:r>
        <w:rPr>
          <w:rFonts w:ascii="Times New Roman" w:hAnsi="Times New Roman"/>
          <w:b/>
          <w:sz w:val="28"/>
        </w:rPr>
        <w:t>Gabriel Novak</w:t>
      </w:r>
    </w:p>
    <w:p>
      <w:pPr>
        <w:jc w:val="center"/>
      </w:pPr>
      <w:r>
        <w:rPr>
          <w:rFonts w:ascii="Times New Roman" w:hAnsi="Times New Roman"/>
          <w:sz w:val="24"/>
        </w:rPr>
        <w:t>1B-OPS-027</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5" w:name="chapter-1.-introduction"/>
    <w:p>
      <w:pPr>
        <w:pStyle w:val="Heading1"/>
        <w:spacing w:line="480" w:lineRule="auto"/>
      </w:pPr>
      <w:r>
        <w:t xml:space="preserve">Chapter 1. Introduction</w:t>
      </w:r>
    </w:p>
    <w:bookmarkStart w:id="61" w:name="the-problem-and-why-it-matters"/>
    <w:p>
      <w:pPr>
        <w:pStyle w:val="Heading2"/>
        <w:spacing w:line="480" w:lineRule="auto"/>
      </w:pPr>
      <w:r>
        <w:t xml:space="preserve">1.1 The Problem and Why It Matters</w:t>
      </w:r>
    </w:p>
    <w:p>
      <w:pPr>
        <w:pStyle w:val="FirstParagraph"/>
        <w:spacing w:line="480" w:lineRule="auto"/>
      </w:pPr>
      <w:r>
        <w:t xml:space="preserve">Deep-space missions managed by the Jet Propulsion Laboratory occupy a structurally unforgiving position in the federal science portfolio. They are scientifically singular, technically demanding, and politically conspicuous, and a recurring share of them breach the cost and schedule baselines set when the National Aeronautics and Space Administration formally commits to them. That commitment is recorded at Key Decision Point C, the confirmation milestone at which a mission’s development cost and launch date are fixed as the reference against which performance is later judged. The institutional convention is to report overruns against that confirmation baseline as terminal percentages, measured at launch or at a formal rebaseline. The public record across two decades shows how consequential these terminal figures can be. Mars Science Laboratory grew roughly fifty-six percent over its confirmation baseline and slipped two years; Psyche grew about twenty percent after a one-year delay; the Galileo and Cassini flagships absorbed multi-year schedule pressure and instrument descope before launch. Each of these cases has been examined on its own terms, and each has produced its own lessons-learned narrative.</w:t>
      </w:r>
    </w:p>
    <w:p>
      <w:pPr>
        <w:pStyle w:val="BodyText"/>
        <w:spacing w:line="480" w:lineRule="auto"/>
        <w:ind w:firstLine="720"/>
      </w:pPr>
      <w:r>
        <w:t xml:space="preserve">The difficulty with the terminal framing is not that it is wrong but that it is late. It is analytically convenient because it summarizes an entire development phase in a single number, and it is operationally late because by the time a mission has breached its confirmation baseline by a governance-relevant margin, the reserve decisions that might have absorbed the growth have already been foreclosed. A percentage reported at launch tells a program manager what happened; it does not tell a mission-operations planner when, during the years of development between confirmation and launch, the risk of breaching the baseline accelerated. The two questions are not the same, and the difference between them is precisely the difference between a quantity and a rate.</w:t>
      </w:r>
    </w:p>
    <w:p>
      <w:pPr>
        <w:pStyle w:val="BodyText"/>
        <w:spacing w:line="480" w:lineRule="auto"/>
        <w:ind w:firstLine="720"/>
      </w:pPr>
      <w:r>
        <w:t xml:space="preserve">This distinction is the stake for NASA and for JPL specifically. Mission operations is the discipline of allocating finite reserves and a finite number of replan opportunities against an uncertain future. An operations planner does not principally need to know whether a mission will eventually overrun, because for a sufficiently ambitious portfolio some fraction will. The planner needs to know when the conditional risk of overrun rises, because that is when reserve posture should change and when a replan becomes worth its disruption. At the portfolio scale the same logic has an economic edge: flagship overruns crowd out the smaller competed missions that sustain a balanced program, so the rate at which large missions breach is itself a budgetary variable for the agency rather than a property of any single project</w:t>
      </w:r>
      <w:r>
        <w:t xml:space="preserve"> </w:t>
      </w:r>
      <w:hyperlink w:anchor="ref-3">
        <w:r>
          <w:rPr>
            <w:rStyle w:val="Hyperlink"/>
          </w:rPr>
          <w:t xml:space="preserve">[3]</w:t>
        </w:r>
      </w:hyperlink>
      <w:r>
        <w:t xml:space="preserve">. A governance regime that can only act on a terminal percentage is a regime that learns the answer after the decisions that depended on it have been made. The institutional problem this dissertation addresses is therefore that cost growth in deep-space missions is governed as if it were a quantity known only at the end of development, when in practice it is a process that unfolds across development and is best characterized by its rate of onset.</w:t>
      </w:r>
    </w:p>
    <w:bookmarkEnd w:id="61"/>
    <w:bookmarkStart w:id="62" w:name="two-literatures-that-do-not-meet"/>
    <w:p>
      <w:pPr>
        <w:pStyle w:val="Heading2"/>
        <w:spacing w:line="480" w:lineRule="auto"/>
      </w:pPr>
      <w:r>
        <w:t xml:space="preserve">1.2 Two Literatures That Do Not Meet</w:t>
      </w:r>
    </w:p>
    <w:p>
      <w:pPr>
        <w:pStyle w:val="FirstParagraph"/>
        <w:spacing w:line="480" w:lineRule="auto"/>
      </w:pPr>
      <w:r>
        <w:t xml:space="preserve">The intellectual gap that this dissertation occupies sits between two mature bodies of work that have not been brought into contact. The first is the domain literature on space-mission cost. The second is the econometric literature on time-to-event, or survival, analysis. Each is internally rigorous. Neither has been applied to the timing of confirmation-to-launch budget escalation, and the reason is that the dominant tradition in the domain literature is cross-sectional, and its cross-sectional form forecloses the timing question by construction.</w:t>
      </w:r>
    </w:p>
    <w:p>
      <w:pPr>
        <w:pStyle w:val="BodyText"/>
        <w:spacing w:line="480" w:lineRule="auto"/>
        <w:ind w:firstLine="720"/>
      </w:pPr>
      <w:r>
        <w:t xml:space="preserve">The domain literature is, at its core, parametric. Cost-estimating relationships are calibrated on design and programmatic inputs such as mass, power, and instrument complexity, and then validated against realized cost. The reference point for this tradition is the blind validation of the SEER-H parametric tool against NASA missions, which assesses how closely a point estimate and its interval fall to actual mission cost</w:t>
      </w:r>
      <w:r>
        <w:t xml:space="preserve"> </w:t>
      </w:r>
      <w:hyperlink w:anchor="ref-1">
        <w:r>
          <w:rPr>
            <w:rStyle w:val="Hyperlink"/>
          </w:rPr>
          <w:t xml:space="preserve">[1]</w:t>
        </w:r>
      </w:hyperlink>
      <w:r>
        <w:t xml:space="preserve">. The same parametric apparatus has proven portable across vehicle classes and mission architectures, which is itself evidence that the community treats cost-estimating relationships as general-purpose predictors of a level. The machinery has been carried to civil hypersonic aircraft, whose research, development, and production costs are predicted from conceptual-design parameters</w:t>
      </w:r>
      <w:r>
        <w:t xml:space="preserve"> </w:t>
      </w:r>
      <w:hyperlink w:anchor="ref-2">
        <w:r>
          <w:rPr>
            <w:rStyle w:val="Hyperlink"/>
          </w:rPr>
          <w:t xml:space="preserve">[2]</w:t>
        </w:r>
      </w:hyperlink>
      <w:r>
        <w:t xml:space="preserve">; to asteroid-mining architectures, whose operations cost is estimated from full-time-equivalent staffing</w:t>
      </w:r>
      <w:r>
        <w:t xml:space="preserve"> </w:t>
      </w:r>
      <w:hyperlink w:anchor="ref-4">
        <w:r>
          <w:rPr>
            <w:rStyle w:val="Hyperlink"/>
          </w:rPr>
          <w:t xml:space="preserve">[4]</w:t>
        </w:r>
      </w:hyperlink>
      <w:r>
        <w:t xml:space="preserve">; and to robotic on-orbit assembly of large space telescopes, where areal cost assumptions drive the architecture trade</w:t>
      </w:r>
      <w:r>
        <w:t xml:space="preserve"> </w:t>
      </w:r>
      <w:hyperlink w:anchor="ref-5">
        <w:r>
          <w:rPr>
            <w:rStyle w:val="Hyperlink"/>
          </w:rPr>
          <w:t xml:space="preserve">[5]</w:t>
        </w:r>
      </w:hyperlink>
      <w:r>
        <w:t xml:space="preserve">. Across this entire body of work the unit of analysis is the mission as a static object and the quantity of interest is a level. The tools answer how much a mission will cost. They are not built to answer when, during development, the risk that a mission crosses a cost-growth threshold accelerates.</w:t>
      </w:r>
    </w:p>
    <w:p>
      <w:pPr>
        <w:pStyle w:val="BodyText"/>
        <w:spacing w:line="480" w:lineRule="auto"/>
        <w:ind w:firstLine="720"/>
      </w:pPr>
      <w:r>
        <w:t xml:space="preserve">The economics-of-space literature reinforces the same omission from a different direction. Broad treatments of the space economy establish why cost discipline matters at the program scale, framing the displacement of small missions by large overruns as an economic problem</w:t>
      </w:r>
      <w:r>
        <w:t xml:space="preserve"> </w:t>
      </w:r>
      <w:hyperlink w:anchor="ref-3">
        <w:r>
          <w:rPr>
            <w:rStyle w:val="Hyperlink"/>
          </w:rPr>
          <w:t xml:space="preserve">[3]</w:t>
        </w:r>
      </w:hyperlink>
      <w:r>
        <w:t xml:space="preserve">,</w:t>
      </w:r>
      <w:r>
        <w:t xml:space="preserve"> </w:t>
      </w:r>
      <w:hyperlink w:anchor="ref-12">
        <w:r>
          <w:rPr>
            <w:rStyle w:val="Hyperlink"/>
          </w:rPr>
          <w:t xml:space="preserve">[12]</w:t>
        </w:r>
      </w:hyperlink>
      <w:r>
        <w:t xml:space="preserve">. Methodological work that links physical orbital processes to economic scarcity metrics for cost-benefit analysis</w:t>
      </w:r>
      <w:r>
        <w:t xml:space="preserve"> </w:t>
      </w:r>
      <w:hyperlink w:anchor="ref-6">
        <w:r>
          <w:rPr>
            <w:rStyle w:val="Hyperlink"/>
          </w:rPr>
          <w:t xml:space="preserve">[6]</w:t>
        </w:r>
      </w:hyperlink>
      <w:r>
        <w:t xml:space="preserve">, and work on the economic dynamics of debris generation and mitigation</w:t>
      </w:r>
      <w:r>
        <w:t xml:space="preserve"> </w:t>
      </w:r>
      <w:hyperlink w:anchor="ref-7">
        <w:r>
          <w:rPr>
            <w:rStyle w:val="Hyperlink"/>
          </w:rPr>
          <w:t xml:space="preserve">[7]</w:t>
        </w:r>
      </w:hyperlink>
      <w:r>
        <w:t xml:space="preserve">, both treat cost as a quantity to be valued or compared. In each case the object of inference is a magnitude. None of these treatments models cost growth as an event whose timing is itself the quantity to be estimated.</w:t>
      </w:r>
    </w:p>
    <w:p>
      <w:pPr>
        <w:pStyle w:val="BodyText"/>
        <w:spacing w:line="480" w:lineRule="auto"/>
        <w:ind w:firstLine="720"/>
      </w:pPr>
      <w:r>
        <w:t xml:space="preserve">The second literature supplies exactly the missing apparatus. Survival analysis is the established statistical language for time-to-event data: it models the instantaneous hazard of an event as a function of covariates, and it admits right-censoring directly, so that subjects who have not yet experienced the event contribute their survival information rather than being discarded. The method is standard across economic history, biostatistics, and engineering reliability, and it has begun to appear in the space domain itself, where time-to-event modelling has been applied to the occurrence of maneuvers by non-cooperative satellites</w:t>
      </w:r>
      <w:r>
        <w:t xml:space="preserve"> </w:t>
      </w:r>
      <w:hyperlink w:anchor="ref-15">
        <w:r>
          <w:rPr>
            <w:rStyle w:val="Hyperlink"/>
          </w:rPr>
          <w:t xml:space="preserve">[15]</w:t>
        </w:r>
      </w:hyperlink>
      <w:r>
        <w:t xml:space="preserve">. What has not happened is the obvious synthesis. No one has taken the confirmation-to-launch interval of a deep-space mission, treated it as a duration, defined the first breach of a cost-growth threshold as a failure event, and estimated the hazard of that failure as a function of the technological-maturity profile a mission carries past confirmation. The cliometric move that is routine in economic history, namely treating an institutional outcome as a duration and estimating its hazard, has not been applied to this interval.</w:t>
      </w:r>
    </w:p>
    <w:p>
      <w:pPr>
        <w:pStyle w:val="BodyText"/>
        <w:spacing w:line="480" w:lineRule="auto"/>
        <w:ind w:firstLine="720"/>
      </w:pPr>
      <w:r>
        <w:t xml:space="preserve">The gap is therefore methodological rather than empirical. The data required to characterize cost growth already exist, and the parametric predictors that summarize a mission already exist. What is missing is the survival-analytic reframing that converts a predicted level into an estimated hazard, and that allows the share of carried-over technological immaturity to enter as a covariate of a hazard rather than as a static input to a point estimate. This dissertation closes that gap by holding the inputs of the established practice fixed and changing the quantity estimated from a level to a rate.</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The contribution of this dissertation is deliberately narrow. It is not a suite of correlations and it is not a new cost-estimating tool. It is a single falsifiable claim, stated as the sign and magnitude of one coefficient recovered under an explicit identification strategy.</w:t>
      </w:r>
    </w:p>
    <w:p>
      <w:pPr>
        <w:pStyle w:val="BodyText"/>
        <w:spacing w:line="480" w:lineRule="auto"/>
        <w:ind w:firstLine="720"/>
      </w:pPr>
      <w:r>
        <w:t xml:space="preserve">The mechanism that the claim concerns is carried-over technological immaturity. Confirmation review is supposed to retire formulation-phase technology risk before the agency commits its budget, yet missions routinely enter implementation with instruments or critical subsystems still below the technology-readiness threshold that confirmation nominally requires. Unretired technology generates rework, qualification failures, and integration surprises whose cost consequences do not arrive all at once but accumulate as development proceeds. The risk-management literature for space exploration already treats this kind of carried-over risk as a portfolio-level quantity to be tracked across a mission’s life cycle rather than scored once and forgotten</w:t>
      </w:r>
      <w:r>
        <w:t xml:space="preserve"> </w:t>
      </w:r>
      <w:hyperlink w:anchor="ref-8">
        <w:r>
          <w:rPr>
            <w:rStyle w:val="Hyperlink"/>
          </w:rPr>
          <w:t xml:space="preserve">[8]</w:t>
        </w:r>
      </w:hyperlink>
      <w:r>
        <w:t xml:space="preserve">, and the technology-readiness level is the standard instrument the community uses to record how much immaturity a system carries from one phase into the next. The contribution converts that qualitative understanding into a testable proposition about the shape of the hazard.</w:t>
      </w:r>
    </w:p>
    <w:p>
      <w:pPr>
        <w:pStyle w:val="BodyText"/>
        <w:spacing w:line="480" w:lineRule="auto"/>
        <w:ind w:firstLine="720"/>
      </w:pPr>
      <w:r>
        <w:t xml:space="preserve">The proposition is stated as a pair of mutually exclusive hypotheses about one coefficient in a Cox proportional-hazards model of time from confirmation to first threshold-crossing cost growth.</w:t>
      </w:r>
    </w:p>
    <w:p>
      <w:pPr>
        <w:pStyle w:val="BodyText"/>
        <w:spacing w:line="480" w:lineRule="auto"/>
        <w:ind w:firstLine="720"/>
      </w:pPr>
      <w:r>
        <w:rPr>
          <w:b/>
          <w:bCs/>
        </w:rPr>
        <w:t xml:space="preserve">H0 (null).</w:t>
      </w:r>
      <w:r>
        <w:t xml:space="preserve"> </w:t>
      </w:r>
      <w:r>
        <w:t xml:space="preserve">The instantaneous hazard that a deep-space mission crosses a fixed confirmation-to-launch cost-growth threshold is constant with respect to the share of formulation-phase technological immaturity carried into implementation. Formally, the Cox coefficient on carried-over immaturity is zero, so the cause-specific hazard ratio for that covariate equals one.</w:t>
      </w:r>
    </w:p>
    <w:p>
      <w:pPr>
        <w:pStyle w:val="BodyText"/>
        <w:spacing w:line="480" w:lineRule="auto"/>
        <w:ind w:firstLine="720"/>
      </w:pPr>
      <w:r>
        <w:rPr>
          <w:b/>
          <w:bCs/>
        </w:rPr>
        <w:t xml:space="preserve">H1 (alternative).</w:t>
      </w:r>
      <w:r>
        <w:t xml:space="preserve"> </w:t>
      </w:r>
      <w:r>
        <w:t xml:space="preserve">The instantaneous hazard rises with the share of carried-over technological immaturity. Formally, the Cox coefficient is strictly positive, so the cause-specific hazard ratio exceeds one, and missions entering implementation with more unretired formulation-phase technology breach their cost-growth threshold sooner.</w:t>
      </w:r>
    </w:p>
    <w:p>
      <w:pPr>
        <w:pStyle w:val="BodyText"/>
        <w:spacing w:line="480" w:lineRule="auto"/>
        <w:ind w:firstLine="720"/>
      </w:pPr>
      <w:r>
        <w:t xml:space="preserve">The claim is falsifiable in the strict sense. If the fitted hazard ratio is statistically indistinguishable from one, or if its sign is negative, then H1 is rejected and the operating assumption that cost-growth risk is paced by carried-over immaturity fails a direct test. The contribution stands or falls on the sign of one coefficient, not on a constellation of supporting associations. This is a deliberate methodological discipline. By committing in advance to a single pre-registered estimand, the work prevents the specification search that would otherwise let a sufficiently determined analyst find significance somewhere in a large covariate space, and it makes the result interpretable to a governance audience that must decide whether to condition reserve posture on a maturity profile observable at confirmation.</w:t>
      </w:r>
    </w:p>
    <w:p>
      <w:pPr>
        <w:pStyle w:val="BodyText"/>
        <w:spacing w:line="480" w:lineRule="auto"/>
        <w:ind w:firstLine="720"/>
      </w:pPr>
      <w:r>
        <w:t xml:space="preserve">The estimand is precise. Time is measured in development months from Key Decision Point C. The event is the month in which a mission’s estimate-at-completion first exceeds its confirmation baseline by a pre-registered margin, set at the fifteen-percent development-cost-growth tolerance at which NASA and the Government Accountability Office flag a project for rebaselining</w:t>
      </w:r>
      <w:r>
        <w:t xml:space="preserve"> </w:t>
      </w:r>
      <w:hyperlink w:anchor="ref-9">
        <w:r>
          <w:rPr>
            <w:rStyle w:val="Hyperlink"/>
          </w:rPr>
          <w:t xml:space="preserve">[9]</w:t>
        </w:r>
      </w:hyperlink>
      <w:r>
        <w:t xml:space="preserve">. Missions that reach launch without crossing the threshold are right-censored at launch and contribute their survival information to the partial likelihood rather than being treated as overruns that have not yet happened. The covariate of interest is the share of carried-over technological immaturity, constructed from the technology-readiness profile recorded at confirmation and therefore predetermined relative to the post-confirmation event clock. Identification rests on three commitments: pre-registration of the threshold and the immaturity covariate before estimation, the fixing of the covariate at KDP-C so that it cannot be contaminated by the realized growth it is meant to predict, and a direct test of the proportional-hazards assumption using scaled Schoenfeld residuals, with any covariate that violates the assumption admitted as a time-varying effect rather than forced into proportionality.</w:t>
      </w:r>
    </w:p>
    <w:p>
      <w:pPr>
        <w:pStyle w:val="BodyText"/>
        <w:spacing w:line="480" w:lineRule="auto"/>
        <w:ind w:firstLine="720"/>
      </w:pPr>
      <w:r>
        <w:t xml:space="preserve">The dataset that supports this estimand is specific, real, and obtainable by an independent analyst. The panel is assembled from the NASA planetary and astrophysics mission cost record as published in the Government Accountability Office annual assessments of NASA major projects</w:t>
      </w:r>
      <w:r>
        <w:t xml:space="preserve"> </w:t>
      </w:r>
      <w:hyperlink w:anchor="ref-9">
        <w:r>
          <w:rPr>
            <w:rStyle w:val="Hyperlink"/>
          </w:rPr>
          <w:t xml:space="preserve">[9]</w:t>
        </w:r>
      </w:hyperlink>
      <w:r>
        <w:t xml:space="preserve">, cross-referenced to mission confirmation baselines and launch dates and to the public mission cost histories archived by NASA and compiled by the Planetary Society</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 The GAO assessment series reports, for each tracked major project, the confirmation cost and schedule baseline, the current estimate, and the development status, which jointly yield the baseline, the running estimate-at-completion, and the launch-or-censoring date that survival analysis requires. Provenance is fully public and non-proprietary, so the panel is reproducible without any restricted or contractor-proprietary cost data, and the unit of observation is the mission-month from confirmation to event or censoring.</w:t>
      </w:r>
    </w:p>
    <w:bookmarkEnd w:id="63"/>
    <w:bookmarkStart w:id="64" w:name="roadmap-of-the-dissertation"/>
    <w:p>
      <w:pPr>
        <w:pStyle w:val="Heading2"/>
        <w:spacing w:line="480" w:lineRule="auto"/>
      </w:pPr>
      <w:r>
        <w:t xml:space="preserve">1.4 Roadmap of the Dissertation</w:t>
      </w:r>
    </w:p>
    <w:p>
      <w:pPr>
        <w:pStyle w:val="FirstParagraph"/>
        <w:spacing w:line="480" w:lineRule="auto"/>
      </w:pPr>
      <w:r>
        <w:t xml:space="preserve">The remainder of the dissertation develops, executes, and stress-tests this single claim. The structure mirrors the logic of moving from a level to a rate.</w:t>
      </w:r>
    </w:p>
    <w:p>
      <w:pPr>
        <w:pStyle w:val="BodyText"/>
        <w:spacing w:line="480" w:lineRule="auto"/>
        <w:ind w:firstLine="720"/>
      </w:pPr>
      <w:r>
        <w:t xml:space="preserve">Chapter 2 reviews the two literatures in detail and locates the gap precisely. It traces the parametric cost-estimation tradition from its validated core</w:t>
      </w:r>
      <w:r>
        <w:t xml:space="preserve"> </w:t>
      </w:r>
      <w:hyperlink w:anchor="ref-1">
        <w:r>
          <w:rPr>
            <w:rStyle w:val="Hyperlink"/>
          </w:rPr>
          <w:t xml:space="preserve">[1]</w:t>
        </w:r>
      </w:hyperlink>
      <w:r>
        <w:t xml:space="preserve"> </w:t>
      </w:r>
      <w:r>
        <w:t xml:space="preserve">through its portability across vehicle classes and architectures</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establishes that the unit of analysis throughout is a static level, and then sets that tradition against the survival-analysis literature whose hazard formulation supplies the missing timing apparatus, including its early appearances in the space domain</w:t>
      </w:r>
      <w:r>
        <w:t xml:space="preserve"> </w:t>
      </w:r>
      <w:hyperlink w:anchor="ref-15">
        <w:r>
          <w:rPr>
            <w:rStyle w:val="Hyperlink"/>
          </w:rPr>
          <w:t xml:space="preserve">[15]</w:t>
        </w:r>
      </w:hyperlink>
      <w:r>
        <w:t xml:space="preserve">. The chapter closes by stating the gap as methodological and by motivating the reframing that the rest of the work performs.</w:t>
      </w:r>
    </w:p>
    <w:p>
      <w:pPr>
        <w:pStyle w:val="BodyText"/>
        <w:spacing w:line="480" w:lineRule="auto"/>
        <w:ind w:firstLine="720"/>
      </w:pPr>
      <w:r>
        <w:t xml:space="preserve">Chapter 3 develops the theory and the formal hypotheses. It articulates the mechanism by which carried-over technological immaturity paces the cost-growth hazard, drawing on the risk-management understanding of life-cycle carried risk</w:t>
      </w:r>
      <w:r>
        <w:t xml:space="preserve"> </w:t>
      </w:r>
      <w:hyperlink w:anchor="ref-8">
        <w:r>
          <w:rPr>
            <w:rStyle w:val="Hyperlink"/>
          </w:rPr>
          <w:t xml:space="preserve">[8]</w:t>
        </w:r>
      </w:hyperlink>
      <w:r>
        <w:t xml:space="preserve">, and it derives H0 and H1 as the two admissible signs of a single coefficient. The chapter is where the conceptual move from terminal percentage to instantaneous hazard is made rigorous.</w:t>
      </w:r>
    </w:p>
    <w:p>
      <w:pPr>
        <w:pStyle w:val="BodyText"/>
        <w:spacing w:line="480" w:lineRule="auto"/>
        <w:ind w:firstLine="720"/>
      </w:pPr>
      <w:r>
        <w:t xml:space="preserve">Chapter 4 specifies the data and their provenance. It defines the unit of observation, the breach threshold, the construction of the carried-over immaturity covariate from confirmation-phase technology-readiness information, and the public sources from which every row is drawn</w:t>
      </w:r>
      <w:r>
        <w:t xml:space="preserve"> </w:t>
      </w:r>
      <w:hyperlink w:anchor="ref-9">
        <w:r>
          <w:rPr>
            <w:rStyle w:val="Hyperlink"/>
          </w:rPr>
          <w:t xml:space="preserve">[9]</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 It is explicit about which values are observed and which are reconstructed from documented maturity profiles, and it records the source for each mission so that the panel is auditable.</w:t>
      </w:r>
    </w:p>
    <w:p>
      <w:pPr>
        <w:pStyle w:val="BodyText"/>
        <w:spacing w:line="480" w:lineRule="auto"/>
        <w:ind w:firstLine="720"/>
      </w:pPr>
      <w:r>
        <w:t xml:space="preserve">Chapter 5 presents the method and the identification strategy. It states the Cox proportional-hazards estimator, the partial-likelihood fit, the pre-registered estimand, and the three identification commitments, and it describes the scaled-Schoenfeld test of proportionality and the handling of any violation as a time-varying effect.</w:t>
      </w:r>
    </w:p>
    <w:p>
      <w:pPr>
        <w:pStyle w:val="BodyText"/>
        <w:spacing w:line="480" w:lineRule="auto"/>
        <w:ind w:firstLine="720"/>
      </w:pPr>
      <w:r>
        <w:t xml:space="preserve">Chapter 6 reports the principal findings: the recovered coefficient on carried-over immaturity, its standard error, its hazard ratio, and the test of H0 against H1, read both on the full range of the covariate and on an operationally interpretable per-increment scale. The chapter also reports the behavior of the scale control, which establishes that the timing of cost-growth risk is localized in the maturity profile a mission carries rather than in its dollar size.</w:t>
      </w:r>
    </w:p>
    <w:p>
      <w:pPr>
        <w:pStyle w:val="BodyText"/>
        <w:spacing w:line="480" w:lineRule="auto"/>
        <w:ind w:firstLine="720"/>
      </w:pPr>
      <w:r>
        <w:t xml:space="preserve">Chapter 7 subjects the principal result to robustness. It reports the competing-risks specification that distinguishes threshold crossing from launch and from cancellation, the parametric Weibull accelerated-failure-time check on the semiparametric Cox result, and the two alternative codings of carried-over immaturity that the result must survive for H1 to be sustained. It treats the small-sample fragility of the NASA deep-space population candidly, reporting exact and bootstrap intervals rather than relying on asymptotics.</w:t>
      </w:r>
    </w:p>
    <w:p>
      <w:pPr>
        <w:pStyle w:val="BodyText"/>
        <w:spacing w:line="480" w:lineRule="auto"/>
        <w:ind w:firstLine="720"/>
      </w:pPr>
      <w:r>
        <w:t xml:space="preserve">Chapter 8 discusses the implications and the limits. It relocates cost-growth governance from a launch-readiness checkpoint to a continuously monitored hazard, draws out the consequence that reserve posture and replan timing can be anticipated from a covariate fixed and observable at confirmation, and bounds the claim with the scope conditions that the panel is conditional on reaching confirmation, that the population is small, and that technology-readiness measurement is coarse. The chapter closes by pointing toward the richer covariates, reserve posture and program class chief among them, that a larger panel would allow.</w:t>
      </w:r>
    </w:p>
    <w:p>
      <w:pPr>
        <w:pStyle w:val="BodyText"/>
        <w:spacing w:line="480" w:lineRule="auto"/>
        <w:ind w:firstLine="720"/>
      </w:pPr>
      <w:r>
        <w:t xml:space="preserve">Taken together, the chapters carry one claim from motivation to falsifiable test to bounded interpretation. The wager of the dissertation is that the most useful thing to say about cost growth in JPL deep-space missions is not how large the eventual overrun will be but when, and conditioned on what, the risk of that overrun accelerates, and that a single coefficient in a survival model is enough to say it.</w:t>
      </w:r>
    </w:p>
    <w:bookmarkEnd w:id="64"/>
    <w:bookmarkEnd w:id="65"/>
    <w:bookmarkStart w:id="73" w:name="chapter-2.-literature-review"/>
    <w:p>
      <w:pPr>
        <w:pStyle w:val="Heading1"/>
        <w:spacing w:line="480" w:lineRule="auto"/>
      </w:pPr>
      <w:r>
        <w:t xml:space="preserve">Chapter 2. Literature Review</w:t>
      </w:r>
    </w:p>
    <w:bookmarkStart w:id="66" w:name="X595e0ddb1187baeb5a2c3f1ef3001d58d11868c"/>
    <w:p>
      <w:pPr>
        <w:pStyle w:val="Heading2"/>
        <w:spacing w:line="480" w:lineRule="auto"/>
      </w:pPr>
      <w:r>
        <w:t xml:space="preserve">2.1 Orientation: Two Literatures That Do Not Meet</w:t>
      </w:r>
    </w:p>
    <w:p>
      <w:pPr>
        <w:pStyle w:val="FirstParagraph"/>
        <w:spacing w:line="480" w:lineRule="auto"/>
      </w:pPr>
      <w:r>
        <w:t xml:space="preserve">This dissertation sits in the seam between two mature bodies of scholarship that have, to date, developed in parallel without intersecting. The first is the domain-technical literature on space-mission cost: the parametric cost-estimating relationships, blind-validation studies, and architecture-level economic models that the aerospace community uses to predict what a mission will cost and to judge, after the fact, by how much it overran. The second is the methodological tradition of time-to-event analysis, the survival-analytic and cliometric machinery that economic history and the quantitative social sciences use to characterize not the level of an outcome but the timing of its onset. The first literature knows everything about how much a deep-space mission costs and almost nothing about when, across its development clock, the risk of cost growth accelerates. The second literature is built precisely to answer when-questions but has barely been pointed at the confirmation-to-launch interval of planetary and astrophysics missions.</w:t>
      </w:r>
    </w:p>
    <w:p>
      <w:pPr>
        <w:pStyle w:val="BodyText"/>
        <w:spacing w:line="480" w:lineRule="auto"/>
        <w:ind w:firstLine="720"/>
      </w:pPr>
      <w:r>
        <w:t xml:space="preserve">The purpose of this chapter is to review each literature on its own terms, to show that each is internally coherent and externally validated, and then to demonstrate that their non-intersection is not an accident of citation practice but a genuine analytic gap. The gap is methodological rather than empirical. The data required to characterize cost growth as a duration already exist in public form, and the parametric predictors that summarize a mission at confirmation already exist and are validated. What is missing is the survival-analytic reframing that converts a predicted level into an estimated hazard and that allows the share of carried-over technological immaturity to enter as a covariate on the rate of breach rather than as a static input to a point estimate. The chapter closes by locating the dissertation’s single falsifiable contribution at exactly this seam.</w:t>
      </w:r>
    </w:p>
    <w:p>
      <w:pPr>
        <w:pStyle w:val="BodyText"/>
        <w:spacing w:line="480" w:lineRule="auto"/>
        <w:ind w:firstLine="720"/>
      </w:pPr>
      <w:r>
        <w:t xml:space="preserve">The organization follows the logic of the gap. Section 2.2 reviews the parametric cost-estimation tradition and its portability across vehicle classes and mission architectures. Section 2.3 reviews the risk-management and technology-readiness literature that supplies the substantive mechanism, carried-over immaturity, and shows that this literature treats carried-over risk as a portfolio quantity scored once rather than as a rate. Section 2.4 reviews the economics-of-space literature and shows that it values and compares cost without ever rendering its timing as an event. Section 2.5 reviews the time-to-event and survival-analysis literature as it has appeared in the space domain, establishing both that the method is feasible on space data and that it has not been applied to the cost-growth interval. Section 2.6 synthesizes the four strands and states the gap formally. Section 2.7 positions the contribution.</w:t>
      </w:r>
    </w:p>
    <w:bookmarkEnd w:id="66"/>
    <w:bookmarkStart w:id="67" w:name="X22d47df534c6804003298cd0623eb0b88b00100"/>
    <w:p>
      <w:pPr>
        <w:pStyle w:val="Heading2"/>
        <w:spacing w:line="480" w:lineRule="auto"/>
      </w:pPr>
      <w:r>
        <w:t xml:space="preserve">2.2 The Parametric Cost-Estimation Tradition: Levels, Not Rates</w:t>
      </w:r>
    </w:p>
    <w:p>
      <w:pPr>
        <w:pStyle w:val="FirstParagraph"/>
        <w:spacing w:line="480" w:lineRule="auto"/>
      </w:pPr>
      <w:r>
        <w:t xml:space="preserve">The dominant analytic tradition in space-mission cost is parametric, and its center of gravity is the cost-estimating relationship. A cost-estimating relationship calibrates total or subsystem cost on a small set of design and programmatic inputs, typically mass, power, instrument complexity, and a heritage or technology descriptor, and then projects that relationship onto a candidate mission to produce a point estimate with an accompanying confidence interval. The canonical validation of this approach for NASA missions is the blind-validation study of the SEER-H parametric tool, which assessed how closely the tool’s point estimates fell to realized cost across a set of NASA space missions</w:t>
      </w:r>
      <w:r>
        <w:t xml:space="preserve"> </w:t>
      </w:r>
      <w:hyperlink w:anchor="ref-1">
        <w:r>
          <w:rPr>
            <w:rStyle w:val="Hyperlink"/>
          </w:rPr>
          <w:t xml:space="preserve">[1]</w:t>
        </w:r>
      </w:hyperlink>
      <w:r>
        <w:t xml:space="preserve">. The study is exemplary of the tradition in three respects that matter for the present argument. It treats the mission as a static object, summarized by its design and programmatic inputs as recorded at a single decision point. It produces a level, a dollar figure, as the quantity of interest. And it expresses uncertainty as an interval around that level rather than as a distribution over the timing of any future event. The probabilistic content of the SEER-H validation is entirely cross-sectional: it tells the analyst how far a point estimate is likely to fall from the truth, not how the risk of a future overrun is distributed across the months that separate confirmation from launch.</w:t>
      </w:r>
    </w:p>
    <w:p>
      <w:pPr>
        <w:pStyle w:val="BodyText"/>
        <w:spacing w:line="480" w:lineRule="auto"/>
        <w:ind w:firstLine="720"/>
      </w:pPr>
      <w:r>
        <w:t xml:space="preserve">The portability of this machinery across vehicle classes is itself a documented feature of the literature, and it reinforces the level-orientation rather than relieving it. Parametric cost-estimating relationships of the same family have been extended to civil hypersonic aircraft, where research, development, and production costs are predicted from conceptual-design parameters in the same manner that mission cost is predicted from spacecraft design parameters</w:t>
      </w:r>
      <w:r>
        <w:t xml:space="preserve"> </w:t>
      </w:r>
      <w:hyperlink w:anchor="ref-2">
        <w:r>
          <w:rPr>
            <w:rStyle w:val="Hyperlink"/>
          </w:rPr>
          <w:t xml:space="preserve">[2]</w:t>
        </w:r>
      </w:hyperlink>
      <w:r>
        <w:t xml:space="preserve">. The hypersonic-aircraft model imports the assumption that cost is a function of design inputs evaluated at a point, and it inherits the same cross-sectional treatment of uncertainty. The fact that the same apparatus transfers cleanly from spacecraft to atmospheric hypersonic vehicles demonstrates that the cost-estimating relationship is understood by its practitioners as a general-purpose predictor of a level, portable wherever a design can be parameterized.</w:t>
      </w:r>
    </w:p>
    <w:p>
      <w:pPr>
        <w:pStyle w:val="BodyText"/>
        <w:spacing w:line="480" w:lineRule="auto"/>
        <w:ind w:firstLine="720"/>
      </w:pPr>
      <w:r>
        <w:t xml:space="preserve">The same level-focused logic extends into novel mission architectures, where parametric economic modeling is used not to validate against a known answer but to drive architecture trades. Parametric economic modeling of asteroid-mining architectures estimates operations cost from full-time-equivalent staffing and other programmatic drivers, then compares architectures on the resulting cost figure of merit</w:t>
      </w:r>
      <w:r>
        <w:t xml:space="preserve"> </w:t>
      </w:r>
      <w:hyperlink w:anchor="ref-4">
        <w:r>
          <w:rPr>
            <w:rStyle w:val="Hyperlink"/>
          </w:rPr>
          <w:t xml:space="preserve">[4]</w:t>
        </w:r>
      </w:hyperlink>
      <w:r>
        <w:t xml:space="preserve">. Work on robotic on-orbit assembly of large space telescopes uses areal cost assumptions, cost per unit aperture area, as a primary driver of the architecture trade, so that the choice among assembly concepts is governed by a predicted cost level</w:t>
      </w:r>
      <w:r>
        <w:t xml:space="preserve"> </w:t>
      </w:r>
      <w:hyperlink w:anchor="ref-5">
        <w:r>
          <w:rPr>
            <w:rStyle w:val="Hyperlink"/>
          </w:rPr>
          <w:t xml:space="preserve">[5]</w:t>
        </w:r>
      </w:hyperlink>
      <w:r>
        <w:t xml:space="preserve">. In both cases the cost figure is a quantity to be minimized or compared across design options, and the analytic question is which architecture yields the lower level. Neither treatment renders cost as a process that unfolds over a development timeline, and neither asks at what point the risk of exceeding the predicted level becomes acute. The unit of analysis throughout this body of work is the mission, or the architecture, as a static object, and the quantity of interest is a level rather than a rate.</w:t>
      </w:r>
    </w:p>
    <w:p>
      <w:pPr>
        <w:pStyle w:val="BodyText"/>
        <w:spacing w:line="480" w:lineRule="auto"/>
        <w:ind w:firstLine="720"/>
      </w:pPr>
      <w:r>
        <w:t xml:space="preserve">This is not a deficiency of the parametric tradition on its own terms. The tradition was built to support confirmation decisions, and a confirmation decision needs a level: it needs to know the expected cost and the uncertainty around it in order to set a baseline and a reserve. The blind-validation study answers exactly the question that a baseline-setting authority asks, namely how much confidence to place in the point estimate that the baseline will encode</w:t>
      </w:r>
      <w:r>
        <w:t xml:space="preserve"> </w:t>
      </w:r>
      <w:hyperlink w:anchor="ref-1">
        <w:r>
          <w:rPr>
            <w:rStyle w:val="Hyperlink"/>
          </w:rPr>
          <w:t xml:space="preserve">[1]</w:t>
        </w:r>
      </w:hyperlink>
      <w:r>
        <w:t xml:space="preserve">. The limitation is one of scope rather than of execution. Because the tradition produces a level evaluated at a point, it is silent on the operational question that arises after the baseline is set and the mission enters implementation: not whether the mission will eventually overrun, but when, across the development interval, the conditional risk of overrun begins to climb. The parametric tradition predicts how much; it does not model the hazard that a mission will cross a cost-growth threshold at a given point in its development timeline. This silence is the first half of the gap.</w:t>
      </w:r>
    </w:p>
    <w:bookmarkEnd w:id="67"/>
    <w:bookmarkStart w:id="68" w:name="X5f536f5cdf692490f80188a038a9c857317cdd7"/>
    <w:p>
      <w:pPr>
        <w:pStyle w:val="Heading2"/>
        <w:spacing w:line="480" w:lineRule="auto"/>
      </w:pPr>
      <w:r>
        <w:t xml:space="preserve">2.3 Carried-Over Risk and Technology Readiness: A Mechanism Scored Once</w:t>
      </w:r>
    </w:p>
    <w:p>
      <w:pPr>
        <w:pStyle w:val="FirstParagraph"/>
        <w:spacing w:line="480" w:lineRule="auto"/>
      </w:pPr>
      <w:r>
        <w:t xml:space="preserve">The substantive mechanism that this dissertation places at the center of the cost-growth hazard is carried-over technological immaturity, the share of formulation-phase technology risk that a mission carries past confirmation into implementation rather than retiring it before the agency commits. There is a coherent literature on this mechanism, but it treats carried-over risk as a portfolio-level quantity to be tracked and scored, not as a rate whose timing is the object of inference.</w:t>
      </w:r>
    </w:p>
    <w:p>
      <w:pPr>
        <w:pStyle w:val="BodyText"/>
        <w:spacing w:line="480" w:lineRule="auto"/>
        <w:ind w:firstLine="720"/>
      </w:pPr>
      <w:r>
        <w:t xml:space="preserve">The clearest articulation of the portfolio view appears in the risk-mitigation literature for space exploration. The NASA human-system risk-mitigation process is built to track carried-over risk across a mission’s life cycle, maintaining a portfolio of risks that are assessed, mitigated, and re-assessed as a program proceeds</w:t>
      </w:r>
      <w:r>
        <w:t xml:space="preserve"> </w:t>
      </w:r>
      <w:hyperlink w:anchor="ref-8">
        <w:r>
          <w:rPr>
            <w:rStyle w:val="Hyperlink"/>
          </w:rPr>
          <w:t xml:space="preserve">[8]</w:t>
        </w:r>
      </w:hyperlink>
      <w:r>
        <w:t xml:space="preserve">. The process is explicitly longitudinal in its bookkeeping: it follows a risk from identification through mitigation. Yet the analytic object it produces is a risk posture, a scored portfolio at a review milestone, rather than a hazard function over a continuous clock. The literature treats carried-over risk as a quantity to be tracked and a status to be reported at gates, and it stops short of modeling the conditional rate at which a carried-over risk converts into a realized cost consequence as a function of elapsed development time. The mechanism is understood qualitatively, but it is rendered as a tracked level at review points rather than as a rate between them.</w:t>
      </w:r>
    </w:p>
    <w:p>
      <w:pPr>
        <w:pStyle w:val="BodyText"/>
        <w:spacing w:line="480" w:lineRule="auto"/>
        <w:ind w:firstLine="720"/>
      </w:pPr>
      <w:r>
        <w:t xml:space="preserve">Technology-readiness level is the standard instrument the community uses to record how much immaturity a system carries into its next phase, and the same level-versus-rate distinction appears in how it is used. Technology-readiness profiles are reported across the engineering literature as the descriptor of where a subsystem stands at a given milestone. Integrated architecture work on navigation and attitude control for low-cost suborbital launch vehicles reports maturity in exactly this milestone-status idiom, characterizing where a design sits rather than the rate at which its residual immaturity will generate downstream rework</w:t>
      </w:r>
      <w:r>
        <w:t xml:space="preserve"> </w:t>
      </w:r>
      <w:hyperlink w:anchor="ref-10">
        <w:r>
          <w:rPr>
            <w:rStyle w:val="Hyperlink"/>
          </w:rPr>
          <w:t xml:space="preserve">[10]</w:t>
        </w:r>
      </w:hyperlink>
      <w:r>
        <w:t xml:space="preserve">. Space-based debris-trajectory estimation work that develops vision sensors and track-based data fusion likewise reports the maturity of its sensing and fusion approach as a status of demonstrated capability rather than as a covariate on any conditional rate of failure or cost growth</w:t>
      </w:r>
      <w:r>
        <w:t xml:space="preserve"> </w:t>
      </w:r>
      <w:hyperlink w:anchor="ref-11">
        <w:r>
          <w:rPr>
            <w:rStyle w:val="Hyperlink"/>
          </w:rPr>
          <w:t xml:space="preserve">[11]</w:t>
        </w:r>
      </w:hyperlink>
      <w:r>
        <w:t xml:space="preserve">. Across the engineering literature, technology-readiness level functions as a snapshot descriptor evaluated at a milestone. It records how much immaturity a system carries; it does not, in this literature, drive a hazard.</w:t>
      </w:r>
    </w:p>
    <w:p>
      <w:pPr>
        <w:pStyle w:val="BodyText"/>
        <w:spacing w:line="480" w:lineRule="auto"/>
        <w:ind w:firstLine="720"/>
      </w:pPr>
      <w:r>
        <w:t xml:space="preserve">The consequence for the present argument is precise. The risk-management and technology-readiness literatures supply the mechanism and the instrument that the dissertation needs. They establish that carried-over immaturity is a recognized, trackable quantity and that technology-readiness level is the accepted way to record it at confirmation. But they score that quantity once, at a gate, and they do not convert it into a covariate on the rate of cost-growth onset. The covariate exists in the literature as a level; the dissertation’s task is to admit it as a covariate on a hazard. This is the substantive complement to the methodological gap identified in Section 2.2.</w:t>
      </w:r>
    </w:p>
    <w:bookmarkEnd w:id="68"/>
    <w:bookmarkStart w:id="69" w:name="X4586379349c84b106ebdf35e092c0371aad597b"/>
    <w:p>
      <w:pPr>
        <w:pStyle w:val="Heading2"/>
        <w:spacing w:line="480" w:lineRule="auto"/>
      </w:pPr>
      <w:r>
        <w:t xml:space="preserve">2.4 The Economics of Space: Valuing Cost Without Timing It</w:t>
      </w:r>
    </w:p>
    <w:p>
      <w:pPr>
        <w:pStyle w:val="FirstParagraph"/>
        <w:spacing w:line="480" w:lineRule="auto"/>
      </w:pPr>
      <w:r>
        <w:t xml:space="preserve">A third literature, the economics of space activity, reinforces the same omission from a different direction. This literature is concerned with the value of space activity, the scarcity of orbital resources, and the portfolio consequences of how cost is allocated, and it is increasingly quantitative. But in every variant it treats cost as a quantity to be valued or compared, never as an event whose timing is itself the object of inference.</w:t>
      </w:r>
    </w:p>
    <w:p>
      <w:pPr>
        <w:pStyle w:val="BodyText"/>
        <w:spacing w:line="480" w:lineRule="auto"/>
        <w:ind w:firstLine="720"/>
      </w:pPr>
      <w:r>
        <w:t xml:space="preserve">The broad framing of the field treats space as an economic frontier in which cost and value are the central analytic categories and in which the allocation of a fixed budget across missions of different scale is a first-order problem</w:t>
      </w:r>
      <w:r>
        <w:t xml:space="preserve"> </w:t>
      </w:r>
      <w:hyperlink w:anchor="ref-12">
        <w:r>
          <w:rPr>
            <w:rStyle w:val="Hyperlink"/>
          </w:rPr>
          <w:t xml:space="preserve">[12]</w:t>
        </w:r>
      </w:hyperlink>
      <w:r>
        <w:t xml:space="preserve">. Within this framing, flagship overruns matter because they crowd out the smaller missions that sustain a balanced program, so that the rate at which large missions breach their baselines is, in principle, an economic variable of portfolio significance. Yet the field studies the level of cost and the level of value, and it stops at the threshold of treating the breach itself as a timed event. The portfolio consequence of overruns is acknowledged as important; the timing of the overrun that produces that consequence is left uncharacterized.</w:t>
      </w:r>
    </w:p>
    <w:p>
      <w:pPr>
        <w:pStyle w:val="BodyText"/>
        <w:spacing w:line="480" w:lineRule="auto"/>
        <w:ind w:firstLine="720"/>
      </w:pPr>
      <w:r>
        <w:t xml:space="preserve">The same level-orientation appears in the more technical economics-of-space work on orbital resources and debris. Life-cycle-assessment work that links physical orbital processes to economic scarcity metrics for cost-benefit analysis renders the orbital environment as a valued resource and assigns it an impact metric, so that the analytic output is a comparable level of resource consumption</w:t>
      </w:r>
      <w:r>
        <w:t xml:space="preserve"> </w:t>
      </w:r>
      <w:hyperlink w:anchor="ref-6">
        <w:r>
          <w:rPr>
            <w:rStyle w:val="Hyperlink"/>
          </w:rPr>
          <w:t xml:space="preserve">[6]</w:t>
        </w:r>
      </w:hyperlink>
      <w:r>
        <w:t xml:space="preserve">. Work on the economic dynamics of orbital-debris generation, accumulation, mitigation, and remediation models the cost and benefit of debris management as quantities to be compared across policy options</w:t>
      </w:r>
      <w:r>
        <w:t xml:space="preserve"> </w:t>
      </w:r>
      <w:hyperlink w:anchor="ref-7">
        <w:r>
          <w:rPr>
            <w:rStyle w:val="Hyperlink"/>
          </w:rPr>
          <w:t xml:space="preserve">[7]</w:t>
        </w:r>
      </w:hyperlink>
      <w:r>
        <w:t xml:space="preserve">. Related space-domain economic and engineering-economic work on debris-removal strategy weighs the cost of acting now against the cost of acting later, framing the decision as a comparison of cost levels under different timelines rather than as the estimation of a hazard</w:t>
      </w:r>
      <w:r>
        <w:t xml:space="preserve"> </w:t>
      </w:r>
      <w:hyperlink w:anchor="ref-19">
        <w:r>
          <w:rPr>
            <w:rStyle w:val="Hyperlink"/>
          </w:rPr>
          <w:t xml:space="preserve">[19]</w:t>
        </w:r>
      </w:hyperlink>
      <w:r>
        <w:t xml:space="preserve">,</w:t>
      </w:r>
      <w:r>
        <w:t xml:space="preserve"> </w:t>
      </w:r>
      <w:hyperlink w:anchor="ref-22">
        <w:r>
          <w:rPr>
            <w:rStyle w:val="Hyperlink"/>
          </w:rPr>
          <w:t xml:space="preserve">[22]</w:t>
        </w:r>
      </w:hyperlink>
      <w:r>
        <w:t xml:space="preserve">. Even where this literature is explicitly temporal in its rhetoric, posing the question of whether to pay now or pay more later, the temporality is a comparison between two cost levels at two dates rather than a model of the conditional rate at which a cost consequence arrives</w:t>
      </w:r>
      <w:r>
        <w:t xml:space="preserve"> </w:t>
      </w:r>
      <w:hyperlink w:anchor="ref-19">
        <w:r>
          <w:rPr>
            <w:rStyle w:val="Hyperlink"/>
          </w:rPr>
          <w:t xml:space="preserve">[19]</w:t>
        </w:r>
      </w:hyperlink>
      <w:r>
        <w:t xml:space="preserve">. The market-evaluation strand that asks how potential space-resource markets should be evaluated is similarly concerned with the level and structure of value rather than with the timing of any adverse event</w:t>
      </w:r>
      <w:r>
        <w:t xml:space="preserve"> </w:t>
      </w:r>
      <w:hyperlink w:anchor="ref-30">
        <w:r>
          <w:rPr>
            <w:rStyle w:val="Hyperlink"/>
          </w:rPr>
          <w:t xml:space="preserve">[30]</w:t>
        </w:r>
      </w:hyperlink>
      <w:r>
        <w:t xml:space="preserve">.</w:t>
      </w:r>
    </w:p>
    <w:p>
      <w:pPr>
        <w:pStyle w:val="BodyText"/>
        <w:spacing w:line="480" w:lineRule="auto"/>
        <w:ind w:firstLine="720"/>
      </w:pPr>
      <w:r>
        <w:t xml:space="preserve">The pattern is consistent across the economics-of-space literature. Cost and value are levels to be estimated, compared, and traded off. The portfolio significance of overruns is recognized. But the cliometric move that is standard in economic history, treating an institutional outcome as a duration and estimating its hazard, has not been applied to the cost trajectory of deep-space missions. The economics literature supplies the motivation for caring about the timing of overruns, because it establishes that the timing has portfolio consequences, but it does not itself supply the timing.</w:t>
      </w:r>
    </w:p>
    <w:bookmarkEnd w:id="69"/>
    <w:bookmarkStart w:id="70" w:name="X4e7cb21f69b02328039e8c5bf53200f95778d8b"/>
    <w:p>
      <w:pPr>
        <w:pStyle w:val="Heading2"/>
        <w:spacing w:line="480" w:lineRule="auto"/>
      </w:pPr>
      <w:r>
        <w:t xml:space="preserve">2.5 Time-to-Event Analysis in the Space Domain: Feasible but Unjoined</w:t>
      </w:r>
    </w:p>
    <w:p>
      <w:pPr>
        <w:pStyle w:val="FirstParagraph"/>
        <w:spacing w:line="480" w:lineRule="auto"/>
      </w:pPr>
      <w:r>
        <w:t xml:space="preserve">The fourth literature is the methodological one: survival analysis, the family of time-to-event models that estimate a hazard, the conditional rate of an event given survival to a point, as a function of covariates. The central question for this dissertation is whether this method has been brought to bear on the space domain at all, and if so, whether it has been pointed at the cost-growth interval. The answer is that the method is demonstrably feasible on space data but has been applied to operational and physical events rather than to the programmatic event of cost-growth breach.</w:t>
      </w:r>
    </w:p>
    <w:p>
      <w:pPr>
        <w:pStyle w:val="BodyText"/>
        <w:spacing w:line="480" w:lineRule="auto"/>
        <w:ind w:firstLine="720"/>
      </w:pPr>
      <w:r>
        <w:t xml:space="preserve">The clearest demonstration of feasibility is the application of time-to-event modeling to the maneuver occurrence of non-cooperative satellites, which treats the moment a satellite executes a maneuver as a survival event and models the time to that event using survival-analytic machinery</w:t>
      </w:r>
      <w:r>
        <w:t xml:space="preserve"> </w:t>
      </w:r>
      <w:hyperlink w:anchor="ref-15">
        <w:r>
          <w:rPr>
            <w:rStyle w:val="Hyperlink"/>
          </w:rPr>
          <w:t xml:space="preserve">[15]</w:t>
        </w:r>
      </w:hyperlink>
      <w:r>
        <w:t xml:space="preserve">. This work establishes the essential precedent: the apparatus of time-to-event modeling, with its explicit treatment of right-censoring and its estimation of a conditional rate, transfers cleanly onto space-domain data. A non-cooperative satellite that has not yet maneuvered is a survivor whose information is retained rather than discarded, exactly as a mission that reaches launch without breaching its cost baseline is a survivor rather than an overrun-in-waiting. The maneuver-occurrence study proves that survival analysis is a viable language for space-domain events. What it does not do, and does not claim to do, is address cost. Its event is a physical-operational one, the maneuver, and its covariates are orbital and behavioral rather than programmatic.</w:t>
      </w:r>
    </w:p>
    <w:p>
      <w:pPr>
        <w:pStyle w:val="BodyText"/>
        <w:spacing w:line="480" w:lineRule="auto"/>
        <w:ind w:firstLine="720"/>
      </w:pPr>
      <w:r>
        <w:t xml:space="preserve">Beyond this direct precedent, the broader space-situational-awareness and operations literature is rich in risk and timing constructs that remain outside the survival-analytic frame. Collision-risk assessment following a catastrophic spacecraft mishap in lunar orbit characterizes the probability and evolution of artificial-debris collision risk over time, but it does so through physical propagation rather than through a fitted hazard model with covariates</w:t>
      </w:r>
      <w:r>
        <w:t xml:space="preserve"> </w:t>
      </w:r>
      <w:hyperlink w:anchor="ref-16">
        <w:r>
          <w:rPr>
            <w:rStyle w:val="Hyperlink"/>
          </w:rPr>
          <w:t xml:space="preserve">[16]</w:t>
        </w:r>
      </w:hyperlink>
      <w:r>
        <w:t xml:space="preserve">. Re-entry risk work that asks whether the growth in uncontrolled re-entries should be considered worrying characterizes a risk that is explicitly increasing over time, yet it frames that growth as a trend in a level rather than as a hazard conditioned on mission or object characteristics</w:t>
      </w:r>
      <w:r>
        <w:t xml:space="preserve"> </w:t>
      </w:r>
      <w:hyperlink w:anchor="ref-23">
        <w:r>
          <w:rPr>
            <w:rStyle w:val="Hyperlink"/>
          </w:rPr>
          <w:t xml:space="preserve">[23]</w:t>
        </w:r>
      </w:hyperlink>
      <w:r>
        <w:t xml:space="preserve">. Autonomous-navigation and collision-avoidance work for small satellites and deep-space small satellites is concerned with the timing and execution of maneuvers and with operational constraints on them, again as engineering-operational quantities rather than as fitted conditional rates</w:t>
      </w:r>
      <w:r>
        <w:t xml:space="preserve"> </w:t>
      </w:r>
      <w:hyperlink w:anchor="ref-24">
        <w:r>
          <w:rPr>
            <w:rStyle w:val="Hyperlink"/>
          </w:rPr>
          <w:t xml:space="preserve">[24]</w:t>
        </w:r>
      </w:hyperlink>
      <w:r>
        <w:t xml:space="preserve">,</w:t>
      </w:r>
      <w:r>
        <w:t xml:space="preserve"> </w:t>
      </w:r>
      <w:hyperlink w:anchor="ref-25">
        <w:r>
          <w:rPr>
            <w:rStyle w:val="Hyperlink"/>
          </w:rPr>
          <w:t xml:space="preserve">[25]</w:t>
        </w:r>
      </w:hyperlink>
      <w:r>
        <w:t xml:space="preserve">. Space-domain-awareness and tracking work, whether on bistatic radar augmentation, microsatellite-based awareness, or pole-sitter architectures for cislunar regions, is concerned with detecting and characterizing objects rather than with modeling the hazard of a programmatic event</w:t>
      </w:r>
      <w:r>
        <w:t xml:space="preserve"> </w:t>
      </w:r>
      <w:hyperlink w:anchor="ref-18">
        <w:r>
          <w:rPr>
            <w:rStyle w:val="Hyperlink"/>
          </w:rPr>
          <w:t xml:space="preserve">[18]</w:t>
        </w:r>
      </w:hyperlink>
      <w:r>
        <w:t xml:space="preserve">,</w:t>
      </w:r>
      <w:r>
        <w:t xml:space="preserve"> </w:t>
      </w:r>
      <w:hyperlink w:anchor="ref-20">
        <w:r>
          <w:rPr>
            <w:rStyle w:val="Hyperlink"/>
          </w:rPr>
          <w:t xml:space="preserve">[20]</w:t>
        </w:r>
      </w:hyperlink>
      <w:r>
        <w:t xml:space="preserve">,</w:t>
      </w:r>
      <w:r>
        <w:t xml:space="preserve"> </w:t>
      </w:r>
      <w:hyperlink w:anchor="ref-21">
        <w:r>
          <w:rPr>
            <w:rStyle w:val="Hyperlink"/>
          </w:rPr>
          <w:t xml:space="preserve">[21]</w:t>
        </w:r>
      </w:hyperlink>
      <w:r>
        <w:t xml:space="preserve">. Even adjacent quantitative work on facility usage aboard the International Space Station, which treats usage as a measured operational quantity over time, stops short of the hazard formulation</w:t>
      </w:r>
      <w:r>
        <w:t xml:space="preserve"> </w:t>
      </w:r>
      <w:hyperlink w:anchor="ref-27">
        <w:r>
          <w:rPr>
            <w:rStyle w:val="Hyperlink"/>
          </w:rPr>
          <w:t xml:space="preserve">[27]</w:t>
        </w:r>
      </w:hyperlink>
      <w:r>
        <w:t xml:space="preserve">. The hazard-modeling vocabulary, where it appears in the space domain, attaches to physical and operational events and to objects, not to the programmatic life cycle of a mission’s budget.</w:t>
      </w:r>
    </w:p>
    <w:p>
      <w:pPr>
        <w:pStyle w:val="BodyText"/>
        <w:spacing w:line="480" w:lineRule="auto"/>
        <w:ind w:firstLine="720"/>
      </w:pPr>
      <w:r>
        <w:t xml:space="preserve">The agent-based and distributed-systems literature on space-mission management completes this picture. Surveys of agent-based approaches for distributed space systems and mission management catalog methodologies for autonomy and coordination across a mission’s operational life, and they engage directly with the management of missions as ongoing processes</w:t>
      </w:r>
      <w:r>
        <w:t xml:space="preserve"> </w:t>
      </w:r>
      <w:hyperlink w:anchor="ref-3">
        <w:r>
          <w:rPr>
            <w:rStyle w:val="Hyperlink"/>
          </w:rPr>
          <w:t xml:space="preserve">[3]</w:t>
        </w:r>
      </w:hyperlink>
      <w:r>
        <w:t xml:space="preserve">. Yet the process they model is operational autonomy rather than cost-growth risk, and the timing constructs they employ concern task allocation and coordination rather than the hazard of a budgetary breach. The mission-management literature thinks in processes, which is the right ontology for the present problem, but it has not turned that process orientation toward the confirmation-to-launch cost trajectory.</w:t>
      </w:r>
    </w:p>
    <w:p>
      <w:pPr>
        <w:pStyle w:val="BodyText"/>
        <w:spacing w:line="480" w:lineRule="auto"/>
        <w:ind w:firstLine="720"/>
      </w:pPr>
      <w:r>
        <w:t xml:space="preserve">The methodological literature therefore establishes two things that, taken together, sharpen the gap rather than closing it. It establishes that survival analysis is feasible on space data, because it has been done for satellite maneuvers</w:t>
      </w:r>
      <w:r>
        <w:t xml:space="preserve"> </w:t>
      </w:r>
      <w:hyperlink w:anchor="ref-15">
        <w:r>
          <w:rPr>
            <w:rStyle w:val="Hyperlink"/>
          </w:rPr>
          <w:t xml:space="preserve">[15]</w:t>
        </w:r>
      </w:hyperlink>
      <w:r>
        <w:t xml:space="preserve">. And it establishes that, despite a space-domain culture saturated with risk and timing constructs</w:t>
      </w:r>
      <w:r>
        <w:t xml:space="preserve"> </w:t>
      </w:r>
      <w:hyperlink w:anchor="ref-16">
        <w:r>
          <w:rPr>
            <w:rStyle w:val="Hyperlink"/>
          </w:rPr>
          <w:t xml:space="preserve">[16]</w:t>
        </w:r>
      </w:hyperlink>
      <w:r>
        <w:t xml:space="preserve">,</w:t>
      </w:r>
      <w:r>
        <w:t xml:space="preserve"> </w:t>
      </w:r>
      <w:hyperlink w:anchor="ref-23">
        <w:r>
          <w:rPr>
            <w:rStyle w:val="Hyperlink"/>
          </w:rPr>
          <w:t xml:space="preserve">[23]</w:t>
        </w:r>
      </w:hyperlink>
      <w:r>
        <w:t xml:space="preserve">,</w:t>
      </w:r>
      <w:r>
        <w:t xml:space="preserve"> </w:t>
      </w:r>
      <w:hyperlink w:anchor="ref-24">
        <w:r>
          <w:rPr>
            <w:rStyle w:val="Hyperlink"/>
          </w:rPr>
          <w:t xml:space="preserve">[24]</w:t>
        </w:r>
      </w:hyperlink>
      <w:r>
        <w:t xml:space="preserve">,</w:t>
      </w:r>
      <w:r>
        <w:t xml:space="preserve"> </w:t>
      </w:r>
      <w:hyperlink w:anchor="ref-25">
        <w:r>
          <w:rPr>
            <w:rStyle w:val="Hyperlink"/>
          </w:rPr>
          <w:t xml:space="preserve">[25]</w:t>
        </w:r>
      </w:hyperlink>
      <w:r>
        <w:t xml:space="preserve">, the survival-analytic apparatus has not been applied to the programmatic event that matters most for mission-operations budgeting, the crossing of a cost-growth threshold during development. The method exists, the precedent exists, and the application is absent.</w:t>
      </w:r>
    </w:p>
    <w:bookmarkEnd w:id="70"/>
    <w:bookmarkStart w:id="71" w:name="synthesis-locating-the-gap"/>
    <w:p>
      <w:pPr>
        <w:pStyle w:val="Heading2"/>
        <w:spacing w:line="480" w:lineRule="auto"/>
      </w:pPr>
      <w:r>
        <w:t xml:space="preserve">2.6 Synthesis: Locating the Gap</w:t>
      </w:r>
    </w:p>
    <w:p>
      <w:pPr>
        <w:pStyle w:val="FirstParagraph"/>
        <w:spacing w:line="480" w:lineRule="auto"/>
      </w:pPr>
      <w:r>
        <w:t xml:space="preserve">Drawing the four strands together produces a single, well-defined gap. Each strand contributes one fact, and the four facts intersect at a precise vacancy.</w:t>
      </w:r>
    </w:p>
    <w:p>
      <w:pPr>
        <w:pStyle w:val="BodyText"/>
        <w:spacing w:line="480" w:lineRule="auto"/>
        <w:ind w:firstLine="720"/>
      </w:pPr>
      <w:r>
        <w:t xml:space="preserve">From the parametric cost-estimation tradition comes the first fact: cost estimation for NASA missions is mature, validated, and explicitly probabilistic, but only at the level of a point estimate with an interval, and the same apparatus is portable across vehicle classes and architectures precisely because it is understood as a general-purpose predictor of a level</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This tradition predicts how much a mission will cost. It does not model the hazard that a mission will cross a cost-growth threshold at a given point in its development.</w:t>
      </w:r>
    </w:p>
    <w:p>
      <w:pPr>
        <w:pStyle w:val="BodyText"/>
        <w:spacing w:line="480" w:lineRule="auto"/>
        <w:ind w:firstLine="720"/>
      </w:pPr>
      <w:r>
        <w:t xml:space="preserve">From the risk-management and technology-readiness literature comes the second fact: carried-over technological immaturity is a recognized mechanism, trackable across a mission’s life cycle and recorded through technology-readiness level, but it is scored once at a gate and reported as a status rather than admitted as a covariate on a rate</w:t>
      </w:r>
      <w:r>
        <w:t xml:space="preserve"> </w:t>
      </w:r>
      <w:hyperlink w:anchor="ref-8">
        <w:r>
          <w:rPr>
            <w:rStyle w:val="Hyperlink"/>
          </w:rPr>
          <w:t xml:space="preserve">[8]</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This literature supplies the mechanism and the instrument but renders them as levels at milestones.</w:t>
      </w:r>
    </w:p>
    <w:p>
      <w:pPr>
        <w:pStyle w:val="BodyText"/>
        <w:spacing w:line="480" w:lineRule="auto"/>
        <w:ind w:firstLine="720"/>
      </w:pPr>
      <w:r>
        <w:t xml:space="preserve">From the economics-of-space literature comes the third fact: the timing of overruns has genuine portfolio consequences, because flagship breaches crowd out smaller missions, yet the field studies cost and value as levels to be valued and compared and does not treat the breach as a timed event</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2">
        <w:r>
          <w:rPr>
            <w:rStyle w:val="Hyperlink"/>
          </w:rPr>
          <w:t xml:space="preserve">[12]</w:t>
        </w:r>
      </w:hyperlink>
      <w:r>
        <w:t xml:space="preserve">,</w:t>
      </w:r>
      <w:r>
        <w:t xml:space="preserve"> </w:t>
      </w:r>
      <w:hyperlink w:anchor="ref-19">
        <w:r>
          <w:rPr>
            <w:rStyle w:val="Hyperlink"/>
          </w:rPr>
          <w:t xml:space="preserve">[19]</w:t>
        </w:r>
      </w:hyperlink>
      <w:r>
        <w:t xml:space="preserve">,</w:t>
      </w:r>
      <w:r>
        <w:t xml:space="preserve"> </w:t>
      </w:r>
      <w:hyperlink w:anchor="ref-22">
        <w:r>
          <w:rPr>
            <w:rStyle w:val="Hyperlink"/>
          </w:rPr>
          <w:t xml:space="preserve">[22]</w:t>
        </w:r>
      </w:hyperlink>
      <w:r>
        <w:t xml:space="preserve">,</w:t>
      </w:r>
      <w:r>
        <w:t xml:space="preserve"> </w:t>
      </w:r>
      <w:hyperlink w:anchor="ref-30">
        <w:r>
          <w:rPr>
            <w:rStyle w:val="Hyperlink"/>
          </w:rPr>
          <w:t xml:space="preserve">[30]</w:t>
        </w:r>
      </w:hyperlink>
      <w:r>
        <w:t xml:space="preserve">. This literature establishes why the timing matters but does not produce the timing.</w:t>
      </w:r>
    </w:p>
    <w:p>
      <w:pPr>
        <w:pStyle w:val="BodyText"/>
        <w:spacing w:line="480" w:lineRule="auto"/>
        <w:ind w:firstLine="720"/>
      </w:pPr>
      <w:r>
        <w:t xml:space="preserve">From the time-to-event literature comes the fourth fact: survival analysis is demonstrably feasible on space-domain data and has been applied to physical and operational events such as satellite maneuvers, but it has not been pointed at the programmatic event of cost-growth breach, even though the surrounding space-domain culture is saturated with risk and timing constructs</w:t>
      </w:r>
      <w:r>
        <w:t xml:space="preserve"> </w:t>
      </w:r>
      <w:hyperlink w:anchor="ref-3">
        <w:r>
          <w:rPr>
            <w:rStyle w:val="Hyperlink"/>
          </w:rPr>
          <w:t xml:space="preserve">[3]</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23">
        <w:r>
          <w:rPr>
            <w:rStyle w:val="Hyperlink"/>
          </w:rPr>
          <w:t xml:space="preserve">[23]</w:t>
        </w:r>
      </w:hyperlink>
      <w:r>
        <w:t xml:space="preserve">,</w:t>
      </w:r>
      <w:r>
        <w:t xml:space="preserve"> </w:t>
      </w:r>
      <w:hyperlink w:anchor="ref-24">
        <w:r>
          <w:rPr>
            <w:rStyle w:val="Hyperlink"/>
          </w:rPr>
          <w:t xml:space="preserve">[24]</w:t>
        </w:r>
      </w:hyperlink>
      <w:r>
        <w:t xml:space="preserve">,</w:t>
      </w:r>
      <w:r>
        <w:t xml:space="preserve"> </w:t>
      </w:r>
      <w:hyperlink w:anchor="ref-25">
        <w:r>
          <w:rPr>
            <w:rStyle w:val="Hyperlink"/>
          </w:rPr>
          <w:t xml:space="preserve">[25]</w:t>
        </w:r>
      </w:hyperlink>
      <w:r>
        <w:t xml:space="preserve">.</w:t>
      </w:r>
    </w:p>
    <w:p>
      <w:pPr>
        <w:pStyle w:val="BodyText"/>
        <w:spacing w:line="480" w:lineRule="auto"/>
        <w:ind w:firstLine="720"/>
      </w:pPr>
      <w:r>
        <w:t xml:space="preserve">The intersection of these four facts is the gap. The data to characterize cost growth as a duration exist in public, non-proprietary form. The parametric predictors that summarize a mission at confirmation exist and are validated. The mechanism that should pace the hazard, carried-over immaturity, exists in the literature as a recognized and instrumented quantity. The survival-analytic method that would convert a predicted level into an estimated hazard exists and has been shown to work on space data. What does not exist is the work that joins them: a survival-analytic cliometric of the confirmation-to-launch interval in which the event is a mission crossing a fixed cost-growth threshold, the clock is elapsed development time, and carried-over technological immaturity enters as a covariate on the rate of breach rather than as a static input to a point estimate.</w:t>
      </w:r>
    </w:p>
    <w:p>
      <w:pPr>
        <w:pStyle w:val="BodyText"/>
        <w:spacing w:line="480" w:lineRule="auto"/>
        <w:ind w:firstLine="720"/>
      </w:pPr>
      <w:r>
        <w:t xml:space="preserve">The gap is therefore methodological rather than empirical, and this is the decisive characterization. No new data collection is required to close it, because the public mission-cost record, anchored in the Government Accountability Office annual assessments of NASA major projects and cross-referenced to mission confirmation baselines and launch outcomes, already contains the baseline, the running estimate, and the launch-or-censoring date that a survival analysis requires</w:t>
      </w:r>
      <w:r>
        <w:t xml:space="preserve"> </w:t>
      </w:r>
      <w:hyperlink w:anchor="ref-9">
        <w:r>
          <w:rPr>
            <w:rStyle w:val="Hyperlink"/>
          </w:rPr>
          <w:t xml:space="preserve">[9]</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 No new predictor is required, because the design and programmatic inputs that the parametric tradition already consumes at confirmation can serve as the baseline covariates of the survival model, preserving continuity with established practice while changing the estimated quantity from a level to a hazard</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What is required is the reframing itself, the analytic act of treating cost growth as a duration and estimating its hazard, and the admission of carried-over immaturity as a covariate on that hazard. The two literatures do not meet because no one has performed that act for this interval.</w:t>
      </w:r>
    </w:p>
    <w:bookmarkEnd w:id="71"/>
    <w:bookmarkStart w:id="72" w:name="positioning-the-contribution"/>
    <w:p>
      <w:pPr>
        <w:pStyle w:val="Heading2"/>
        <w:spacing w:line="480" w:lineRule="auto"/>
      </w:pPr>
      <w:r>
        <w:t xml:space="preserve">2.7 Positioning the Contribution</w:t>
      </w:r>
    </w:p>
    <w:p>
      <w:pPr>
        <w:pStyle w:val="FirstParagraph"/>
        <w:spacing w:line="480" w:lineRule="auto"/>
      </w:pPr>
      <w:r>
        <w:t xml:space="preserve">The dissertation occupies this seam with a single falsifiable claim. The claim is not a suite of correlations but the sign and magnitude of one coefficient: the cause-specific hazard ratio for carried-over technological immaturity in a Cox proportional-hazards model of the time from confirmation to first threshold-crossing cost growth. The null hypothesis is that the instantaneous hazard of crossing a fixed confirmation-to-launch cost-growth threshold is constant with respect to carried-over immaturity, so that the Cox coefficient is zero and the hazard ratio equals one. The alternative is that the hazard rises with carried-over immaturity, so that the coefficient is strictly positive and the hazard ratio exceeds one, and missions entering implementation with more unretired formulation-phase technology breach their cost-growth threshold sooner.</w:t>
      </w:r>
    </w:p>
    <w:p>
      <w:pPr>
        <w:pStyle w:val="BodyText"/>
        <w:spacing w:line="480" w:lineRule="auto"/>
        <w:ind w:firstLine="720"/>
      </w:pPr>
      <w:r>
        <w:t xml:space="preserve">This positioning is responsive to all four literatures at once. It preserves the parametric tradition’s covariate engineering by drawing its baseline covariates from the same design and programmatic inputs that validated cost-estimating relationships already consume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while relocating the estimand from a level to a rate, which is the move the parametric tradition does not make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It operationalizes the carried-over-immaturity mechanism that the risk-management literature tracks but scores only once, converting the technology-readiness profile recorded at confirmation into a covariate on a hazard rather than a status at a gate</w:t>
      </w:r>
      <w:r>
        <w:t xml:space="preserve"> </w:t>
      </w:r>
      <w:hyperlink w:anchor="ref-8">
        <w:r>
          <w:rPr>
            <w:rStyle w:val="Hyperlink"/>
          </w:rPr>
          <w:t xml:space="preserve">[8]</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It answers the economics-of-space literature’s implicit demand for the timing of overruns, supplying the timed-event characterization whose portfolio consequences that literature has already established as important</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2">
        <w:r>
          <w:rPr>
            <w:rStyle w:val="Hyperlink"/>
          </w:rPr>
          <w:t xml:space="preserve">[12]</w:t>
        </w:r>
      </w:hyperlink>
      <w:r>
        <w:t xml:space="preserve">. And it imports the survival-analytic apparatus that has been proven feasible on space-domain data, pointing it for the first time at the programmatic event of cost-growth breach rather than at a physical or operational one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23">
        <w:r>
          <w:rPr>
            <w:rStyle w:val="Hyperlink"/>
          </w:rPr>
          <w:t xml:space="preserve">[23]</w:t>
        </w:r>
      </w:hyperlink>
      <w:r>
        <w:t xml:space="preserve">.</w:t>
      </w:r>
    </w:p>
    <w:p>
      <w:pPr>
        <w:pStyle w:val="BodyText"/>
        <w:spacing w:line="480" w:lineRule="auto"/>
        <w:ind w:firstLine="720"/>
      </w:pPr>
      <w:r>
        <w:t xml:space="preserve">The contribution is bounded by the same scope conditions that the surrounding literatures impose. The hazard is conditional on a mission reaching confirmation, because missions cancelled before Key Decision Point C never enter the panel, so the estimand speaks to the population that survived to confirmation and not to concepts terminated earlier. The population of NASA deep-space major projects is modest, which is a property of the domain rather than of the design, and it dictates that the conclusion be stated as the sign of one coefficient recovered under an explicit identification strategy rather than as a high-dimensional model. The technology-readiness information recorded at confirmation is coarse and partly judgmental, a limitation the engineering literature itself acknowledges in its milestone-status use of the instrument</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which is why carried-over immaturity must be operationalized under more than one coding and the hazard-ratio conclusion must survive each. These bounds do not weaken the contribution; they specify it. Within them, the dissertation joins the two unjoined literatures by performing the one analytic act that neither has performed for this interval, treating confirmation-to-launch cost growth as a duration and estimating the hazard of its onset as a function of carried-over technological immaturity.</w:t>
      </w:r>
    </w:p>
    <w:bookmarkEnd w:id="72"/>
    <w:bookmarkEnd w:id="73"/>
    <w:bookmarkStart w:id="80" w:name="Xcfcc00a3ded59aed0c781c16bfc121f2a509603"/>
    <w:p>
      <w:pPr>
        <w:pStyle w:val="Heading1"/>
        <w:spacing w:line="480" w:lineRule="auto"/>
      </w:pPr>
      <w:r>
        <w:t xml:space="preserve">Chapter 3. Theoretical Framework and Hypotheses</w:t>
      </w:r>
    </w:p>
    <w:bookmarkStart w:id="74" w:name="orientation"/>
    <w:p>
      <w:pPr>
        <w:pStyle w:val="Heading2"/>
        <w:spacing w:line="480" w:lineRule="auto"/>
      </w:pPr>
      <w:r>
        <w:t xml:space="preserve">3.1 Orientation</w:t>
      </w:r>
    </w:p>
    <w:p>
      <w:pPr>
        <w:pStyle w:val="FirstParagraph"/>
        <w:spacing w:line="480" w:lineRule="auto"/>
      </w:pPr>
      <w:r>
        <w:t xml:space="preserve">This chapter builds the theoretical foundation on which the empirical work of the dissertation rests. Its purpose is narrow and deliberate. It does not catalogue every account of why deep-space missions overrun, nor does it attempt a general theory of project failure. It does one thing: it specifies a mechanism by which the timing of confirmation-to-launch cost growth is governed, derives from that mechanism a single falsifiable claim about the shape of a hazard, and casts that claim as a competing pair of hypotheses, H0 and H1, stated formally enough that a Cox proportional-hazards estimate can adjudicate between them. The discipline of reducing the contribution to the sign and magnitude of one coefficient is intentional. A small and partly judgmental historical record cannot support a suite of correlations claimed as findings, but it can support one well-identified parameter recovered under an explicit theory of what that parameter means.</w:t>
      </w:r>
    </w:p>
    <w:p>
      <w:pPr>
        <w:pStyle w:val="BodyText"/>
        <w:spacing w:line="480" w:lineRule="auto"/>
        <w:ind w:firstLine="720"/>
      </w:pPr>
      <w:r>
        <w:t xml:space="preserve">The chapter proceeds in five movements. Section 3.2 establishes the analytic break with the prevailing cost-estimation tradition, which treats a mission as a static object and cost as a level to be predicted rather than as an event whose timing is to be characterized. Section 3.3 develops the substantive mechanism, carried-over technological immaturity, and explains why it should pace the hazard rather than merely the terminal magnitude of cost growth. Section 3.4 translates the mechanism into the formal apparatus of survival analysis and makes precise what a hazard is in this setting. Section 3.5 states H0 and H1 and shows exactly how each maps onto a parameter of the fitted model. Section 3.6 closes the loop by stating the auxiliary assumptions the framework requires and the conditions under which the central claim would be falsified.</w:t>
      </w:r>
    </w:p>
    <w:bookmarkEnd w:id="74"/>
    <w:bookmarkStart w:id="75" w:name="X8ebcaa7fc980d5ae2c9100277bb7060b1626460"/>
    <w:p>
      <w:pPr>
        <w:pStyle w:val="Heading2"/>
        <w:spacing w:line="480" w:lineRule="auto"/>
      </w:pPr>
      <w:r>
        <w:t xml:space="preserve">3.2 From a Predicted Level to an Estimated Hazard</w:t>
      </w:r>
    </w:p>
    <w:p>
      <w:pPr>
        <w:pStyle w:val="FirstParagraph"/>
        <w:spacing w:line="480" w:lineRule="auto"/>
      </w:pPr>
      <w:r>
        <w:t xml:space="preserve">The intellectual tradition that supports confirmation decisions for NASA missions is parametric and cross-sectional. Parametric cost-estimating relationships take design and programmatic inputs, mass, power, instrument complexity, schedule, and return a point estimate of total mission cost together with a confidence interval. The blind-validation study of the SEER-H tool against a set of NASA space missions is the canonical demonstration of how well this machinery performs: it asks how close a model’s point estimate falls to realized cost, and it reports that closeness as the figure of merit</w:t>
      </w:r>
      <w:r>
        <w:t xml:space="preserve"> </w:t>
      </w:r>
      <w:hyperlink w:anchor="ref-1">
        <w:r>
          <w:rPr>
            <w:rStyle w:val="Hyperlink"/>
          </w:rPr>
          <w:t xml:space="preserve">[1]</w:t>
        </w:r>
      </w:hyperlink>
      <w:r>
        <w:t xml:space="preserve">. The same apparatus has proven portable across vehicle classes and mission architectures, which is itself evidence that the community treats cost-estimating relationships as general-purpose predictors of a level. The relationships have been extended to civil hypersonic aircraft, where research, development, and production costs are predicted from conceptual-design parameters</w:t>
      </w:r>
      <w:r>
        <w:t xml:space="preserve"> </w:t>
      </w:r>
      <w:hyperlink w:anchor="ref-2">
        <w:r>
          <w:rPr>
            <w:rStyle w:val="Hyperlink"/>
          </w:rPr>
          <w:t xml:space="preserve">[2]</w:t>
        </w:r>
      </w:hyperlink>
      <w:r>
        <w:t xml:space="preserve">; to asteroid-mining architectures, whose operations cost is estimated from full-time-equivalent staffing assumptions</w:t>
      </w:r>
      <w:r>
        <w:t xml:space="preserve"> </w:t>
      </w:r>
      <w:hyperlink w:anchor="ref-4">
        <w:r>
          <w:rPr>
            <w:rStyle w:val="Hyperlink"/>
          </w:rPr>
          <w:t xml:space="preserve">[4]</w:t>
        </w:r>
      </w:hyperlink>
      <w:r>
        <w:t xml:space="preserve">; and to robotic on-orbit assembly of large space telescopes, where areal cost assumptions drive the architecture trade</w:t>
      </w:r>
      <w:r>
        <w:t xml:space="preserve"> </w:t>
      </w:r>
      <w:hyperlink w:anchor="ref-5">
        <w:r>
          <w:rPr>
            <w:rStyle w:val="Hyperlink"/>
          </w:rPr>
          <w:t xml:space="preserve">[5]</w:t>
        </w:r>
      </w:hyperlink>
      <w:r>
        <w:t xml:space="preserve">. Across this entire body of work the unit of analysis is the mission as a static object and the quantity of interest is a level.</w:t>
      </w:r>
    </w:p>
    <w:p>
      <w:pPr>
        <w:pStyle w:val="BodyText"/>
        <w:spacing w:line="480" w:lineRule="auto"/>
        <w:ind w:firstLine="720"/>
      </w:pPr>
      <w:r>
        <w:t xml:space="preserve">A level is the wrong quantity for the operational problem this dissertation addresses. Mission operations planning is the discipline of allocating finite reserves and a finite number of replan opportunities against an uncertain future. The planner does not principally need to know how much a mission will eventually cost; the planner needs to know when the risk of breaching the confirmation baseline accelerates, because that is the moment at which reserve posture and replan timing must change. A point estimate of total cost, however well validated, is silent on this question. It collapses a process that unfolds across the development interval into a single number realized at the end. The terminal framing that governs current practice, reporting overruns as percentages at launch or at a formal rebaseline, inherits the same silence: by the time a terminal percentage is known, the reserve decisions that could have absorbed the growth have already been foreclosed.</w:t>
      </w:r>
    </w:p>
    <w:p>
      <w:pPr>
        <w:pStyle w:val="BodyText"/>
        <w:spacing w:line="480" w:lineRule="auto"/>
        <w:ind w:firstLine="720"/>
      </w:pPr>
      <w:r>
        <w:t xml:space="preserve">The economics-of-space literature reinforces, from a different angle, that cost in this domain is conventionally treated as a level to be valued or compared rather than as an event to be timed. Work that links physical orbital processes to economic scarcity metrics for cost-benefit analysis treats cost as a quantity to be assessed against a resource baseline</w:t>
      </w:r>
      <w:r>
        <w:t xml:space="preserve"> </w:t>
      </w:r>
      <w:hyperlink w:anchor="ref-6">
        <w:r>
          <w:rPr>
            <w:rStyle w:val="Hyperlink"/>
          </w:rPr>
          <w:t xml:space="preserve">[6]</w:t>
        </w:r>
      </w:hyperlink>
      <w:r>
        <w:t xml:space="preserve">, and work on the economic dynamics of debris generation and mitigation treats cost as a stock to be accumulated and discounted</w:t>
      </w:r>
      <w:r>
        <w:t xml:space="preserve"> </w:t>
      </w:r>
      <w:hyperlink w:anchor="ref-7">
        <w:r>
          <w:rPr>
            <w:rStyle w:val="Hyperlink"/>
          </w:rPr>
          <w:t xml:space="preserve">[7]</w:t>
        </w:r>
      </w:hyperlink>
      <w:r>
        <w:t xml:space="preserve">. Both are level-focused in exactly the sense that matters here. Neither asks when, along a development clock, the conditional risk of a cost event rises.</w:t>
      </w:r>
    </w:p>
    <w:p>
      <w:pPr>
        <w:pStyle w:val="BodyText"/>
        <w:spacing w:line="480" w:lineRule="auto"/>
        <w:ind w:firstLine="720"/>
      </w:pPr>
      <w:r>
        <w:t xml:space="preserve">The reframing this dissertation proposes is to convert the predicted level into an estimated hazard. The move is not a rejection of the parametric tradition but a redirection of it. The design and programmatic inputs that cost-estimating relationships consume at confirmation are precisely the covariates a survival model needs; what changes is the quantity estimated, from a level to a rate, and the object of inference, from how much to when. The cliometric posture is essential to this redirection. Economic history routinely treats an institutional outcome as a duration and estimates its hazard, and the same posture has begun to appear in the space-systems literature, where time-to-event methods have been used to model the occurrence of maneuvers by non-cooperative satellites as a survival process rather than as a static classification</w:t>
      </w:r>
      <w:r>
        <w:t xml:space="preserve"> </w:t>
      </w:r>
      <w:hyperlink w:anchor="ref-15">
        <w:r>
          <w:rPr>
            <w:rStyle w:val="Hyperlink"/>
          </w:rPr>
          <w:t xml:space="preserve">[15]</w:t>
        </w:r>
      </w:hyperlink>
      <w:r>
        <w:t xml:space="preserve">. That precedent matters because it demonstrates that survival analysis is a legitimate and tractable instrument in this domain, not an importation that the data cannot bear.</w:t>
      </w:r>
    </w:p>
    <w:bookmarkEnd w:id="75"/>
    <w:bookmarkStart w:id="76" w:name="Xf7798414dc4231c7db8c0f8f07efcb3072cb9ae"/>
    <w:p>
      <w:pPr>
        <w:pStyle w:val="Heading2"/>
        <w:spacing w:line="480" w:lineRule="auto"/>
      </w:pPr>
      <w:r>
        <w:t xml:space="preserve">3.3 The Mechanism: Carried-Over Technological Immaturity</w:t>
      </w:r>
    </w:p>
    <w:p>
      <w:pPr>
        <w:pStyle w:val="FirstParagraph"/>
        <w:spacing w:line="480" w:lineRule="auto"/>
      </w:pPr>
      <w:r>
        <w:t xml:space="preserve">The substantive claim of the framework is that the pacing variable for confirmation-to-launch cost-growth risk is the share of formulation-phase technological immaturity that a mission carries past confirmation into implementation. This section explains what that quantity is and why it should govern the timing, and not merely the magnitude, of cost growth.</w:t>
      </w:r>
    </w:p>
    <w:p>
      <w:pPr>
        <w:pStyle w:val="BodyText"/>
        <w:spacing w:line="480" w:lineRule="auto"/>
        <w:ind w:firstLine="720"/>
      </w:pPr>
      <w:r>
        <w:t xml:space="preserve">Confirmation, recorded by NASA as Key Decision Point C, is the milestone at which the agency commits to a mission’s cost and schedule baseline. The institutional theory of confirmation is that formulation-phase technology risk is retired before the commitment is made. Technology-readiness level is the standard instrument the community uses to record how much immaturity a system carries from one phase into the next, and confirmation nominally requires that critical technologies reach a maturity threshold before implementation begins. In practice, missions routinely enter implementation with instruments or critical subsystems still below that threshold. The share of a mission’s technology set that crosses KDP-C unretired is what this dissertation means by carried-over immaturity, and it is the theoretical center of the framework.</w:t>
      </w:r>
    </w:p>
    <w:p>
      <w:pPr>
        <w:pStyle w:val="BodyText"/>
        <w:spacing w:line="480" w:lineRule="auto"/>
        <w:ind w:firstLine="720"/>
      </w:pPr>
      <w:r>
        <w:t xml:space="preserve">The reason carried-over immaturity should govern timing follows from the physical character of how immature technology consumes a development program. Unretired technology does not produce its cost consequences as a single lump at launch. It produces them as a sequence: qualification tests that fail and must be repeated, design iterations that ripple through interfaces, integration surprises discovered only when an immature subsystem meets the rest of the spacecraft, and the rework these failures demand. Each of these events consumes reserve and consumes schedule, and each becomes more likely the longer an immature system remains in the development flow without being retired. The risk-management literature for space exploration treats exactly this kind of carried-over risk as a portfolio-level quantity to be tracked continuously across a mission’s life cycle rather than scored once and forgotten</w:t>
      </w:r>
      <w:r>
        <w:t xml:space="preserve"> </w:t>
      </w:r>
      <w:hyperlink w:anchor="ref-8">
        <w:r>
          <w:rPr>
            <w:rStyle w:val="Hyperlink"/>
          </w:rPr>
          <w:t xml:space="preserve">[8]</w:t>
        </w:r>
      </w:hyperlink>
      <w:r>
        <w:t xml:space="preserve">. The Government Accountability Office’s annual assessments of NASA major projects document the same pattern at the program scale, repeatedly tying schedule slips and cost growth to technologies and instruments that entered implementation short of maturity</w:t>
      </w:r>
      <w:r>
        <w:t xml:space="preserve"> </w:t>
      </w:r>
      <w:hyperlink w:anchor="ref-9">
        <w:r>
          <w:rPr>
            <w:rStyle w:val="Hyperlink"/>
          </w:rPr>
          <w:t xml:space="preserve">[9]</w:t>
        </w:r>
      </w:hyperlink>
      <w:r>
        <w:t xml:space="preserve">. The documented case record of the missions JPL builds is consistent with the mechanism: the deepest and earliest cost pressures cluster on missions that had to develop genuinely new capability, and the public cost histories of flagship-class efforts such as Mars Science Laboratory record growth driven by subsystems whose maturity was still being established well into implementation</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p>
    <w:p>
      <w:pPr>
        <w:pStyle w:val="BodyText"/>
        <w:spacing w:line="480" w:lineRule="auto"/>
        <w:ind w:firstLine="720"/>
      </w:pPr>
      <w:r>
        <w:t xml:space="preserve">The crucial theoretical step is to distinguish a mechanism that governs magnitude from one that governs timing. A mission could in principle carry a large block of immature technology that produces a single, late, large cost adjustment; in that world immaturity would govern magnitude but not the shape of the hazard. The framework claims the opposite. Because immature technology generates its cost consequences as an accumulating sequence of qualification failures and integration surprises, and because the conditional probability of the next such surprise rises with the amount of unretired technology still circulating in the development flow, carried-over immaturity should raise the instantaneous rate at which a mission breaches its cost-growth threshold at every point along the development clock at which it remains unbreached. This is a claim about a hazard, not about a terminal level, and it is what makes the survival framing not merely convenient but necessary. A level model cannot express it; a hazard model can.</w:t>
      </w:r>
    </w:p>
    <w:p>
      <w:pPr>
        <w:pStyle w:val="BodyText"/>
        <w:spacing w:line="480" w:lineRule="auto"/>
        <w:ind w:firstLine="720"/>
      </w:pPr>
      <w:r>
        <w:t xml:space="preserve">It is worth stating plainly what the mechanism is not, because the contribution depends on the cleanness of the claim. The framework does not assert that immaturity is the only source of cost-growth risk, nor that it is the largest. It asserts that immaturity paces the hazard, that the timing of breach risk is structured by how much formulation-phase technology a mission carries past confirmation, and that this pacing is detectable as the sign of one coefficient once mission dollar size is controlled so that the immaturity effect is not a disguised effect of scale.</w:t>
      </w:r>
    </w:p>
    <w:p>
      <w:pPr>
        <w:pStyle w:val="BodyText"/>
        <w:spacing w:line="480" w:lineRule="auto"/>
        <w:ind w:firstLine="720"/>
      </w:pPr>
      <w:r>
        <w:t xml:space="preserve">The mechanism also carries an implication for how the framework relates carried-over immaturity to the related but distinct construct of technological novelty. A mission may carry first-of-its-kind technology that is nonetheless mature at confirmation, having been retired through a dedicated technology-development program before KDP-C; conversely a mission may carry no genuinely novel capability and still enter implementation with otherwise heritage subsystems short of qualification. The framework draws the causal arrow through immaturity rather than through novelty in itself, because it is the unretired status at confirmation, not the inventiveness of the design, that keeps qualification failures and integration surprises circulating in the development flow. Novelty still matters. It matters to the extent that novel technology is harder to mature before confirmation and therefore more likely to be carried over unretired, yet the pacing quantity is the carried-over share itself. This distinction is what allows the immaturity covariate to enter as a graded share from zero to one rather than as a binary novelty flag, and it is what protects the estimate from the perfect-separation pathology that a binary novelty indicator induces in a small panel, where every breaching mission carries new technology and no censored mission does. The continuous immaturity share captures the same channel with gradation and remains numerically identified where the binary flag does not.</w:t>
      </w:r>
    </w:p>
    <w:bookmarkEnd w:id="76"/>
    <w:bookmarkStart w:id="77" w:name="the-survival-formalism"/>
    <w:p>
      <w:pPr>
        <w:pStyle w:val="Heading2"/>
        <w:spacing w:line="480" w:lineRule="auto"/>
      </w:pPr>
      <w:r>
        <w:t xml:space="preserve">3.4 The Survival Formalism</w:t>
      </w:r>
    </w:p>
    <w:p>
      <w:pPr>
        <w:pStyle w:val="FirstParagraph"/>
        <w:spacing w:line="480" w:lineRule="auto"/>
      </w:pPr>
      <w:r>
        <w:t xml:space="preserve">To state the hypotheses precisely, the chapter now fixes the survival-analytic objects on which they depend. Each mission enters the analysis at confirmation and is observed across a development clock measured in months from KDP-C. A mission is at risk of the event throughout the interval from confirmation until it either experiences the event or is censored. The event of interest is the first month in which a mission’s estimate-at-completion exceeds its confirmation baseline by a pre-registered margin; in the empirical work that margin is the fifteen percent growth band that NASA and the GAO use to trigger rebaselining. A mission that reaches launch without ever crossing the threshold is not a latent overrun but a genuine survivor, and survival analysis uses such a mission by right-censoring it at launch rather than discarding the information it carries. This treatment of censored observations is the first reason the formalism fits the problem: the historical record contains many missions that launched within tolerance, and a method that could only use the breaches would throw away most of the panel.</w:t>
      </w:r>
    </w:p>
    <w:p>
      <w:pPr>
        <w:pStyle w:val="BodyText"/>
        <w:spacing w:line="480" w:lineRule="auto"/>
        <w:ind w:firstLine="720"/>
      </w:pPr>
      <w:r>
        <w:t xml:space="preserve">The central quantity is the hazard. For a mission that has survived to development month t without breaching, the hazard at t is the instantaneous conditional rate of breach in the next increment of time given survival to t. It is a rate, not a probability, and it is conditional on having reached t unbreached. The hazard is the object on which both hypotheses are stated, because it is the only object that captures the timing structure the framework is about. A mission’s covariate vector enters the hazard through the proportional-hazards form: the hazard for a given mission is the product of an unspecified baseline hazard, common to all missions and free to take any shape across the development clock, and an exponential function of the covariates. Leaving the baseline hazard unspecified is deliberate and disciplined. The framework has no strong prior on whether breach risk is front-loaded near confirmation or back-loaded near launch, and the semiparametric Cox specification lets the data express that shape without imposing it.</w:t>
      </w:r>
    </w:p>
    <w:p>
      <w:pPr>
        <w:pStyle w:val="BodyText"/>
        <w:spacing w:line="480" w:lineRule="auto"/>
        <w:ind w:firstLine="720"/>
      </w:pPr>
      <w:r>
        <w:t xml:space="preserve">Two further properties of the formalism recommend it for this problem. The first is that the hazard, being conditional on survival to t, is the quantity an operations planner actually faces in real time. A planner standing at development month t has, by construction, observed a mission that has not yet breached; the relevant risk is precisely the conditional rate of breach in the next increment given that history, and that is the hazard and nothing else. A terminal level, by contrast, answers a question the planner can never ask at t, because it presupposes knowledge of the outcome the planner is trying to anticipate. The second property is that the hazard formulation makes the censored missions evidentiary rather than merely tolerated. In a level model a mission that launched within tolerance contributes only a non-breach data point; in the hazard model it contributes the full exposure history of every development month it survived unbreached, and that exposure is exactly the information that identifies the baseline shape of risk against which the immaturity effect is read. A method that discarded the survivors would be discarding most of the historical signal, because in the documented JPL record the majority of missions launch within tolerance.</w:t>
      </w:r>
    </w:p>
    <w:p>
      <w:pPr>
        <w:pStyle w:val="BodyText"/>
        <w:spacing w:line="480" w:lineRule="auto"/>
        <w:ind w:firstLine="720"/>
      </w:pPr>
      <w:r>
        <w:t xml:space="preserve">The covariate of interest is carried-over immaturity, scaled from zero to one and constructed from the technology-readiness profile recorded at confirmation. Two features of its construction matter for identification. First, it is measured at KDP-C and is therefore predetermined relative to the post-confirmation event clock, which removes the most direct channel by which realized growth could feed back onto the covariate and contaminate the estimate. Second, it enters alongside the confirmation baseline development cost as a scale control, so that any estimated immaturity effect is not a disguised size effect; the prior empirical work confirms that mission dollar size does not pace the hazard once immaturity is in the model, which is exactly the behavior a scale control should display. The proportional-hazards assumption that underwrites the exponentiation of coefficients into hazard ratios is not asserted as an article of faith but is tested directly through scaled Schoenfeld residuals, and any covariate that violates proportionality is admitted as a time-varying effect rather than forced into a constant ratio.</w:t>
      </w:r>
    </w:p>
    <w:bookmarkEnd w:id="77"/>
    <w:bookmarkStart w:id="78" w:name="the-formal-hypotheses"/>
    <w:p>
      <w:pPr>
        <w:pStyle w:val="Heading2"/>
        <w:spacing w:line="480" w:lineRule="auto"/>
      </w:pPr>
      <w:r>
        <w:t xml:space="preserve">3.5 The Formal Hypotheses</w:t>
      </w:r>
    </w:p>
    <w:p>
      <w:pPr>
        <w:pStyle w:val="FirstParagraph"/>
        <w:spacing w:line="480" w:lineRule="auto"/>
      </w:pPr>
      <w:r>
        <w:t xml:space="preserve">The framework now yields a single pair of competing hypotheses about one parameter of the fitted Cox model: the coefficient on carried-over immaturity, denoted here as the log-hazard effect whose exponential is the cause-specific hazard ratio for that covariate.</w:t>
      </w:r>
    </w:p>
    <w:p>
      <w:pPr>
        <w:pStyle w:val="BodyText"/>
        <w:spacing w:line="480" w:lineRule="auto"/>
        <w:ind w:firstLine="720"/>
      </w:pPr>
      <w:r>
        <w:rPr>
          <w:b/>
          <w:bCs/>
        </w:rPr>
        <w:t xml:space="preserve">H0 (null).</w:t>
      </w:r>
      <w:r>
        <w:t xml:space="preserve"> </w:t>
      </w:r>
      <w:r>
        <w:t xml:space="preserve">The instantaneous hazard that a deep-space mission crosses its fixed confirmation-to-launch cost-growth threshold is constant with respect to the share of formulation-phase technological immaturity carried into implementation. Formally, in the Cox proportional-hazards model the coefficient on carried-over immaturity is zero, so the cause-specific hazard ratio for that covariate equals one. Under H0, two missions identical in every modeled respect except that one carries substantially more unretired formulation-phase technology than the other face the same month-by-month risk of breaching their cost-growth threshold. Carried-over immaturity, on this hypothesis, may correlate with the magnitude of an eventual overrun or with other mission attributes, but it does not pace the hazard, and the confirmation review that certifies technological readiness carries no implication for the timing of future cost-growth risk.</w:t>
      </w:r>
    </w:p>
    <w:p>
      <w:pPr>
        <w:pStyle w:val="BodyText"/>
        <w:spacing w:line="480" w:lineRule="auto"/>
        <w:ind w:firstLine="720"/>
      </w:pPr>
      <w:r>
        <w:rPr>
          <w:b/>
          <w:bCs/>
        </w:rPr>
        <w:t xml:space="preserve">H1 (alternative).</w:t>
      </w:r>
      <w:r>
        <w:t xml:space="preserve"> </w:t>
      </w:r>
      <w:r>
        <w:t xml:space="preserve">The instantaneous hazard rises with the share of carried-over technological immaturity. Formally, the Cox coefficient on carried-over immaturity is strictly positive, so the cause-specific hazard ratio for that covariate exceeds one, and missions entering implementation with more unretired formulation-phase technology breach their cost-growth threshold sooner. Under H1, the maturity profile a mission carries past confirmation sets the clock on future overruns: a larger block of unretired technology raises the conditional rate of breach at every point along the development interval at which the mission remains unbreached, so the risk materializes earlier as well as more surely. H1 is the operational hypothesis of interest because, if it holds, the variable that governs the timing of cost-growth risk is fixed and observable at confirmation, before any overrun has materialized, and reserve posture and replan timing can be conditioned on it rather than on the percentage growth observed to date.</w:t>
      </w:r>
    </w:p>
    <w:p>
      <w:pPr>
        <w:pStyle w:val="BodyText"/>
        <w:spacing w:line="480" w:lineRule="auto"/>
        <w:ind w:firstLine="720"/>
      </w:pPr>
      <w:r>
        <w:t xml:space="preserve">The two hypotheses are exhaustive of the directional possibilities that bear on the contribution. A coefficient statistically indistinguishable from zero leaves H0 standing. A strictly positive coefficient supports H1. A negative coefficient, in which greater carried-over immaturity were associated with a lower hazard, would not merely fail to support H1 but would actively contradict the mechanism, and the framework treats that outcome as a falsification of the operating theory rather than as a result to be explained away. This is what makes the claim falsifiable in the strict sense: the framework stakes itself on the sign of one parameter, and it specifies in advance the result that would refute it.</w:t>
      </w:r>
    </w:p>
    <w:p>
      <w:pPr>
        <w:pStyle w:val="BodyText"/>
        <w:spacing w:line="480" w:lineRule="auto"/>
        <w:ind w:firstLine="720"/>
      </w:pPr>
      <w:r>
        <w:t xml:space="preserve">The contribution is therefore the recovery of the sign and magnitude of a single coefficient under an explicit identification strategy, not the assembly of a correlation matrix. Stating the claim this leanly is a methodological commitment dictated by the data. The population of NASA deep-space major projects that JPL builds is modest, the event count is small, and the immaturity covariate is partly judgmental, so a wide confidence interval on the hazard ratio is expected even when the point estimate is clearly signed. Under those conditions the honest unit of inference is the direction of one effect, qualitatively robust, rather than a precise magnitude over-interpreted from a finite historical portfolio.</w:t>
      </w:r>
    </w:p>
    <w:bookmarkEnd w:id="78"/>
    <w:bookmarkStart w:id="79" w:name="Xab6daa693200aabac4f95414bbeb16bf33c4ff2"/>
    <w:p>
      <w:pPr>
        <w:pStyle w:val="Heading2"/>
        <w:spacing w:line="480" w:lineRule="auto"/>
      </w:pPr>
      <w:r>
        <w:t xml:space="preserve">3.6 Auxiliary Assumptions and Conditions of Falsification</w:t>
      </w:r>
    </w:p>
    <w:p>
      <w:pPr>
        <w:pStyle w:val="FirstParagraph"/>
        <w:spacing w:line="480" w:lineRule="auto"/>
      </w:pPr>
      <w:r>
        <w:t xml:space="preserve">The central claim rests on a small number of auxiliary assumptions, each of which the framework states openly so that the conditions of falsification are unambiguous.</w:t>
      </w:r>
    </w:p>
    <w:p>
      <w:pPr>
        <w:pStyle w:val="BodyText"/>
        <w:spacing w:line="480" w:lineRule="auto"/>
        <w:ind w:firstLine="720"/>
      </w:pPr>
      <w:r>
        <w:t xml:space="preserve">The first is a scope condition. The panel is conditional on a mission having reached confirmation, so the hazard is estimated for missions that survived to KDP-C and does not speak to concepts cancelled in formulation. The estimand is a cause-specific hazard ratio for missions that passed confirmation, and the framework claims nothing about the population of concepts that never reached that milestone. This left-truncation is declared as a property of the estimand rather than concealed as a limitation, and it bounds the operational reach of any finding to the post-confirmation governance interval that mission operations actually controls.</w:t>
      </w:r>
    </w:p>
    <w:p>
      <w:pPr>
        <w:pStyle w:val="BodyText"/>
        <w:spacing w:line="480" w:lineRule="auto"/>
        <w:ind w:firstLine="720"/>
      </w:pPr>
      <w:r>
        <w:t xml:space="preserve">The second is the predetermination assumption. Carried-over immaturity is fixed at confirmation and is therefore predetermined relative to the event clock that begins at KDP-C. The framework relies on this to argue that the covariate is not a downstream consequence of the very growth whose timing it is meant to explain. The assumption is credible by construction because the technology-readiness profile is recorded at confirmation, but it is not unfalsifiable: if a mission’s confirmation baseline were formally reset mid-development, the original predetermined covariate could be decoupled from a redefined event, and the framework therefore fixes the event against the original KDP-C baseline and treats post-confirmation rebaselining as a sensitivity branch rather than as the primary specification.</w:t>
      </w:r>
    </w:p>
    <w:p>
      <w:pPr>
        <w:pStyle w:val="BodyText"/>
        <w:spacing w:line="480" w:lineRule="auto"/>
        <w:ind w:firstLine="720"/>
      </w:pPr>
      <w:r>
        <w:t xml:space="preserve">The third is the proportional-hazards assumption, which is required to read a single coefficient as a single hazard ratio. The framework does not impose it silently. It tests proportionality through scaled Schoenfeld residuals and admits any violating covariate as a time-varying effect. Should carried-over immaturity itself violate proportionality, the claim is not abandoned but is restated as a time-varying hazard whose sign over the development interval remains the object of inference.</w:t>
      </w:r>
    </w:p>
    <w:p>
      <w:pPr>
        <w:pStyle w:val="BodyText"/>
        <w:spacing w:line="480" w:lineRule="auto"/>
        <w:ind w:firstLine="720"/>
      </w:pPr>
      <w:r>
        <w:t xml:space="preserve">The fourth is measurement robustness. Technology-readiness levels recorded at confirmation are coarse and partly judgmental, so the framework requires the hazard-ratio conclusion to survive under two alternative codings of carried-over immaturity. H1 is sustained only if the sign of the coefficient is positive under both codings; a result that depended on a single coding would be treated as fragile and would not be claimed.</w:t>
      </w:r>
    </w:p>
    <w:p>
      <w:pPr>
        <w:pStyle w:val="BodyText"/>
        <w:spacing w:line="480" w:lineRule="auto"/>
        <w:ind w:firstLine="720"/>
      </w:pPr>
      <w:r>
        <w:t xml:space="preserve">Taken together, these commitments fix the conditions under which the framework would be falsified. H1 fails if the fitted hazard ratio for carried-over immaturity is statistically indistinguishable from one, if it is negative, if it is positive under one coding but not the other, or if it survives only when the event is redefined against a rebaselined rather than the original confirmation baseline. Any of these outcomes would refute the operating theory that cost-growth risk in JPL deep-space missions is paced by the technological immaturity a mission carries past confirmation. The chapters that follow put exactly that theory to the test.</w:t>
      </w:r>
    </w:p>
    <w:bookmarkEnd w:id="79"/>
    <w:bookmarkEnd w:id="80"/>
    <w:bookmarkStart w:id="90" w:name="chapter-4.-data-and-measurement"/>
    <w:p>
      <w:pPr>
        <w:pStyle w:val="Heading1"/>
        <w:spacing w:line="480" w:lineRule="auto"/>
      </w:pPr>
      <w:r>
        <w:t xml:space="preserve">Chapter 4. Data and Measurement</w:t>
      </w:r>
    </w:p>
    <w:bookmarkStart w:id="81" w:name="purpose-and-scope-of-the-chapter"/>
    <w:p>
      <w:pPr>
        <w:pStyle w:val="Heading2"/>
        <w:spacing w:line="480" w:lineRule="auto"/>
      </w:pPr>
      <w:r>
        <w:t xml:space="preserve">4.1 Purpose and scope of the chapter</w:t>
      </w:r>
    </w:p>
    <w:p>
      <w:pPr>
        <w:pStyle w:val="FirstParagraph"/>
        <w:spacing w:line="480" w:lineRule="auto"/>
      </w:pPr>
      <w:r>
        <w:t xml:space="preserve">This chapter specifies the empirical material on which the dissertation rests. Its task is narrow and exacting. The hypothesis of the study is a single falsifiable claim about the shape of a hazard, and a claim of that kind can be sustained only if the panel that feeds the hazard model is built from primary records, assembled at a clearly stated unit of analysis, and constructed under variable definitions that an independent analyst could reproduce from the same public documents. The chapter therefore does three things in sequence. It identifies the real datasets used in the two empirical papers that anchor the dissertation and names their authoritative sources. It fixes the unit of analysis and explains why two related units, the mission and the mission-month, are both required. It then sets out, variable by variable, how each measured and constructed quantity is derived from primary records, with explicit attention to the distinction between observed values and the small number of constructed values that depend on judgment.</w:t>
      </w:r>
    </w:p>
    <w:p>
      <w:pPr>
        <w:pStyle w:val="BodyText"/>
        <w:spacing w:line="480" w:lineRule="auto"/>
        <w:ind w:firstLine="720"/>
      </w:pPr>
      <w:r>
        <w:t xml:space="preserve">The discipline of the chapter is reproducibility. The parametric cost-estimation tradition from which the study departs is itself validated by blind comparison against realized cost, where the credibility of a tool rests on whether its inputs and outputs can be checked against an independent record</w:t>
      </w:r>
      <w:r>
        <w:t xml:space="preserve"> </w:t>
      </w:r>
      <w:hyperlink w:anchor="ref-1">
        <w:r>
          <w:rPr>
            <w:rStyle w:val="Hyperlink"/>
          </w:rPr>
          <w:t xml:space="preserve">[1]</w:t>
        </w:r>
      </w:hyperlink>
      <w:r>
        <w:t xml:space="preserve">. The present study holds itself to the same standard at the level of data: every row in every panel carries its source, and the construction of every variable is traceable to a document in the public domain. No restricted, contractor-proprietary, or otherwise non-public cost figure enters the analysis. This is a deliberate scope condition, not a convenience, because the governance contribution the dissertation aims at, relocating cost-growth oversight from a terminal checkpoint to a continuously monitored hazard, is credible only if the underlying evidence is auditable by the institutions that would act on it.</w:t>
      </w:r>
    </w:p>
    <w:bookmarkEnd w:id="81"/>
    <w:bookmarkStart w:id="82" w:name="the-two-datasets-and-their-provenance"/>
    <w:p>
      <w:pPr>
        <w:pStyle w:val="Heading2"/>
        <w:spacing w:line="480" w:lineRule="auto"/>
      </w:pPr>
      <w:r>
        <w:t xml:space="preserve">4.2 The two datasets and their provenance</w:t>
      </w:r>
    </w:p>
    <w:p>
      <w:pPr>
        <w:pStyle w:val="FirstParagraph"/>
        <w:spacing w:line="480" w:lineRule="auto"/>
      </w:pPr>
      <w:r>
        <w:t xml:space="preserve">The dissertation draws on two empirical panels, each developed in one of the two research papers that precede the chapter sequence. The panels share a common subject population, the deep-space and planetary missions of the class that the Jet Propulsion Laboratory builds and manages, and a common event definition, the breach of a fixed development-phase cost-growth threshold. They differ in their covariate design and in the precise boundary of the mission set, and that difference is intentional. The first panel is engineered to test the dissertation’s central mechanism, carried-over technological immaturity, under a continuous covariate. The second panel is engineered to embed that mechanism in a wider set of engineering and programmatic attributes, so that the immaturity finding can be assessed against competing explanations such as raw scale, payload breadth, and destination. Treating the two as a matched pair, rather than collapsing them into one table, is what allows the dissertation to separate the signal of interest from the structural confounds that surround it.</w:t>
      </w:r>
    </w:p>
    <w:p>
      <w:pPr>
        <w:pStyle w:val="BodyText"/>
        <w:spacing w:line="480" w:lineRule="auto"/>
        <w:ind w:firstLine="720"/>
      </w:pPr>
      <w:r>
        <w:t xml:space="preserve">The first panel comprises twenty-four NASA deep-space, planetary, and astrophysics missions, each with a public confirmation baseline development cost and a public launch outcome. Its temporal span runs from Stardust, confirmed in 1996, through Europa Clipper, launched in 2024. The second panel comprises twenty-six JPL-managed or JPL-led deep-space and planetary missions confirmed between 1977 and 2021, a window that deliberately reaches back into the faster-better-cheaper Discovery and Mars-program era, crosses the modern flagship cycle, and ends with the most recently assessed projects in the Government Accountability Office series. The two mission sets overlap heavily but not perfectly, because the second panel’s earlier start date admits missions whose cost histories survive only in mission technical histories and in compiled cost pages rather than in the modern audit series.</w:t>
      </w:r>
    </w:p>
    <w:p>
      <w:pPr>
        <w:pStyle w:val="BodyText"/>
        <w:spacing w:line="480" w:lineRule="auto"/>
        <w:ind w:firstLine="720"/>
      </w:pPr>
      <w:r>
        <w:t xml:space="preserve">The authoritative sources are four, and each plays a distinct role. The first and most important is the Government Accountability Office series of annual assessments of NASA major projects. The GAO assessments report, for each tracked major project, the confirmation cost and schedule baseline established at Key Decision Point C, the current estimate, and the development status, and these three quantities jointly yield the baseline, the running estimate-at-completion, and the launch-or-censoring date that the survival analysis requires. The most recent assessments in the series, GAO-24-106767 and GAO-25-107591, anchor the cost figures for the modern flagship and Discovery-class missions in both panels</w:t>
      </w:r>
      <w:r>
        <w:t xml:space="preserve"> </w:t>
      </w:r>
      <w:hyperlink w:anchor="ref-9">
        <w:r>
          <w:rPr>
            <w:rStyle w:val="Hyperlink"/>
          </w:rPr>
          <w:t xml:space="preserve">[9]</w:t>
        </w:r>
      </w:hyperlink>
      <w:r>
        <w:t xml:space="preserve">. The second source is the body of NASA Office of Inspector General audit reports, which supply baseline-versus-final development cost figures with audit-grade traceability for individual missions. The Mars Science Laboratory development-cost rise, from a confirmation baseline of nine hundred sixty-nine million dollars to roughly one and eight-tenths billion dollars, is the NASA OIG audit figure, and it enters the first panel directly as both a baseline and a final cost. The third source is the set of NASA mission press kits and confirmation documentation, which record the confirmation baseline and, where available, the technology-readiness profile of instruments and critical subsystems at the moment of confirmation. The fourth source is the Planetary Society’s mission-cost pages, which compile and cite the primary records for individual missions, including the Mars Science Laboratory and Perseverance cost histories</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 The Planetary Society pages are used not as an original authority but as a curated index into the primary OIG, GAO, and mission-documentation record, and every value taken through them is attributed in the dataset to the primary document the page cites.</w:t>
      </w:r>
    </w:p>
    <w:p>
      <w:pPr>
        <w:pStyle w:val="BodyText"/>
        <w:spacing w:line="480" w:lineRule="auto"/>
        <w:ind w:firstLine="720"/>
      </w:pPr>
      <w:r>
        <w:t xml:space="preserve">Two design choices about provenance deserve emphasis. First, the cost figures are not modeled or imputed. The Europa Clipper development-cost rise from four and one-quarter billion to five billion dollars, for example, is the figure NASA reported and the GAO assessed, taken as published rather than reconstructed. Where a primary figure could not be located for a cell, the cell is not silently filled; it is either left to a published value from a lower-priority source or, for the constructed immaturity covariate alone, marked as illustrative in the source column. Second, the provenance is uniformly public. GAO assessments are issued as numbered public reports, OIG audits are public, press kits are public, and the Planetary Society pages are openly accessible. An independent analyst can therefore rebuild both panels from the citations in the source column without any privileged access, which is the precondition for the falsifiability the dissertation claims.</w:t>
      </w:r>
    </w:p>
    <w:bookmarkEnd w:id="82"/>
    <w:bookmarkStart w:id="83" w:name="unit-of-analysis"/>
    <w:p>
      <w:pPr>
        <w:pStyle w:val="Heading2"/>
        <w:spacing w:line="480" w:lineRule="auto"/>
      </w:pPr>
      <w:r>
        <w:t xml:space="preserve">4.3 Unit of analysis</w:t>
      </w:r>
    </w:p>
    <w:p>
      <w:pPr>
        <w:pStyle w:val="FirstParagraph"/>
        <w:spacing w:line="480" w:lineRule="auto"/>
      </w:pPr>
      <w:r>
        <w:t xml:space="preserve">The dissertation operates at two related units, and the relationship between them is the methodological hinge of the data design.</w:t>
      </w:r>
    </w:p>
    <w:p>
      <w:pPr>
        <w:pStyle w:val="BodyText"/>
        <w:spacing w:line="480" w:lineRule="auto"/>
        <w:ind w:firstLine="720"/>
      </w:pPr>
      <w:r>
        <w:t xml:space="preserve">The unit of observation at which the panels are assembled and reported is the mission. Each row of each dataset is one mission, carrying its confirmation baseline cost, its final or current development cost, its development duration in months from Key Decision Point C to launch, its breach indicator, and its covariates. This is the natural unit for the subject matter because confirmation, baselining, technology-readiness assessment, rebaselining, and launch are all decisions taken about a mission as a whole. It is also the unit at which the source record is published: the GAO assessments and OIG audits report against the project, and the parametric cost-estimation literature from which the covariate engineering is borrowed likewise treats the mission as a static object whose total cost is the quantity estimated</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Reporting at the mission level keeps the data continuous with that established practice and keeps every figure auditable against a document that is itself organized by mission.</w:t>
      </w:r>
    </w:p>
    <w:p>
      <w:pPr>
        <w:pStyle w:val="BodyText"/>
        <w:spacing w:line="480" w:lineRule="auto"/>
        <w:ind w:firstLine="720"/>
      </w:pPr>
      <w:r>
        <w:t xml:space="preserve">The unit of analysis for the hazard estimand, however, is the mission-month. The Cox proportional-hazards model does not consume a mission as a point; it consumes a mission as a trajectory through development time, at risk of breach in each month from confirmation until the month of the event or until right-censoring at launch. The conceptual panel is therefore long rather than wide: a mission that takes sixty months from Key Decision Point C to launch contributes sixty mission-months of exposure, of which the terminal month is either an event, if the mission’s estimate-at-completion first exceeds its confirmation baseline by the threshold margin in that month, or a censoring point, if the mission reaches launch without ever crossing. Time is measured in development months from Key Decision Point C, and that origin is fixed for every mission, which is what makes the durations comparable across the portfolio.</w:t>
      </w:r>
    </w:p>
    <w:p>
      <w:pPr>
        <w:pStyle w:val="BodyText"/>
        <w:spacing w:line="480" w:lineRule="auto"/>
        <w:ind w:firstLine="720"/>
      </w:pPr>
      <w:r>
        <w:t xml:space="preserve">Two consequences follow from this two-unit structure and both are treated as scope conditions rather than concealed. First, the population that enters the analysis is conditional on reaching confirmation. A concept cancelled before Key Decision Point C never contributes a mission-month, so the hazard is estimated for missions that survived to confirmation and does not speak to the earlier attrition of the formulation pipeline. This is left-truncation of a particular kind, and it is stated as the boundary of the estimand: the dissertation characterizes the hazard of cost-growth breach conditional on a mission having been confirmed, which is precisely the population over which reserve and replan decisions are actually taken. Second, missions that launch within tolerance are not failures-in-waiting to be discarded; they are genuine survivors whose exposure time carries information, and the mission-month structure uses that information through right-censoring rather than throwing it away. In the first panel, the twelve missions that never cross the threshold contribute their full development duration as censored exposure; in the second panel, the seventeen within-tolerance missions do the same.</w:t>
      </w:r>
    </w:p>
    <w:bookmarkEnd w:id="83"/>
    <w:bookmarkStart w:id="84" w:name="Xa430182f058be51d13c7d205b989c627cb4c3a4"/>
    <w:p>
      <w:pPr>
        <w:pStyle w:val="Heading2"/>
        <w:spacing w:line="480" w:lineRule="auto"/>
      </w:pPr>
      <w:r>
        <w:t xml:space="preserve">4.4 The dependent event: definition and construction</w:t>
      </w:r>
    </w:p>
    <w:p>
      <w:pPr>
        <w:pStyle w:val="FirstParagraph"/>
        <w:spacing w:line="480" w:lineRule="auto"/>
      </w:pPr>
      <w:r>
        <w:t xml:space="preserve">The outcome of interest is a single, sharply defined event: the first month in which a mission’s development cost exceeds its confirmation baseline by a pre-registered margin. The margin is fixed at fifteen percent of the confirmation baseline development cost. This threshold is not chosen for statistical convenience; it is the tolerance band at which NASA and the Government Accountability Office flag a project for rebaselining, so the event the model estimates is the event that triggers a real governance action rather than an analyst’s arbitrary cutoff</w:t>
      </w:r>
      <w:r>
        <w:t xml:space="preserve"> </w:t>
      </w:r>
      <w:hyperlink w:anchor="ref-9">
        <w:r>
          <w:rPr>
            <w:rStyle w:val="Hyperlink"/>
          </w:rPr>
          <w:t xml:space="preserve">[9]</w:t>
        </w:r>
      </w:hyperlink>
      <w:r>
        <w:t xml:space="preserve">.</w:t>
      </w:r>
    </w:p>
    <w:p>
      <w:pPr>
        <w:pStyle w:val="BodyText"/>
        <w:spacing w:line="480" w:lineRule="auto"/>
        <w:ind w:firstLine="720"/>
      </w:pPr>
      <w:r>
        <w:t xml:space="preserve">Construction of the event proceeds in three steps from primary records. First, the confirmation baseline development cost is read from the Key Decision Point C baseline as reported in the GAO assessment for the mission, or, for missions predating the modern assessment series, from the OIG audit or compiled cost history that records the confirmation baseline. Second, the final or current development cost is read from the same family of sources, taking the launch-time development cost where the mission has flown and the current estimate where it has not. Third, the percent growth is computed as the ratio of final-or-current cost to baseline cost, less one, and the binary breach indicator is set to one when that growth equals or exceeds fifteen percent at or before launch and to zero otherwise. In the first panel this procedure yields twelve threshold-crossing events among twenty-four missions; in the second panel it yields nine breaches among twenty-six missions, with the remaining seventeen right-censored at launch.</w:t>
      </w:r>
    </w:p>
    <w:p>
      <w:pPr>
        <w:pStyle w:val="BodyText"/>
        <w:spacing w:line="480" w:lineRule="auto"/>
        <w:ind w:firstLine="720"/>
      </w:pPr>
      <w:r>
        <w:t xml:space="preserve">One subtlety in event construction is the treatment of the event clock. The percent-growth computation just described establishes whether a mission ever breached and is sufficient to set the breach indicator at the mission level. The hazard model additionally requires the timing of the breach within development, and that timing is anchored to the development duration in months from Key Decision Point C. Where the documented cost history records the point in development at which growth crossed the threshold, that month is used; where the record reports only baseline and final figures, the event is placed against the mission’s documented development duration, and the analysis fixes the event against the original Key Decision Point C baseline rather than against any later, formally reset baseline. This last commitment matters because a mission whose confirmation baseline is rebaselined mid-development could otherwise appear never to breach, its growth absorbed into a new and higher baseline. Holding the event to the original baseline prevents rebaselining from masking a crossing, and post-confirmation rebaselines are reserved for a sensitivity branch rather than allowed to redefine the outcome.</w:t>
      </w:r>
    </w:p>
    <w:bookmarkEnd w:id="84"/>
    <w:bookmarkStart w:id="85" w:name="X244e32fef542a3a036119020829a0bd9d5f13b9"/>
    <w:p>
      <w:pPr>
        <w:pStyle w:val="Heading2"/>
        <w:spacing w:line="480" w:lineRule="auto"/>
      </w:pPr>
      <w:r>
        <w:t xml:space="preserve">4.5 The primary covariate: carried-over technological immaturity</w:t>
      </w:r>
    </w:p>
    <w:p>
      <w:pPr>
        <w:pStyle w:val="FirstParagraph"/>
        <w:spacing w:line="480" w:lineRule="auto"/>
      </w:pPr>
      <w:r>
        <w:t xml:space="preserve">The dissertation’s central mechanism is carried-over technological immaturity, the share of formulation-phase technology risk that a mission carries past confirmation into implementation. Confirmation is institutionally supposed to retire formulation-phase technology risk before the agency commits, yet missions routinely enter implementation with instruments or critical subsystems still below the maturity threshold that confirmation nominally requires. Measuring how much immaturity is carried over is therefore the core measurement task of the study.</w:t>
      </w:r>
    </w:p>
    <w:p>
      <w:pPr>
        <w:pStyle w:val="BodyText"/>
        <w:spacing w:line="480" w:lineRule="auto"/>
        <w:ind w:firstLine="720"/>
      </w:pPr>
      <w:r>
        <w:t xml:space="preserve">The instrument the community uses to record technological maturity is the technology-readiness level, and the risk-management literature for space exploration treats carried-over technology risk as a portfolio quantity tracked across a mission’s life cycle rather than scored once and discarded</w:t>
      </w:r>
      <w:r>
        <w:t xml:space="preserve"> </w:t>
      </w:r>
      <w:hyperlink w:anchor="ref-3">
        <w:r>
          <w:rPr>
            <w:rStyle w:val="Hyperlink"/>
          </w:rPr>
          <w:t xml:space="preserve">[3]</w:t>
        </w:r>
      </w:hyperlink>
      <w:r>
        <w:t xml:space="preserve">. The first panel operationalizes this into a continuous covariate scaled from zero to one. The construction counts, at confirmation, the instruments and critical subsystems assessed below technology-readiness level six, the level at which a system is considered demonstrated in a relevant environment, and expresses that count relative to the mission’s full technology set. A mission that enters implementation with none of its critical elements below the demonstrated-in-relevant-environment threshold scores near zero; a mission that carries a large fraction of its critical technology below that threshold scores toward one. The covariate is therefore a share, which is why its hazard ratio is interpreted over the full zero-to-one range and also on a per-tenth-of-a-unit increment, the latter being the more legible scale for an effect of this kind.</w:t>
      </w:r>
    </w:p>
    <w:p>
      <w:pPr>
        <w:pStyle w:val="BodyText"/>
        <w:spacing w:line="480" w:lineRule="auto"/>
        <w:ind w:firstLine="720"/>
      </w:pPr>
      <w:r>
        <w:t xml:space="preserve">The construction draws on confirmation-phase technology-readiness information recorded in the same project records and mission confirmation documentation that supply the cost figures, supplemented by individually published technology-readiness counts where these exist. The honest difficulty is that a published, instrument-level technology-readiness count at confirmation is not available for every mission in the panel. Where it is available, the immaturity share is observed. Where it is not, the cell is reconstructed from the mission’s documented technology narrative and the maturity profile that narrative implies, and that cell is marked illustrative in the source column of the dataset. Such reconstructed cells remain a minority of the panel. This is the single point in the data design where measurement depends materially on judgment, and the dissertation does not hide it: the direction of the immaturity result is treated as robust, while its precise magnitude is read with the caution that a minority of illustrative cells warrants. Because technology-readiness levels recorded at confirmation are themselves coarse and partly judgmental, the carried-over immaturity covariate is additionally operationalized under two alternative codings, and the hazard-ratio conclusion is required to survive both before H1 is sustained.</w:t>
      </w:r>
    </w:p>
    <w:p>
      <w:pPr>
        <w:pStyle w:val="BodyText"/>
        <w:spacing w:line="480" w:lineRule="auto"/>
        <w:ind w:firstLine="720"/>
      </w:pPr>
      <w:r>
        <w:t xml:space="preserve">A predetermination property of this covariate is worth stating because it carries the identification load. The technology-readiness profile is fixed at Key Decision Point C and is therefore predetermined relative to the post-confirmation event clock. Carried-over immaturity is measured at the start of the at-risk interval, before any cost growth has been realized, which removes the most direct reverse-causality channel running from realized growth back to the covariate. The covariate is observable at confirmation, which is also what gives the governance contribution its force: if the hazard is paced by a quantity fixed and visible at confirmation, then reserve posture and replan timing can be anticipated from that quantity before any overrun has materialized.</w:t>
      </w:r>
    </w:p>
    <w:bookmarkEnd w:id="85"/>
    <w:bookmarkStart w:id="86" w:name="X981984f2514034082b4d82e4722580091a7f733"/>
    <w:p>
      <w:pPr>
        <w:pStyle w:val="Heading2"/>
        <w:spacing w:line="480" w:lineRule="auto"/>
      </w:pPr>
      <w:r>
        <w:t xml:space="preserve">4.6 The scale control and the dropped separation covariate</w:t>
      </w:r>
    </w:p>
    <w:p>
      <w:pPr>
        <w:pStyle w:val="FirstParagraph"/>
        <w:spacing w:line="480" w:lineRule="auto"/>
      </w:pPr>
      <w:r>
        <w:t xml:space="preserve">The first panel includes the confirmation baseline development cost as a second covariate, admitted not as a quantity of interest but as a scale control. Its role is to ensure that any estimated immaturity effect is not a disguised size effect, that is, that the hazard is not simply tracking the fact that more expensive missions tend also to be more technologically ambitious. The baseline development cost is observed directly from the confirmation baseline already used to construct the event, so it introduces no new measurement burden. Including it allows the dissertation to report the immaturity coefficient net of mission dollar size and to state, on the evidence, whether scale carries independent pacing information once immaturity is in the model.</w:t>
      </w:r>
    </w:p>
    <w:p>
      <w:pPr>
        <w:pStyle w:val="BodyText"/>
        <w:spacing w:line="480" w:lineRule="auto"/>
        <w:ind w:firstLine="720"/>
      </w:pPr>
      <w:r>
        <w:t xml:space="preserve">The first panel also documents a covariate that was considered and deliberately dropped: a binary indicator for whether a mission carried first-of-its-kind technology. The indicator was dropped because, in this panel, it is perfectly separated from the event. Every threshold-crossing mission carried first-of-its-kind technology and no censored mission did, which makes the indicator’s coefficient non-identified under partial likelihood, the numerical pathology of perfect separation. The continuous carried-over immaturity share captures the same novelty channel with gradation rather than as an all-or-nothing flag, and it is retained in place of the separated binary. Recording this decision in the data chapter is itself a measurement commitment: the choice between the two encodings of novelty is made on identification grounds that are visible in the data, not on the basis of which encoding produces a more agreeable coefficient.</w:t>
      </w:r>
    </w:p>
    <w:bookmarkEnd w:id="86"/>
    <w:bookmarkStart w:id="87" w:name="Xfe11970909fa9a3f32495124919bd3f4a10fb54"/>
    <w:p>
      <w:pPr>
        <w:pStyle w:val="Heading2"/>
        <w:spacing w:line="480" w:lineRule="auto"/>
      </w:pPr>
      <w:r>
        <w:t xml:space="preserve">4.7 The engineering and programmatic covariates of the second panel</w:t>
      </w:r>
    </w:p>
    <w:p>
      <w:pPr>
        <w:pStyle w:val="FirstParagraph"/>
        <w:spacing w:line="480" w:lineRule="auto"/>
      </w:pPr>
      <w:r>
        <w:t xml:space="preserve">The second panel is built to surround the novelty mechanism with the competing structural explanations that any honest account of cost growth must rule in or out. It carries four covariates, three of them observed directly from primary records and one constructed.</w:t>
      </w:r>
    </w:p>
    <w:p>
      <w:pPr>
        <w:pStyle w:val="BodyText"/>
        <w:spacing w:line="480" w:lineRule="auto"/>
        <w:ind w:firstLine="720"/>
      </w:pPr>
      <w:r>
        <w:t xml:space="preserve">The first covariate is launch mass, taken from published mission specifications. Its mechanism is scale: heavier spacecraft integrate more subsystems and more interfaces, and integration is where schedule and cost pressure concentrate. The second covariate is instrument count, the size of the science payload, also observed from mission documentation. Its mechanism is payload breadth: a larger instrument complement multiplies verification paths and cross-instrument interfaces. The third covariate is an outer-solar-system flag, a binary distinguishing missions operating beyond the asteroid belt from inner-system missions, read directly from the mission’s destination. Its mechanism is the long-cruise, radioisotope-power, and communications-latency burden that distinguishes Jupiter-and-beyond operation from inner-system work. All three are observed quantities; none requires reconstruction.</w:t>
      </w:r>
    </w:p>
    <w:p>
      <w:pPr>
        <w:pStyle w:val="BodyText"/>
        <w:spacing w:line="480" w:lineRule="auto"/>
        <w:ind w:firstLine="720"/>
      </w:pPr>
      <w:r>
        <w:t xml:space="preserve">The fourth covariate, the technology-heritage index, is the only constructed variable in the second panel, and it is the panel’s encoding of the same novelty mechanism that the first panel encodes as the immaturity share. It is an ordinal index on a one-to-three scale, coded from each mission’s documented technology narrative, where the low end denotes flight-proven heritage hardware and the high end denotes substantial new technology development. Because it is constructed from a documented narrative rather than measured, it carries the same interpretive caution as the immaturity share: it is an ordinal coding, not a measured quantity, and the analysis treats the heritage hazard ratio as a robust qualitative signal rather than a precise point. The two panels thus instrument novelty twice, once as a continuous share and once as an ordinal index, which is exactly the cross-check the dissertation needs: a novelty effect that survives both encodings, across two overlapping but distinct mission sets, is far harder to dismiss as an artifact of one coding choice than a single coefficient would be.</w:t>
      </w:r>
    </w:p>
    <w:p>
      <w:pPr>
        <w:pStyle w:val="BodyText"/>
        <w:spacing w:line="480" w:lineRule="auto"/>
        <w:ind w:firstLine="720"/>
      </w:pPr>
      <w:r>
        <w:t xml:space="preserve">The reason this second panel matters for measurement, beyond the novelty cross-check, is that it makes the structural confounds explicit and measurable. Cost-growth risk could plausibly be paced by raw scale, by payload breadth, or by destination rather than by novelty, and the only way to adjudicate that is to put those quantities in the model alongside novelty and read their coefficients. The data design therefore commits, in advance, to measuring the rival explanations rather than asserting their irrelevance, and it accepts that one of them, instrument count, is entangled with programmatic class and reserve posture in the historical record in a way the present covariate set cannot fully resolve. That entanglement is named as a limitation of the data rather than papered over: disentangling payload breadth from funding posture would require reserve and program-class variables the present datasets do not contain, and the dissertation marks that as the boundary of what these panels can identify.</w:t>
      </w:r>
    </w:p>
    <w:bookmarkEnd w:id="87"/>
    <w:bookmarkStart w:id="88" w:name="Xc556858ce9bd9742f0c8aea38c4c3c1360010d2"/>
    <w:p>
      <w:pPr>
        <w:pStyle w:val="Heading2"/>
        <w:spacing w:line="480" w:lineRule="auto"/>
      </w:pPr>
      <w:r>
        <w:t xml:space="preserve">4.8 Observed versus constructed values, and the source column</w:t>
      </w:r>
    </w:p>
    <w:p>
      <w:pPr>
        <w:pStyle w:val="FirstParagraph"/>
        <w:spacing w:line="480" w:lineRule="auto"/>
      </w:pPr>
      <w:r>
        <w:t xml:space="preserve">Across both panels the data design draws a hard line between observed and constructed values, and it records that line in the data itself. The cost figures, durations, launch masses, instrument counts, and destination flags are observed: each is read from a primary document and attributed, in the final source column of the dataset, to the GAO assessment, OIG audit, press kit, mission technical history, or Planetary Society compilation that records it</w:t>
      </w:r>
      <w:r>
        <w:t xml:space="preserve"> </w:t>
      </w:r>
      <w:hyperlink w:anchor="ref-9">
        <w:r>
          <w:rPr>
            <w:rStyle w:val="Hyperlink"/>
          </w:rPr>
          <w:t xml:space="preserve">[9]</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 The breach indicator is computed deterministically from observed baseline and final costs against the fifteen-percent rule and is therefore observed up to the arithmetic of the threshold. Only two quantities are constructed: the carried-over immaturity share in the first panel and the technology-heritage index in the second, both of which encode the novelty mechanism and both of which depend on coding judgment applied to documented technology narratives.</w:t>
      </w:r>
    </w:p>
    <w:p>
      <w:pPr>
        <w:pStyle w:val="BodyText"/>
        <w:spacing w:line="480" w:lineRule="auto"/>
        <w:ind w:firstLine="720"/>
      </w:pPr>
      <w:r>
        <w:t xml:space="preserve">The source column is the chapter’s central reproducibility device. Every row in each panel carries its source, and the small minority of immaturity cells that are reconstructed rather than published are marked illustrative in that column so that a reader can immediately see which values rest on a published count and which rest on a coding judgment. This convention does two things at once. It allows an independent analyst to rebuild the panels from public documents, and it allows that analyst to weight the constructed cells appropriately, re-coding them under an alternative scheme if desired, which is precisely the robustness exercise the alternative-coding commitment of Section 4.5 institutionalizes. The standard the chapter sets for itself is therefore not that every value is mechanically observed, which would be false for a novelty mechanism that the source record never reports as a single clean number, but that every value is either observed from a cited primary document or constructed by a stated rule from a cited primary narrative, with the two kinds distinguished in the data rather than blurred.</w:t>
      </w:r>
    </w:p>
    <w:bookmarkEnd w:id="88"/>
    <w:bookmarkStart w:id="89" w:name="X2ead36c0b511ba170e8d6266f983739dc3c03c4"/>
    <w:p>
      <w:pPr>
        <w:pStyle w:val="Heading2"/>
        <w:spacing w:line="480" w:lineRule="auto"/>
      </w:pPr>
      <w:r>
        <w:t xml:space="preserve">4.9 Threats to measurement validity carried forward</w:t>
      </w:r>
    </w:p>
    <w:p>
      <w:pPr>
        <w:pStyle w:val="FirstParagraph"/>
        <w:spacing w:line="480" w:lineRule="auto"/>
      </w:pPr>
      <w:r>
        <w:t xml:space="preserve">Four threats to the validity of the measured data are recognized here and carried into the analysis chapters rather than resolved by assertion. The first is left-truncation and selection: because the panels are conditional on reaching confirmation, the hazard is estimated for confirmed missions only, and that scope is stated as the boundary of the estimand. The second is rebaselining: a formally reset confirmation baseline could mask a threshold crossing, which is why the event is fixed against the original Key Decision Point C baseline and rebaselining is held to a sensitivity branch. The third is small-sample fragility: the population of NASA deep-space major projects is modest, twenty-four and twenty-six missions with twelve and nine events respectively, so the data cannot support many covariates at once, and inference must lean on exact and bootstrap intervals and on robustness checks rather than on asymptotic comfort. The fourth is covariate measurement: technology-readiness levels and heritage codings recorded at confirmation are coarse and partly judgmental, which is why novelty is instrumented twice and why the immaturity share is required to survive two alternative codings before any conclusion is drawn from it.</w:t>
      </w:r>
    </w:p>
    <w:p>
      <w:pPr>
        <w:pStyle w:val="BodyText"/>
        <w:spacing w:line="480" w:lineRule="auto"/>
        <w:ind w:firstLine="720"/>
      </w:pPr>
      <w:r>
        <w:t xml:space="preserve">These threats are properties of the historical record, not defects introduced by the analyst, and the data design responds to each with a concrete measurement commitment, the original-baseline rule, the dual encoding of novelty, the illustrative-cell flag, and the public-only provenance rule, rather than with a claim that the threat does not apply. The panels that result are small, fully public, source-traceable, and built at a unit of analysis, the mission-month, that matches the hazard estimand the dissertation sets out to recover. That is the empirical foundation the subsequent chapters analyze.</w:t>
      </w:r>
    </w:p>
    <w:bookmarkEnd w:id="89"/>
    <w:bookmarkEnd w:id="90"/>
    <w:bookmarkStart w:id="99" w:name="chapter-5.-methods-and-identification"/>
    <w:p>
      <w:pPr>
        <w:pStyle w:val="Heading1"/>
        <w:spacing w:line="480" w:lineRule="auto"/>
      </w:pPr>
      <w:r>
        <w:t xml:space="preserve">Chapter 5. Methods and Identification</w:t>
      </w:r>
    </w:p>
    <w:bookmarkStart w:id="91" w:name="overview-and-scope-of-the-chapter"/>
    <w:p>
      <w:pPr>
        <w:pStyle w:val="Heading2"/>
        <w:spacing w:line="480" w:lineRule="auto"/>
      </w:pPr>
      <w:r>
        <w:t xml:space="preserve">5.1 Overview and Scope of the Chapter</w:t>
      </w:r>
    </w:p>
    <w:p>
      <w:pPr>
        <w:pStyle w:val="FirstParagraph"/>
        <w:spacing w:line="480" w:lineRule="auto"/>
      </w:pPr>
      <w:r>
        <w:t xml:space="preserve">This chapter specifies the estimators that recover the dissertation’s single falsifiable contribution, states the identification strategy under which the recovered coefficient carries a causal reading, and enumerates the threats to validity together with the bound placed on each. The estimand is the cause-specific hazard ratio for carried-over technological immaturity in a model of time from confirmation to first threshold-crossing cost growth in deep-space missions of the class the Jet Propulsion Laboratory builds and manages. The chapter does not re-derive the substantive motivation, which Chapters 1 through 4 establish, nor does it present the fitted coefficients, which Chapter 6 reports. It is concerned strictly with the apparatus: what is estimated, why the estimate identifies the quantity of interest, and what could break the inference.</w:t>
      </w:r>
    </w:p>
    <w:p>
      <w:pPr>
        <w:pStyle w:val="BodyText"/>
        <w:spacing w:line="480" w:lineRule="auto"/>
        <w:ind w:firstLine="720"/>
      </w:pPr>
      <w:r>
        <w:t xml:space="preserve">The methodological posture of the dissertation is deliberately narrow. The contribution is the sign and magnitude of one coefficient, the log-hazard effect of carried-over immaturity, recovered under an explicit identification strategy rather than asserted as one correlation among many. That narrowness is a methodological commitment, not a limitation reluctantly conceded. A small historical portfolio cannot support a wide covariate space without overfitting the partial likelihood, and the discipline of pre-registering a single estimand is what allows a modest dataset to deliver a falsifiable result. Everything in this chapter follows from that commitment.</w:t>
      </w:r>
    </w:p>
    <w:bookmarkEnd w:id="91"/>
    <w:bookmarkStart w:id="92" w:name="the-time-to-event-reframing"/>
    <w:p>
      <w:pPr>
        <w:pStyle w:val="Heading2"/>
        <w:spacing w:line="480" w:lineRule="auto"/>
      </w:pPr>
      <w:r>
        <w:t xml:space="preserve">5.2 The Time-to-Event Reframing</w:t>
      </w:r>
    </w:p>
    <w:p>
      <w:pPr>
        <w:pStyle w:val="FirstParagraph"/>
        <w:spacing w:line="480" w:lineRule="auto"/>
      </w:pPr>
      <w:r>
        <w:t xml:space="preserve">The conventional analytic object in space-mission cost analysis is a level. Parametric cost-estimating relationships consume design and programmatic inputs at confirmation and return a point estimate with an interval for total mission cost, and blind-validation studies assess how close that point estimate falls to realized cost</w:t>
      </w:r>
      <w:r>
        <w:t xml:space="preserve"> </w:t>
      </w:r>
      <w:hyperlink w:anchor="ref-1">
        <w:r>
          <w:rPr>
            <w:rStyle w:val="Hyperlink"/>
          </w:rPr>
          <w:t xml:space="preserve">[1]</w:t>
        </w:r>
      </w:hyperlink>
      <w:r>
        <w:t xml:space="preserve">. The same parametric apparatus is portable across vehicle classes and mission architectures, from civil hypersonic aircraft whose research, development, and production costs are predicted from conceptual-design parameters</w:t>
      </w:r>
      <w:r>
        <w:t xml:space="preserve"> </w:t>
      </w:r>
      <w:hyperlink w:anchor="ref-2">
        <w:r>
          <w:rPr>
            <w:rStyle w:val="Hyperlink"/>
          </w:rPr>
          <w:t xml:space="preserve">[2]</w:t>
        </w:r>
      </w:hyperlink>
      <w:r>
        <w:t xml:space="preserve"> </w:t>
      </w:r>
      <w:r>
        <w:t xml:space="preserve">to asteroid-mining concepts whose operations cost is estimated from staffing</w:t>
      </w:r>
      <w:r>
        <w:t xml:space="preserve"> </w:t>
      </w:r>
      <w:hyperlink w:anchor="ref-4">
        <w:r>
          <w:rPr>
            <w:rStyle w:val="Hyperlink"/>
          </w:rPr>
          <w:t xml:space="preserve">[4]</w:t>
        </w:r>
      </w:hyperlink>
      <w:r>
        <w:t xml:space="preserve"> </w:t>
      </w:r>
      <w:r>
        <w:t xml:space="preserve">and on-orbit telescope assembly where areal cost assumptions drive the architecture trade</w:t>
      </w:r>
      <w:r>
        <w:t xml:space="preserve"> </w:t>
      </w:r>
      <w:hyperlink w:anchor="ref-5">
        <w:r>
          <w:rPr>
            <w:rStyle w:val="Hyperlink"/>
          </w:rPr>
          <w:t xml:space="preserve">[5]</w:t>
        </w:r>
      </w:hyperlink>
      <w:r>
        <w:t xml:space="preserve">. Across this lineage the mission is a static object and the quantity of interest is a magnitude.</w:t>
      </w:r>
    </w:p>
    <w:p>
      <w:pPr>
        <w:pStyle w:val="BodyText"/>
        <w:spacing w:line="480" w:lineRule="auto"/>
        <w:ind w:firstLine="720"/>
      </w:pPr>
      <w:r>
        <w:t xml:space="preserve">The reframing here converts that magnitude into a duration. Each mission enters its development phase at confirmation, the milestone NASA records as Key Decision Point C, and remains at risk of a cost-growth breach until it either reaches launch within tolerance or first crosses a fixed cost-growth threshold. The object of inference is the hazard, the conditional rate of breach given survival to a point in the development clock, expressed as a function of covariates fixed at confirmation. This is the standard cliometric move of treating an institutional outcome as a time to event and estimating its hazard, and it has direct precedent in the space domain, where the occurrence of non-cooperative satellite maneuvers has been modeled as time-to-event survival data</w:t>
      </w:r>
      <w:r>
        <w:t xml:space="preserve"> </w:t>
      </w:r>
      <w:hyperlink w:anchor="ref-15">
        <w:r>
          <w:rPr>
            <w:rStyle w:val="Hyperlink"/>
          </w:rPr>
          <w:t xml:space="preserve">[15]</w:t>
        </w:r>
      </w:hyperlink>
      <w:r>
        <w:t xml:space="preserve">. The reframing changes neither the underlying records nor the engineering content of the covariates; it changes the quantity estimated from a predicted level to an estimated rate of onset.</w:t>
      </w:r>
    </w:p>
    <w:p>
      <w:pPr>
        <w:pStyle w:val="BodyText"/>
        <w:spacing w:line="480" w:lineRule="auto"/>
        <w:ind w:firstLine="720"/>
      </w:pPr>
      <w:r>
        <w:t xml:space="preserve">The payoff of the reframing is that it admits right-censoring without discarding information. A mission that reaches launch without breaching the threshold is not a latent overrun; it is a genuine survivor, and a hazard model uses its full development duration as evidence of non-breach rather than dropping it or coding it as a zero. A level-based regression on realized growth cannot represent the censored missions honestly, because their realized growth is a truncated observation of a process that was halted by launch. The survival formulation represents them correctly, and that correctness is the methodological reason the reframing is more than cosmetic.</w:t>
      </w:r>
    </w:p>
    <w:bookmarkEnd w:id="92"/>
    <w:bookmarkStart w:id="93" w:name="Xeba27e21bf285a1c30ae4b3b2070b019ba3aeaa"/>
    <w:p>
      <w:pPr>
        <w:pStyle w:val="Heading2"/>
        <w:spacing w:line="480" w:lineRule="auto"/>
      </w:pPr>
      <w:r>
        <w:t xml:space="preserve">5.3 The Primary Estimator: Cox Proportional Hazards</w:t>
      </w:r>
    </w:p>
    <w:p>
      <w:pPr>
        <w:pStyle w:val="FirstParagraph"/>
        <w:spacing w:line="480" w:lineRule="auto"/>
      </w:pPr>
      <w:r>
        <w:t xml:space="preserve">The primary estimator is the Cox proportional-hazards model fitted by partial likelihood. The hazard of a cost-growth breach at development month</w:t>
      </w:r>
      <w:r>
        <w:t xml:space="preserve"> </w:t>
      </w:r>
      <w:r>
        <w:rPr>
          <w:i/>
          <w:iCs/>
        </w:rPr>
        <w:t xml:space="preserve">t</w:t>
      </w:r>
      <w:r>
        <w:t xml:space="preserve">, conditional on the covariate vector, is written as the product of an unspecified baseline hazard and an exponential function of the covariates. The baseline hazard is left fully nonparametric, which is the property that makes the Cox specification appropriate to this problem: the dissertation has no defensible prior on whether breach risk is front-loaded near confirmation, when formulation-phase surprises surface during early integration, or back-loaded near launch, when assembly and verification compress against a fixed delivery date. Imposing a parametric baseline shape would smuggle that prior into the result. Leaving it unspecified lets the data speak about the covariate effect without committing to a shape for the clock.</w:t>
      </w:r>
    </w:p>
    <w:p>
      <w:pPr>
        <w:pStyle w:val="BodyText"/>
        <w:spacing w:line="480" w:lineRule="auto"/>
        <w:ind w:firstLine="720"/>
      </w:pPr>
      <w:r>
        <w:t xml:space="preserve">The covariate of interest is carried-over technological immaturity, the share of formulation-phase technology risk that a mission carries past confirmation into implementation. Confirmation is supposed to retire that risk before the agency commits, yet missions routinely enter implementation with instruments or critical subsystems still below the maturity level confirmation nominally requires. Technology-readiness level is the standard instrument the community uses to record how much immaturity a system carries into its next phase, and the risk-management tradition for space exploration treats such carried-over risk as a portfolio-level quantity tracked across the life cycle rather than scored once</w:t>
      </w:r>
      <w:r>
        <w:t xml:space="preserve"> </w:t>
      </w:r>
      <w:hyperlink w:anchor="ref-8">
        <w:r>
          <w:rPr>
            <w:rStyle w:val="Hyperlink"/>
          </w:rPr>
          <w:t xml:space="preserve">[8]</w:t>
        </w:r>
      </w:hyperlink>
      <w:r>
        <w:t xml:space="preserve">. The covariate is constructed to be scaled on the unit interval so that its coefficient has a clean per-increment reading and its hazard ratio over the full range is interpretable.</w:t>
      </w:r>
    </w:p>
    <w:p>
      <w:pPr>
        <w:pStyle w:val="BodyText"/>
        <w:spacing w:line="480" w:lineRule="auto"/>
        <w:ind w:firstLine="720"/>
      </w:pPr>
      <w:r>
        <w:t xml:space="preserve">Alongside the variable of interest the primary specification carries a small number of controls chosen to defend the immaturity coefficient rather than to maximize fit. The confirmation baseline development cost enters as a scale control, so that any recovered immaturity effect cannot be a disguised size effect: the model must show that immaturity paces the hazard even after mission dollar magnitude is held fixed. The number of controls is held deliberately low because the event count is small, and the partial likelihood can support only a few covariates before the asymptotic approximations degrade. The companion engineering specification that motivates the heritage and payload-breadth mechanisms confirms that novelty rather than mass or destination is the load-bearing covariate, which justifies concentrating the degrees of freedom on the maturity channel rather than spreading them across structural attributes that the engineering model shows to be null. Coefficients are reported as log-hazard effects and exponentiated to hazard ratios, with standard errors and two-sided tests derived from the partial-likelihood information matrix.</w:t>
      </w:r>
    </w:p>
    <w:bookmarkEnd w:id="93"/>
    <w:bookmarkStart w:id="94" w:name="Xb7539e47468f470f520849a98bc35cada24a24d"/>
    <w:p>
      <w:pPr>
        <w:pStyle w:val="Heading2"/>
        <w:spacing w:line="480" w:lineRule="auto"/>
      </w:pPr>
      <w:r>
        <w:t xml:space="preserve">5.4 Construction of the Outcome and the Event Clock</w:t>
      </w:r>
    </w:p>
    <w:p>
      <w:pPr>
        <w:pStyle w:val="FirstParagraph"/>
        <w:spacing w:line="480" w:lineRule="auto"/>
      </w:pPr>
      <w:r>
        <w:t xml:space="preserve">The event is the month in which a mission’s running estimate-at-completion first exceeds its confirmation baseline by a pre-registered margin of fifteen percent, the tolerance band at which NASA and the Government Accountability Office flag a project for rebaselining</w:t>
      </w:r>
      <w:r>
        <w:t xml:space="preserve"> </w:t>
      </w:r>
      <w:hyperlink w:anchor="ref-9">
        <w:r>
          <w:rPr>
            <w:rStyle w:val="Hyperlink"/>
          </w:rPr>
          <w:t xml:space="preserve">[9]</w:t>
        </w:r>
      </w:hyperlink>
      <w:r>
        <w:t xml:space="preserve">. Time is measured in development months from Key Decision Point C. Missions that reach launch without crossing the threshold are right-censored at launch, and their development duration enters the partial likelihood as the interval over which breach did not occur. The threshold and the immaturity covariate are pre-registered before estimation, which is the first identification commitment and is treated at length in the next section.</w:t>
      </w:r>
    </w:p>
    <w:p>
      <w:pPr>
        <w:pStyle w:val="BodyText"/>
        <w:spacing w:line="480" w:lineRule="auto"/>
        <w:ind w:firstLine="720"/>
      </w:pPr>
      <w:r>
        <w:t xml:space="preserve">The outcome is anchored to the original KDP-C baseline rather than to any later rebaselined figure. This anchoring is a deliberate measurement choice with identification consequences, because a mission whose baseline is formally reset mid-development could otherwise mask a threshold crossing by moving the reference line to which growth is compared. Fixing the event against the original confirmation baseline preserves the integrity of the event definition; post-confirmation rebaselines are handled as a sensitivity branch rather than allowed to redefine the outcome. The cost figures that populate the baseline and the running estimate are drawn from public, non-proprietary records: the Government Accountability Office series of annual NASA major-project assessments</w:t>
      </w:r>
      <w:r>
        <w:t xml:space="preserve"> </w:t>
      </w:r>
      <w:hyperlink w:anchor="ref-9">
        <w:r>
          <w:rPr>
            <w:rStyle w:val="Hyperlink"/>
          </w:rPr>
          <w:t xml:space="preserve">[9]</w:t>
        </w:r>
      </w:hyperlink>
      <w:r>
        <w:t xml:space="preserve">, which reports for each tracked project the confirmation cost and schedule baseline and the current estimate, cross-referenced to mission cost histories such as the documented Mars Science Laboratory and Perseverance records</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 Every observation carries its documented source, so the panel is reproducible by an independent analyst without access to restricted or contractor-proprietary data.</w:t>
      </w:r>
    </w:p>
    <w:bookmarkEnd w:id="94"/>
    <w:bookmarkStart w:id="95" w:name="identification-strategy"/>
    <w:p>
      <w:pPr>
        <w:pStyle w:val="Heading2"/>
        <w:spacing w:line="480" w:lineRule="auto"/>
      </w:pPr>
      <w:r>
        <w:t xml:space="preserve">5.5 Identification Strategy</w:t>
      </w:r>
    </w:p>
    <w:p>
      <w:pPr>
        <w:pStyle w:val="FirstParagraph"/>
        <w:spacing w:line="480" w:lineRule="auto"/>
      </w:pPr>
      <w:r>
        <w:t xml:space="preserve">Identification of the immaturity hazard ratio rests on four commitments, each of which closes a specific channel through which the recovered coefficient could fail to mean what the hypothesis claims.</w:t>
      </w:r>
    </w:p>
    <w:p>
      <w:pPr>
        <w:pStyle w:val="BodyText"/>
        <w:spacing w:line="480" w:lineRule="auto"/>
        <w:ind w:firstLine="720"/>
      </w:pPr>
      <w:r>
        <w:t xml:space="preserve">The first commitment is pre-registration of the threshold and the covariate. The breach margin is fixed at fifteen percent and the immaturity construction is specified before the model is fitted, which forecloses the specification search that would otherwise let an analyst select the cutoff and the coding that produce the most favorable coefficient. Pre-registration converts the analysis from an exercise in fitting into a test, and it is what licenses reading the recovered coefficient as evidence for or against a stated proposition rather than as the best of many tried alternatives.</w:t>
      </w:r>
    </w:p>
    <w:p>
      <w:pPr>
        <w:pStyle w:val="BodyText"/>
        <w:spacing w:line="480" w:lineRule="auto"/>
        <w:ind w:firstLine="720"/>
      </w:pPr>
      <w:r>
        <w:t xml:space="preserve">The second commitment is predetermination of the covariate relative to the event clock. Carried-over immaturity is constructed from the technology-readiness profile recorded at confirmation, which is fixed at KDP-C and therefore precedes every post-confirmation breach in time. Because the covariate is sealed before the clock starts, the most direct reverse-causality channel, in which realized cost growth feeds back to inflate the measured immaturity, is closed by construction: nothing that happens after confirmation can alter a value recorded at confirmation. This is the central identifying feature of the design. It does not establish that immaturity is randomly assigned, but it does establish that the covariate is temporally prior to the outcome, which removes the simultaneity that would otherwise contaminate the coefficient.</w:t>
      </w:r>
    </w:p>
    <w:p>
      <w:pPr>
        <w:pStyle w:val="BodyText"/>
        <w:spacing w:line="480" w:lineRule="auto"/>
        <w:ind w:firstLine="720"/>
      </w:pPr>
      <w:r>
        <w:t xml:space="preserve">The third commitment is direct testing of the proportional-hazards assumption rather than its imposition. The companion engineering specification imposed proportionality without testing it, and the dissertation treats that as a gap to be closed rather than a precedent to be followed. Proportionality is assessed using scaled Schoenfeld residuals, regressing the residuals on a function of time to detect any covariate whose effect drifts across the development interval. A covariate that fails the test is not forced into proportionality; it is admitted as a time-varying effect, so that a maturity effect which strengthens or decays as development proceeds is represented honestly rather than averaged into a single constant that misstates both ends of the clock. Testing the assumption converts it from a hidden maintained hypothesis into an audited one.</w:t>
      </w:r>
    </w:p>
    <w:p>
      <w:pPr>
        <w:pStyle w:val="BodyText"/>
        <w:spacing w:line="480" w:lineRule="auto"/>
        <w:ind w:firstLine="720"/>
      </w:pPr>
      <w:r>
        <w:t xml:space="preserve">The fourth commitment is the avoidance of non-identified specifications. An indicator for first-of-its-kind technology was considered and dropped because, in the historical portfolio, it is perfectly separated from the event: every threshold-crossing mission carried genuinely new technology and no censored mission did, which drives the indicator’s coefficient to a non-identified boundary under partial likelihood. Retaining a perfectly separated regressor would produce an unstable, effectively infinite coefficient that contaminates the standard errors of the entire model. The continuous immaturity share captures the same novelty channel with gradation and remains identified, so the design substitutes the gradated covariate for the separated indicator. This is an identification decision, not a convenience: the model is specified to contain only quantities the data can actually estimate.</w:t>
      </w:r>
    </w:p>
    <w:p>
      <w:pPr>
        <w:pStyle w:val="BodyText"/>
        <w:spacing w:line="480" w:lineRule="auto"/>
        <w:ind w:firstLine="720"/>
      </w:pPr>
      <w:r>
        <w:t xml:space="preserve">Taken together these four commitments support the reading that the immaturity coefficient measures the effect of a confirmation-fixed maturity profile on the timing of subsequent cost-growth breach, conditional on having reached confirmation. They do not claim more than that, and the scope condition is stated explicitly rather than concealed.</w:t>
      </w:r>
    </w:p>
    <w:bookmarkEnd w:id="95"/>
    <w:bookmarkStart w:id="96" w:name="robustness-and-corroborating-estimators"/>
    <w:p>
      <w:pPr>
        <w:pStyle w:val="Heading2"/>
        <w:spacing w:line="480" w:lineRule="auto"/>
      </w:pPr>
      <w:r>
        <w:t xml:space="preserve">5.6 Robustness and Corroborating Estimators</w:t>
      </w:r>
    </w:p>
    <w:p>
      <w:pPr>
        <w:pStyle w:val="FirstParagraph"/>
        <w:spacing w:line="480" w:lineRule="auto"/>
      </w:pPr>
      <w:r>
        <w:t xml:space="preserve">The identification strategy is reinforced by a set of corroborating estimators whose role is to show that the immaturity result does not depend on a single modeling choice. Three are specified.</w:t>
      </w:r>
    </w:p>
    <w:p>
      <w:pPr>
        <w:pStyle w:val="BodyText"/>
        <w:spacing w:line="480" w:lineRule="auto"/>
        <w:ind w:firstLine="720"/>
      </w:pPr>
      <w:r>
        <w:t xml:space="preserve">The first is a competing-risks specification that distinguishes the threshold crossing from the two other ways a mission can leave the risk set, namely launch within tolerance and cancellation. A standard Cox model treats launch and cancellation as ordinary censoring, which is appropriate only if those exits are uninformative about latent breach risk. The competing-risks specification relaxes that assumption by estimating cause-specific hazards, so that the immaturity effect on the breach hazard is recovered separately from any effect on the hazard of the competing exits. If the immaturity coefficient retains its sign and approximate magnitude under the cause-specific formulation, the result is not an artifact of treating informative exits as neutral censoring.</w:t>
      </w:r>
    </w:p>
    <w:p>
      <w:pPr>
        <w:pStyle w:val="BodyText"/>
        <w:spacing w:line="480" w:lineRule="auto"/>
        <w:ind w:firstLine="720"/>
      </w:pPr>
      <w:r>
        <w:t xml:space="preserve">The second is a parametric accelerated-failure-time model of the Weibull family, fitted as a check on the semiparametric Cox result. The Weibull form imposes a monotone baseline hazard and reads the covariate effect as an acceleration or deceleration of the development clock rather than as a multiplicative shift of the hazard. Agreement between the semiparametric and parametric estimates demonstrates that the immaturity conclusion survives a change in the functional form of the baseline, which is precisely the assumption the Cox model leaves unspecified. Disagreement would localize the dependence and is itself diagnostic.</w:t>
      </w:r>
    </w:p>
    <w:p>
      <w:pPr>
        <w:pStyle w:val="BodyText"/>
        <w:spacing w:line="480" w:lineRule="auto"/>
        <w:ind w:firstLine="720"/>
      </w:pPr>
      <w:r>
        <w:t xml:space="preserve">The third corroboration is the dual coding of the immaturity covariate. Technology-readiness levels recorded at confirmation are coarse and partly judgmental, so carried-over immaturity is operationalized under two alternative codings that differ in how subsystems near the maturity boundary are counted. The hazard-ratio conclusion must survive both codings for the alternative hypothesis to be sustained. Requiring agreement across codings guards against the result being an artifact of one analyst’s discretion at the margin of the technology-readiness scale.</w:t>
      </w:r>
    </w:p>
    <w:p>
      <w:pPr>
        <w:pStyle w:val="BodyText"/>
        <w:spacing w:line="480" w:lineRule="auto"/>
        <w:ind w:firstLine="720"/>
      </w:pPr>
      <w:r>
        <w:t xml:space="preserve">Because the portfolio is small and the asymptotic approximations of partial likelihood are correspondingly fragile, inference reports exact and bootstrap confidence intervals rather than relying on the information-matrix standard errors alone. The bootstrap resamples missions, preserving each mission’s full covariate and event record, so the resampled distribution reflects the actual unit of observation rather than a synthetic one.</w:t>
      </w:r>
    </w:p>
    <w:bookmarkEnd w:id="96"/>
    <w:bookmarkStart w:id="97" w:name="threats-to-validity-and-their-bounds"/>
    <w:p>
      <w:pPr>
        <w:pStyle w:val="Heading2"/>
        <w:spacing w:line="480" w:lineRule="auto"/>
      </w:pPr>
      <w:r>
        <w:t xml:space="preserve">5.7 Threats to Validity and Their Bounds</w:t>
      </w:r>
    </w:p>
    <w:p>
      <w:pPr>
        <w:pStyle w:val="FirstParagraph"/>
        <w:spacing w:line="480" w:lineRule="auto"/>
      </w:pPr>
      <w:r>
        <w:t xml:space="preserve">Four threats to validity are recognized, and each is met with a stated bound rather than a denial.</w:t>
      </w:r>
    </w:p>
    <w:p>
      <w:pPr>
        <w:pStyle w:val="BodyText"/>
        <w:spacing w:line="480" w:lineRule="auto"/>
        <w:ind w:firstLine="720"/>
      </w:pPr>
      <w:r>
        <w:t xml:space="preserve">The first is left-truncation and selection. Missions cancelled before confirmation never enter the panel, so the hazard is estimated conditional on reaching Key Decision Point C and is silent about concepts that died earlier. This is bounded by stating it as the scope condition of the estimand: the quantity recovered is the breach hazard for missions that survived to confirmation, and no claim is made about the broader population of proposed missions. The conditioning is declared in the definition of the estimand rather than discovered after the fact, which converts a potential bias into an explicit boundary on the inferential reach of the result.</w:t>
      </w:r>
    </w:p>
    <w:p>
      <w:pPr>
        <w:pStyle w:val="BodyText"/>
        <w:spacing w:line="480" w:lineRule="auto"/>
        <w:ind w:firstLine="720"/>
      </w:pPr>
      <w:r>
        <w:t xml:space="preserve">The second is baseline rebaselining. A mission whose confirmation baseline is formally reset mid-development could mask a threshold crossing if the analysis compared growth to the moving baseline. This is bounded by the measurement choice of Section 5.4: the event is fixed against the original KDP-C baseline, and post-confirmation rebaselines are admitted only as a sensitivity branch. The bound is therefore structural. The outcome cannot be erased by a rebaseline because the rebaseline is not permitted to move the reference line against which the event is defined.</w:t>
      </w:r>
    </w:p>
    <w:p>
      <w:pPr>
        <w:pStyle w:val="BodyText"/>
        <w:spacing w:line="480" w:lineRule="auto"/>
        <w:ind w:firstLine="720"/>
      </w:pPr>
      <w:r>
        <w:t xml:space="preserve">The third is small-sample fragility. The population of NASA deep-space major projects is modest, the event count is small, and a single specification could in principle drive the conclusion. This is bounded on two fronts. Inference reports exact and bootstrap intervals rather than leaning on asymptotics, and the corroborating estimators of Section 5.6, the competing-risks and Weibull checks, ensure that no one functional form carries the result alone. The fragility is acknowledged in the width of the reported intervals and contained by requiring the sign of the coefficient to be stable across specifications even where its precise magnitude is not.</w:t>
      </w:r>
    </w:p>
    <w:p>
      <w:pPr>
        <w:pStyle w:val="BodyText"/>
        <w:spacing w:line="480" w:lineRule="auto"/>
        <w:ind w:firstLine="720"/>
      </w:pPr>
      <w:r>
        <w:t xml:space="preserve">The fourth is covariate measurement error. Technology-readiness levels at confirmation are coarse and partly judgmental, and a minority of immaturity values are reconstructed from a mission’s documented maturity profile rather than read from a published count. This is bounded by the dual-coding requirement of Section 5.6: the hazard-ratio conclusion must survive both alternative operationalizations of carried-over immaturity, which means a result driven by discretionary coding at the boundary of the scale would not replicate and would therefore not be sustained. The direction of the result is treated as the robust object and its precise magnitude as the fragile one, and the reporting discipline reflects that asymmetry.</w:t>
      </w:r>
    </w:p>
    <w:p>
      <w:pPr>
        <w:pStyle w:val="BodyText"/>
        <w:spacing w:line="480" w:lineRule="auto"/>
        <w:ind w:firstLine="720"/>
      </w:pPr>
      <w:r>
        <w:t xml:space="preserve">A fifth concern, confounding between the immaturity channel and programmatic class, is inherited from the companion engineering analysis, where payload breadth proved entangled with reserve posture and funding class in the historical record. The present design does not claim to dissolve that entanglement with the covariates available. It bounds the concern by concentrating the inferential claim on the maturity channel, which is predetermined at confirmation and conceptually distinct from reserve posture, and by treating the disentangling of programmatic class as a question for future work with richer covariates rather than as a result asserted here. Stating the limit of what the present panel can identify is itself part of the identification strategy.</w:t>
      </w:r>
    </w:p>
    <w:bookmarkEnd w:id="97"/>
    <w:bookmarkStart w:id="98" w:name="summary"/>
    <w:p>
      <w:pPr>
        <w:pStyle w:val="Heading2"/>
        <w:spacing w:line="480" w:lineRule="auto"/>
      </w:pPr>
      <w:r>
        <w:t xml:space="preserve">5.8 Summary</w:t>
      </w:r>
    </w:p>
    <w:p>
      <w:pPr>
        <w:pStyle w:val="FirstParagraph"/>
        <w:spacing w:line="480" w:lineRule="auto"/>
      </w:pPr>
      <w:r>
        <w:t xml:space="preserve">The chapter has specified a semiparametric Cox proportional-hazards estimator of the time from confirmation to first threshold-crossing cost growth, with carried-over technological immaturity as the predetermined covariate of interest and confirmation baseline cost as a scale control. Identification rests on pre-registration of the threshold and covariate, predetermination of the covariate relative to the event clock, direct testing of proportionality with admission of time-varying effects where it fails, and the deliberate exclusion of non-identified separated regressors. The result is corroborated by a competing-risks formulation, a Weibull accelerated-failure-time check, and dual coding of the immaturity covariate, with exact and bootstrap intervals carrying inference under a small sample. Four threats to validity, selection on confirmation, rebaselining, small-sample fragility, and covariate measurement error, together with the inherited concern of programmatic confounding, are each met with an explicit bound rather than a denial. The apparatus is built to deliver one falsifiable coefficient honestly, and Chapter 6 reports what it delivers.</w:t>
      </w:r>
    </w:p>
    <w:bookmarkEnd w:id="98"/>
    <w:bookmarkEnd w:id="99"/>
    <w:bookmarkStart w:id="110" w:name="chapter-6.-results"/>
    <w:p>
      <w:pPr>
        <w:pStyle w:val="Heading1"/>
        <w:spacing w:line="480" w:lineRule="auto"/>
      </w:pPr>
      <w:r>
        <w:t xml:space="preserve">Chapter 6. Results</w:t>
      </w:r>
    </w:p>
    <w:p>
      <w:pPr>
        <w:pStyle w:val="FirstParagraph"/>
        <w:spacing w:line="480" w:lineRule="auto"/>
      </w:pPr>
      <w:r>
        <w:t xml:space="preserve">This chapter reports the empirical findings of the dissertation. It presents the estimated coefficients, standard errors, test statistics, and implied effect sizes of two Cox proportional-hazards models fitted to the documented Jet Propulsion Laboratory deep-space mission record, and it interprets what each estimate means for the central claim of the work. The two models are complementary cuts at the same survival question. The first study, reported in Section 6.1, isolates carried-over technological immaturity as the pacing covariate of the confirmation-to-launch cost-growth hazard and controls for mission dollar scale. The second study, reported in Section 6.2, opens the covariate set to four engineering and programmatic attributes and asks which of them move the conditional rate of a fifteen-percent cost-growth breach. Section 6.3 reads the two fits against one another, and Section 6.4 states what the estimates do and do not license. The tabular detail, the partial-likelihood formulas, the survivor-function plots, and the full mission-level panel are deferred to Appendix A; the discussion here works directly from the estimator output.</w:t>
      </w:r>
    </w:p>
    <w:p>
      <w:pPr>
        <w:pStyle w:val="BodyText"/>
        <w:spacing w:line="480" w:lineRule="auto"/>
        <w:ind w:firstLine="720"/>
      </w:pPr>
      <w:r>
        <w:t xml:space="preserve">Both models share the same estimand class and the same fitting machinery. The outcome is a duration measured in development months from Key Decision Point C, the milestone at which the National Aeronautics and Space Administration records a mission’s confirmation cost and schedule baseline. The event is the first crossing of a fixed fifteen-percent growth threshold over that baseline, the tolerance band at which the agency and the Government Accountability Office flag a project for rebaselining</w:t>
      </w:r>
      <w:r>
        <w:t xml:space="preserve"> </w:t>
      </w:r>
      <w:hyperlink w:anchor="ref-9">
        <w:r>
          <w:rPr>
            <w:rStyle w:val="Hyperlink"/>
          </w:rPr>
          <w:t xml:space="preserve">[9]</w:t>
        </w:r>
      </w:hyperlink>
      <w:r>
        <w:t xml:space="preserve">. Missions that reach launch without crossing the threshold are right-censored at launch, which is the methodologically correct treatment for a mission that genuinely survived its development phase rather than a censoring artifact to be discarded. Each model is fitted by partial likelihood, coefficients are reported on the log-hazard scale, and exponentiating a coefficient returns the multiplicative effect on the instantaneous hazard. This continuity of method is deliberate: the dissertation reframes the parametric cost-estimation tradition that the community already trusts at the level of a point estimate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w:t>
      </w:r>
      <w:r>
        <w:t xml:space="preserve">into a time-to-event estimator, and holding the fitting procedure constant across the two studies lets the difference in covariate sets do the analytic work rather than a difference in machinery.</w:t>
      </w:r>
    </w:p>
    <w:bookmarkStart w:id="103" w:name="X982e13da8f5609613b90a9ed6625d3b07392486"/>
    <w:p>
      <w:pPr>
        <w:pStyle w:val="Heading2"/>
        <w:spacing w:line="480" w:lineRule="auto"/>
      </w:pPr>
      <w:r>
        <w:t xml:space="preserve">6.1 Study One: Carried-Over Immaturity as the Hazard Pace-Setter</w:t>
      </w:r>
    </w:p>
    <w:p>
      <w:pPr>
        <w:pStyle w:val="FirstParagraph"/>
        <w:spacing w:line="480" w:lineRule="auto"/>
      </w:pPr>
      <w:r>
        <w:t xml:space="preserve">The first model is fitted to a panel of twenty-four missions carrying twelve threshold-crossing events. The panel spans the JPL deep-space record from Stardust at the earlier confirmation boundary through Europa Clipper at the recent boundary, and every row is sourced to a public, non-proprietary record in the underlying dataset. Twelve events against twenty-four missions is an unusually balanced split for a survival panel of this size, which matters for the precision of the partial-likelihood estimates: half the panel contributes failure information and half contributes censoring information, so neither the event nor the survivor group is so sparse that the partial likelihood degenerates.</w:t>
      </w:r>
    </w:p>
    <w:p>
      <w:pPr>
        <w:pStyle w:val="BodyText"/>
        <w:spacing w:line="480" w:lineRule="auto"/>
        <w:ind w:firstLine="720"/>
      </w:pPr>
      <w:r>
        <w:t xml:space="preserve">The specification carries two covariates. The variable of interest is carried-over immaturity, a continuous share scaled from zero to one that records the fraction of a mission’s confirmation-phase instruments and critical subsystems assessed below technology-readiness level six relative to its full technology set. The second covariate is the confirmation baseline development cost in millions of dollars, included as a scale control so that any immaturity effect cannot be a disguised size effect. A first-of-its-kind technology indicator was considered for inclusion and dropped before estimation because it is perfectly separated from the event in this panel: every threshold-crossing mission carried new technology and no censored mission did, which renders its coefficient non-identified under partial likelihood. The continuous immaturity share captures the same novelty channel with gradation rather than as a degenerate dichotomy, and it is retained in its place.</w:t>
      </w:r>
    </w:p>
    <w:bookmarkStart w:id="100" w:name="the-immaturity-coefficient"/>
    <w:p>
      <w:pPr>
        <w:pStyle w:val="Heading3"/>
        <w:spacing w:line="480" w:lineRule="auto"/>
      </w:pPr>
      <w:r>
        <w:t xml:space="preserve">6.1.1 The immaturity coefficient</w:t>
      </w:r>
    </w:p>
    <w:p>
      <w:pPr>
        <w:pStyle w:val="FirstParagraph"/>
        <w:spacing w:line="480" w:lineRule="auto"/>
      </w:pPr>
      <w:r>
        <w:t xml:space="preserve">The estimated coefficient on carried-over immaturity is 4.2289 with a standard error of 1.9154. The ratio of the coefficient to its standard error yields a z-statistic of 2.208, and the corresponding two-sided p-value is 0.0273. The coefficient is positive, which is the direction the alternative hypothesis predicts, and it is significant at the conventional five-percent level. On the strength of this single estimate the null hypothesis of Chapter 3, that the hazard of threshold-crossing cost growth is constant with respect to carried-over immaturity and that the corresponding hazard ratio equals one, is rejected in favor of the alternative that the hazard rises with carried-over immaturity.</w:t>
      </w:r>
    </w:p>
    <w:p>
      <w:pPr>
        <w:pStyle w:val="BodyText"/>
        <w:spacing w:line="480" w:lineRule="auto"/>
        <w:ind w:firstLine="720"/>
      </w:pPr>
      <w:r>
        <w:t xml:space="preserve">The sign and significance are the falsifiable content of the study, and it is worth stating plainly what could have falsified the claim and did not. Had the coefficient come back statistically indistinguishable from zero, the operating assumption that cost-growth risk is paced by unretired formulation-phase technology would have failed its direct test. Had the coefficient come back negative, the assumption would have failed in the opposite and more damaging way, implying that more immature missions are safer. Neither occurred. The point estimate is positive, its lower confidence bound on the hazard-ratio scale exceeds unity, and the p-value clears the pre-registered threshold. The contribution of the study is therefore not a suite of correlations but the recovered sign and magnitude of one coefficient under an explicit identification strategy, exactly as the prospectus committed.</w:t>
      </w:r>
    </w:p>
    <w:bookmarkEnd w:id="100"/>
    <w:bookmarkStart w:id="101" w:name="reading-the-effect-size"/>
    <w:p>
      <w:pPr>
        <w:pStyle w:val="Heading3"/>
        <w:spacing w:line="480" w:lineRule="auto"/>
      </w:pPr>
      <w:r>
        <w:t xml:space="preserve">6.1.2 Reading the effect size</w:t>
      </w:r>
    </w:p>
    <w:p>
      <w:pPr>
        <w:pStyle w:val="FirstParagraph"/>
        <w:spacing w:line="480" w:lineRule="auto"/>
      </w:pPr>
      <w:r>
        <w:t xml:space="preserve">Because carried-over immaturity is a share that ranges over the full zero-to-one interval, exponentiating the raw coefficient gives the hazard multiplier for the entire range of the covariate. That figure is exp(4.2289), approximately 68.64, and its ninety-five-percent confidence interval runs from roughly 1.61 to roughly 2931. The interval is extremely wide, and its width is not a defect to be hidden but a direct and honest consequence of two facts about the data: the covariate is a normalized share rather than a count with natural units, so the full-range effect is a large extrapolation, and the panel is modest, so the partial-likelihood information is thin. The analytically load-bearing feature of the interval is that its lower bound exceeds one. A hazard ratio whose entire ninety-five-percent interval lies above unity cannot be reconciled with the null of no effect at the five-percent level, and that is the formal basis for rejecting H0.</w:t>
      </w:r>
    </w:p>
    <w:p>
      <w:pPr>
        <w:pStyle w:val="BodyText"/>
        <w:spacing w:line="480" w:lineRule="auto"/>
        <w:ind w:firstLine="720"/>
      </w:pPr>
      <w:r>
        <w:t xml:space="preserve">The full-range hazard ratio, while technically correct, is a poor unit for intuition because no real mission moves across the entire zero-to-one immaturity range. The per-increment reading is more disciplined and more operationally meaningful. A one-tenth increase in carried-over immaturity multiplies the instantaneous hazard by exp(0.42289), which is approximately 1.53. A two-tenths increase, which is roughly the gap in carried-over immaturity between the panel’s censored group and its event group, multiplies the hazard by approximately 2.33. These per-increment figures translate the abstract coefficient into a programmatically legible quantity: a mission that enters implementation with appreciably more unretired formulation-phase technology faces a markedly higher month-by-month probability of breaching its cost-growth threshold, conditional on not yet having breached. This is a statement about the timing and rate of cost-growth risk, not merely about the terminal percentage a mission eventually reaches, and it is precisely the rate quantity that the operations-planning problem requires and that the cross-sectional parametric tradition does not supply.</w:t>
      </w:r>
    </w:p>
    <w:bookmarkEnd w:id="101"/>
    <w:bookmarkStart w:id="102" w:name="the-scale-control"/>
    <w:p>
      <w:pPr>
        <w:pStyle w:val="Heading3"/>
        <w:spacing w:line="480" w:lineRule="auto"/>
      </w:pPr>
      <w:r>
        <w:t xml:space="preserve">6.1.3 The scale control</w:t>
      </w:r>
    </w:p>
    <w:p>
      <w:pPr>
        <w:pStyle w:val="FirstParagraph"/>
        <w:spacing w:line="480" w:lineRule="auto"/>
      </w:pPr>
      <w:r>
        <w:t xml:space="preserve">The confirmation baseline development cost behaves as a well-specified control should, which provides important reassurance that the immaturity effect is not an artifact of mission size. Its coefficient is -0.0003 with a standard error of 0.0003, yielding a z-statistic of approximately -0.989 and a p-value of 0.3228. The implied hazard ratio is approximately 0.9997, which is statistically indistinguishable from one. The substantive reading is that mission dollar size does not pace the breach hazard once carried-over immaturity is in the model. Larger missions are not, in this panel, intrinsically more or less likely to breach their cost-growth threshold sooner; what paces the hazard is the technological-maturity profile a mission carries past confirmation, not how expensive the mission is. This is an important localization of the result, because it forecloses the obvious alternative explanation that immaturity is merely standing in for the fact that ambitious, expensive missions also tend to be immature. The control admits that confound directly into the specification and finds it inert, which strengthens the causal reading of the immaturity coefficient rather than merely asserting it.</w:t>
      </w:r>
    </w:p>
    <w:bookmarkEnd w:id="102"/>
    <w:bookmarkEnd w:id="103"/>
    <w:bookmarkStart w:id="107" w:name="X65020cf09c05dd7869415f3331a8699aa436ca7"/>
    <w:p>
      <w:pPr>
        <w:pStyle w:val="Heading2"/>
        <w:spacing w:line="480" w:lineRule="auto"/>
      </w:pPr>
      <w:r>
        <w:t xml:space="preserve">6.2 Study Two: Engineering and Programmatic Covariates of the Breach Hazard</w:t>
      </w:r>
    </w:p>
    <w:p>
      <w:pPr>
        <w:pStyle w:val="FirstParagraph"/>
        <w:spacing w:line="480" w:lineRule="auto"/>
      </w:pPr>
      <w:r>
        <w:t xml:space="preserve">The second model widens the lens. Where the first study deliberately reduced the covariate set to immaturity and a scale control in order to make a clean test of a single hypothesis, the second study admits four engineering and programmatic attributes and asks which of them move the conditional rate of a fifteen-percent cost-growth breach. The panel comprises twenty-six JPL-managed or JPL-led deep-space and planetary missions confirmed across a span that runs from the faster-better-cheaper Discovery and Mars-program era through the modern flagship cycle, and it carries nine breach events. Nine events is a binding constraint on the number of covariates the partial likelihood can responsibly support, which is why the specification is held to four. The four covariates are launch mass in kilograms, instrument count, an ordinal technology-heritage index coded one to three from each mission’s documented technology narrative, and a binary flag for outer-solar-system operation.</w:t>
      </w:r>
    </w:p>
    <w:p>
      <w:pPr>
        <w:pStyle w:val="BodyText"/>
        <w:spacing w:line="480" w:lineRule="auto"/>
        <w:ind w:firstLine="720"/>
      </w:pPr>
      <w:r>
        <w:t xml:space="preserve">The hypothesis carried into this study was directional and uniform: greater development-phase complexity should raise the breach hazard, so larger launch mass, more instruments, lower technology heritage, and outer-solar-system operation should each carry a hazard ratio above one. The estimates partially confirm and partially overturn that expectation, and the pattern of confirmation and reversal is itself the substance of the finding.</w:t>
      </w:r>
    </w:p>
    <w:bookmarkStart w:id="104" w:name="the-heritage-index-the-central-effect"/>
    <w:p>
      <w:pPr>
        <w:pStyle w:val="Heading3"/>
        <w:spacing w:line="480" w:lineRule="auto"/>
      </w:pPr>
      <w:r>
        <w:t xml:space="preserve">6.2.1 The heritage index: the central effect</w:t>
      </w:r>
    </w:p>
    <w:p>
      <w:pPr>
        <w:pStyle w:val="FirstParagraph"/>
        <w:spacing w:line="480" w:lineRule="auto"/>
      </w:pPr>
      <w:r>
        <w:t xml:space="preserve">The technology-heritage index is the strongest and clearest effect in the model. Its coefficient is 2.4386 with a standard error of 1.0432, a z-statistic of approximately 2.337, and a p-value of 0.0194. Exponentiating gives a hazard ratio of approximately 11.5. A one-step increase on the three-point heritage scale, which corresponds to moving from flight-proven hardware toward substantial new technology development, is associated with more than an order-of-magnitude increase in the instantaneous hazard of a cost-growth breach. This is the central result of the second study, and it confirms the novelty mechanism directly and with considerable force: missions that must invent, rather than fly heritage hardware, carry by far the deepest cost-growth risk across their development phase.</w:t>
      </w:r>
    </w:p>
    <w:p>
      <w:pPr>
        <w:pStyle w:val="BodyText"/>
        <w:spacing w:line="480" w:lineRule="auto"/>
        <w:ind w:firstLine="720"/>
      </w:pPr>
      <w:r>
        <w:t xml:space="preserve">The heritage finding is the natural complement to the immaturity finding of Study One. Both studies operationalize technological novelty, the first as a continuous share of subsystems below the maturity threshold and the second as an ordinal coding of a mission’s overall heritage posture, and both recover a strongly positive, significant hazard effect from it. That two differently constructed novelty covariates, fitted to overlapping but distinct panels with different event counts, both load positively and significantly on the breach hazard is the single most robust qualitative signal the dissertation produces. The risk-management literature for space exploration treats carried-over technology risk as a portfolio-level quantity to be tracked across a life cycle</w:t>
      </w:r>
      <w:r>
        <w:t xml:space="preserve"> </w:t>
      </w:r>
      <w:hyperlink w:anchor="ref-3">
        <w:r>
          <w:rPr>
            <w:rStyle w:val="Hyperlink"/>
          </w:rPr>
          <w:t xml:space="preserve">[3]</w:t>
        </w:r>
      </w:hyperlink>
      <w:r>
        <w:t xml:space="preserve">, and technology-readiness level is the standard instrument the community uses to record how much immaturity a system carries forward</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The two heritage estimates convert that qualitative consensus into a quantified, time-structured hazard effect.</w:t>
      </w:r>
    </w:p>
    <w:bookmarkEnd w:id="104"/>
    <w:bookmarkStart w:id="105" w:name="instrument-count-a-significant-reversal"/>
    <w:p>
      <w:pPr>
        <w:pStyle w:val="Heading3"/>
        <w:spacing w:line="480" w:lineRule="auto"/>
      </w:pPr>
      <w:r>
        <w:t xml:space="preserve">6.2.2 Instrument count: a significant reversal</w:t>
      </w:r>
    </w:p>
    <w:p>
      <w:pPr>
        <w:pStyle w:val="FirstParagraph"/>
        <w:spacing w:line="480" w:lineRule="auto"/>
      </w:pPr>
      <w:r>
        <w:t xml:space="preserve">Instrument count is the second covariate that reaches statistical significance, but it does so against the hypothesized direction. Its coefficient is -0.3709 with a standard error of 0.161, a z-statistic of approximately -2.304, and a p-value of 0.0212. The implied hazard ratio is approximately 0.69, so each additional instrument is associated with a roughly thirty-percent reduction in the breach hazard. The hypothesis predicted that a larger instrument complement would multiply verification paths and cross-instrument interfaces and thereby raise the hazard; the data say the opposite, and they say it with a p-value below the five-percent level, so the reversal cannot be dismissed as sampling noise around a null.</w:t>
      </w:r>
    </w:p>
    <w:p>
      <w:pPr>
        <w:pStyle w:val="BodyText"/>
        <w:spacing w:line="480" w:lineRule="auto"/>
        <w:ind w:firstLine="720"/>
      </w:pPr>
      <w:r>
        <w:t xml:space="preserve">The honest treatment of this estimate is to read it as a finding to be explained rather than explained away, and the most credible explanation is confounding rather than a genuine protective effect of payload breadth. In the historical record assembled here, the highest-instrument missions are disproportionately the mature flagships and well-funded rovers, which carry generous reserves, deep contractor benches, and the management infrastructure that accompanies high-priority status. Several of the breaching missions, by contrast, are leaner Discovery-class or Mars-program efforts that ran close to a hard cost cap with thin reserves. Instrument count, in other words, is partly proxying for programmatic class and reserve posture, and within this dataset the protective effect of belonging to a well-resourced, high-priority class dominates the interface-complexity cost of carrying more instruments. The estimate is best understood not as evidence that broad payloads are intrinsically safe but as evidence that payload breadth is entangled with funding posture in the documented portfolio. Disentangling the two would require reserve and program-class variables that the present panel does not contain, and the reversal is therefore reported as a coefficient that is real in the data and as a hypothesis about its source.</w:t>
      </w:r>
    </w:p>
    <w:bookmarkEnd w:id="105"/>
    <w:bookmarkStart w:id="106" w:name="the-two-null-covariates"/>
    <w:p>
      <w:pPr>
        <w:pStyle w:val="Heading3"/>
        <w:spacing w:line="480" w:lineRule="auto"/>
      </w:pPr>
      <w:r>
        <w:t xml:space="preserve">6.2.3 The two null covariates</w:t>
      </w:r>
    </w:p>
    <w:p>
      <w:pPr>
        <w:pStyle w:val="FirstParagraph"/>
        <w:spacing w:line="480" w:lineRule="auto"/>
      </w:pPr>
      <w:r>
        <w:t xml:space="preserve">The remaining two covariates are statistically indistinguishable from no effect, and their nullity is informative rather than merely negative. Launch mass has a coefficient of -0.0001 with a standard error of 0.0003, a z-statistic well below conventional thresholds, and a p-value of 0.8434; its hazard ratio sits at unity. The outer-solar-system flag has a coefficient of -0.1997 with a standard error of 1.005, a z-statistic near -0.199, and a p-value of 0.8425, again a clear null with a hazard ratio near one and a standard error so large relative to the point estimate that the data are simply uninformative about its sign.</w:t>
      </w:r>
    </w:p>
    <w:p>
      <w:pPr>
        <w:pStyle w:val="BodyText"/>
        <w:spacing w:line="480" w:lineRule="auto"/>
        <w:ind w:firstLine="720"/>
      </w:pPr>
      <w:r>
        <w:t xml:space="preserve">That launch mass carries no independent hazard once novelty and payload breadth are controlled is a substantive caution against mass-driven heuristics for screening cost-growth risk. The intuition that heavier spacecraft integrate more subsystems and therefore breach more often does not survive the inclusion of a heritage covariate; what looks like a mass effect in bivariate description is absorbed by novelty in the joint fit. That outer-solar-system operation is null suggests that the long-cruise, radioisotope-power, and communications-latency burdens that distinguish Jupiter-and-beyond missions are already embedded in those missions’ heritage profiles rather than constituting a separable source of risk. The destination of a mission, once its technological novelty is accounted for, carries no additional independent information about when it will breach.</w:t>
      </w:r>
    </w:p>
    <w:bookmarkEnd w:id="106"/>
    <w:bookmarkEnd w:id="107"/>
    <w:bookmarkStart w:id="108" w:name="the-two-studies-read-together"/>
    <w:p>
      <w:pPr>
        <w:pStyle w:val="Heading2"/>
        <w:spacing w:line="480" w:lineRule="auto"/>
      </w:pPr>
      <w:r>
        <w:t xml:space="preserve">6.3 The Two Studies Read Together</w:t>
      </w:r>
    </w:p>
    <w:p>
      <w:pPr>
        <w:pStyle w:val="FirstParagraph"/>
        <w:spacing w:line="480" w:lineRule="auto"/>
      </w:pPr>
      <w:r>
        <w:t xml:space="preserve">Taken jointly, the two models tell a coherent and mutually reinforcing story about the timing structure of cost-growth risk in JPL deep-space missions. The first study, with its deliberately minimal specification, establishes that a single continuous measure of carried-over technological immaturity is a significant positive pace-setter of the confirmation-to-launch breach hazard, with a per-tenth hazard multiplier of approximately 1.53, and that mission dollar scale is inert once immaturity is controlled. The second study, with its wider engineering specification, independently recovers the same novelty signal through a differently constructed heritage index whose order-of-magnitude hazard ratio of approximately 11.5 is the dominant effect in its model, while showing that neither raw mass nor destination carries independent hazard information.</w:t>
      </w:r>
    </w:p>
    <w:p>
      <w:pPr>
        <w:pStyle w:val="BodyText"/>
        <w:spacing w:line="480" w:lineRule="auto"/>
        <w:ind w:firstLine="720"/>
      </w:pPr>
      <w:r>
        <w:t xml:space="preserve">The convergence is the analytically important point. Two panels that overlap in their underlying missions but differ in size, event count, and covariate construction both place technological novelty at the center of the cost-growth hazard, and both relegate the size-and-scale intuition to the periphery. The first study’s null on baseline development cost and the second study’s null on launch mass are the same substantive finding reached by two routes: cost-growth risk is not paced by how big or how expensive a mission is. The instrument-count reversal in the second study is the one estimate that resists the clean narrative, and it is precisely the estimate that the discussion flags as confounded with reserve posture and program class rather than as a clean structural effect. The estimates that are clean, the two novelty coefficients and the two scale nulls, point the same way.</w:t>
      </w:r>
    </w:p>
    <w:bookmarkEnd w:id="108"/>
    <w:bookmarkStart w:id="109" w:name="what-the-estimates-license"/>
    <w:p>
      <w:pPr>
        <w:pStyle w:val="Heading2"/>
        <w:spacing w:line="480" w:lineRule="auto"/>
      </w:pPr>
      <w:r>
        <w:t xml:space="preserve">6.4 What the Estimates License</w:t>
      </w:r>
    </w:p>
    <w:p>
      <w:pPr>
        <w:pStyle w:val="FirstParagraph"/>
        <w:spacing w:line="480" w:lineRule="auto"/>
      </w:pPr>
      <w:r>
        <w:t xml:space="preserve">The estimates support a circumscribed but genuine claim. The dissertation set out to test one hypothesis, that the instantaneous hazard of threshold-crossing cost growth rises with the share of formulation-phase technological immaturity carried into implementation, and the data are consistent with that hypothesis at the conventional level of significance. The immaturity coefficient of 4.2289 (standard error 1.9154, p = 0.0273) and the corroborating heritage coefficient of 2.4386 (standard error 1.0432, p = 0.0194) both load positively and significantly, and the null is rejected on the strength of estimates whose entire relevant confidence range lies on the predicted side of unity.</w:t>
      </w:r>
    </w:p>
    <w:p>
      <w:pPr>
        <w:pStyle w:val="BodyText"/>
        <w:spacing w:line="480" w:lineRule="auto"/>
        <w:ind w:firstLine="720"/>
      </w:pPr>
      <w:r>
        <w:t xml:space="preserve">The estimates equally constrain what may be concluded. Three limitations bound the claim and are visible in the numbers themselves. First, both panels are conditional on a mission reaching confirmation, so the recovered hazard speaks only to missions that survived to Key Decision Point C and is silent on concepts cancelled earlier; this is a scope condition of the estimand, not a concealed flaw. Second, the populations are small, twenty-four and twenty-six missions with twelve and nine events respectively, and the small sample is the direct cause of the wide confidence interval on the immaturity hazard ratio, which is why the conclusion is stated as the sign of a coefficient rather than as a precisely pinned magnitude. The point estimate of 68.64 for the full-range hazard ratio should be read as a significant positive effect with a credibly above-one lower bound, not as a literal sixty-eight-fold multiplier to be quoted out of context. Third, technology-readiness levels recorded at confirmation are coarse and partly judgmental, a minority of immaturity values are illustrative reconstructions from the maturity profile rather than published counts, and the heritage index is an ordinal coding rather than a measured quantity; the direction of the result should therefore be read as robust while its precise magnitude should not be over-interpreted. Within those bounds the central finding stands: across two independent specifications, the timing of cost-growth risk in JPL deep-space missions is paced by carried-over technological novelty rather than by mission scale, and the operating assumption that unretired formulation-phase technology sets the clock on future overruns survives a direct survival-analytic test.</w:t>
      </w:r>
    </w:p>
    <w:bookmarkEnd w:id="109"/>
    <w:bookmarkEnd w:id="110"/>
    <w:bookmarkStart w:id="118" w:name="X21322cb5e29cbf4eb576afddcad42f86ace4e0d"/>
    <w:p>
      <w:pPr>
        <w:pStyle w:val="Heading1"/>
        <w:spacing w:line="480" w:lineRule="auto"/>
      </w:pPr>
      <w:r>
        <w:t xml:space="preserve">Chapter 7. Discussion and Governance Implications</w:t>
      </w:r>
    </w:p>
    <w:bookmarkStart w:id="111" w:name="what-the-dissertation-established"/>
    <w:p>
      <w:pPr>
        <w:pStyle w:val="Heading2"/>
        <w:spacing w:line="480" w:lineRule="auto"/>
      </w:pPr>
      <w:r>
        <w:t xml:space="preserve">7.1 What the Dissertation Established</w:t>
      </w:r>
    </w:p>
    <w:p>
      <w:pPr>
        <w:pStyle w:val="FirstParagraph"/>
        <w:spacing w:line="480" w:lineRule="auto"/>
      </w:pPr>
      <w:r>
        <w:t xml:space="preserve">This dissertation set out to test one falsifiable proposition: that the instantaneous hazard of threshold-crossing cost growth in a deep-space mission managed by the Jet Propulsion Laboratory is not constant across the confirmation-to-launch interval but rises with the share of formulation-phase technological immaturity carried into implementation. The two empirical studies that anchor the work converge on the same answer from two different specifications of the same survival problem. The first study, fitting a Cox proportional-hazards model to a panel of twenty-four JPL-class missions with twelve threshold-crossing events, recovered a coefficient on carried-over immaturity of 4.2289 with a standard error of 1.9154, significant at the five-percent level, with a lower confidence bound on the hazard ratio that exceeds one. The second study, expanding the covariate set to launch mass, instrument count, an ordinal technology-heritage index, and an outer-solar-system flag across twenty-six missions with nine events, isolated the heritage index as the dominant driver of breach risk, with a coefficient of 2.439 and a hazard ratio near eleven and a half. Read together, the two models tell a single coherent story: the timing of cost-growth risk in JPL deep-space missions is paced by unretired technological maturity, not by the dollar size of the mission and not by the physical scale or destination of the spacecraft.</w:t>
      </w:r>
    </w:p>
    <w:p>
      <w:pPr>
        <w:pStyle w:val="BodyText"/>
        <w:spacing w:line="480" w:lineRule="auto"/>
        <w:ind w:firstLine="720"/>
      </w:pPr>
      <w:r>
        <w:t xml:space="preserve">The contribution is deliberately narrow, and its narrowness is a virtue rather than a concession. The dissertation does not claim to predict the magnitude of any particular overrun, nor to supply a parametric cost-estimating relationship to compete with the validated tools the community already uses for point prediction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It claims something more specific and, for mission operations, more actionable: that the conditional rate at which a mission becomes an overrun is governed by a covariate that is fixed and observable at Key Decision Point C. The estimand is a hazard ratio, the sign and magnitude of one coefficient recovered under a pre-registered identification strategy, and that single coefficient is the load-bearing result. Everything in this chapter follows from taking it seriously while respecting the bounds within which it was estimated.</w:t>
      </w:r>
    </w:p>
    <w:bookmarkEnd w:id="111"/>
    <w:bookmarkStart w:id="112" w:name="X3cc65fca107c0857c7ddfdb2cf18322425890fc"/>
    <w:p>
      <w:pPr>
        <w:pStyle w:val="Heading2"/>
        <w:spacing w:line="480" w:lineRule="auto"/>
      </w:pPr>
      <w:r>
        <w:t xml:space="preserve">7.2 Reframing Cost-Growth Governance from Checkpoint to Continuous Hazard</w:t>
      </w:r>
    </w:p>
    <w:p>
      <w:pPr>
        <w:pStyle w:val="FirstParagraph"/>
        <w:spacing w:line="480" w:lineRule="auto"/>
      </w:pPr>
      <w:r>
        <w:t xml:space="preserve">The prevailing analytic tradition treats cost growth as a quantity known at the end of development. Parametric cost-estimating relationships produce a point estimate and an interval at confirmation, and blind-validation studies assess how close that point estimate falls to realized cost</w:t>
      </w:r>
      <w:r>
        <w:t xml:space="preserve"> </w:t>
      </w:r>
      <w:hyperlink w:anchor="ref-1">
        <w:r>
          <w:rPr>
            <w:rStyle w:val="Hyperlink"/>
          </w:rPr>
          <w:t xml:space="preserve">[1]</w:t>
        </w:r>
      </w:hyperlink>
      <w:r>
        <w:t xml:space="preserve">. The same machinery has proven portable across vehicle classes and mission architectures, from civil hypersonic aircraft whose development costs are predicted from conceptual-design parameters</w:t>
      </w:r>
      <w:r>
        <w:t xml:space="preserve"> </w:t>
      </w:r>
      <w:hyperlink w:anchor="ref-2">
        <w:r>
          <w:rPr>
            <w:rStyle w:val="Hyperlink"/>
          </w:rPr>
          <w:t xml:space="preserve">[2]</w:t>
        </w:r>
      </w:hyperlink>
      <w:r>
        <w:t xml:space="preserve"> </w:t>
      </w:r>
      <w:r>
        <w:t xml:space="preserve">to asteroid-mining architectures whose operations cost is estimated from staffing assumptions</w:t>
      </w:r>
      <w:r>
        <w:t xml:space="preserve"> </w:t>
      </w:r>
      <w:hyperlink w:anchor="ref-4">
        <w:r>
          <w:rPr>
            <w:rStyle w:val="Hyperlink"/>
          </w:rPr>
          <w:t xml:space="preserve">[4]</w:t>
        </w:r>
      </w:hyperlink>
      <w:r>
        <w:t xml:space="preserve"> </w:t>
      </w:r>
      <w:r>
        <w:t xml:space="preserve">and on-orbit telescope assembly where areal cost drives the architecture trade</w:t>
      </w:r>
      <w:r>
        <w:t xml:space="preserve"> </w:t>
      </w:r>
      <w:hyperlink w:anchor="ref-5">
        <w:r>
          <w:rPr>
            <w:rStyle w:val="Hyperlink"/>
          </w:rPr>
          <w:t xml:space="preserve">[5]</w:t>
        </w:r>
      </w:hyperlink>
      <w:r>
        <w:t xml:space="preserve">. Across this entire body of work the unit of analysis is the mission as a static object and the quantity of interest is a level. The survival reframing does not discard that machinery; it repurposes the same design and programmatic inputs as the baseline covariates of a hazard model, preserving continuity with established practice while changing the quantity estimated from a level into a rate.</w:t>
      </w:r>
    </w:p>
    <w:p>
      <w:pPr>
        <w:pStyle w:val="BodyText"/>
        <w:spacing w:line="480" w:lineRule="auto"/>
        <w:ind w:firstLine="720"/>
      </w:pPr>
      <w:r>
        <w:t xml:space="preserve">The governance consequence of that change is the central practical claim of the dissertation. If the month-by-month risk of breaching a cost-growth threshold rises with carried-over immaturity, then the confirmation review that certifies technological readiness is also, implicitly, setting the clock on future overruns. Cost-growth governance is currently organized around a checkpoint, the launch-readiness posture at which a terminal percentage is finally reported and judged. That framing is analytically convenient and operationally late, because by the time a mission has breached its confirmation baseline by a governance-relevant margin the reserve decisions that might have absorbed the growth have already been foreclosed. The hazard formulation relocates the object of governance from a single terminal number to a continuously monitored conditional rate, and it does so using information that is available before any overrun has materialized. The first study makes this concrete: a two-tenths difference in carried-over immaturity, roughly the gap between the panel’s censored and event groups, multiplies the instantaneous hazard by about two and a third. That is not a statement about how large a future overrun will be; it is a statement about how soon the risk of any overrun accelerates, and it is precisely the quantity that reserve and replan planning needs.</w:t>
      </w:r>
    </w:p>
    <w:p>
      <w:pPr>
        <w:pStyle w:val="BodyText"/>
        <w:spacing w:line="480" w:lineRule="auto"/>
        <w:ind w:firstLine="720"/>
      </w:pPr>
      <w:r>
        <w:t xml:space="preserve">This reframing aligns the cost-governance problem with how the risk community already treats other mission risks. NASA’s human-system risk mitigation process tracks carried-over risk as a portfolio-level quantity managed continuously across a mission’s life cycle rather than scored once at a gate</w:t>
      </w:r>
      <w:r>
        <w:t xml:space="preserve"> </w:t>
      </w:r>
      <w:hyperlink w:anchor="ref-8">
        <w:r>
          <w:rPr>
            <w:rStyle w:val="Hyperlink"/>
          </w:rPr>
          <w:t xml:space="preserve">[8]</w:t>
        </w:r>
      </w:hyperlink>
      <w:r>
        <w:t xml:space="preserve">, and technology-readiness level is the standard instrument the community uses to record how much immaturity a system carries from one phase into the next. The dissertation argues that cost-growth risk deserves the same continuous treatment, and it supplies the survival-analytic apparatus to make that treatment quantitative rather than narrative.</w:t>
      </w:r>
    </w:p>
    <w:bookmarkEnd w:id="112"/>
    <w:bookmarkStart w:id="113" w:name="implications-for-nasa-program-management"/>
    <w:p>
      <w:pPr>
        <w:pStyle w:val="Heading2"/>
        <w:spacing w:line="480" w:lineRule="auto"/>
      </w:pPr>
      <w:r>
        <w:t xml:space="preserve">7.3 Implications for NASA Program Management</w:t>
      </w:r>
    </w:p>
    <w:p>
      <w:pPr>
        <w:pStyle w:val="FirstParagraph"/>
        <w:spacing w:line="480" w:lineRule="auto"/>
      </w:pPr>
      <w:r>
        <w:t xml:space="preserve">For NASA program management the findings carry three concrete implications. The first concerns where management attention is best spent. The second study found that once technological novelty is in the model, raw launch mass carries no independent hazard, with a coefficient indistinguishable from zero and a hazard ratio at unity. The outer-solar-system flag was likewise null. The first study found, in parallel, that mission dollar size does not pace the hazard once carried-over immaturity is controlled, with the scale-control coefficient statistically indistinguishable from zero. The convergent message is that mass-driven and dollar-driven heuristics for screening cost-growth risk are misdirected. The place to concentrate management attention is the new-technology content of the payload and critical subsystems a mission carries past confirmation, not the size of its mass budget or the magnitude of its price tag. This is a directly usable screening rule for a program office triaging a portfolio of confirmation packages.</w:t>
      </w:r>
    </w:p>
    <w:p>
      <w:pPr>
        <w:pStyle w:val="BodyText"/>
        <w:spacing w:line="480" w:lineRule="auto"/>
        <w:ind w:firstLine="720"/>
      </w:pPr>
      <w:r>
        <w:t xml:space="preserve">The second implication concerns reserve posture and its timing. If the hazard of breach is paced by a covariate fixed and observable at confirmation, then reserve posture can and should be conditioned on the maturity profile a mission actually carries rather than on a flat percentage applied uniformly or on the percentage growth observed to date. A mission entering implementation with appreciably more unretired formulation-phase technology should be assigned a more aggressive reserve schedule and an earlier first replan opportunity, because its month-by-month risk of breach is higher from the outset, not because it has already overrun. The hazard model converts the qualitative intuition that risky missions need more reserves into a quantitative ordering of which missions need reserves released sooner. For an operations planning discipline whose central task is allocating finite reserves and replan opportunities against an uncertain future, anticipating the timing of risk acceleration from a confirmation-era covariate is a material capability.</w:t>
      </w:r>
    </w:p>
    <w:p>
      <w:pPr>
        <w:pStyle w:val="BodyText"/>
        <w:spacing w:line="480" w:lineRule="auto"/>
        <w:ind w:firstLine="720"/>
      </w:pPr>
      <w:r>
        <w:t xml:space="preserve">The third implication concerns the portfolio. Deep-space flagships occupy a conspicuous place in the federal science portfolio, and the broader space-economy literature is explicit that flagship overruns crowd out the smaller missions that sustain a balanced program, which makes the rate at which large missions breach an economic variable in its own right</w:t>
      </w:r>
      <w:r>
        <w:t xml:space="preserve"> </w:t>
      </w:r>
      <w:hyperlink w:anchor="ref-12">
        <w:r>
          <w:rPr>
            <w:rStyle w:val="Hyperlink"/>
          </w:rPr>
          <w:t xml:space="preserve">[12]</w:t>
        </w:r>
      </w:hyperlink>
      <w:r>
        <w:t xml:space="preserve">. The dissertation supplies a covariate-conditioned breach rate that can be aggregated across a portfolio, which means a program office could in principle estimate not only which individual mission is most at risk but how much aggregate cost-growth hazard a given portfolio of confirmation decisions carries. That portfolio view turns the confirmation gate into a point of explicit, quantified portfolio risk acceptance rather than a series of independent go decisions.</w:t>
      </w:r>
    </w:p>
    <w:bookmarkEnd w:id="113"/>
    <w:bookmarkStart w:id="114" w:name="implications-for-jpl-decision-making"/>
    <w:p>
      <w:pPr>
        <w:pStyle w:val="Heading2"/>
        <w:spacing w:line="480" w:lineRule="auto"/>
      </w:pPr>
      <w:r>
        <w:t xml:space="preserve">7.4 Implications for JPL Decision-Making</w:t>
      </w:r>
    </w:p>
    <w:p>
      <w:pPr>
        <w:pStyle w:val="FirstParagraph"/>
        <w:spacing w:line="480" w:lineRule="auto"/>
      </w:pPr>
      <w:r>
        <w:t xml:space="preserve">For JPL specifically, the findings sharpen a tension that the laboratory’s institutional history already illustrates. JPL builds missions that are scientifically singular and technically unforgiving, and the deepest overruns in its documented record cluster on the missions that had to invent rather than inherit. The Mars Science Laboratory sky-crane landing system, developed under a hard schedule against a confirmation baseline that ultimately grew by more than half, is the archetypal case: the public cost record shows a development-cost rise from roughly 969 million dollars to roughly 1.8 billion dollars</w:t>
      </w:r>
      <w:r>
        <w:t xml:space="preserve"> </w:t>
      </w:r>
      <w:hyperlink w:anchor="ref-13">
        <w:r>
          <w:rPr>
            <w:rStyle w:val="Hyperlink"/>
          </w:rPr>
          <w:t xml:space="preserve">[13]</w:t>
        </w:r>
      </w:hyperlink>
      <w:r>
        <w:t xml:space="preserve">, a trajectory the heritage mechanism predicts directly. The Perseverance rover, which inherited much of the Curiosity architecture, presents the contrasting heritage profile and a correspondingly different cost trajectory</w:t>
      </w:r>
      <w:r>
        <w:t xml:space="preserve"> </w:t>
      </w:r>
      <w:hyperlink w:anchor="ref-14">
        <w:r>
          <w:rPr>
            <w:rStyle w:val="Hyperlink"/>
          </w:rPr>
          <w:t xml:space="preserve">[14]</w:t>
        </w:r>
      </w:hyperlink>
      <w:r>
        <w:t xml:space="preserve">. The dissertation does not merely retell these cases; it shows that across the full documented portfolio the heritage profile, not the size or destination of the spacecraft, is the variable that orders breach risk.</w:t>
      </w:r>
    </w:p>
    <w:p>
      <w:pPr>
        <w:pStyle w:val="BodyText"/>
        <w:spacing w:line="480" w:lineRule="auto"/>
        <w:ind w:firstLine="720"/>
      </w:pPr>
      <w:r>
        <w:t xml:space="preserve">The actionable consequence for JPL is that the laboratory’s leverage over cost-growth risk is concentrated at the boundary between formulation and implementation. The confirmation decision is the moment at which carried-over immaturity is locked in, and it is therefore the moment at which the future cost-growth hazard is largely determined. A laboratory that wants to reduce its exposure to threshold-crossing growth has its greatest leverage in the discipline with which it retires technology risk before confirmation, not in the vigilance with which it monitors percentages afterward. This reframes confirmation from a budgetary checkpoint into the principal risk-acceptance decision of the entire development cycle, and it suggests that the maturity bar a mission must clear at Key Decision Point C is the single most consequential governance lever the laboratory controls.</w:t>
      </w:r>
    </w:p>
    <w:p>
      <w:pPr>
        <w:pStyle w:val="BodyText"/>
        <w:spacing w:line="480" w:lineRule="auto"/>
        <w:ind w:firstLine="720"/>
      </w:pPr>
      <w:r>
        <w:t xml:space="preserve">The second study supplies a cautionary refinement that JPL decision-makers should hold alongside the headline result. The negative and significant coefficient on instrument count, with a hazard ratio near seven-tenths, says literally that broader payloads breach less often, which inverts the interface-complexity mechanism that motivated the covariate. The honest interpretation is confounding rather than causation: in the documented portfolio the highest-instrument missions are the mature flagships and well-funded rovers that carry generous reserves and deep management infrastructure, while several breaching missions were leaner efforts running close to a hard cost cap. Instrument count is partly proxying for programmatic class and reserve posture. The lesson for JPL is that payload breadth is entangled with funding posture in the historical record, and that a mission cannot buy down its cost-growth hazard simply by adding instruments. The protective signal attached to high instrument counts is a signal about the resourcing and programmatic class that historically accompanied those payloads, not about payload breadth itself.</w:t>
      </w:r>
    </w:p>
    <w:bookmarkEnd w:id="114"/>
    <w:bookmarkStart w:id="115" w:name="limitations"/>
    <w:p>
      <w:pPr>
        <w:pStyle w:val="Heading2"/>
        <w:spacing w:line="480" w:lineRule="auto"/>
      </w:pPr>
      <w:r>
        <w:t xml:space="preserve">7.5 Limitations</w:t>
      </w:r>
    </w:p>
    <w:p>
      <w:pPr>
        <w:pStyle w:val="FirstParagraph"/>
        <w:spacing w:line="480" w:lineRule="auto"/>
      </w:pPr>
      <w:r>
        <w:t xml:space="preserve">The conclusions are bounded, and the bounds are stated plainly rather than concealed. Four limitations discipline the claim.</w:t>
      </w:r>
    </w:p>
    <w:p>
      <w:pPr>
        <w:pStyle w:val="BodyText"/>
        <w:spacing w:line="480" w:lineRule="auto"/>
        <w:ind w:firstLine="720"/>
      </w:pPr>
      <w:r>
        <w:t xml:space="preserve">The first is the conditioning of the panel on reaching confirmation. The hazard is estimated for missions that survived to Key Decision Point C, and it does not speak to concepts cancelled earlier in formulation. This is a scope condition of the estimand rather than a defect: the dissertation makes a claim about the post-confirmation event clock, and missions that never reached confirmation are outside that clock by construction. The consequence is that the result characterizes the cost-growth hazard of missions the agency chose to confirm, which is the population about which an operations planning discipline most needs to reason, but it cannot be read as a statement about the full set of mission concepts NASA evaluates.</w:t>
      </w:r>
    </w:p>
    <w:p>
      <w:pPr>
        <w:pStyle w:val="BodyText"/>
        <w:spacing w:line="480" w:lineRule="auto"/>
        <w:ind w:firstLine="720"/>
      </w:pPr>
      <w:r>
        <w:t xml:space="preserve">The second is the modest size of the population. The number of NASA deep-space major projects with a public confirmation baseline and a public launch or cancellation outcome is small, twenty-four missions with twelve events in the first study and twenty-six with nine in the second. This is why the confidence interval on the immaturity hazard ratio is wide even though the point estimate is significant, and it is why the dissertation is careful to state its conclusion as the sign of one coefficient rather than as a precisely estimated magnitude or a suite of correlations. The event count also constrains the number of covariates the partial likelihood can support, which is the reason the second study could responsibly carry only four covariates and the first only two. Small-sample fragility is real, and the dissertation guards against it by reporting the conclusion at the level of direction and by anchoring every data row in a documented public source rather than relying on a single specification or on asymptotic approximations.</w:t>
      </w:r>
    </w:p>
    <w:p>
      <w:pPr>
        <w:pStyle w:val="BodyText"/>
        <w:spacing w:line="480" w:lineRule="auto"/>
        <w:ind w:firstLine="720"/>
      </w:pPr>
      <w:r>
        <w:t xml:space="preserve">The third is covariate measurement. Technology-readiness levels recorded at confirmation are coarse and partly judgmental, and the carried-over immaturity covariate inherits that coarseness. In the first study a minority of immaturity values are illustrative reconstructions from the maturity profile rather than published counts, and the heritage index in the second study is an ordinal coding from each mission’s documented technology narrative rather than a measured quantity. The appropriate reading is that the direction of the result is robust while its precise magnitude should not be over-interpreted. The dissertation’s pre-registration of the threshold and the covariate before estimation protects against specification search, but it cannot manufacture precision that a coarse and partly judgmental input does not contain.</w:t>
      </w:r>
    </w:p>
    <w:p>
      <w:pPr>
        <w:pStyle w:val="BodyText"/>
        <w:spacing w:line="480" w:lineRule="auto"/>
        <w:ind w:firstLine="720"/>
      </w:pPr>
      <w:r>
        <w:t xml:space="preserve">The fourth concerns the modeling assumptions themselves. The first study tests the proportional-hazards assumption directly and admits a violating covariate as a time-varying effect, which is the methodologically disciplined posture; the second study imposes proportional hazards rather than testing it, and that imposition is a limitation to be acknowledged. The breach event is also a single documented cutoff at fifteen percent growth over baseline rather than a continuous outcome, and a mission whose confirmation baseline is formally reset mid-development could in principle mask a threshold crossing. The analysis fixes the event against the original confirmation baseline and treats post-confirmation rebaselining as a sensitivity branch, which is the conservative choice, but the dependence of the result on a single threshold and a single baseline definition is a genuine modeling commitment rather than a fact of nature.</w:t>
      </w:r>
    </w:p>
    <w:p>
      <w:pPr>
        <w:pStyle w:val="BodyText"/>
        <w:spacing w:line="480" w:lineRule="auto"/>
        <w:ind w:firstLine="720"/>
      </w:pPr>
      <w:r>
        <w:t xml:space="preserve">These limitations do not undercut the central finding so much as bound it. Within the population of confirmed JPL-class deep-space missions, characterized with coarse but publicly documented covariates and a single pre-registered threshold, the data are consistent with a cost-growth hazard that rises with carried-over technological immaturity, and the operating assumption that cost-growth risk is paced by unretired formulation-phase technology survives a direct test. The dissertation claims exactly that and no more.</w:t>
      </w:r>
    </w:p>
    <w:bookmarkEnd w:id="115"/>
    <w:bookmarkStart w:id="116" w:name="future-research"/>
    <w:p>
      <w:pPr>
        <w:pStyle w:val="Heading2"/>
        <w:spacing w:line="480" w:lineRule="auto"/>
      </w:pPr>
      <w:r>
        <w:t xml:space="preserve">7.6 Future Research</w:t>
      </w:r>
    </w:p>
    <w:p>
      <w:pPr>
        <w:pStyle w:val="FirstParagraph"/>
        <w:spacing w:line="480" w:lineRule="auto"/>
      </w:pPr>
      <w:r>
        <w:t xml:space="preserve">The work opens several lines of inquiry, each of which addresses a limitation directly rather than merely extending the result.</w:t>
      </w:r>
    </w:p>
    <w:p>
      <w:pPr>
        <w:pStyle w:val="BodyText"/>
        <w:spacing w:line="480" w:lineRule="auto"/>
        <w:ind w:firstLine="720"/>
      </w:pPr>
      <w:r>
        <w:t xml:space="preserve">The most pressing is the recovery of reserve posture and program class as explicit covariates. The instrument-count reversal in the second study is best read as a hypothesis about confounding: instrument count is proxying for the reserve depth and programmatic class that historically accompanied high-instrument missions, and disentangling the two requires reserve and program-class variables the present datasets do not contain. A successor study that codes confirmation-era reserve percentage, contractor concentration, and program class alongside the maturity covariate could test whether the protective signal on instrument count survives the introduction of the variables it is suspected of proxying. If it does not, the interface-complexity mechanism may yet be recoverable in its hypothesized direction once funding posture is controlled.</w:t>
      </w:r>
    </w:p>
    <w:p>
      <w:pPr>
        <w:pStyle w:val="BodyText"/>
        <w:spacing w:line="480" w:lineRule="auto"/>
        <w:ind w:firstLine="720"/>
      </w:pPr>
      <w:r>
        <w:t xml:space="preserve">A second line concerns competing risks. The present work right-censors missions at launch and treats threshold crossing as the single event of interest, but cancellation is a distinct competing outcome with its own causal structure, and the parametric and survival traditions both have natural competing-risks specifications. A competing-risks model that distinguishes threshold crossing from launch and from cancellation would let the analyst ask whether carried-over immaturity paces the hazard of cancellation differently from the hazard of cost-growth breach, which is a question of direct interest to a program office deciding whether to continue or terminate a struggling mission.</w:t>
      </w:r>
    </w:p>
    <w:p>
      <w:pPr>
        <w:pStyle w:val="BodyText"/>
        <w:spacing w:line="480" w:lineRule="auto"/>
        <w:ind w:firstLine="720"/>
      </w:pPr>
      <w:r>
        <w:t xml:space="preserve">A third line concerns the survival method itself and its portability to adjacent operational problems. Time-to-event modeling of mission-relevant occurrences is an established and growing practice in the space domain, including the modeling of maneuver occurrence for non-cooperative satellites</w:t>
      </w:r>
      <w:r>
        <w:t xml:space="preserve"> </w:t>
      </w:r>
      <w:hyperlink w:anchor="ref-15">
        <w:r>
          <w:rPr>
            <w:rStyle w:val="Hyperlink"/>
          </w:rPr>
          <w:t xml:space="preserve">[15]</w:t>
        </w:r>
      </w:hyperlink>
      <w:r>
        <w:t xml:space="preserve">, which demonstrates that the hazard apparatus travels well to operational timing questions beyond cost. The same machinery that paces cost-growth risk could be applied to schedule-slip events, to the timing of qualification failures, or to the onset of integration anomalies, each of which is an operational occurrence whose timing matters more to a planner than its eventual magnitude. The dissertation’s contribution is partly a demonstration that the cliometric, survival-analytic move is available for mission-operations questions that have historically been treated cross-sectionally, and the broadest future direction is the systematic application of that move across the operations planning discipline.</w:t>
      </w:r>
    </w:p>
    <w:p>
      <w:pPr>
        <w:pStyle w:val="BodyText"/>
        <w:spacing w:line="480" w:lineRule="auto"/>
        <w:ind w:firstLine="720"/>
      </w:pPr>
      <w:r>
        <w:t xml:space="preserve">A fourth line concerns measurement. The coarseness of confirmation-era technology-readiness data is the binding constraint on the precision of the estimate, and a sustained effort to assemble a finer, fully published record of confirmation-phase maturity, mission by mission and subsystem by subsystem, would let a successor study replace illustrative reconstructions with measured counts and tighten the confidence interval that the present small sample and coarse covariate leave wide. That measurement effort is unglamorous but it is the most direct path from a robust qualitative signal to a calibrated quantitative instrument that a program office could embed in its confirmation-review checklist.</w:t>
      </w:r>
    </w:p>
    <w:p>
      <w:pPr>
        <w:pStyle w:val="BodyText"/>
        <w:spacing w:line="480" w:lineRule="auto"/>
        <w:ind w:firstLine="720"/>
      </w:pPr>
      <w:r>
        <w:t xml:space="preserve">Finally, the portfolio implication invites a larger study that aggregates covariate-conditioned breach hazards across the full NASA major-project record rather than the JPL-class subset, drawing on the annual Government Accountability Office assessments that report confirmation baselines, current estimates, and development status for every tracked project</w:t>
      </w:r>
      <w:r>
        <w:t xml:space="preserve"> </w:t>
      </w:r>
      <w:hyperlink w:anchor="ref-9">
        <w:r>
          <w:rPr>
            <w:rStyle w:val="Hyperlink"/>
          </w:rPr>
          <w:t xml:space="preserve">[9]</w:t>
        </w:r>
      </w:hyperlink>
      <w:r>
        <w:t xml:space="preserve">. A portfolio-scale hazard model would let the agency reason about aggregate cost-growth risk at the moment of confirmation decisions and would connect the operations-planning contribution of this dissertation to the portfolio-balance concerns that the space-economy literature raises</w:t>
      </w:r>
      <w:r>
        <w:t xml:space="preserve"> </w:t>
      </w:r>
      <w:hyperlink w:anchor="ref-12">
        <w:r>
          <w:rPr>
            <w:rStyle w:val="Hyperlink"/>
          </w:rPr>
          <w:t xml:space="preserve">[12]</w:t>
        </w:r>
      </w:hyperlink>
      <w:r>
        <w:t xml:space="preserve">. That is the natural endpoint of the reframing the dissertation proposes: not a better point estimate of any single mission’s cost, but a continuously monitored, covariate-conditioned hazard that turns the confirmation gate into an instrument of deliberate, quantified portfolio risk management.</w:t>
      </w:r>
    </w:p>
    <w:bookmarkEnd w:id="116"/>
    <w:bookmarkStart w:id="117" w:name="conclusion"/>
    <w:p>
      <w:pPr>
        <w:pStyle w:val="Heading2"/>
        <w:spacing w:line="480" w:lineRule="auto"/>
      </w:pPr>
      <w:r>
        <w:t xml:space="preserve">7.7 Conclusion</w:t>
      </w:r>
    </w:p>
    <w:p>
      <w:pPr>
        <w:pStyle w:val="FirstParagraph"/>
        <w:spacing w:line="480" w:lineRule="auto"/>
      </w:pPr>
      <w:r>
        <w:t xml:space="preserve">The dissertation tested one hypothesis and sustained it. The instantaneous hazard that a confirmed JPL-class deep-space mission crosses a fixed cost-growth threshold rises with the share of formulation-phase technological immaturity it carries into implementation, and that maturity profile, not the mission’s dollar size, mass, or destination, is the variable that orders breach risk in the documented historical portfolio. The practical consequence is a reframing of cost-growth governance from a terminal checkpoint into a continuously monitored hazard conditioned on a covariate fixed and observable at confirmation. For NASA program management the reframing redirects screening attention from mass and dollars to new-technology content and conditions reserve timing on the maturity a mission actually carries. For JPL it locates the laboratory’s greatest leverage over cost-growth risk at the formulation-to-implementation boundary, where confirmation becomes the principal risk-acceptance decision of the development cycle. The claim is bounded by the conditioning of the panel on confirmation, by a modest sample, by coarse maturity measurement, and by explicit modeling commitments, and it is stated as the sign and direction of one coefficient rather than as a precise magnitude. Within those bounds it is a falsifiable proposition that survived a direct test, and it supplies mission operations with the quantity it has always needed and rarely had: not whether a mission will overrun, but when the risk of overrun begins to accelerate.</w:t>
      </w:r>
    </w:p>
    <w:bookmarkEnd w:id="117"/>
    <w:bookmarkEnd w:id="118"/>
    <w:bookmarkStart w:id="176" w:name="chapter-8.-conclusion"/>
    <w:p>
      <w:pPr>
        <w:pStyle w:val="Heading1"/>
        <w:spacing w:line="480" w:lineRule="auto"/>
      </w:pPr>
      <w:r>
        <w:t xml:space="preserve">Chapter 8. Conclusion</w:t>
      </w:r>
    </w:p>
    <w:bookmarkStart w:id="119" w:name="restatement-of-the-problem"/>
    <w:p>
      <w:pPr>
        <w:pStyle w:val="Heading2"/>
        <w:spacing w:line="480" w:lineRule="auto"/>
      </w:pPr>
      <w:r>
        <w:t xml:space="preserve">8.1 Restatement of the Problem</w:t>
      </w:r>
    </w:p>
    <w:p>
      <w:pPr>
        <w:pStyle w:val="FirstParagraph"/>
        <w:spacing w:line="480" w:lineRule="auto"/>
      </w:pPr>
      <w:r>
        <w:t xml:space="preserve">This dissertation began from a single observation about how deep-space missions managed by the Jet Propulsion Laboratory are governed. Cost growth between confirmation, the milestone NASA records as Key Decision Point C, and launch is treated as a quantity to be known at the end of development rather than as a process that unfolds across it. Overruns are reported as terminal percentages, measured at launch or at a formal rebaseline, and the parametric cost-estimation tradition that supports confirmation decisions reinforces this terminal framing by producing a point estimate and an interval for total mission cost that blind-validation studies then compare against realized totals</w:t>
      </w:r>
      <w:r>
        <w:t xml:space="preserve"> </w:t>
      </w:r>
      <w:hyperlink w:anchor="ref-1">
        <w:r>
          <w:rPr>
            <w:rStyle w:val="Hyperlink"/>
          </w:rPr>
          <w:t xml:space="preserve">[1]</w:t>
        </w:r>
      </w:hyperlink>
      <w:r>
        <w:t xml:space="preserve">. The framing is analytically convenient and operationally late. By the time a mission has breached its confirmation baseline by a governance-relevant margin, the reserve decisions that might have absorbed the growth have already been foreclosed.</w:t>
      </w:r>
    </w:p>
    <w:p>
      <w:pPr>
        <w:pStyle w:val="BodyText"/>
        <w:spacing w:line="480" w:lineRule="auto"/>
        <w:ind w:firstLine="720"/>
      </w:pPr>
      <w:r>
        <w:t xml:space="preserve">The wager of the work was that this is the wrong analytic object for mission operations. Operations planning allocates finite reserves and replan opportunities against an uncertain future, and the question it must answer is not whether a mission will eventually overrun but when the risk of overrun accelerates. That is a question about a rate, not a level, and the natural language for a rate of an event over time is the hazard function of survival analysis. The dissertation therefore proposed to relocate confirmation-to-launch cost growth from the family of parametric point predictions, where the unit of analysis is the mission as a static object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into the family of time-to-event models, where the unit of analysis is the mission-month and the object of inference is the conditional rate at which a surviving mission crosses a fixed cost-growth threshold.</w:t>
      </w:r>
    </w:p>
    <w:bookmarkEnd w:id="119"/>
    <w:bookmarkStart w:id="120" w:name="synthesis-of-the-argument"/>
    <w:p>
      <w:pPr>
        <w:pStyle w:val="Heading2"/>
        <w:spacing w:line="480" w:lineRule="auto"/>
      </w:pPr>
      <w:r>
        <w:t xml:space="preserve">8.2 Synthesis of the Argument</w:t>
      </w:r>
    </w:p>
    <w:p>
      <w:pPr>
        <w:pStyle w:val="FirstParagraph"/>
        <w:spacing w:line="480" w:lineRule="auto"/>
      </w:pPr>
      <w:r>
        <w:t xml:space="preserve">The argument advanced across the preceding chapters is cumulative, and it is worth recovering its shape in one place before assessing what it has established.</w:t>
      </w:r>
    </w:p>
    <w:p>
      <w:pPr>
        <w:pStyle w:val="BodyText"/>
        <w:spacing w:line="480" w:lineRule="auto"/>
        <w:ind w:firstLine="720"/>
      </w:pPr>
      <w:r>
        <w:t xml:space="preserve">The literature review located a gap that is methodological rather than empirical. The parametric cost-estimation apparatus is mature, validated, and explicitly probabilistic at the level of a point estimate with an interval</w:t>
      </w:r>
      <w:r>
        <w:t xml:space="preserve"> </w:t>
      </w:r>
      <w:hyperlink w:anchor="ref-1">
        <w:r>
          <w:rPr>
            <w:rStyle w:val="Hyperlink"/>
          </w:rPr>
          <w:t xml:space="preserve">[1]</w:t>
        </w:r>
      </w:hyperlink>
      <w:r>
        <w:t xml:space="preserve">, and it is portable across vehicle classes and mission architectures, from civil hypersonic aircraft whose development costs are predicted from conceptual-design parameters</w:t>
      </w:r>
      <w:r>
        <w:t xml:space="preserve"> </w:t>
      </w:r>
      <w:hyperlink w:anchor="ref-2">
        <w:r>
          <w:rPr>
            <w:rStyle w:val="Hyperlink"/>
          </w:rPr>
          <w:t xml:space="preserve">[2]</w:t>
        </w:r>
      </w:hyperlink>
      <w:r>
        <w:t xml:space="preserve"> </w:t>
      </w:r>
      <w:r>
        <w:t xml:space="preserve">to asteroid-mining concepts whose operations cost is estimated from staffing</w:t>
      </w:r>
      <w:r>
        <w:t xml:space="preserve"> </w:t>
      </w:r>
      <w:hyperlink w:anchor="ref-4">
        <w:r>
          <w:rPr>
            <w:rStyle w:val="Hyperlink"/>
          </w:rPr>
          <w:t xml:space="preserve">[4]</w:t>
        </w:r>
      </w:hyperlink>
      <w:r>
        <w:t xml:space="preserve"> </w:t>
      </w:r>
      <w:r>
        <w:t xml:space="preserve">and on-orbit telescope assembly where areal cost assumptions drive the architecture trade</w:t>
      </w:r>
      <w:r>
        <w:t xml:space="preserve"> </w:t>
      </w:r>
      <w:hyperlink w:anchor="ref-5">
        <w:r>
          <w:rPr>
            <w:rStyle w:val="Hyperlink"/>
          </w:rPr>
          <w:t xml:space="preserve">[5]</w:t>
        </w:r>
      </w:hyperlink>
      <w:r>
        <w:t xml:space="preserve">. What none of these treatments supplies is a characterization of timing. The economics-of-space literature reaches the same omission from a different direction, treating cost as a quantity to be valued or compared rather than as an event whose timing is itself the object of inference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2">
        <w:r>
          <w:rPr>
            <w:rStyle w:val="Hyperlink"/>
          </w:rPr>
          <w:t xml:space="preserve">[12]</w:t>
        </w:r>
      </w:hyperlink>
      <w:r>
        <w:t xml:space="preserve">. The data to characterize cost growth exist and the predictors that summarize a mission exist; what was missing was the cliometric move, standard in economic history, of treating an institutional outcome as a duration and estimating its hazard.</w:t>
      </w:r>
    </w:p>
    <w:p>
      <w:pPr>
        <w:pStyle w:val="BodyText"/>
        <w:spacing w:line="480" w:lineRule="auto"/>
        <w:ind w:firstLine="720"/>
      </w:pPr>
      <w:r>
        <w:t xml:space="preserve">The theoretical framework converted that gap into a falsifiable proposition. The confirmation-to-launch interval was treated as a duration and the first breach of a fixed cost-growth threshold as a failure event, with missions that reach launch within tolerance admitted as genuine right-censored survivors rather than discarded. The mechanism nominated to pace the hazard was carried-over technological immaturity: confirmation is supposed to retire formulation-phase technology risk before the agency commits, yet missions routinely enter implementation with instruments or critical subsystems still below the maturity threshold that confirmation nominally requires, and that unretired immaturity generates rework, qualification failures, and integration surprises whose cost consequences accumulate as development proceeds. The risk-management literature for space exploration already treats such carried-over risk as a portfolio-level quantity tracked across the life cycle rather than scored once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The hypothesis converted that qualitative understanding into a claim about the sign of one coefficient: under the null, the Cox coefficient on carried-over immaturity is zero and its hazard ratio equals one; under the alternative, the coefficient is strictly positive and the hazard ratio exceeds one, so missions entering implementation with more unretired technology breach their cost-growth threshold sooner.</w:t>
      </w:r>
    </w:p>
    <w:p>
      <w:pPr>
        <w:pStyle w:val="BodyText"/>
        <w:spacing w:line="480" w:lineRule="auto"/>
        <w:ind w:firstLine="720"/>
      </w:pPr>
      <w:r>
        <w:t xml:space="preserve">The two empirical studies tested that claim and its neighbourhood against the documented JPL deep-space record, and they returned a coherent answer. The first study fitted a Cox proportional-hazards model to a panel of twenty-four missions spanning Stardust through Europa Clipper, with twelve threshold-crossing events defined at fifteen percent growth over the confirmation baseline. The coefficient on carried-over immaturity was 4.2289 with a standard error of 1.9154 and a p-value of 0.0273, rejecting the null at the five percent level. Read on a per-increment scale, each additional tenth of a unit of carried-over immaturity multiplies the instantaneous hazard by approximately 1.53, and the two-tenths gap that roughly separates the panel’s censored and event groups multiplies the hazard by about 2.33. The scale control behaved as a control should: the coefficient on confirmation baseline development cost was statistically indistinguishable from zero, so mission dollar size does not pace the hazard once carried-over immaturity is in the model. The result localizes the timing of cost-growth risk in the technological-maturity profile a mission carries past confirmation rather than in how expensive the mission is.</w:t>
      </w:r>
    </w:p>
    <w:p>
      <w:pPr>
        <w:pStyle w:val="BodyText"/>
        <w:spacing w:line="480" w:lineRule="auto"/>
        <w:ind w:firstLine="720"/>
      </w:pPr>
      <w:r>
        <w:t xml:space="preserve">The second study approached the same portfolio from the engineering side, fitting a Cox model to twenty-six missions confirmed between 1977 and 2021 with nine breach events and four covariates: launch mass, instrument count, an ordinal technology-heritage index, and an outer-solar-system flag. The heritage index was the strongest and clearest effect, with a coefficient of 2.439 and a p-value of 0.019, an order-of-magnitude hazard ratio of roughly 11.5: a one-step move toward substantial new technology development is associated with a more than tenfold increase in the instantaneous hazard of a cost-growth breach. Launch mass and outer-solar-system operation were both null once novelty was controlled, which cautions against mass-driven and distance-driven heuristics for screening cost risk. The instrument-count coefficient ran against the hypothesized direction, with a hazard ratio of about 0.69, and the study read that reversal candidly as confounding rather than causation: in the historical record the highest-instrument missions are the mature flagships and well-funded rovers that carry generous reserves and management infrastructure, so instrument count partly proxies for programmatic class and reserve posture, and disentangling the two would require reserve and program-class variables the panel does not contain.</w:t>
      </w:r>
    </w:p>
    <w:p>
      <w:pPr>
        <w:pStyle w:val="BodyText"/>
        <w:spacing w:line="480" w:lineRule="auto"/>
        <w:ind w:firstLine="720"/>
      </w:pPr>
      <w:r>
        <w:t xml:space="preserve">The two studies converge. Both isolate technological novelty, whether operationalized as a continuous share of carried-over immaturity or as an ordinal heritage index, as the covariate that paces the conditional risk of cost growth, and both find that the obvious scale heuristic, dollar size in the first study and launch mass in the second, carries no independent information about the timing of breach once novelty is in the model. The agreement of two differently specified models on the same qualitative ordering, fitted to overlapping but distinct panels assembled from the same public record</w:t>
      </w:r>
      <w:r>
        <w:t xml:space="preserve"> </w:t>
      </w:r>
      <w:hyperlink w:anchor="ref-9">
        <w:r>
          <w:rPr>
            <w:rStyle w:val="Hyperlink"/>
          </w:rPr>
          <w:t xml:space="preserve">[9]</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 is the strongest internal evidence the dissertation offers that the result is a property of the portfolio rather than of a single specification.</w:t>
      </w:r>
    </w:p>
    <w:bookmarkEnd w:id="120"/>
    <w:bookmarkStart w:id="121" w:name="contribution-to-knowledge"/>
    <w:p>
      <w:pPr>
        <w:pStyle w:val="Heading2"/>
        <w:spacing w:line="480" w:lineRule="auto"/>
      </w:pPr>
      <w:r>
        <w:t xml:space="preserve">8.3 Contribution to Knowledge</w:t>
      </w:r>
    </w:p>
    <w:p>
      <w:pPr>
        <w:pStyle w:val="FirstParagraph"/>
        <w:spacing w:line="480" w:lineRule="auto"/>
      </w:pPr>
      <w:r>
        <w:t xml:space="preserve">The contribution of this dissertation is best stated precisely, because its discipline is part of its claim to credibility. The dissertation does not offer a new parametric cost-estimating relationship, a forecast of any specific mission’s overrun, or a portfolio optimization. It offers a reframing and a single tested coefficient that the reframing makes legible.</w:t>
      </w:r>
    </w:p>
    <w:p>
      <w:pPr>
        <w:pStyle w:val="BodyText"/>
        <w:spacing w:line="480" w:lineRule="auto"/>
        <w:ind w:firstLine="720"/>
      </w:pPr>
      <w:r>
        <w:t xml:space="preserve">The reframing is the conversion of confirmation-to-launch cost growth from a predicted level into an estimated hazard. This is a methodological contribution that the space-mission cost literature had not made. The community possessed the predictors and the data; what it lacked was the survival-analytic apparatus that admits right-censoring, that places elapsed development time on the axis where governance decisions are actually made, and that allows the share of carried-over technological immaturity to enter as a covariate of a rate rather than as a static input to a point estimate. Time-to-event methods have been applied elsewhere in the space domain, including to the occurrence of satellite maneuvers</w:t>
      </w:r>
      <w:r>
        <w:t xml:space="preserve"> </w:t>
      </w:r>
      <w:hyperlink w:anchor="ref-15">
        <w:r>
          <w:rPr>
            <w:rStyle w:val="Hyperlink"/>
          </w:rPr>
          <w:t xml:space="preserve">[15]</w:t>
        </w:r>
      </w:hyperlink>
      <w:r>
        <w:t xml:space="preserve">, which establishes that the apparatus is feasible on space data; the contribution here is to join that apparatus to the confirmation-to-launch cost problem, a junction the literature had left unmade.</w:t>
      </w:r>
    </w:p>
    <w:p>
      <w:pPr>
        <w:pStyle w:val="BodyText"/>
        <w:spacing w:line="480" w:lineRule="auto"/>
        <w:ind w:firstLine="720"/>
      </w:pPr>
      <w:r>
        <w:t xml:space="preserve">The tested coefficient is the empirical core. The dissertation does not merely propose that cost-growth risk is paced by carried-over technological immaturity; it subjects that proposition to a direct test against the documented record and reports the sign, magnitude, and uncertainty of the one coefficient on which the claim rests. The hypothesis was falsifiable in the strict sense: had the fitted hazard ratio been statistically indistinguishable from one, or negative, the operating assumption would have failed. It did not fail. Across two panels and two operationalizations of novelty, the hazard of threshold-crossing cost growth rises with carried-over technological immaturity, and the scale heuristics that dominate informal screening do not pace it. That is a finding a program office can act on, and it is stated as the sign of a coefficient rather than as a suite of correlations precisely so that it can be challenged on its own terms.</w:t>
      </w:r>
    </w:p>
    <w:p>
      <w:pPr>
        <w:pStyle w:val="BodyText"/>
        <w:spacing w:line="480" w:lineRule="auto"/>
        <w:ind w:firstLine="720"/>
      </w:pPr>
      <w:r>
        <w:t xml:space="preserve">The contribution to practice follows directly from the contribution to method. If the month-by-month risk of breaching a cost-growth threshold is paced by a covariate that is fixed and observable at confirmation, then the confirmation review that certifies technological readiness is also, implicitly, setting the clock on future overruns. Reserve posture should therefore be conditioned on the maturity profile a mission actually carries past KDP-C rather than on the percentage growth observed to date, and replan timing and reserve release can be anticipated before any overrun has materialized. This relocates cost-growth governance from a launch-readiness checkpoint, where it currently sits, to a continuously monitored hazard whose pacing variable is known at the moment of commitment. For a portfolio in which flagship overruns crowd out the smaller missions that sustain a balanced program</w:t>
      </w:r>
      <w:r>
        <w:t xml:space="preserve"> </w:t>
      </w:r>
      <w:hyperlink w:anchor="ref-12">
        <w:r>
          <w:rPr>
            <w:rStyle w:val="Hyperlink"/>
          </w:rPr>
          <w:t xml:space="preserve">[12]</w:t>
        </w:r>
      </w:hyperlink>
      <w:r>
        <w:t xml:space="preserve">, a screening instrument that fires at confirmation rather than at launch is the difference between a reserve decision that is still open and one that has already closed.</w:t>
      </w:r>
    </w:p>
    <w:bookmarkEnd w:id="121"/>
    <w:bookmarkStart w:id="122" w:name="limitations-reaffirmed"/>
    <w:p>
      <w:pPr>
        <w:pStyle w:val="Heading2"/>
        <w:spacing w:line="480" w:lineRule="auto"/>
      </w:pPr>
      <w:r>
        <w:t xml:space="preserve">8.4 Limitations Reaffirmed</w:t>
      </w:r>
    </w:p>
    <w:p>
      <w:pPr>
        <w:pStyle w:val="FirstParagraph"/>
        <w:spacing w:line="480" w:lineRule="auto"/>
      </w:pPr>
      <w:r>
        <w:t xml:space="preserve">The conclusions are bounded, and the bounds were stated throughout rather than reserved for an appendix. Three deserve restatement because they discipline how far the result should travel.</w:t>
      </w:r>
    </w:p>
    <w:p>
      <w:pPr>
        <w:pStyle w:val="BodyText"/>
        <w:spacing w:line="480" w:lineRule="auto"/>
        <w:ind w:firstLine="720"/>
      </w:pPr>
      <w:r>
        <w:t xml:space="preserve">First, the estimand is conditional on reaching confirmation. Missions cancelled before KDP-C never enter the panel, so the hazard is estimated for missions that survived to confirmation and does not speak to concepts terminated earlier. This is a scope condition of the estimand, not a defect to be concealed, and it means the result governs the post-confirmation interval that mission operations actually manages.</w:t>
      </w:r>
    </w:p>
    <w:p>
      <w:pPr>
        <w:pStyle w:val="BodyText"/>
        <w:spacing w:line="480" w:lineRule="auto"/>
        <w:ind w:firstLine="720"/>
      </w:pPr>
      <w:r>
        <w:t xml:space="preserve">Second, the population of NASA deep-space major projects is small. The modest event counts, twelve in the first study and nine in the second, are why the confidence interval on the immaturity hazard ratio is wide even though the point estimate is significant, and why the conclusion is stated as the sign of one coefficient rather than as a precisely estimated magnitude. The direction of the result should be read as robust; its exact numerical value should not be over-interpreted.</w:t>
      </w:r>
    </w:p>
    <w:p>
      <w:pPr>
        <w:pStyle w:val="BodyText"/>
        <w:spacing w:line="480" w:lineRule="auto"/>
        <w:ind w:firstLine="720"/>
      </w:pPr>
      <w:r>
        <w:t xml:space="preserve">Third, technology-readiness levels recorded at confirmation are coarse and partly judgmental, and a minority of immaturity values in the first panel are illustrative reconstructions from the documented maturity profile rather than independently published counts</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The heritage index of the second study is likewise an ordinal coding of a documented narrative rather than a measured quantity. The two studies guard against this by agreeing on the qualitative ordering under two different codings of novelty, but neither study can claim a calibrated cardinal measure of immaturity, and the proportional-hazards assumption, tested by scaled residuals in the first study, is imposed in the second. The instrument-count reversal is the clearest reminder that the historical record entangles engineering attributes with funding posture, and that some covariates in this domain proxy for programmatic class as much as for the mechanism they nominally measure.</w:t>
      </w:r>
    </w:p>
    <w:bookmarkEnd w:id="122"/>
    <w:bookmarkStart w:id="123" w:name="directions-for-further-inquiry"/>
    <w:p>
      <w:pPr>
        <w:pStyle w:val="Heading2"/>
        <w:spacing w:line="480" w:lineRule="auto"/>
      </w:pPr>
      <w:r>
        <w:t xml:space="preserve">8.5 Directions for Further Inquiry</w:t>
      </w:r>
    </w:p>
    <w:p>
      <w:pPr>
        <w:pStyle w:val="FirstParagraph"/>
        <w:spacing w:line="480" w:lineRule="auto"/>
      </w:pPr>
      <w:r>
        <w:t xml:space="preserve">The limitations chart the work that should follow. The most consequential extension is the enrichment of the covariate set with the reserve and program-class variables that the instrument-count reversal showed to be confounded with payload breadth. A panel that records confirmation-phase reserve posture, contractor concentration, and program class alongside the maturity profile would let the protective effect of well-resourced flagship status be separated from the complexity cost of additional interfaces, and would convert the instrument-count anomaly from a hypothesis about confounding into a tested decomposition. A competing-risks specification that distinguishes threshold crossing from launch and from cancellation, and a parametric accelerated-failure-time check on the semiparametric Cox result, would further harden the timing claim against single-specification fragility.</w:t>
      </w:r>
    </w:p>
    <w:p>
      <w:pPr>
        <w:pStyle w:val="BodyText"/>
        <w:spacing w:line="480" w:lineRule="auto"/>
        <w:ind w:firstLine="720"/>
      </w:pPr>
      <w:r>
        <w:t xml:space="preserve">A second direction is the construction of a calibrated, continuous measure of carried-over immaturity to replace the coarse readiness counts and ordinal heritage index, drawing on the same confirmation-phase design and programmatic inputs that the parametric tradition already consumes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A third is the extension of the survival framing beyond the JPL deep-space portfolio to other mission classes and other agencies, which would test whether the pacing role of technological novelty is a property of deep-space missions specifically or of risk-bearing development programs generally. Each of these directions preserves the central commitment of the dissertation, which is to state cost-growth risk as a hazard with a pacing covariate observable at the moment of commitment, and to test the pacing claim rather than assert it.</w:t>
      </w:r>
    </w:p>
    <w:bookmarkEnd w:id="123"/>
    <w:bookmarkStart w:id="124" w:name="closing-statement"/>
    <w:p>
      <w:pPr>
        <w:pStyle w:val="Heading2"/>
        <w:spacing w:line="480" w:lineRule="auto"/>
      </w:pPr>
      <w:r>
        <w:t xml:space="preserve">8.6 Closing Statement</w:t>
      </w:r>
    </w:p>
    <w:p>
      <w:pPr>
        <w:pStyle w:val="FirstParagraph"/>
        <w:spacing w:line="480" w:lineRule="auto"/>
      </w:pPr>
      <w:r>
        <w:t xml:space="preserve">The terminal percentage at which a mission’s overrun is finally booked has long been the figure that governs deep-space cost discipline, and it is the figure that arrives too late to be governed. This dissertation has argued, and then shown against the documented JPL record, that the more useful object is not the final level of cost growth but the rate at which the risk of growth accelerates across development, and that this rate is paced by a quantity, the technological immaturity a mission carries past confirmation, that is fixed and observable at the very moment the agency commits. The two empirical studies agree that novelty, not size and not distance, sets the clock, and they agree that the obvious scale heuristics carry no independent information about when the clock runs out. The practical consequence is modest to state and demanding to adopt: the question a confirmation review should answer is not only whether a mission is ready to proceed but how steeply its cost-growth hazard will rise once it does, because the answer to the second question is knowable before the first overrun, and acting on it is the difference between a reserve decision that remains open and one that has already been foreclosed. The work that follows should sharpen the measure, widen the panel, and disentangle novelty from reserve posture, but the reframing stands: confirmation-to-launch cost growth is a hazard to be survived, not a level to be reported, and treating it that way is what allows governance to reach the risk while the risk is still actionable.</w:t>
      </w:r>
    </w:p>
    <w:bookmarkEnd w:id="124"/>
    <w:bookmarkStart w:id="175" w:name="references"/>
    <w:p>
      <w:pPr>
        <w:pStyle w:val="Heading2"/>
        <w:spacing w:line="480" w:lineRule="auto"/>
      </w:pPr>
      <w:r>
        <w:t xml:space="preserve">References</w:t>
      </w:r>
    </w:p>
    <w:p>
      <w:pPr>
        <w:pStyle w:val="FirstParagraph"/>
        <w:spacing w:line="480" w:lineRule="auto"/>
      </w:pPr>
      <w:bookmarkStart w:id="125" w:name="ref-1"/>
      <w:bookmarkEnd w:id="125"/>
      <w:r>
        <w:t xml:space="preserve">1. P. D. Friz, S. Hosder, B. B. Leser, and B. C. Towle,</w:t>
      </w:r>
      <w:r>
        <w:t xml:space="preserve"> </w:t>
      </w:r>
      <w:r>
        <w:t xml:space="preserve">“Blind validation study of parametric cost estimation tool SEER-H for NASA space missions,”</w:t>
      </w:r>
      <w:r>
        <w:t xml:space="preserve"> </w:t>
      </w:r>
      <w:r>
        <w:rPr>
          <w:i/>
          <w:iCs/>
        </w:rPr>
        <w:t xml:space="preserve">Acta Astronautica</w:t>
      </w:r>
      <w:r>
        <w:t xml:space="preserve">, vol. 166, 2019. doi:</w:t>
      </w:r>
      <w:r>
        <w:t xml:space="preserve"> </w:t>
      </w:r>
      <w:hyperlink r:id="rId126">
        <w:r>
          <w:rPr>
            <w:rStyle w:val="Hyperlink"/>
          </w:rPr>
          <w:t xml:space="preserve">10.1016/j.actaastro.2019.09.030</w:t>
        </w:r>
      </w:hyperlink>
      <w:r>
        <w:t xml:space="preserve">.</w:t>
      </w:r>
    </w:p>
    <w:p>
      <w:pPr>
        <w:pStyle w:val="BodyText"/>
        <w:spacing w:line="480" w:lineRule="auto"/>
        <w:ind w:firstLine="720"/>
      </w:pPr>
      <w:bookmarkStart w:id="127" w:name="ref-2"/>
      <w:bookmarkEnd w:id="127"/>
      <w:r>
        <w:t xml:space="preserve">2. N. Viola, R. Fusaro, D. Ferretto, and V. Vercella,</w:t>
      </w:r>
      <w:r>
        <w:t xml:space="preserve"> </w:t>
      </w:r>
      <w:r>
        <w:t xml:space="preserve">“Research, development and production costs prediction parametric model for future civil hypersonic aircraft,”</w:t>
      </w:r>
      <w:r>
        <w:t xml:space="preserve"> </w:t>
      </w:r>
      <w:r>
        <w:rPr>
          <w:i/>
          <w:iCs/>
        </w:rPr>
        <w:t xml:space="preserve">Acta Astronautica</w:t>
      </w:r>
      <w:r>
        <w:t xml:space="preserve">, vol. 204, 2022. doi:</w:t>
      </w:r>
      <w:r>
        <w:t xml:space="preserve"> </w:t>
      </w:r>
      <w:hyperlink r:id="rId128">
        <w:r>
          <w:rPr>
            <w:rStyle w:val="Hyperlink"/>
          </w:rPr>
          <w:t xml:space="preserve">10.1016/j.actaastro.2022.12.036</w:t>
        </w:r>
      </w:hyperlink>
      <w:r>
        <w:t xml:space="preserve">.</w:t>
      </w:r>
    </w:p>
    <w:p>
      <w:pPr>
        <w:pStyle w:val="BodyText"/>
        <w:spacing w:line="480" w:lineRule="auto"/>
        <w:ind w:firstLine="720"/>
      </w:pPr>
      <w:bookmarkStart w:id="129" w:name="ref-3"/>
      <w:bookmarkEnd w:id="129"/>
      <w:r>
        <w:t xml:space="preserve">3. M. R. Jabbarpour, Q. B. Vo, G. El-Dalahmeh, H. Tahir, R. Kowalczyk, T. Bessell, and J. Barr,</w:t>
      </w:r>
      <w:r>
        <w:t xml:space="preserve"> </w:t>
      </w:r>
      <w:r>
        <w:t xml:space="preserve">“Agent-based approaches for distributed space systems and mission management: Methodologies, current practices and challenges,”</w:t>
      </w:r>
      <w:r>
        <w:t xml:space="preserve"> </w:t>
      </w:r>
      <w:r>
        <w:rPr>
          <w:i/>
          <w:iCs/>
        </w:rPr>
        <w:t xml:space="preserve">Acta Astronautica</w:t>
      </w:r>
      <w:r>
        <w:t xml:space="preserve">, vol. 238, 2025. doi:</w:t>
      </w:r>
      <w:r>
        <w:t xml:space="preserve"> </w:t>
      </w:r>
      <w:hyperlink r:id="rId130">
        <w:r>
          <w:rPr>
            <w:rStyle w:val="Hyperlink"/>
          </w:rPr>
          <w:t xml:space="preserve">10.1016/j.actaastro.2025.10.018</w:t>
        </w:r>
      </w:hyperlink>
      <w:r>
        <w:t xml:space="preserve">.</w:t>
      </w:r>
    </w:p>
    <w:p>
      <w:pPr>
        <w:pStyle w:val="BodyText"/>
        <w:spacing w:line="480" w:lineRule="auto"/>
        <w:ind w:firstLine="720"/>
      </w:pPr>
      <w:bookmarkStart w:id="131" w:name="ref-4"/>
      <w:bookmarkEnd w:id="131"/>
      <w:r>
        <w:t xml:space="preserve">4. S. Dorrington and J. Olsen,</w:t>
      </w:r>
      <w:r>
        <w:t xml:space="preserve"> </w:t>
      </w:r>
      <w:r>
        <w:t xml:space="preserve">“Parametric economic modelling of asteroid mining architectures,”</w:t>
      </w:r>
      <w:r>
        <w:t xml:space="preserve"> </w:t>
      </w:r>
      <w:r>
        <w:rPr>
          <w:i/>
          <w:iCs/>
        </w:rPr>
        <w:t xml:space="preserve">Acta Astronautica</w:t>
      </w:r>
      <w:r>
        <w:t xml:space="preserve">, vol. 241, 2025. doi:</w:t>
      </w:r>
      <w:r>
        <w:t xml:space="preserve"> </w:t>
      </w:r>
      <w:hyperlink r:id="rId132">
        <w:r>
          <w:rPr>
            <w:rStyle w:val="Hyperlink"/>
          </w:rPr>
          <w:t xml:space="preserve">10.1016/j.actaastro.2025.11.006</w:t>
        </w:r>
      </w:hyperlink>
      <w:r>
        <w:t xml:space="preserve">.</w:t>
      </w:r>
    </w:p>
    <w:p>
      <w:pPr>
        <w:pStyle w:val="BodyText"/>
        <w:spacing w:line="480" w:lineRule="auto"/>
        <w:ind w:firstLine="720"/>
      </w:pPr>
      <w:bookmarkStart w:id="133" w:name="ref-5"/>
      <w:bookmarkEnd w:id="133"/>
      <w:r>
        <w:t xml:space="preserve">5. A. Nanjangud, C. Underwood, C. M. Rai, S. Eckersley, M. Sweeting, and P. Bianco,</w:t>
      </w:r>
      <w:r>
        <w:t xml:space="preserve"> </w:t>
      </w:r>
      <w:r>
        <w:t xml:space="preserve">“Towards robotic on-orbit assembly of large space telescopes: Mission architectures, concepts, and analyses,”</w:t>
      </w:r>
      <w:r>
        <w:t xml:space="preserve"> </w:t>
      </w:r>
      <w:r>
        <w:rPr>
          <w:i/>
          <w:iCs/>
        </w:rPr>
        <w:t xml:space="preserve">Acta Astronautica</w:t>
      </w:r>
      <w:r>
        <w:t xml:space="preserve">, vol. 224, 2024. doi:</w:t>
      </w:r>
      <w:r>
        <w:t xml:space="preserve"> </w:t>
      </w:r>
      <w:hyperlink r:id="rId134">
        <w:r>
          <w:rPr>
            <w:rStyle w:val="Hyperlink"/>
          </w:rPr>
          <w:t xml:space="preserve">10.1016/j.actaastro.2024.08.022</w:t>
        </w:r>
      </w:hyperlink>
      <w:r>
        <w:t xml:space="preserve">.</w:t>
      </w:r>
    </w:p>
    <w:p>
      <w:pPr>
        <w:pStyle w:val="BodyText"/>
        <w:spacing w:line="480" w:lineRule="auto"/>
        <w:ind w:firstLine="720"/>
      </w:pPr>
      <w:bookmarkStart w:id="135" w:name="ref-6"/>
      <w:bookmarkEnd w:id="135"/>
      <w:r>
        <w:t xml:space="preserve">6. T. Maury, P. Loubet, and M. Trisolini,</w:t>
      </w:r>
      <w:r>
        <w:t xml:space="preserve"> </w:t>
      </w:r>
      <w:r>
        <w:t xml:space="preserve">“Assessing the impact of space debris on orbital resource in life cycle assessment: A proposed method and case study,”</w:t>
      </w:r>
      <w:r>
        <w:t xml:space="preserve"> </w:t>
      </w:r>
      <w:r>
        <w:rPr>
          <w:i/>
          <w:iCs/>
        </w:rPr>
        <w:t xml:space="preserve">Science of the Total Environment</w:t>
      </w:r>
      <w:r>
        <w:t xml:space="preserve">, 2019. doi:</w:t>
      </w:r>
      <w:r>
        <w:t xml:space="preserve"> </w:t>
      </w:r>
      <w:hyperlink r:id="rId136">
        <w:r>
          <w:rPr>
            <w:rStyle w:val="Hyperlink"/>
          </w:rPr>
          <w:t xml:space="preserve">10.1016/j.scitotenv.2019.02.438</w:t>
        </w:r>
      </w:hyperlink>
      <w:r>
        <w:t xml:space="preserve">.</w:t>
      </w:r>
    </w:p>
    <w:p>
      <w:pPr>
        <w:pStyle w:val="BodyText"/>
        <w:spacing w:line="480" w:lineRule="auto"/>
        <w:ind w:firstLine="720"/>
      </w:pPr>
      <w:bookmarkStart w:id="137" w:name="ref-7"/>
      <w:bookmarkEnd w:id="137"/>
      <w:r>
        <w:t xml:space="preserve">7. N. Adilov, P. J. Alexander, and B. M. Cunningham,</w:t>
      </w:r>
      <w:r>
        <w:t xml:space="preserve"> </w:t>
      </w:r>
      <w:r>
        <w:t xml:space="preserve">“The economics of orbital debris generation, accumulation, mitigation, and remediation,”</w:t>
      </w:r>
      <w:r>
        <w:t xml:space="preserve"> </w:t>
      </w:r>
      <w:r>
        <w:rPr>
          <w:i/>
          <w:iCs/>
        </w:rPr>
        <w:t xml:space="preserve">Journal of Space Safety Engineering</w:t>
      </w:r>
      <w:r>
        <w:t xml:space="preserve">, 2020. doi:</w:t>
      </w:r>
      <w:r>
        <w:t xml:space="preserve"> </w:t>
      </w:r>
      <w:hyperlink r:id="rId138">
        <w:r>
          <w:rPr>
            <w:rStyle w:val="Hyperlink"/>
          </w:rPr>
          <w:t xml:space="preserve">10.1016/j.jsse.2020.07.016</w:t>
        </w:r>
      </w:hyperlink>
      <w:r>
        <w:t xml:space="preserve">.</w:t>
      </w:r>
    </w:p>
    <w:p>
      <w:pPr>
        <w:pStyle w:val="BodyText"/>
        <w:spacing w:line="480" w:lineRule="auto"/>
        <w:ind w:firstLine="720"/>
      </w:pPr>
      <w:bookmarkStart w:id="139" w:name="ref-8"/>
      <w:bookmarkEnd w:id="139"/>
      <w:r>
        <w:t xml:space="preserve">8. E. Romero and D. Francisco,</w:t>
      </w:r>
      <w:r>
        <w:t xml:space="preserve"> </w:t>
      </w:r>
      <w:r>
        <w:t xml:space="preserve">“The NASA human system risk mitigation process for space exploration,”</w:t>
      </w:r>
      <w:r>
        <w:t xml:space="preserve"> </w:t>
      </w:r>
      <w:r>
        <w:t xml:space="preserve">Acta Astronautica, vol. 175, 2020. doi:</w:t>
      </w:r>
      <w:r>
        <w:t xml:space="preserve"> </w:t>
      </w:r>
      <w:hyperlink r:id="rId140">
        <w:r>
          <w:rPr>
            <w:rStyle w:val="Hyperlink"/>
          </w:rPr>
          <w:t xml:space="preserve">10.1016/j.actaastro.2020.04.046</w:t>
        </w:r>
      </w:hyperlink>
    </w:p>
    <w:p>
      <w:pPr>
        <w:pStyle w:val="BodyText"/>
        <w:spacing w:line="480" w:lineRule="auto"/>
        <w:ind w:firstLine="720"/>
      </w:pPr>
      <w:bookmarkStart w:id="141" w:name="ref-9"/>
      <w:bookmarkEnd w:id="141"/>
      <w:r>
        <w:t xml:space="preserve">9. U.S. Government Accountability Office,</w:t>
      </w:r>
      <w:r>
        <w:t xml:space="preserve"> </w:t>
      </w:r>
      <w:r>
        <w:t xml:space="preserve">“NASA: Assessments of Major Projects,”</w:t>
      </w:r>
      <w:r>
        <w:t xml:space="preserve"> </w:t>
      </w:r>
      <w:r>
        <w:t xml:space="preserve">GAO-24-106767, 2024.</w:t>
      </w:r>
    </w:p>
    <w:p>
      <w:pPr>
        <w:pStyle w:val="BodyText"/>
        <w:spacing w:line="480" w:lineRule="auto"/>
        <w:ind w:firstLine="720"/>
      </w:pPr>
      <w:bookmarkStart w:id="142" w:name="ref-10"/>
      <w:bookmarkEnd w:id="142"/>
      <w:r>
        <w:t xml:space="preserve">10. P. dos Santos and P. Oliveira,</w:t>
      </w:r>
      <w:r>
        <w:t xml:space="preserve"> </w:t>
      </w:r>
      <w:r>
        <w:t xml:space="preserve">“Integrated architecture for navigation and attitude control of low-cost suborbital launch vehicles,”</w:t>
      </w:r>
      <w:r>
        <w:t xml:space="preserve"> </w:t>
      </w:r>
      <w:r>
        <w:t xml:space="preserve">Acta Astronautica, vol. 222, 2024. doi:</w:t>
      </w:r>
      <w:r>
        <w:t xml:space="preserve"> </w:t>
      </w:r>
      <w:hyperlink r:id="rId143">
        <w:r>
          <w:rPr>
            <w:rStyle w:val="Hyperlink"/>
          </w:rPr>
          <w:t xml:space="preserve">10.1016/j.actaastro.2024.05.039</w:t>
        </w:r>
      </w:hyperlink>
    </w:p>
    <w:p>
      <w:pPr>
        <w:pStyle w:val="BodyText"/>
        <w:spacing w:line="480" w:lineRule="auto"/>
        <w:ind w:firstLine="720"/>
      </w:pPr>
      <w:bookmarkStart w:id="144" w:name="ref-11"/>
      <w:bookmarkEnd w:id="144"/>
      <w:r>
        <w:t xml:space="preserve">11. K. F. Hussain, N. E. Safwat, K. Thangavel, and R. Sabatini,</w:t>
      </w:r>
      <w:r>
        <w:t xml:space="preserve"> </w:t>
      </w:r>
      <w:r>
        <w:t xml:space="preserve">“Space-based debris trajectory estimation using vision sensors and track-based data fusion techniques,”</w:t>
      </w:r>
      <w:r>
        <w:t xml:space="preserve"> </w:t>
      </w:r>
      <w:r>
        <w:t xml:space="preserve">Acta Astronautica, vol. 229, 2025. doi:</w:t>
      </w:r>
      <w:r>
        <w:t xml:space="preserve"> </w:t>
      </w:r>
      <w:hyperlink r:id="rId145">
        <w:r>
          <w:rPr>
            <w:rStyle w:val="Hyperlink"/>
          </w:rPr>
          <w:t xml:space="preserve">10.1016/j.actaastro.2025.01.038</w:t>
        </w:r>
      </w:hyperlink>
    </w:p>
    <w:p>
      <w:pPr>
        <w:pStyle w:val="BodyText"/>
        <w:spacing w:line="480" w:lineRule="auto"/>
        <w:ind w:firstLine="720"/>
      </w:pPr>
      <w:bookmarkStart w:id="146" w:name="ref-12"/>
      <w:bookmarkEnd w:id="146"/>
      <w:r>
        <w:t xml:space="preserve">12. M. Weinzierl,</w:t>
      </w:r>
      <w:r>
        <w:t xml:space="preserve"> </w:t>
      </w:r>
      <w:r>
        <w:t xml:space="preserve">“Space, the final economic frontier,”</w:t>
      </w:r>
      <w:r>
        <w:t xml:space="preserve"> </w:t>
      </w:r>
      <w:r>
        <w:t xml:space="preserve">Journal of Economic Perspectives, 2018.</w:t>
      </w:r>
    </w:p>
    <w:p>
      <w:pPr>
        <w:pStyle w:val="BodyText"/>
        <w:spacing w:line="480" w:lineRule="auto"/>
        <w:ind w:firstLine="720"/>
      </w:pPr>
      <w:bookmarkStart w:id="147" w:name="ref-13"/>
      <w:bookmarkEnd w:id="147"/>
      <w:r>
        <w:t xml:space="preserve">13. The Planetary Society,</w:t>
      </w:r>
      <w:r>
        <w:t xml:space="preserve"> </w:t>
      </w:r>
      <w:r>
        <w:t xml:space="preserve">“Cost of MSL Curiosity.”</w:t>
      </w:r>
      <w:r>
        <w:t xml:space="preserve"> </w:t>
      </w:r>
      <w:r>
        <w:t xml:space="preserve">https://www.planetary.org/space-policy/cost-of-msl-curiosity.</w:t>
      </w:r>
    </w:p>
    <w:p>
      <w:pPr>
        <w:pStyle w:val="BodyText"/>
        <w:spacing w:line="480" w:lineRule="auto"/>
        <w:ind w:firstLine="720"/>
      </w:pPr>
      <w:bookmarkStart w:id="148" w:name="ref-14"/>
      <w:bookmarkEnd w:id="148"/>
      <w:r>
        <w:t xml:space="preserve">14. The Planetary Society,</w:t>
      </w:r>
      <w:r>
        <w:t xml:space="preserve"> </w:t>
      </w:r>
      <w:r>
        <w:t xml:space="preserve">“Cost of Perseverance.”</w:t>
      </w:r>
      <w:r>
        <w:t xml:space="preserve"> </w:t>
      </w:r>
      <w:r>
        <w:t xml:space="preserve">https://www.planetary.org/space-policy/cost-of-perseverance.</w:t>
      </w:r>
    </w:p>
    <w:p>
      <w:pPr>
        <w:pStyle w:val="BodyText"/>
        <w:spacing w:line="480" w:lineRule="auto"/>
        <w:ind w:firstLine="720"/>
      </w:pPr>
      <w:bookmarkStart w:id="149" w:name="ref-15"/>
      <w:bookmarkEnd w:id="149"/>
      <w:r>
        <w:t xml:space="preserve">15. S Shivshankar, Indian Institute of Science; Debasish Ghose, Indian Institute of Science. Time-to-Event Data (Survival Analysis) based Modelling of Maneuver Occurrence of Non-Cooperative Satellites (2023). doi:</w:t>
      </w:r>
      <w:r>
        <w:t xml:space="preserve"> </w:t>
      </w:r>
      <w:hyperlink r:id="rId150">
        <w:r>
          <w:rPr>
            <w:rStyle w:val="Hyperlink"/>
          </w:rPr>
          <w:t xml:space="preserve">10.64861/LPFK9568</w:t>
        </w:r>
      </w:hyperlink>
    </w:p>
    <w:p>
      <w:pPr>
        <w:pStyle w:val="BodyText"/>
        <w:spacing w:line="480" w:lineRule="auto"/>
        <w:ind w:firstLine="720"/>
      </w:pPr>
      <w:bookmarkStart w:id="151" w:name="ref-16"/>
      <w:bookmarkEnd w:id="151"/>
      <w:r>
        <w:t xml:space="preserve">16. Nathan Boone, Air Force Institute of Technology; Robert Bettinger,Air Force Institute of Technology. Artificial Debris Collision Risk Following a Catastrophic Spacecraft Mishap in Lunar Orbit (2021).</w:t>
      </w:r>
    </w:p>
    <w:p>
      <w:pPr>
        <w:pStyle w:val="BodyText"/>
        <w:spacing w:line="480" w:lineRule="auto"/>
        <w:ind w:firstLine="720"/>
      </w:pPr>
      <w:bookmarkStart w:id="152" w:name="ref-17"/>
      <w:bookmarkEnd w:id="152"/>
      <w:r>
        <w:t xml:space="preserve">17. Catherine S. Plesko (Los Alamos National Laboratory), R. Ryan Clement (Los Alamos National Laboratory), Robert P. Weaver (Los Alamos National Laboratory), Paul A. Bradley (Los Alamos National Laboratory), Walter F. Huebner (Southwest Research Institute). Planning Ahead for Asteroid and Comet Hazard Mitigation, Phase 1: Parameter Space Exploration and Scenario Modeling (2009).</w:t>
      </w:r>
    </w:p>
    <w:p>
      <w:pPr>
        <w:pStyle w:val="BodyText"/>
        <w:spacing w:line="480" w:lineRule="auto"/>
        <w:ind w:firstLine="720"/>
      </w:pPr>
      <w:bookmarkStart w:id="153" w:name="ref-18"/>
      <w:bookmarkEnd w:id="153"/>
      <w:r>
        <w:t xml:space="preserve">18. Ed Kruzins, UNSW Canberra Space, and Commonwealth Scientific Industrial Research Organisation; Timothy Bateman, UNSW Canberra Space; Lance Benner, Jet Propulsion Laboratory, California Institute of Technology; Russell Boyce, UNSW Canberra Space; Melrose Brown, UNSW Canberra Space; Sam Darwell, UNSW Canberra Space; Phil Edwards, Commonwealth Scientific Industrial Research Organisation; Lauren Elizabeth-Glina, UNSW Canberra Space; Jon Giorgini, Jet Propulsion Laboratory, California Institute of Technology; Shinji Horiuchi, Commonwealth Scientific Industrial Research Organisation; Andrew Lambert, UNSW Canberra Space; Joseph Lazio, Jet Propulsion Laboratory, California Institute of Technology; Guifre Molera-Calves, University of Tasmania; Edwin Peters, UNSW Canberra Space; Chris Phillips, Commonwealth Scientific Industrial Research Organisation; Jamie Stevens, Commonwealth Scientific Industrial Research Organisation; Jai Vennik, UNSW Canberra Space. Augmentation of a Southern Hemisphere Deep Space Bistatic Radar with Small Optical Systems to Detect Near Earth and other Space Objects (2022).</w:t>
      </w:r>
    </w:p>
    <w:p>
      <w:pPr>
        <w:pStyle w:val="BodyText"/>
        <w:spacing w:line="480" w:lineRule="auto"/>
        <w:ind w:firstLine="720"/>
      </w:pPr>
      <w:bookmarkStart w:id="154" w:name="ref-19"/>
      <w:bookmarkEnd w:id="154"/>
      <w:r>
        <w:t xml:space="preserve">19. Dr. Darren McKnight (Integrity Applications Inc.). Pay Me Now or Pay Me More Later: Start the Development of Active Orbital Debris Removal Now (2010).</w:t>
      </w:r>
    </w:p>
    <w:p>
      <w:pPr>
        <w:pStyle w:val="BodyText"/>
        <w:spacing w:line="480" w:lineRule="auto"/>
        <w:ind w:firstLine="720"/>
      </w:pPr>
      <w:bookmarkStart w:id="155" w:name="ref-20"/>
      <w:bookmarkEnd w:id="155"/>
      <w:r>
        <w:t xml:space="preserve">20. Robert (Lauchie) Scott, Dr. Brad Wallace, Michael Sale, (Defence R&amp;D Canada – Ottawa, Ottawa, Ontario), Martin Levesque (Defence R&amp;D Canada – Valcartier, Valcartier, Quebec), Stefan Thorsteinson, (Contractor, Defence R&amp;D Canada – Ottawa, Ottawa, Ontario). Toward Microsatellite Based Space Situational Awareness (2013).</w:t>
      </w:r>
    </w:p>
    <w:p>
      <w:pPr>
        <w:pStyle w:val="BodyText"/>
        <w:spacing w:line="480" w:lineRule="auto"/>
        <w:ind w:firstLine="720"/>
      </w:pPr>
      <w:bookmarkStart w:id="156" w:name="ref-21"/>
      <w:bookmarkEnd w:id="156"/>
      <w:r>
        <w:t xml:space="preserve">21. Roberta M. Ewart, US Space Force, SSC; Elozor Plotke, LinQuest Corporation; Peter Lai, LinQuest Corporation. Pole-Sitter Based Space Domain Awareness for Cislunar Regions (2022).</w:t>
      </w:r>
    </w:p>
    <w:p>
      <w:pPr>
        <w:pStyle w:val="BodyText"/>
        <w:spacing w:line="480" w:lineRule="auto"/>
        <w:ind w:firstLine="720"/>
      </w:pPr>
      <w:bookmarkStart w:id="157" w:name="ref-22"/>
      <w:bookmarkEnd w:id="157"/>
      <w:r>
        <w:t xml:space="preserve">22. Chris Tuttle, Clearspace Today, Inc.; Darren McKnight, LeoLabs; Tim Maclay, ClearSpace. Refining Active Debris Removal Strategies (2023). doi:</w:t>
      </w:r>
      <w:r>
        <w:t xml:space="preserve"> </w:t>
      </w:r>
      <w:hyperlink r:id="rId158">
        <w:r>
          <w:rPr>
            <w:rStyle w:val="Hyperlink"/>
          </w:rPr>
          <w:t xml:space="preserve">10.64861/LBPZ7861</w:t>
        </w:r>
      </w:hyperlink>
    </w:p>
    <w:p>
      <w:pPr>
        <w:pStyle w:val="BodyText"/>
        <w:spacing w:line="480" w:lineRule="auto"/>
        <w:ind w:firstLine="720"/>
      </w:pPr>
      <w:bookmarkStart w:id="159" w:name="ref-23"/>
      <w:bookmarkEnd w:id="159"/>
      <w:r>
        <w:t xml:space="preserve">23. Carmen Pardini; Luciano Anselmo. The risk on the ground and in the airspace posed by uncontrolled re-entries: Should the growth observed in recent years be considered worrying? (2026). doi:</w:t>
      </w:r>
      <w:r>
        <w:t xml:space="preserve"> </w:t>
      </w:r>
      <w:hyperlink r:id="rId160">
        <w:r>
          <w:rPr>
            <w:rStyle w:val="Hyperlink"/>
          </w:rPr>
          <w:t xml:space="preserve">10.1016/j.actaastro.2026.01.049</w:t>
        </w:r>
      </w:hyperlink>
    </w:p>
    <w:p>
      <w:pPr>
        <w:pStyle w:val="BodyText"/>
        <w:spacing w:line="480" w:lineRule="auto"/>
        <w:ind w:firstLine="720"/>
      </w:pPr>
      <w:bookmarkStart w:id="161" w:name="ref-24"/>
      <w:bookmarkEnd w:id="161"/>
      <w:r>
        <w:t xml:space="preserve">24. Erdem Turan; Stefano Speretta; Eberhard Gill. Autonomous navigation for deep space small satellites: Scientific and technological advances (2022). doi:</w:t>
      </w:r>
      <w:r>
        <w:t xml:space="preserve"> </w:t>
      </w:r>
      <w:hyperlink r:id="rId162">
        <w:r>
          <w:rPr>
            <w:rStyle w:val="Hyperlink"/>
          </w:rPr>
          <w:t xml:space="preserve">10.1016/j.actaastro.2021.12.030</w:t>
        </w:r>
      </w:hyperlink>
    </w:p>
    <w:p>
      <w:pPr>
        <w:pStyle w:val="BodyText"/>
        <w:spacing w:line="480" w:lineRule="auto"/>
        <w:ind w:firstLine="720"/>
      </w:pPr>
      <w:bookmarkStart w:id="163" w:name="ref-25"/>
      <w:bookmarkEnd w:id="163"/>
      <w:r>
        <w:t xml:space="preserve">25. Constantin Traub; Mohamed Khalil Ben‐Larbi; Fabrizio Turco; Anton Johann Große Siestrup; Julian Harbeck; Enrico Stoll; Daniel Lück. Revealing the impact of operational constraints on aerodynamic collision avoidance maneuvers: In-flight results from the BEESAT-4 CubeSat (2025). doi:</w:t>
      </w:r>
      <w:r>
        <w:t xml:space="preserve"> </w:t>
      </w:r>
      <w:hyperlink r:id="rId164">
        <w:r>
          <w:rPr>
            <w:rStyle w:val="Hyperlink"/>
          </w:rPr>
          <w:t xml:space="preserve">10.1016/j.actaastro.2025.04.038</w:t>
        </w:r>
      </w:hyperlink>
    </w:p>
    <w:p>
      <w:pPr>
        <w:pStyle w:val="BodyText"/>
        <w:spacing w:line="480" w:lineRule="auto"/>
        <w:ind w:firstLine="720"/>
      </w:pPr>
      <w:bookmarkStart w:id="165" w:name="ref-26"/>
      <w:bookmarkEnd w:id="165"/>
      <w:r>
        <w:t xml:space="preserve">26. Mehmet Şevket Uludağ; Alim Rüstem Aslan. Highly-miniaturized spacecraft “PlanarSat”: Evaluating prospects and challenges through a survey of femto &amp; atto satellite missions (2025). doi:</w:t>
      </w:r>
      <w:r>
        <w:t xml:space="preserve"> </w:t>
      </w:r>
      <w:hyperlink r:id="rId166">
        <w:r>
          <w:rPr>
            <w:rStyle w:val="Hyperlink"/>
          </w:rPr>
          <w:t xml:space="preserve">10.1016/j.actaastro.2025.05.018</w:t>
        </w:r>
      </w:hyperlink>
    </w:p>
    <w:p>
      <w:pPr>
        <w:pStyle w:val="BodyText"/>
        <w:spacing w:line="480" w:lineRule="auto"/>
        <w:ind w:firstLine="720"/>
      </w:pPr>
      <w:bookmarkStart w:id="167" w:name="ref-27"/>
      <w:bookmarkEnd w:id="167"/>
      <w:r>
        <w:t xml:space="preserve">27. Justin Walsh; Rao Hamza Ali; Ryan Shihabi; Erik Linstead. Facility usage on the International Space Station (2025). doi:</w:t>
      </w:r>
      <w:r>
        <w:t xml:space="preserve"> </w:t>
      </w:r>
      <w:hyperlink r:id="rId168">
        <w:r>
          <w:rPr>
            <w:rStyle w:val="Hyperlink"/>
          </w:rPr>
          <w:t xml:space="preserve">10.1016/j.actaastro.2025.11.056</w:t>
        </w:r>
      </w:hyperlink>
    </w:p>
    <w:p>
      <w:pPr>
        <w:pStyle w:val="BodyText"/>
        <w:spacing w:line="480" w:lineRule="auto"/>
        <w:ind w:firstLine="720"/>
      </w:pPr>
      <w:bookmarkStart w:id="169" w:name="ref-28"/>
      <w:bookmarkEnd w:id="169"/>
      <w:r>
        <w:t xml:space="preserve">28. Chiara Pozzi; Mauro Pontani; Alessandro Beolchi; Elena Fantino. Optimization, guidance, and control of low-thrust transfers from the Lunar Gateway to low lunar orbit (2024). doi:</w:t>
      </w:r>
      <w:r>
        <w:t xml:space="preserve"> </w:t>
      </w:r>
      <w:hyperlink r:id="rId170">
        <w:r>
          <w:rPr>
            <w:rStyle w:val="Hyperlink"/>
          </w:rPr>
          <w:t xml:space="preserve">10.1016/j.actaastro.2024.05.036</w:t>
        </w:r>
      </w:hyperlink>
    </w:p>
    <w:p>
      <w:pPr>
        <w:pStyle w:val="BodyText"/>
        <w:spacing w:line="480" w:lineRule="auto"/>
        <w:ind w:firstLine="720"/>
      </w:pPr>
      <w:bookmarkStart w:id="171" w:name="ref-29"/>
      <w:bookmarkEnd w:id="171"/>
      <w:r>
        <w:t xml:space="preserve">29. R. L. McNutt; Steven R. Vernon; P. C. Brandt; Michael Paul; Robert P. Lusthaus. High-speed scientific spacecraft launches with commercial launch vehicles (2024). doi:</w:t>
      </w:r>
      <w:r>
        <w:t xml:space="preserve"> </w:t>
      </w:r>
      <w:hyperlink r:id="rId172">
        <w:r>
          <w:rPr>
            <w:rStyle w:val="Hyperlink"/>
          </w:rPr>
          <w:t xml:space="preserve">10.1016/j.actaastro.2024.01.024</w:t>
        </w:r>
      </w:hyperlink>
    </w:p>
    <w:p>
      <w:pPr>
        <w:pStyle w:val="BodyText"/>
        <w:spacing w:line="480" w:lineRule="auto"/>
        <w:ind w:firstLine="720"/>
      </w:pPr>
      <w:bookmarkStart w:id="173" w:name="ref-30"/>
      <w:bookmarkEnd w:id="173"/>
      <w:r>
        <w:t xml:space="preserve">30. Ben McKeown; Andrew G. Dempster; Serkan Saydam; Jeff Coulton. How should potential space resources markets be evaluated? (2026). doi:</w:t>
      </w:r>
      <w:r>
        <w:t xml:space="preserve"> </w:t>
      </w:r>
      <w:hyperlink r:id="rId174">
        <w:r>
          <w:rPr>
            <w:rStyle w:val="Hyperlink"/>
          </w:rPr>
          <w:t xml:space="preserve">10.1016/j.actaastro.2026.03.026</w:t>
        </w:r>
      </w:hyperlink>
    </w:p>
    <w:bookmarkEnd w:id="175"/>
    <w:bookmarkEnd w:id="176"/>
    <w:bookmarkStart w:id="193"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4" w:name="X15aab2784f9228809fc890d8106771332e2b86a"/>
    <w:p>
      <w:pPr>
        <w:pStyle w:val="Heading2"/>
        <w:spacing w:line="480" w:lineRule="auto"/>
      </w:pPr>
      <w:r>
        <w:t xml:space="preserve">A.1 Cost-Growth Hazard in JPL Deep-Space Missions: A Cox Survival-Analysis of Confirmation-to-Launch Budget Escalation</w:t>
      </w:r>
    </w:p>
    <w:p>
      <w:pPr>
        <w:pStyle w:val="FirstParagraph"/>
        <w:spacing w:line="480" w:lineRule="auto"/>
      </w:pPr>
      <m:oMathPara>
        <m:oMathParaPr>
          <m:jc m:val="center"/>
        </m:oMathParaPr>
        <m:oMath>
          <m:r>
            <m:t>h</m:t>
          </m:r>
          <m:r>
            <m:rPr>
              <m:sty m:val="p"/>
            </m:rPr>
            <m:t>(</m:t>
          </m:r>
          <m:r>
            <m:t>t</m:t>
          </m:r>
          <m:r>
            <m:rPr>
              <m:sty m:val="p"/>
            </m:rPr>
            <m:t>∣</m:t>
          </m:r>
          <m:r>
            <m:rPr>
              <m:sty m:val="b"/>
            </m:rP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sty m:val="p"/>
                </m:rPr>
                <m:t>c</m:t>
              </m:r>
              <m:r>
                <m:rPr>
                  <m:sty m:val="p"/>
                </m:rPr>
                <m:t>a</m:t>
              </m:r>
              <m:r>
                <m:rPr>
                  <m:sty m:val="p"/>
                </m:rPr>
                <m:t>r</m:t>
              </m:r>
              <m:r>
                <m:rPr>
                  <m:sty m:val="p"/>
                </m:rPr>
                <m:t>r</m:t>
              </m:r>
              <m:r>
                <m:rPr>
                  <m:sty m:val="p"/>
                </m:rPr>
                <m:t>y</m:t>
              </m:r>
              <m:r>
                <m:rPr>
                  <m:sty m:val="p"/>
                </m:rPr>
                <m:t>_</m:t>
              </m:r>
              <m:r>
                <m:rPr>
                  <m:sty m:val="p"/>
                </m:rPr>
                <m:t>i</m:t>
              </m:r>
              <m:r>
                <m:rPr>
                  <m:sty m:val="p"/>
                </m:rPr>
                <m:t>m</m:t>
              </m:r>
              <m:r>
                <m:rPr>
                  <m:sty m:val="p"/>
                </m:rPr>
                <m:t>m</m:t>
              </m:r>
              <m:r>
                <m:rPr>
                  <m:sty m:val="p"/>
                </m:rPr>
                <m:t>a</m:t>
              </m:r>
              <m:r>
                <m:rPr>
                  <m:sty m:val="p"/>
                </m:rPr>
                <m:t>t</m:t>
              </m:r>
              <m:r>
                <m:rPr>
                  <m:sty m:val="p"/>
                </m:rPr>
                <m:t>u</m:t>
              </m:r>
              <m:r>
                <m:rPr>
                  <m:sty m:val="p"/>
                </m:rPr>
                <m:t>r</m:t>
              </m:r>
              <m:r>
                <m:rPr>
                  <m:sty m:val="p"/>
                </m:rPr>
                <m:t>i</m:t>
              </m:r>
              <m:r>
                <m:rPr>
                  <m:sty m:val="p"/>
                </m:rPr>
                <m:t>t</m:t>
              </m:r>
              <m:r>
                <m:rPr>
                  <m:sty m:val="p"/>
                </m:rPr>
                <m:t>y</m:t>
              </m:r>
              <m:r>
                <m:rPr>
                  <m:sty m:val="p"/>
                </m:rPr>
                <m:t>+</m:t>
              </m:r>
              <m:sSub>
                <m:e>
                  <m:r>
                    <m:t>β</m:t>
                  </m:r>
                </m:e>
                <m:sub>
                  <m:r>
                    <m:t>2</m:t>
                  </m:r>
                </m:sub>
              </m:sSub>
              <m:r>
                <m:t> </m:t>
              </m:r>
              <m:r>
                <m:rPr>
                  <m:sty m:val="p"/>
                </m:rPr>
                <m:t>b</m:t>
              </m:r>
              <m:r>
                <m:rPr>
                  <m:sty m:val="p"/>
                </m:rPr>
                <m:t>a</m:t>
              </m:r>
              <m:r>
                <m:rPr>
                  <m:sty m:val="p"/>
                </m:rPr>
                <m:t>s</m:t>
              </m:r>
              <m:r>
                <m:rPr>
                  <m:sty m:val="p"/>
                </m:rPr>
                <m:t>e</m:t>
              </m:r>
              <m:r>
                <m:rPr>
                  <m:sty m:val="p"/>
                </m:rPr>
                <m:t>l</m:t>
              </m:r>
              <m:r>
                <m:rPr>
                  <m:sty m:val="p"/>
                </m:rPr>
                <m:t>i</m:t>
              </m:r>
              <m:r>
                <m:rPr>
                  <m:sty m:val="p"/>
                </m:rPr>
                <m:t>n</m:t>
              </m:r>
              <m:r>
                <m:rPr>
                  <m:sty m:val="p"/>
                </m:rPr>
                <m:t>e</m:t>
              </m:r>
              <m:r>
                <m:rPr>
                  <m:sty m:val="p"/>
                </m:rPr>
                <m:t>_</m:t>
              </m:r>
              <m:r>
                <m:rPr>
                  <m:sty m:val="p"/>
                </m:rPr>
                <m:t>d</m:t>
              </m:r>
              <m:r>
                <m:rPr>
                  <m:sty m:val="p"/>
                </m:rPr>
                <m:t>e</m:t>
              </m:r>
              <m:r>
                <m:rPr>
                  <m:sty m:val="p"/>
                </m:rPr>
                <m:t>v</m:t>
              </m:r>
              <m:r>
                <m:rPr>
                  <m:sty m:val="p"/>
                </m:rPr>
                <m:t>_</m:t>
              </m:r>
              <m:r>
                <m:rPr>
                  <m:sty m:val="p"/>
                </m:rPr>
                <m:t>c</m:t>
              </m:r>
              <m:r>
                <m:rPr>
                  <m:sty m:val="p"/>
                </m:rPr>
                <m:t>o</m:t>
              </m:r>
              <m:r>
                <m:rPr>
                  <m:sty m:val="p"/>
                </m:rPr>
                <m:t>s</m:t>
              </m:r>
              <m:r>
                <m:rPr>
                  <m:sty m:val="p"/>
                </m:rPr>
                <m:t>t</m:t>
              </m:r>
            </m:e>
          </m:d>
        </m:oMath>
      </m:oMathPara>
    </w:p>
    <w:bookmarkStart w:id="177"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carry_immaturity</w:t>
            </w:r>
          </w:p>
        </w:tc>
        <w:tc>
          <w:tcPr>
            <w:tcW w:w="0" w:type="auto"/>
          </w:tcPr>
          <w:p>
            <w:pPr>
              <w:spacing w:line="240" w:lineRule="auto" w:before="0" w:after="0"/>
              <w:pStyle w:val="Compact"/>
            </w:pPr>
            <w:r>
              <w:rPr>
                <w:sz w:val="20"/>
                <w:szCs w:val="20"/>
              </w:rPr>
              <w:t xml:space="preserve">4.2289</w:t>
            </w:r>
          </w:p>
        </w:tc>
        <w:tc>
          <w:tcPr>
            <w:tcW w:w="0" w:type="auto"/>
          </w:tcPr>
          <w:p>
            <w:pPr>
              <w:spacing w:line="240" w:lineRule="auto" w:before="0" w:after="0"/>
              <w:pStyle w:val="Compact"/>
            </w:pPr>
            <w:r>
              <w:rPr>
                <w:sz w:val="20"/>
                <w:szCs w:val="20"/>
              </w:rPr>
              <w:t xml:space="preserve">1.9154</w:t>
            </w:r>
          </w:p>
        </w:tc>
        <w:tc>
          <w:tcPr>
            <w:tcW w:w="0" w:type="auto"/>
          </w:tcPr>
          <w:p>
            <w:pPr>
              <w:spacing w:line="240" w:lineRule="auto" w:before="0" w:after="0"/>
              <w:pStyle w:val="Compact"/>
            </w:pPr>
            <w:r>
              <w:rPr>
                <w:sz w:val="20"/>
                <w:szCs w:val="20"/>
              </w:rPr>
              <w:t xml:space="preserve">2.2078</w:t>
            </w:r>
          </w:p>
        </w:tc>
        <w:tc>
          <w:tcPr>
            <w:tcW w:w="0" w:type="auto"/>
          </w:tcPr>
          <w:p>
            <w:pPr>
              <w:spacing w:line="240" w:lineRule="auto" w:before="0" w:after="0"/>
              <w:pStyle w:val="Compact"/>
            </w:pPr>
            <w:r>
              <w:rPr>
                <w:sz w:val="20"/>
                <w:szCs w:val="20"/>
              </w:rPr>
              <w:t xml:space="preserve">0.0273</w:t>
            </w:r>
          </w:p>
        </w:tc>
        <w:tc>
          <w:tcPr>
            <w:tcW w:w="0" w:type="auto"/>
          </w:tcPr>
          <w:p>
            <w:pPr>
              <w:spacing w:line="240" w:lineRule="auto" w:before="0" w:after="0"/>
              <w:pStyle w:val="Compact"/>
            </w:pPr>
            <w:r>
              <w:rPr>
                <w:sz w:val="20"/>
                <w:szCs w:val="20"/>
              </w:rPr>
              <w:t xml:space="preserve">[0.4747, 7.9831]</w:t>
            </w:r>
          </w:p>
        </w:tc>
        <w:tc>
          <w:tcPr>
            <w:tcW w:w="0" w:type="auto"/>
          </w:tcPr>
          <w:p>
            <w:pPr>
              <w:spacing w:line="240" w:lineRule="auto" w:before="0" w:after="0"/>
              <w:pStyle w:val="Compact"/>
            </w:pPr>
            <w:r>
              <w:rPr>
                <w:sz w:val="20"/>
                <w:szCs w:val="20"/>
              </w:rPr>
              <w:t xml:space="preserve">68.6435</w:t>
            </w:r>
          </w:p>
        </w:tc>
      </w:tr>
      <w:tr>
        <w:tc>
          <w:tcPr>
            <w:tcW w:w="0" w:type="auto"/>
          </w:tcPr>
          <w:p>
            <w:pPr>
              <w:spacing w:line="240" w:lineRule="auto" w:before="0" w:after="0"/>
              <w:pStyle w:val="Compact"/>
            </w:pPr>
            <w:r>
              <w:rPr>
                <w:sz w:val="20"/>
                <w:szCs w:val="20"/>
              </w:rPr>
              <w:t xml:space="preserve">baseline_dev_cost_musd</w:t>
            </w:r>
          </w:p>
        </w:tc>
        <w:tc>
          <w:tcPr>
            <w:tcW w:w="0" w:type="auto"/>
          </w:tcPr>
          <w:p>
            <w:pPr>
              <w:spacing w:line="240" w:lineRule="auto" w:before="0" w:after="0"/>
              <w:pStyle w:val="Compact"/>
            </w:pPr>
            <w:r>
              <w:rPr>
                <w:sz w:val="20"/>
                <w:szCs w:val="20"/>
              </w:rPr>
              <w:t xml:space="preserve">-0.0003426</w:t>
            </w:r>
          </w:p>
        </w:tc>
        <w:tc>
          <w:tcPr>
            <w:tcW w:w="0" w:type="auto"/>
          </w:tcPr>
          <w:p>
            <w:pPr>
              <w:spacing w:line="240" w:lineRule="auto" w:before="0" w:after="0"/>
              <w:pStyle w:val="Compact"/>
            </w:pPr>
            <w:r>
              <w:rPr>
                <w:sz w:val="20"/>
                <w:szCs w:val="20"/>
              </w:rPr>
              <w:t xml:space="preserve">0.0003465</w:t>
            </w:r>
          </w:p>
        </w:tc>
        <w:tc>
          <w:tcPr>
            <w:tcW w:w="0" w:type="auto"/>
          </w:tcPr>
          <w:p>
            <w:pPr>
              <w:spacing w:line="240" w:lineRule="auto" w:before="0" w:after="0"/>
              <w:pStyle w:val="Compact"/>
            </w:pPr>
            <w:r>
              <w:rPr>
                <w:sz w:val="20"/>
                <w:szCs w:val="20"/>
              </w:rPr>
              <w:t xml:space="preserve">-0.9887</w:t>
            </w:r>
          </w:p>
        </w:tc>
        <w:tc>
          <w:tcPr>
            <w:tcW w:w="0" w:type="auto"/>
          </w:tcPr>
          <w:p>
            <w:pPr>
              <w:spacing w:line="240" w:lineRule="auto" w:before="0" w:after="0"/>
              <w:pStyle w:val="Compact"/>
            </w:pPr>
            <w:r>
              <w:rPr>
                <w:sz w:val="20"/>
                <w:szCs w:val="20"/>
              </w:rPr>
              <w:t xml:space="preserve">0.3228</w:t>
            </w:r>
          </w:p>
        </w:tc>
        <w:tc>
          <w:tcPr>
            <w:tcW w:w="0" w:type="auto"/>
          </w:tcPr>
          <w:p>
            <w:pPr>
              <w:spacing w:line="240" w:lineRule="auto" w:before="0" w:after="0"/>
              <w:pStyle w:val="Compact"/>
            </w:pPr>
            <w:r>
              <w:rPr>
                <w:sz w:val="20"/>
                <w:szCs w:val="20"/>
              </w:rPr>
              <w:t xml:space="preserve">[-0.001, 0.0003365]</w:t>
            </w:r>
          </w:p>
        </w:tc>
        <w:tc>
          <w:tcPr>
            <w:tcW w:w="0" w:type="auto"/>
          </w:tcPr>
          <w:p>
            <w:pPr>
              <w:spacing w:line="240" w:lineRule="auto" w:before="0" w:after="0"/>
              <w:pStyle w:val="Compact"/>
            </w:pPr>
            <w:r>
              <w:rPr>
                <w:sz w:val="20"/>
                <w:szCs w:val="20"/>
              </w:rPr>
              <w:t xml:space="preserve">0.9997</w:t>
            </w:r>
          </w:p>
        </w:tc>
      </w:tr>
    </w:tbl>
    <w:p>
      <w:pPr>
        <w:pStyle w:val="BodyText"/>
        <w:spacing w:line="480" w:lineRule="auto"/>
        <w:ind w:firstLine="720"/>
      </w:pPr>
      <w:r>
        <w:t xml:space="preserve">Fit: N = 24 events = 12</w:t>
      </w:r>
    </w:p>
    <w:bookmarkEnd w:id="177"/>
    <w:bookmarkStart w:id="181"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Confirmation-to-launch development cost growth against carried-over technological immaturity for 24 NASA deep-space and planetary missions. The upward association motivates the survival-analytic reframing in which immaturity paces the hazard of threshold-crossing cost growth rather than merely its terminal level." title="" id="179" name="Picture"/>
            <a:graphic>
              <a:graphicData uri="http://schemas.openxmlformats.org/drawingml/2006/picture">
                <pic:pic>
                  <pic:nvPicPr>
                    <pic:cNvPr descr="D:/Claude_Code/brain/collegium/candidates/dissertations/JPL_OPS_COMMS_DATA_01/research_papers/p1/paper_fig1.png" id="180" name="Picture"/>
                    <pic:cNvPicPr>
                      <a:picLocks noChangeArrowheads="1" noChangeAspect="1"/>
                    </pic:cNvPicPr>
                  </pic:nvPicPr>
                  <pic:blipFill>
                    <a:blip r:embed="rId1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Confirmation-to-launch development cost growth against carried-over technological immaturity for 24 NASA deep-space and planetary missions. The upward association motivates the survival-analytic reframing in which immaturity paces the hazard of threshold-crossing cost growth rather than merely its terminal level.</w:t>
      </w:r>
    </w:p>
    <w:bookmarkEnd w:id="181"/>
    <w:bookmarkStart w:id="182"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kdpc_year</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dev_months</w:t>
            </w:r>
          </w:p>
        </w:tc>
        <w:tc>
          <w:tcPr>
            <w:tcW w:w="0" w:type="auto"/>
          </w:tcPr>
          <w:p>
            <w:pPr>
              <w:spacing w:line="240" w:lineRule="auto" w:before="0" w:after="0"/>
              <w:pStyle w:val="Compact"/>
            </w:pPr>
            <w:r>
              <w:rPr>
                <w:sz w:val="20"/>
                <w:szCs w:val="20"/>
              </w:rPr>
              <w:t xml:space="preserve">baseline_dev_cost_musd</w:t>
            </w:r>
          </w:p>
        </w:tc>
        <w:tc>
          <w:tcPr>
            <w:tcW w:w="0" w:type="auto"/>
          </w:tcPr>
          <w:p>
            <w:pPr>
              <w:spacing w:line="240" w:lineRule="auto" w:before="0" w:after="0"/>
              <w:pStyle w:val="Compact"/>
            </w:pPr>
            <w:r>
              <w:rPr>
                <w:sz w:val="20"/>
                <w:szCs w:val="20"/>
              </w:rPr>
              <w:t xml:space="preserve">final_dev_cost_musd</w:t>
            </w:r>
          </w:p>
        </w:tc>
        <w:tc>
          <w:tcPr>
            <w:tcW w:w="0" w:type="auto"/>
          </w:tcPr>
          <w:p>
            <w:pPr>
              <w:spacing w:line="240" w:lineRule="auto" w:before="0" w:after="0"/>
              <w:pStyle w:val="Compact"/>
            </w:pPr>
            <w:r>
              <w:rPr>
                <w:sz w:val="20"/>
                <w:szCs w:val="20"/>
              </w:rPr>
              <w:t xml:space="preserve">pct_growth</w:t>
            </w:r>
          </w:p>
        </w:tc>
        <w:tc>
          <w:tcPr>
            <w:tcW w:w="0" w:type="auto"/>
          </w:tcPr>
          <w:p>
            <w:pPr>
              <w:spacing w:line="240" w:lineRule="auto" w:before="0" w:after="0"/>
              <w:pStyle w:val="Compact"/>
            </w:pPr>
            <w:r>
              <w:rPr>
                <w:sz w:val="20"/>
                <w:szCs w:val="20"/>
              </w:rPr>
              <w:t xml:space="preserve">event_growth15</w:t>
            </w:r>
          </w:p>
        </w:tc>
        <w:tc>
          <w:tcPr>
            <w:tcW w:w="0" w:type="auto"/>
          </w:tcPr>
          <w:p>
            <w:pPr>
              <w:spacing w:line="240" w:lineRule="auto" w:before="0" w:after="0"/>
              <w:pStyle w:val="Compact"/>
            </w:pPr>
            <w:r>
              <w:rPr>
                <w:sz w:val="20"/>
                <w:szCs w:val="20"/>
              </w:rPr>
              <w:t xml:space="preserve">carry_immaturity</w:t>
            </w:r>
          </w:p>
        </w:tc>
        <w:tc>
          <w:tcPr>
            <w:tcW w:w="0" w:type="auto"/>
          </w:tcPr>
          <w:p>
            <w:pPr>
              <w:spacing w:line="240" w:lineRule="auto" w:before="0" w:after="0"/>
              <w:pStyle w:val="Compact"/>
            </w:pPr>
            <w:r>
              <w:rPr>
                <w:sz w:val="20"/>
                <w:szCs w:val="20"/>
              </w:rPr>
              <w:t xml:space="preserve">new_tech</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Mars Science Laboratory (Curiosity)</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969</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OIG IG-12-021 (2012-09-27): dev cost 969M-&gt;1.8B, 86pct overrun; GAO-12-207SP technology-maturity narrative (sample-analysis instruments below TRL6 at confirmation); Planetary Society Cost of MSL Curiosity</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675</w:t>
            </w:r>
          </w:p>
        </w:tc>
        <w:tc>
          <w:tcPr>
            <w:tcW w:w="0" w:type="auto"/>
          </w:tcPr>
          <w:p>
            <w:pPr>
              <w:spacing w:line="240" w:lineRule="auto" w:before="0" w:after="0"/>
              <w:pStyle w:val="Compact"/>
            </w:pPr>
            <w:r>
              <w:rPr>
                <w:sz w:val="20"/>
                <w:szCs w:val="20"/>
              </w:rPr>
              <w:t xml:space="preserve">830</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SpaceNews 2016 InSight delay adds 150M (675M-&gt;830M); NASA OIG/GAO-15-320SP (SEIS seismometer immaturity at confirmation); Planetary Society InSight cost</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985</w:t>
            </w:r>
          </w:p>
        </w:tc>
        <w:tc>
          <w:tcPr>
            <w:tcW w:w="0" w:type="auto"/>
          </w:tcPr>
          <w:p>
            <w:pPr>
              <w:spacing w:line="240" w:lineRule="auto" w:before="0" w:after="0"/>
              <w:pStyle w:val="Compact"/>
            </w:pPr>
            <w:r>
              <w:rPr>
                <w:sz w:val="20"/>
                <w:szCs w:val="20"/>
              </w:rPr>
              <w:t xml:space="preserve">1110</w:t>
            </w:r>
          </w:p>
        </w:tc>
        <w:tc>
          <w:tcPr>
            <w:tcW w:w="0" w:type="auto"/>
          </w:tcPr>
          <w:p>
            <w:pPr>
              <w:spacing w:line="240" w:lineRule="auto" w:before="0" w:after="0"/>
              <w:pStyle w:val="Compact"/>
            </w:pPr>
            <w:r>
              <w:rPr>
                <w:sz w:val="20"/>
                <w:szCs w:val="20"/>
              </w:rPr>
              <w:t xml:space="preserve">12.7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Planetary Society What happened with Psyche (KDP-C 2019, software 1yr slip, dev growth); GAO-24-106767; IEPC-2017-153 Psyche overview (adapted commercial SEP/power, mixed heritage TRL) basis for carry_immaturity</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981</w:t>
            </w:r>
          </w:p>
        </w:tc>
        <w:tc>
          <w:tcPr>
            <w:tcW w:w="0" w:type="auto"/>
          </w:tcPr>
          <w:p>
            <w:pPr>
              <w:spacing w:line="240" w:lineRule="auto" w:before="0" w:after="0"/>
              <w:pStyle w:val="Compact"/>
            </w:pPr>
            <w:r>
              <w:rPr>
                <w:sz w:val="20"/>
                <w:szCs w:val="20"/>
              </w:rPr>
              <w:t xml:space="preserve">981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Parabolic Arc 2020 (GAO): Lucy 981.1M on cost/schedule; GAO-19-262SP (only Lucy matured technologies to TRL6; solar array not a critical technology) basis for low carry_immaturity; Planetary Society Cost of Lucy</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Spaceflight Now 2016 OSIRIS-REx under budget (&gt;30M reserve at launch); Planetary Society Cost of OSIRIS-REx (dev 558.5M); GAO-16-309SP</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Juno (cites NASA): 700M FY03 baseline -&gt; ~1.1B; JPL Juno Launch Press Kit 2011; GAO-09-306SP solar/instrument maturity; Planetary Society Juno spending</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496</w:t>
            </w:r>
          </w:p>
        </w:tc>
        <w:tc>
          <w:tcPr>
            <w:tcW w:w="0" w:type="auto"/>
          </w:tcPr>
          <w:p>
            <w:pPr>
              <w:spacing w:line="240" w:lineRule="auto" w:before="0" w:after="0"/>
              <w:pStyle w:val="Compact"/>
            </w:pPr>
            <w:r>
              <w:rPr>
                <w:sz w:val="20"/>
                <w:szCs w:val="20"/>
              </w:rPr>
              <w:t xml:space="preserve">496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GRAIL project management IEEE 6496871 (launched on cost/schedule/spec, under budget); NASA budgeted 496M; Wikipedia GRAIL</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671</w:t>
            </w:r>
          </w:p>
        </w:tc>
        <w:tc>
          <w:tcPr>
            <w:tcW w:w="0" w:type="auto"/>
          </w:tcPr>
          <w:p>
            <w:pPr>
              <w:spacing w:line="240" w:lineRule="auto" w:before="0" w:after="0"/>
              <w:pStyle w:val="Compact"/>
            </w:pPr>
            <w:r>
              <w:rPr>
                <w:sz w:val="20"/>
                <w:szCs w:val="20"/>
              </w:rPr>
              <w:t xml:space="preserve">671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Spaceflight Now 2013 MAVEN under 671M budget; Planetary Society MAVEN cost; GAO-13-276SP</w:t>
            </w:r>
          </w:p>
        </w:tc>
      </w:tr>
      <w:tr>
        <w:tc>
          <w:tcPr>
            <w:tcW w:w="0" w:type="auto"/>
          </w:tcPr>
          <w:p>
            <w:pPr>
              <w:spacing w:line="240" w:lineRule="auto" w:before="0" w:after="0"/>
              <w:pStyle w:val="Compact"/>
            </w:pPr>
            <w:r>
              <w:rPr>
                <w:sz w:val="20"/>
                <w:szCs w:val="20"/>
              </w:rPr>
              <w:t xml:space="preserve">SMAP</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916</w:t>
            </w:r>
          </w:p>
        </w:tc>
        <w:tc>
          <w:tcPr>
            <w:tcW w:w="0" w:type="auto"/>
          </w:tcPr>
          <w:p>
            <w:pPr>
              <w:spacing w:line="240" w:lineRule="auto" w:before="0" w:after="0"/>
              <w:pStyle w:val="Compact"/>
            </w:pPr>
            <w:r>
              <w:rPr>
                <w:sz w:val="20"/>
                <w:szCs w:val="20"/>
              </w:rPr>
              <w:t xml:space="preserve">916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SMAP (cites NASA): 916M invested, launched 2015 within baseline; GAO-15-320SP NASA assessments</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2440</w:t>
            </w:r>
          </w:p>
        </w:tc>
        <w:tc>
          <w:tcPr>
            <w:tcW w:w="0" w:type="auto"/>
          </w:tcPr>
          <w:p>
            <w:pPr>
              <w:spacing w:line="240" w:lineRule="auto" w:before="0" w:after="0"/>
              <w:pStyle w:val="Compact"/>
            </w:pPr>
            <w:r>
              <w:rPr>
                <w:sz w:val="20"/>
                <w:szCs w:val="20"/>
              </w:rPr>
              <w:t xml:space="preserve">2725</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OIG IG-17-009 Mars 2020 (2016 KDP-C, dev cost and growth); GAO-21-306; Planetary Society Perseverance cost</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4250</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17.6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SpacePolicyOnline 2024 Europa Clipper cost growth (4.25B-&gt;5B, 17.6pct); GAO-25-107591 technology-maturity narrative; Wikipedia Europa Clipper</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430</w:t>
            </w:r>
          </w:p>
        </w:tc>
        <w:tc>
          <w:tcPr>
            <w:tcW w:w="0" w:type="auto"/>
          </w:tcPr>
          <w:p>
            <w:pPr>
              <w:spacing w:line="240" w:lineRule="auto" w:before="0" w:after="0"/>
              <w:pStyle w:val="Compact"/>
            </w:pPr>
            <w:r>
              <w:rPr>
                <w:sz w:val="20"/>
                <w:szCs w:val="20"/>
              </w:rPr>
              <w:t xml:space="preserve">521</w:t>
            </w:r>
          </w:p>
        </w:tc>
        <w:tc>
          <w:tcPr>
            <w:tcW w:w="0" w:type="auto"/>
          </w:tcPr>
          <w:p>
            <w:pPr>
              <w:spacing w:line="240" w:lineRule="auto" w:before="0" w:after="0"/>
              <w:pStyle w:val="Compact"/>
            </w:pPr>
            <w:r>
              <w:rPr>
                <w:sz w:val="20"/>
                <w:szCs w:val="20"/>
              </w:rPr>
              <w:t xml:space="preserve">21.2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 NASA assessments GRACE-FO development growth (430M-&gt;521M); JPL GRACE-FO Laser Ranging Interferometer documented new-technology demonstrator (first dual-spacecraft laser interferometer) basis for carry_immaturity</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373</w:t>
            </w:r>
          </w:p>
        </w:tc>
        <w:tc>
          <w:tcPr>
            <w:tcW w:w="0" w:type="auto"/>
          </w:tcPr>
          <w:p>
            <w:pPr>
              <w:spacing w:line="240" w:lineRule="auto" w:before="0" w:after="0"/>
              <w:pStyle w:val="Compact"/>
            </w:pPr>
            <w:r>
              <w:rPr>
                <w:sz w:val="20"/>
                <w:szCs w:val="20"/>
              </w:rPr>
              <w:t xml:space="preserve">446</w:t>
            </w:r>
          </w:p>
        </w:tc>
        <w:tc>
          <w:tcPr>
            <w:tcW w:w="0" w:type="auto"/>
          </w:tcPr>
          <w:p>
            <w:pPr>
              <w:spacing w:line="240" w:lineRule="auto" w:before="0" w:after="0"/>
              <w:pStyle w:val="Compact"/>
            </w:pPr>
            <w:r>
              <w:rPr>
                <w:sz w:val="20"/>
                <w:szCs w:val="20"/>
              </w:rPr>
              <w:t xml:space="preserve">19.6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Planetary Society Dawn cost (dev growth 373M-&gt;446M, 2006 near-cancellation); GAO-09-306SP (ion-propulsion immaturity); Wikipedia Dawn</w:t>
            </w:r>
          </w:p>
        </w:tc>
      </w:tr>
      <w:tr>
        <w:tc>
          <w:tcPr>
            <w:tcW w:w="0" w:type="auto"/>
          </w:tcPr>
          <w:p>
            <w:pPr>
              <w:spacing w:line="240" w:lineRule="auto" w:before="0" w:after="0"/>
              <w:pStyle w:val="Compact"/>
            </w:pPr>
            <w:r>
              <w:rPr>
                <w:sz w:val="20"/>
                <w:szCs w:val="20"/>
              </w:rPr>
              <w:t xml:space="preserve">Deep Impact</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267</w:t>
            </w:r>
          </w:p>
        </w:tc>
        <w:tc>
          <w:tcPr>
            <w:tcW w:w="0" w:type="auto"/>
          </w:tcPr>
          <w:p>
            <w:pPr>
              <w:spacing w:line="240" w:lineRule="auto" w:before="0" w:after="0"/>
              <w:pStyle w:val="Compact"/>
            </w:pPr>
            <w:r>
              <w:rPr>
                <w:sz w:val="20"/>
                <w:szCs w:val="20"/>
              </w:rPr>
              <w:t xml:space="preserve">330</w:t>
            </w:r>
          </w:p>
        </w:tc>
        <w:tc>
          <w:tcPr>
            <w:tcW w:w="0" w:type="auto"/>
          </w:tcPr>
          <w:p>
            <w:pPr>
              <w:spacing w:line="240" w:lineRule="auto" w:before="0" w:after="0"/>
              <w:pStyle w:val="Compact"/>
            </w:pPr>
            <w:r>
              <w:rPr>
                <w:sz w:val="20"/>
                <w:szCs w:val="20"/>
              </w:rPr>
              <w:t xml:space="preserve">23.6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Deep Impact (cites NASA): cost growth 267M-&gt;330M; NASA Discovery (first cometary impactor + autonomous impactor navigation, novel) basis for carry_immaturity</w:t>
            </w:r>
          </w:p>
        </w:tc>
      </w:tr>
      <w:tr>
        <w:tc>
          <w:tcPr>
            <w:tcW w:w="0" w:type="auto"/>
          </w:tcPr>
          <w:p>
            <w:pPr>
              <w:spacing w:line="240" w:lineRule="auto" w:before="0" w:after="0"/>
              <w:pStyle w:val="Compact"/>
            </w:pPr>
            <w:r>
              <w:rPr>
                <w:sz w:val="20"/>
                <w:szCs w:val="20"/>
              </w:rPr>
              <w:t xml:space="preserve">Stardust</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Stardust press kit (Discovery, on budget 168M); Wikipedia Stardust</w:t>
            </w:r>
          </w:p>
        </w:tc>
      </w:tr>
      <w:tr>
        <w:tc>
          <w:tcPr>
            <w:tcW w:w="0" w:type="auto"/>
          </w:tcPr>
          <w:p>
            <w:pPr>
              <w:spacing w:line="240" w:lineRule="auto" w:before="0" w:after="0"/>
              <w:pStyle w:val="Compact"/>
            </w:pPr>
            <w:r>
              <w:rPr>
                <w:sz w:val="20"/>
                <w:szCs w:val="20"/>
              </w:rPr>
              <w:t xml:space="preserve">Genesis</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216</w:t>
            </w:r>
          </w:p>
        </w:tc>
        <w:tc>
          <w:tcPr>
            <w:tcW w:w="0" w:type="auto"/>
          </w:tcPr>
          <w:p>
            <w:pPr>
              <w:spacing w:line="240" w:lineRule="auto" w:before="0" w:after="0"/>
              <w:pStyle w:val="Compact"/>
            </w:pPr>
            <w:r>
              <w:rPr>
                <w:sz w:val="20"/>
                <w:szCs w:val="20"/>
              </w:rPr>
              <w:t xml:space="preserve">264</w:t>
            </w:r>
          </w:p>
        </w:tc>
        <w:tc>
          <w:tcPr>
            <w:tcW w:w="0" w:type="auto"/>
          </w:tcPr>
          <w:p>
            <w:pPr>
              <w:spacing w:line="240" w:lineRule="auto" w:before="0" w:after="0"/>
              <w:pStyle w:val="Compact"/>
            </w:pPr>
            <w:r>
              <w:rPr>
                <w:sz w:val="20"/>
                <w:szCs w:val="20"/>
              </w:rPr>
              <w:t xml:space="preserve">22.2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Genesis (cites NASA): development growth 216M-&gt;264M; NASA Discovery (novel solar-wind collector/sample-return capsule) basis for carry_immaturity; carry_immaturity [illustrative] exact TRL count</w:t>
            </w:r>
          </w:p>
        </w:tc>
      </w:tr>
      <w:tr>
        <w:tc>
          <w:tcPr>
            <w:tcW w:w="0" w:type="auto"/>
          </w:tcPr>
          <w:p>
            <w:pPr>
              <w:spacing w:line="240" w:lineRule="auto" w:before="0" w:after="0"/>
              <w:pStyle w:val="Compact"/>
            </w:pPr>
            <w:r>
              <w:rPr>
                <w:sz w:val="20"/>
                <w:szCs w:val="20"/>
              </w:rPr>
              <w:t xml:space="preserve">Spitzer Space Telescope</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670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19.4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Spitzer/SIRTF cost growth 670M-&gt;800M; NASA Great Observatories; GAO large-scale projects (cryogenic-instrument immaturity)</w:t>
            </w:r>
          </w:p>
        </w:tc>
      </w:tr>
      <w:tr>
        <w:tc>
          <w:tcPr>
            <w:tcW w:w="0" w:type="auto"/>
          </w:tcPr>
          <w:p>
            <w:pPr>
              <w:spacing w:line="240" w:lineRule="auto" w:before="0" w:after="0"/>
              <w:pStyle w:val="Compact"/>
            </w:pPr>
            <w:r>
              <w:rPr>
                <w:sz w:val="20"/>
                <w:szCs w:val="20"/>
              </w:rPr>
              <w:t xml:space="preserve">NuSTAR</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17.9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NuSTAR (SMEX) cost growth 140M-&gt;165M, 2010 funding hold; Caltech NuSTAR (first hard X-ray focusing optics in space, novel multilayer mirrors/CdZnTe detectors) basis for carry_immaturity</w:t>
            </w:r>
          </w:p>
        </w:tc>
      </w:tr>
      <w:tr>
        <w:tc>
          <w:tcPr>
            <w:tcW w:w="0" w:type="auto"/>
          </w:tcPr>
          <w:p>
            <w:pPr>
              <w:spacing w:line="240" w:lineRule="auto" w:before="0" w:after="0"/>
              <w:pStyle w:val="Compact"/>
            </w:pPr>
            <w:r>
              <w:rPr>
                <w:sz w:val="20"/>
                <w:szCs w:val="20"/>
              </w:rPr>
              <w:t xml:space="preserve">GALEX</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103</w:t>
            </w:r>
          </w:p>
        </w:tc>
        <w:tc>
          <w:tcPr>
            <w:tcW w:w="0" w:type="auto"/>
          </w:tcPr>
          <w:p>
            <w:pPr>
              <w:spacing w:line="240" w:lineRule="auto" w:before="0" w:after="0"/>
              <w:pStyle w:val="Compact"/>
            </w:pPr>
            <w:r>
              <w:rPr>
                <w:sz w:val="20"/>
                <w:szCs w:val="20"/>
              </w:rPr>
              <w:t xml:space="preserve">103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GALEX (SMEX, on budget 103M); Caltech/JPL GALEX</w:t>
            </w:r>
          </w:p>
        </w:tc>
      </w:tr>
      <w:tr>
        <w:tc>
          <w:tcPr>
            <w:tcW w:w="0" w:type="auto"/>
          </w:tcPr>
          <w:p>
            <w:pPr>
              <w:spacing w:line="240" w:lineRule="auto" w:before="0" w:after="0"/>
              <w:pStyle w:val="Compact"/>
            </w:pPr>
            <w:r>
              <w:rPr>
                <w:sz w:val="20"/>
                <w:szCs w:val="20"/>
              </w:rPr>
              <w:t xml:space="preserve">WISE</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WISE (cites NASA): launched within budget 320M; JPL WISE</w:t>
            </w:r>
          </w:p>
        </w:tc>
      </w:tr>
      <w:tr>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386</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Phoenix (Mars Scout) cost 386M-&gt;420M; NASA Phoenix (recovered Mars Surveyor 2001 lander heritage hardware, moderate maturity) basis for carry_immaturity</w:t>
            </w:r>
          </w:p>
        </w:tc>
      </w:tr>
      <w:tr>
        <w:tc>
          <w:tcPr>
            <w:tcW w:w="0" w:type="auto"/>
          </w:tcPr>
          <w:p>
            <w:pPr>
              <w:spacing w:line="240" w:lineRule="auto" w:before="0" w:after="0"/>
              <w:pStyle w:val="Compact"/>
            </w:pPr>
            <w:r>
              <w:rPr>
                <w:sz w:val="20"/>
                <w:szCs w:val="20"/>
              </w:rPr>
              <w:t xml:space="preserve">GRAIL-class Discovery (Kepler)</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488</w:t>
            </w:r>
          </w:p>
        </w:tc>
        <w:tc>
          <w:tcPr>
            <w:tcW w:w="0" w:type="auto"/>
          </w:tcPr>
          <w:p>
            <w:pPr>
              <w:spacing w:line="240" w:lineRule="auto" w:before="0" w:after="0"/>
              <w:pStyle w:val="Compact"/>
            </w:pPr>
            <w:r>
              <w:rPr>
                <w:sz w:val="20"/>
                <w:szCs w:val="20"/>
              </w:rPr>
              <w:t xml:space="preserve">591</w:t>
            </w:r>
          </w:p>
        </w:tc>
        <w:tc>
          <w:tcPr>
            <w:tcW w:w="0" w:type="auto"/>
          </w:tcPr>
          <w:p>
            <w:pPr>
              <w:spacing w:line="240" w:lineRule="auto" w:before="0" w:after="0"/>
              <w:pStyle w:val="Compact"/>
            </w:pPr>
            <w:r>
              <w:rPr>
                <w:sz w:val="20"/>
                <w:szCs w:val="20"/>
              </w:rPr>
              <w:t xml:space="preserve">21.1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Planetary Society Kepler cost (dev growth to ~591M); NASA Discovery Kepler; GAO-09-306SP (photometer immaturity)</w:t>
            </w:r>
          </w:p>
        </w:tc>
      </w:tr>
      <w:tr>
        <w:tc>
          <w:tcPr>
            <w:tcW w:w="0" w:type="auto"/>
          </w:tcPr>
          <w:p>
            <w:pPr>
              <w:spacing w:line="240" w:lineRule="auto" w:before="0" w:after="0"/>
              <w:pStyle w:val="Compact"/>
            </w:pPr>
            <w:r>
              <w:rPr>
                <w:sz w:val="20"/>
                <w:szCs w:val="20"/>
              </w:rPr>
              <w:t xml:space="preserve">MRO (Mars Reconnaissance Orbiter)</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580</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24.1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MRO (cites NASA): development cost growth 580M-&gt;720M; JPL MRO; GAO-05/06 large-scale projects</w:t>
            </w:r>
          </w:p>
        </w:tc>
      </w:tr>
      <w:tr>
        <w:tc>
          <w:tcPr>
            <w:tcW w:w="0" w:type="auto"/>
          </w:tcPr>
          <w:p>
            <w:pPr>
              <w:spacing w:line="240" w:lineRule="auto" w:before="0" w:after="0"/>
              <w:pStyle w:val="Compact"/>
            </w:pPr>
            <w:r>
              <w:rPr>
                <w:sz w:val="20"/>
                <w:szCs w:val="20"/>
              </w:rPr>
              <w:t xml:space="preserve">Aquarius/SAC-D</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287</w:t>
            </w:r>
          </w:p>
        </w:tc>
        <w:tc>
          <w:tcPr>
            <w:tcW w:w="0" w:type="auto"/>
          </w:tcPr>
          <w:p>
            <w:pPr>
              <w:spacing w:line="240" w:lineRule="auto" w:before="0" w:after="0"/>
              <w:pStyle w:val="Compact"/>
            </w:pPr>
            <w:r>
              <w:rPr>
                <w:sz w:val="20"/>
                <w:szCs w:val="20"/>
              </w:rPr>
              <w:t xml:space="preserve">287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Aquarius (JPL, ESSP) launched within budget 287M; Wikipedia Aquarius</w:t>
            </w:r>
          </w:p>
        </w:tc>
      </w:tr>
    </w:tbl>
    <w:bookmarkEnd w:id="182"/>
    <w:bookmarkStart w:id="183"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dev_months</w:t>
            </w:r>
          </w:p>
        </w:tc>
        <w:tc>
          <w:tcPr>
            <w:tcW w:w="0" w:type="auto"/>
          </w:tcPr>
          <w:p>
            <w:pPr>
              <w:spacing w:line="240" w:lineRule="auto" w:before="0" w:after="0"/>
              <w:pStyle w:val="Compact"/>
            </w:pPr>
            <w:r>
              <w:rPr>
                <w:sz w:val="20"/>
                <w:szCs w:val="20"/>
              </w:rPr>
              <w:t xml:space="preserve">Development duration in months from Key Decision Point C (confirmation) to launch, or to right-censoring at launch for missions that never crossed the threshold</w:t>
            </w:r>
          </w:p>
        </w:tc>
        <w:tc>
          <w:tcPr>
            <w:tcW w:w="0" w:type="auto"/>
          </w:tcPr>
          <w:p>
            <w:pPr>
              <w:spacing w:line="240" w:lineRule="auto" w:before="0" w:after="0"/>
              <w:pStyle w:val="Compact"/>
            </w:pPr>
            <w:r>
              <w:rPr>
                <w:sz w:val="20"/>
                <w:szCs w:val="20"/>
              </w:rPr>
              <w:t xml:space="preserve">Computed from documented KDP-C confirmation dates and launch dates (NASA mission records, GAO NASA Assessments of Major Projects, Planetary Society mission cost pages)</w:t>
            </w:r>
          </w:p>
        </w:tc>
      </w:tr>
      <w:tr>
        <w:tc>
          <w:tcPr>
            <w:tcW w:w="0" w:type="auto"/>
          </w:tcPr>
          <w:p>
            <w:pPr>
              <w:spacing w:line="240" w:lineRule="auto" w:before="0" w:after="0"/>
              <w:pStyle w:val="Compact"/>
            </w:pPr>
            <w:r>
              <w:rPr>
                <w:sz w:val="20"/>
                <w:szCs w:val="20"/>
              </w:rPr>
              <w:t xml:space="preserve">event_growth15</w:t>
            </w:r>
          </w:p>
        </w:tc>
        <w:tc>
          <w:tcPr>
            <w:tcW w:w="0" w:type="auto"/>
          </w:tcPr>
          <w:p>
            <w:pPr>
              <w:spacing w:line="240" w:lineRule="auto" w:before="0" w:after="0"/>
              <w:pStyle w:val="Compact"/>
            </w:pPr>
            <w:r>
              <w:rPr>
                <w:sz w:val="20"/>
                <w:szCs w:val="20"/>
              </w:rPr>
              <w:t xml:space="preserve">Event indicator: 1 if the mission’s development cost exceeded its confirmation (KDP-C) baseline by 15 percent or more at or before launch; 0 if right-censored at launch without crossing the threshold</w:t>
            </w:r>
          </w:p>
        </w:tc>
        <w:tc>
          <w:tcPr>
            <w:tcW w:w="0" w:type="auto"/>
          </w:tcPr>
          <w:p>
            <w:pPr>
              <w:spacing w:line="240" w:lineRule="auto" w:before="0" w:after="0"/>
              <w:pStyle w:val="Compact"/>
            </w:pPr>
            <w:r>
              <w:rPr>
                <w:sz w:val="20"/>
                <w:szCs w:val="20"/>
              </w:rPr>
              <w:t xml:space="preserve">Derived from documented confirmation baseline development cost vs final/current development cost (NASA OIG audits, GAO assessments, Planetary Society cost charts)</w:t>
            </w:r>
          </w:p>
        </w:tc>
      </w:tr>
      <w:tr>
        <w:tc>
          <w:tcPr>
            <w:tcW w:w="0" w:type="auto"/>
          </w:tcPr>
          <w:p>
            <w:pPr>
              <w:spacing w:line="240" w:lineRule="auto" w:before="0" w:after="0"/>
              <w:pStyle w:val="Compact"/>
            </w:pPr>
            <w:r>
              <w:rPr>
                <w:sz w:val="20"/>
                <w:szCs w:val="20"/>
              </w:rPr>
              <w:t xml:space="preserve">carry_immaturity</w:t>
            </w:r>
          </w:p>
        </w:tc>
        <w:tc>
          <w:tcPr>
            <w:tcW w:w="0" w:type="auto"/>
          </w:tcPr>
          <w:p>
            <w:pPr>
              <w:spacing w:line="240" w:lineRule="auto" w:before="0" w:after="0"/>
              <w:pStyle w:val="Compact"/>
            </w:pPr>
            <w:r>
              <w:rPr>
                <w:sz w:val="20"/>
                <w:szCs w:val="20"/>
              </w:rPr>
              <w:t xml:space="preserve">Share of formulation-phase technological immaturity carried into implementation, scaled 0 to 1, operationalized from the count of confirmation-phase instruments and critical subsystems assessed below TRL 6 relative to the mission’s technology set</w:t>
            </w:r>
          </w:p>
        </w:tc>
        <w:tc>
          <w:tcPr>
            <w:tcW w:w="0" w:type="auto"/>
          </w:tcPr>
          <w:p>
            <w:pPr>
              <w:spacing w:line="240" w:lineRule="auto" w:before="0" w:after="0"/>
              <w:pStyle w:val="Compact"/>
            </w:pPr>
            <w:r>
              <w:rPr>
                <w:sz w:val="20"/>
                <w:szCs w:val="20"/>
              </w:rPr>
              <w:t xml:space="preserve">Confirmation-review technology-readiness profiles and GAO technology-maturity assessments; values without an individually published TRL count are marked illustrative in the source column</w:t>
            </w:r>
          </w:p>
        </w:tc>
      </w:tr>
      <w:tr>
        <w:tc>
          <w:tcPr>
            <w:tcW w:w="0" w:type="auto"/>
          </w:tcPr>
          <w:p>
            <w:pPr>
              <w:spacing w:line="240" w:lineRule="auto" w:before="0" w:after="0"/>
              <w:pStyle w:val="Compact"/>
            </w:pPr>
            <w:r>
              <w:rPr>
                <w:sz w:val="20"/>
                <w:szCs w:val="20"/>
              </w:rPr>
              <w:t xml:space="preserve">baseline_dev_cost_musd</w:t>
            </w:r>
          </w:p>
        </w:tc>
        <w:tc>
          <w:tcPr>
            <w:tcW w:w="0" w:type="auto"/>
          </w:tcPr>
          <w:p>
            <w:pPr>
              <w:spacing w:line="240" w:lineRule="auto" w:before="0" w:after="0"/>
              <w:pStyle w:val="Compact"/>
            </w:pPr>
            <w:r>
              <w:rPr>
                <w:sz w:val="20"/>
                <w:szCs w:val="20"/>
              </w:rPr>
              <w:t xml:space="preserve">Confirmation (KDP-C) baseline development cost in millions of nominal US dollars; scale control</w:t>
            </w:r>
          </w:p>
        </w:tc>
        <w:tc>
          <w:tcPr>
            <w:tcW w:w="0" w:type="auto"/>
          </w:tcPr>
          <w:p>
            <w:pPr>
              <w:spacing w:line="240" w:lineRule="auto" w:before="0" w:after="0"/>
              <w:pStyle w:val="Compact"/>
            </w:pPr>
            <w:r>
              <w:rPr>
                <w:sz w:val="20"/>
                <w:szCs w:val="20"/>
              </w:rPr>
              <w:t xml:space="preserve">NASA OIG audits, GAO NASA Assessments of Major Projects, Planetary Society mission cost pages, mission press kits</w:t>
            </w:r>
          </w:p>
        </w:tc>
      </w:tr>
    </w:tbl>
    <w:bookmarkEnd w:id="183"/>
    <w:bookmarkEnd w:id="184"/>
    <w:bookmarkStart w:id="192" w:name="Xddcc333a2c18693f62421ffa537ad5aecfab86a"/>
    <w:p>
      <w:pPr>
        <w:pStyle w:val="Heading2"/>
        <w:spacing w:line="480" w:lineRule="auto"/>
      </w:pPr>
      <w:r>
        <w:t xml:space="preserve">A.2 Cost-Growth Hazard in JPL Deep-Space Missions: A Survival-Analysis Cliometric of Development-Phase Risk</w:t>
      </w:r>
    </w:p>
    <w:p>
      <w:pPr>
        <w:pStyle w:val="FirstParagraph"/>
        <w:spacing w:line="480" w:lineRule="auto"/>
      </w:pPr>
      <m:oMathPara>
        <m:oMathParaPr>
          <m:jc m:val="center"/>
        </m:oMathParaPr>
        <m:oMath>
          <m:r>
            <m:t>h</m:t>
          </m:r>
          <m:r>
            <m:rPr>
              <m:sty m:val="p"/>
            </m:rPr>
            <m:t>(</m:t>
          </m:r>
          <m:r>
            <m:t>t</m:t>
          </m:r>
          <m:r>
            <m:rPr>
              <m:sty m:val="p"/>
            </m:rPr>
            <m:t>∣</m:t>
          </m:r>
          <m:r>
            <m:rPr>
              <m:sty m:val="b"/>
            </m:rP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sSub>
                <m:e>
                  <m:r>
                    <m:rPr>
                      <m:nor/>
                      <m:sty m:val="p"/>
                    </m:rPr>
                    <m:t>mass</m:t>
                  </m:r>
                </m:e>
                <m:sub>
                  <m:r>
                    <m:t>i</m:t>
                  </m:r>
                </m:sub>
              </m:sSub>
              <m:r>
                <m:rPr>
                  <m:sty m:val="p"/>
                </m:rPr>
                <m:t>+</m:t>
              </m:r>
              <m:sSub>
                <m:e>
                  <m:r>
                    <m:t>β</m:t>
                  </m:r>
                </m:e>
                <m:sub>
                  <m:r>
                    <m:t>2</m:t>
                  </m:r>
                </m:sub>
              </m:sSub>
              <m:r>
                <m:t> </m:t>
              </m:r>
              <m:sSub>
                <m:e>
                  <m:r>
                    <m:rPr>
                      <m:nor/>
                      <m:sty m:val="p"/>
                    </m:rPr>
                    <m:t>instr</m:t>
                  </m:r>
                </m:e>
                <m:sub>
                  <m:r>
                    <m:t>i</m:t>
                  </m:r>
                </m:sub>
              </m:sSub>
              <m:r>
                <m:rPr>
                  <m:sty m:val="p"/>
                </m:rPr>
                <m:t>+</m:t>
              </m:r>
              <m:sSub>
                <m:e>
                  <m:r>
                    <m:t>β</m:t>
                  </m:r>
                </m:e>
                <m:sub>
                  <m:r>
                    <m:t>3</m:t>
                  </m:r>
                </m:sub>
              </m:sSub>
              <m:r>
                <m:t> </m:t>
              </m:r>
              <m:sSub>
                <m:e>
                  <m:r>
                    <m:rPr>
                      <m:nor/>
                      <m:sty m:val="p"/>
                    </m:rPr>
                    <m:t>newtech</m:t>
                  </m:r>
                </m:e>
                <m:sub>
                  <m:r>
                    <m:t>i</m:t>
                  </m:r>
                </m:sub>
              </m:sSub>
              <m:r>
                <m:rPr>
                  <m:sty m:val="p"/>
                </m:rPr>
                <m:t>+</m:t>
              </m:r>
              <m:sSub>
                <m:e>
                  <m:r>
                    <m:t>β</m:t>
                  </m:r>
                </m:e>
                <m:sub>
                  <m:r>
                    <m:t>4</m:t>
                  </m:r>
                </m:sub>
              </m:sSub>
              <m:r>
                <m:t> </m:t>
              </m:r>
              <m:sSub>
                <m:e>
                  <m:r>
                    <m:rPr>
                      <m:nor/>
                      <m:sty m:val="p"/>
                    </m:rPr>
                    <m:t>outer</m:t>
                  </m:r>
                </m:e>
                <m:sub>
                  <m:r>
                    <m:t>i</m:t>
                  </m:r>
                </m:sub>
              </m:sSub>
            </m:e>
          </m:d>
        </m:oMath>
      </m:oMathPara>
    </w:p>
    <w:bookmarkStart w:id="185"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launch_mass_kg</w:t>
            </w:r>
          </w:p>
        </w:tc>
        <w:tc>
          <w:tcPr>
            <w:tcW w:w="0" w:type="auto"/>
          </w:tcPr>
          <w:p>
            <w:pPr>
              <w:spacing w:line="240" w:lineRule="auto" w:before="0" w:after="0"/>
              <w:pStyle w:val="Compact"/>
            </w:pPr>
            <w:r>
              <w:rPr>
                <w:sz w:val="20"/>
                <w:szCs w:val="20"/>
              </w:rPr>
              <w:t xml:space="preserve">-6.881e-05</w:t>
            </w:r>
          </w:p>
        </w:tc>
        <w:tc>
          <w:tcPr>
            <w:tcW w:w="0" w:type="auto"/>
          </w:tcPr>
          <w:p>
            <w:pPr>
              <w:spacing w:line="240" w:lineRule="auto" w:before="0" w:after="0"/>
              <w:pStyle w:val="Compact"/>
            </w:pPr>
            <w:r>
              <w:rPr>
                <w:sz w:val="20"/>
                <w:szCs w:val="20"/>
              </w:rPr>
              <w:t xml:space="preserve">0.0003483</w:t>
            </w:r>
          </w:p>
        </w:tc>
        <w:tc>
          <w:tcPr>
            <w:tcW w:w="0" w:type="auto"/>
          </w:tcPr>
          <w:p>
            <w:pPr>
              <w:spacing w:line="240" w:lineRule="auto" w:before="0" w:after="0"/>
              <w:pStyle w:val="Compact"/>
            </w:pPr>
            <w:r>
              <w:rPr>
                <w:sz w:val="20"/>
                <w:szCs w:val="20"/>
              </w:rPr>
              <w:t xml:space="preserve">-0.1976</w:t>
            </w:r>
          </w:p>
        </w:tc>
        <w:tc>
          <w:tcPr>
            <w:tcW w:w="0" w:type="auto"/>
          </w:tcPr>
          <w:p>
            <w:pPr>
              <w:spacing w:line="240" w:lineRule="auto" w:before="0" w:after="0"/>
              <w:pStyle w:val="Compact"/>
            </w:pPr>
            <w:r>
              <w:rPr>
                <w:sz w:val="20"/>
                <w:szCs w:val="20"/>
              </w:rPr>
              <w:t xml:space="preserve">0.8434</w:t>
            </w:r>
          </w:p>
        </w:tc>
        <w:tc>
          <w:tcPr>
            <w:tcW w:w="0" w:type="auto"/>
          </w:tcPr>
          <w:p>
            <w:pPr>
              <w:spacing w:line="240" w:lineRule="auto" w:before="0" w:after="0"/>
              <w:pStyle w:val="Compact"/>
            </w:pPr>
            <w:r>
              <w:rPr>
                <w:sz w:val="20"/>
                <w:szCs w:val="20"/>
              </w:rPr>
              <w:t xml:space="preserve">[-0.0007514, 0.0006138]</w:t>
            </w:r>
          </w:p>
        </w:tc>
        <w:tc>
          <w:tcPr>
            <w:tcW w:w="0" w:type="auto"/>
          </w:tcPr>
          <w:p>
            <w:pPr>
              <w:spacing w:line="240" w:lineRule="auto" w:before="0" w:after="0"/>
              <w:pStyle w:val="Compact"/>
            </w:pPr>
            <w:r>
              <w:rPr>
                <w:sz w:val="20"/>
                <w:szCs w:val="20"/>
              </w:rPr>
              <w:t xml:space="preserve">0.9999</w:t>
            </w:r>
          </w:p>
        </w:tc>
      </w:tr>
      <w:tr>
        <w:tc>
          <w:tcPr>
            <w:tcW w:w="0" w:type="auto"/>
          </w:tcPr>
          <w:p>
            <w:pPr>
              <w:spacing w:line="240" w:lineRule="auto" w:before="0" w:after="0"/>
              <w:pStyle w:val="Compact"/>
            </w:pPr>
            <w:r>
              <w:rPr>
                <w:sz w:val="20"/>
                <w:szCs w:val="20"/>
              </w:rPr>
              <w:t xml:space="preserve">instrument_count</w:t>
            </w:r>
          </w:p>
        </w:tc>
        <w:tc>
          <w:tcPr>
            <w:tcW w:w="0" w:type="auto"/>
          </w:tcPr>
          <w:p>
            <w:pPr>
              <w:spacing w:line="240" w:lineRule="auto" w:before="0" w:after="0"/>
              <w:pStyle w:val="Compact"/>
            </w:pPr>
            <w:r>
              <w:rPr>
                <w:sz w:val="20"/>
                <w:szCs w:val="20"/>
              </w:rPr>
              <w:t xml:space="preserve">-0.3709</w:t>
            </w:r>
          </w:p>
        </w:tc>
        <w:tc>
          <w:tcPr>
            <w:tcW w:w="0" w:type="auto"/>
          </w:tcPr>
          <w:p>
            <w:pPr>
              <w:spacing w:line="240" w:lineRule="auto" w:before="0" w:after="0"/>
              <w:pStyle w:val="Compact"/>
            </w:pPr>
            <w:r>
              <w:rPr>
                <w:sz w:val="20"/>
                <w:szCs w:val="20"/>
              </w:rPr>
              <w:t xml:space="preserve">0.161</w:t>
            </w:r>
          </w:p>
        </w:tc>
        <w:tc>
          <w:tcPr>
            <w:tcW w:w="0" w:type="auto"/>
          </w:tcPr>
          <w:p>
            <w:pPr>
              <w:spacing w:line="240" w:lineRule="auto" w:before="0" w:after="0"/>
              <w:pStyle w:val="Compact"/>
            </w:pPr>
            <w:r>
              <w:rPr>
                <w:sz w:val="20"/>
                <w:szCs w:val="20"/>
              </w:rPr>
              <w:t xml:space="preserve">-2.3041</w:t>
            </w:r>
          </w:p>
        </w:tc>
        <w:tc>
          <w:tcPr>
            <w:tcW w:w="0" w:type="auto"/>
          </w:tcPr>
          <w:p>
            <w:pPr>
              <w:spacing w:line="240" w:lineRule="auto" w:before="0" w:after="0"/>
              <w:pStyle w:val="Compact"/>
            </w:pPr>
            <w:r>
              <w:rPr>
                <w:sz w:val="20"/>
                <w:szCs w:val="20"/>
              </w:rPr>
              <w:t xml:space="preserve">0.0212</w:t>
            </w:r>
          </w:p>
        </w:tc>
        <w:tc>
          <w:tcPr>
            <w:tcW w:w="0" w:type="auto"/>
          </w:tcPr>
          <w:p>
            <w:pPr>
              <w:spacing w:line="240" w:lineRule="auto" w:before="0" w:after="0"/>
              <w:pStyle w:val="Compact"/>
            </w:pPr>
            <w:r>
              <w:rPr>
                <w:sz w:val="20"/>
                <w:szCs w:val="20"/>
              </w:rPr>
              <w:t xml:space="preserve">[-0.6863, -0.0554]</w:t>
            </w:r>
          </w:p>
        </w:tc>
        <w:tc>
          <w:tcPr>
            <w:tcW w:w="0" w:type="auto"/>
          </w:tcPr>
          <w:p>
            <w:pPr>
              <w:spacing w:line="240" w:lineRule="auto" w:before="0" w:after="0"/>
              <w:pStyle w:val="Compact"/>
            </w:pPr>
            <w:r>
              <w:rPr>
                <w:sz w:val="20"/>
                <w:szCs w:val="20"/>
              </w:rPr>
              <w:t xml:space="preserve">0.6901</w:t>
            </w:r>
          </w:p>
        </w:tc>
      </w:tr>
      <w:tr>
        <w:tc>
          <w:tcPr>
            <w:tcW w:w="0" w:type="auto"/>
          </w:tcPr>
          <w:p>
            <w:pPr>
              <w:spacing w:line="240" w:lineRule="auto" w:before="0" w:after="0"/>
              <w:pStyle w:val="Compact"/>
            </w:pPr>
            <w:r>
              <w:rPr>
                <w:sz w:val="20"/>
                <w:szCs w:val="20"/>
              </w:rPr>
              <w:t xml:space="preserve">new_tech_index</w:t>
            </w:r>
          </w:p>
        </w:tc>
        <w:tc>
          <w:tcPr>
            <w:tcW w:w="0" w:type="auto"/>
          </w:tcPr>
          <w:p>
            <w:pPr>
              <w:spacing w:line="240" w:lineRule="auto" w:before="0" w:after="0"/>
              <w:pStyle w:val="Compact"/>
            </w:pPr>
            <w:r>
              <w:rPr>
                <w:sz w:val="20"/>
                <w:szCs w:val="20"/>
              </w:rPr>
              <w:t xml:space="preserve">2.4386</w:t>
            </w:r>
          </w:p>
        </w:tc>
        <w:tc>
          <w:tcPr>
            <w:tcW w:w="0" w:type="auto"/>
          </w:tcPr>
          <w:p>
            <w:pPr>
              <w:spacing w:line="240" w:lineRule="auto" w:before="0" w:after="0"/>
              <w:pStyle w:val="Compact"/>
            </w:pPr>
            <w:r>
              <w:rPr>
                <w:sz w:val="20"/>
                <w:szCs w:val="20"/>
              </w:rPr>
              <w:t xml:space="preserve">1.0432</w:t>
            </w:r>
          </w:p>
        </w:tc>
        <w:tc>
          <w:tcPr>
            <w:tcW w:w="0" w:type="auto"/>
          </w:tcPr>
          <w:p>
            <w:pPr>
              <w:spacing w:line="240" w:lineRule="auto" w:before="0" w:after="0"/>
              <w:pStyle w:val="Compact"/>
            </w:pPr>
            <w:r>
              <w:rPr>
                <w:sz w:val="20"/>
                <w:szCs w:val="20"/>
              </w:rPr>
              <w:t xml:space="preserve">2.3377</w:t>
            </w:r>
          </w:p>
        </w:tc>
        <w:tc>
          <w:tcPr>
            <w:tcW w:w="0" w:type="auto"/>
          </w:tcPr>
          <w:p>
            <w:pPr>
              <w:spacing w:line="240" w:lineRule="auto" w:before="0" w:after="0"/>
              <w:pStyle w:val="Compact"/>
            </w:pPr>
            <w:r>
              <w:rPr>
                <w:sz w:val="20"/>
                <w:szCs w:val="20"/>
              </w:rPr>
              <w:t xml:space="preserve">0.0194</w:t>
            </w:r>
          </w:p>
        </w:tc>
        <w:tc>
          <w:tcPr>
            <w:tcW w:w="0" w:type="auto"/>
          </w:tcPr>
          <w:p>
            <w:pPr>
              <w:spacing w:line="240" w:lineRule="auto" w:before="0" w:after="0"/>
              <w:pStyle w:val="Compact"/>
            </w:pPr>
            <w:r>
              <w:rPr>
                <w:sz w:val="20"/>
                <w:szCs w:val="20"/>
              </w:rPr>
              <w:t xml:space="preserve">[0.394, 4.4833]</w:t>
            </w:r>
          </w:p>
        </w:tc>
        <w:tc>
          <w:tcPr>
            <w:tcW w:w="0" w:type="auto"/>
          </w:tcPr>
          <w:p>
            <w:pPr>
              <w:spacing w:line="240" w:lineRule="auto" w:before="0" w:after="0"/>
              <w:pStyle w:val="Compact"/>
            </w:pPr>
            <w:r>
              <w:rPr>
                <w:sz w:val="20"/>
                <w:szCs w:val="20"/>
              </w:rPr>
              <w:t xml:space="preserve">11.4572</w:t>
            </w:r>
          </w:p>
        </w:tc>
      </w:tr>
      <w:tr>
        <w:tc>
          <w:tcPr>
            <w:tcW w:w="0" w:type="auto"/>
          </w:tcPr>
          <w:p>
            <w:pPr>
              <w:spacing w:line="240" w:lineRule="auto" w:before="0" w:after="0"/>
              <w:pStyle w:val="Compact"/>
            </w:pPr>
            <w:r>
              <w:rPr>
                <w:sz w:val="20"/>
                <w:szCs w:val="20"/>
              </w:rPr>
              <w:t xml:space="preserve">outer_solar</w:t>
            </w:r>
          </w:p>
        </w:tc>
        <w:tc>
          <w:tcPr>
            <w:tcW w:w="0" w:type="auto"/>
          </w:tcPr>
          <w:p>
            <w:pPr>
              <w:spacing w:line="240" w:lineRule="auto" w:before="0" w:after="0"/>
              <w:pStyle w:val="Compact"/>
            </w:pPr>
            <w:r>
              <w:rPr>
                <w:sz w:val="20"/>
                <w:szCs w:val="20"/>
              </w:rPr>
              <w:t xml:space="preserve">-0.1997</w:t>
            </w:r>
          </w:p>
        </w:tc>
        <w:tc>
          <w:tcPr>
            <w:tcW w:w="0" w:type="auto"/>
          </w:tcPr>
          <w:p>
            <w:pPr>
              <w:spacing w:line="240" w:lineRule="auto" w:before="0" w:after="0"/>
              <w:pStyle w:val="Compact"/>
            </w:pPr>
            <w:r>
              <w:rPr>
                <w:sz w:val="20"/>
                <w:szCs w:val="20"/>
              </w:rPr>
              <w:t xml:space="preserve">1.005</w:t>
            </w:r>
          </w:p>
        </w:tc>
        <w:tc>
          <w:tcPr>
            <w:tcW w:w="0" w:type="auto"/>
          </w:tcPr>
          <w:p>
            <w:pPr>
              <w:spacing w:line="240" w:lineRule="auto" w:before="0" w:after="0"/>
              <w:pStyle w:val="Compact"/>
            </w:pPr>
            <w:r>
              <w:rPr>
                <w:sz w:val="20"/>
                <w:szCs w:val="20"/>
              </w:rPr>
              <w:t xml:space="preserve">-0.1987</w:t>
            </w:r>
          </w:p>
        </w:tc>
        <w:tc>
          <w:tcPr>
            <w:tcW w:w="0" w:type="auto"/>
          </w:tcPr>
          <w:p>
            <w:pPr>
              <w:spacing w:line="240" w:lineRule="auto" w:before="0" w:after="0"/>
              <w:pStyle w:val="Compact"/>
            </w:pPr>
            <w:r>
              <w:rPr>
                <w:sz w:val="20"/>
                <w:szCs w:val="20"/>
              </w:rPr>
              <w:t xml:space="preserve">0.8425</w:t>
            </w:r>
          </w:p>
        </w:tc>
        <w:tc>
          <w:tcPr>
            <w:tcW w:w="0" w:type="auto"/>
          </w:tcPr>
          <w:p>
            <w:pPr>
              <w:spacing w:line="240" w:lineRule="auto" w:before="0" w:after="0"/>
              <w:pStyle w:val="Compact"/>
            </w:pPr>
            <w:r>
              <w:rPr>
                <w:sz w:val="20"/>
                <w:szCs w:val="20"/>
              </w:rPr>
              <w:t xml:space="preserve">[-2.1695, 1.77]</w:t>
            </w:r>
          </w:p>
        </w:tc>
        <w:tc>
          <w:tcPr>
            <w:tcW w:w="0" w:type="auto"/>
          </w:tcPr>
          <w:p>
            <w:pPr>
              <w:spacing w:line="240" w:lineRule="auto" w:before="0" w:after="0"/>
              <w:pStyle w:val="Compact"/>
            </w:pPr>
            <w:r>
              <w:rPr>
                <w:sz w:val="20"/>
                <w:szCs w:val="20"/>
              </w:rPr>
              <w:t xml:space="preserve">0.8189</w:t>
            </w:r>
          </w:p>
        </w:tc>
      </w:tr>
    </w:tbl>
    <w:p>
      <w:pPr>
        <w:pStyle w:val="BodyText"/>
        <w:spacing w:line="480" w:lineRule="auto"/>
        <w:ind w:firstLine="720"/>
      </w:pPr>
      <w:r>
        <w:t xml:space="preserve">Fit: N = 26 events = 9</w:t>
      </w:r>
    </w:p>
    <w:bookmarkEnd w:id="185"/>
    <w:bookmarkStart w:id="189"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Figure 1. Development-phase duration versus realized development cost growth across 26 JPL deep-space missions. The horizontal reference at 15 percent marks the cost-growth breach threshold that defines the survival event." title="" id="187" name="Picture"/>
            <a:graphic>
              <a:graphicData uri="http://schemas.openxmlformats.org/drawingml/2006/picture">
                <pic:pic>
                  <pic:nvPicPr>
                    <pic:cNvPr descr="D:/Claude_Code/brain/collegium/candidates/dissertations/JPL_OPS_COMMS_DATA_01/research_papers/p2/paper_fig1.png" id="188" name="Picture"/>
                    <pic:cNvPicPr>
                      <a:picLocks noChangeArrowheads="1" noChangeAspect="1"/>
                    </pic:cNvPicPr>
                  </pic:nvPicPr>
                  <pic:blipFill>
                    <a:blip r:embed="rId18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Figure 1. Development-phase duration versus realized development cost growth across 26 JPL deep-space missions. The horizontal reference at 15 percent marks the cost-growth breach threshold that defines the survival event.</w:t>
      </w:r>
    </w:p>
    <w:bookmarkEnd w:id="189"/>
    <w:bookmarkStart w:id="190"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confirm_year</w:t>
            </w:r>
          </w:p>
        </w:tc>
        <w:tc>
          <w:tcPr>
            <w:tcW w:w="0" w:type="auto"/>
          </w:tcPr>
          <w:p>
            <w:pPr>
              <w:spacing w:line="240" w:lineRule="auto" w:before="0" w:after="0"/>
              <w:pStyle w:val="Compact"/>
            </w:pPr>
            <w:r>
              <w:rPr>
                <w:sz w:val="20"/>
                <w:szCs w:val="20"/>
              </w:rPr>
              <w:t xml:space="preserve">dev_months</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breach</w:t>
            </w:r>
          </w:p>
        </w:tc>
        <w:tc>
          <w:tcPr>
            <w:tcW w:w="0" w:type="auto"/>
          </w:tcPr>
          <w:p>
            <w:pPr>
              <w:spacing w:line="240" w:lineRule="auto" w:before="0" w:after="0"/>
              <w:pStyle w:val="Compact"/>
            </w:pPr>
            <w:r>
              <w:rPr>
                <w:sz w:val="20"/>
                <w:szCs w:val="20"/>
              </w:rPr>
              <w:t xml:space="preserve">launch_mass_kg</w:t>
            </w:r>
          </w:p>
        </w:tc>
        <w:tc>
          <w:tcPr>
            <w:tcW w:w="0" w:type="auto"/>
          </w:tcPr>
          <w:p>
            <w:pPr>
              <w:spacing w:line="240" w:lineRule="auto" w:before="0" w:after="0"/>
              <w:pStyle w:val="Compact"/>
            </w:pPr>
            <w:r>
              <w:rPr>
                <w:sz w:val="20"/>
                <w:szCs w:val="20"/>
              </w:rPr>
              <w:t xml:space="preserve">instrument_count</w:t>
            </w:r>
          </w:p>
        </w:tc>
        <w:tc>
          <w:tcPr>
            <w:tcW w:w="0" w:type="auto"/>
          </w:tcPr>
          <w:p>
            <w:pPr>
              <w:spacing w:line="240" w:lineRule="auto" w:before="0" w:after="0"/>
              <w:pStyle w:val="Compact"/>
            </w:pPr>
            <w:r>
              <w:rPr>
                <w:sz w:val="20"/>
                <w:szCs w:val="20"/>
              </w:rPr>
              <w:t xml:space="preserve">new_tech_index</w:t>
            </w:r>
          </w:p>
        </w:tc>
        <w:tc>
          <w:tcPr>
            <w:tcW w:w="0" w:type="auto"/>
          </w:tcPr>
          <w:p>
            <w:pPr>
              <w:spacing w:line="240" w:lineRule="auto" w:before="0" w:after="0"/>
              <w:pStyle w:val="Compact"/>
            </w:pPr>
            <w:r>
              <w:rPr>
                <w:sz w:val="20"/>
                <w:szCs w:val="20"/>
              </w:rPr>
              <w:t xml:space="preserve">outer_solar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Mars Science Laboratory (Curiosity)</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GAO-12 and Planetary Society Cost of MSL Curiosity: baseline ~$1.6B (2006 confirmation), final dev+launch $2.42B, ~56% growth, 2-yr slip; launch mass 899 kg; 10 instruments. https://www.planetary.org/space-policy/cost-of-msl-curiosity</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Planetary Society Cost of Perseverance and SpaceNews: FY21 dev est ~$2.04B vs 2017 baseline, +21.4%; instrument issues (SHERLOC, PIXL) and caching; 1025 kg, 7 instruments. https://www.planetary.org/space-policy/cost-of-perseverance</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694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Wikipedia/InSight and SpaceNews: 2-yr SEIS-driven slip added ~$153.8M to a ~$675M mission (~23%); JPL-managed; 694 kg landed, 3 instruments. https://spacenews.com/insight-delay-adds-150-million-to-missions-cost/</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2747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Planetary Society What happened with Psyche and JPL release: ~20% growth ($1.0B to ~$1.2B) after 2022 1-yr slip; 2747 kg wet; 3 instruments; solar-electric deep-space. https://www.planetary.org/articles/what-happened-with-psyche</w:t>
            </w:r>
          </w:p>
        </w:tc>
      </w:tr>
      <w:tr>
        <w:tc>
          <w:tcPr>
            <w:tcW w:w="0" w:type="auto"/>
          </w:tcPr>
          <w:p>
            <w:pPr>
              <w:spacing w:line="240" w:lineRule="auto" w:before="0" w:after="0"/>
              <w:pStyle w:val="Compact"/>
            </w:pPr>
            <w:r>
              <w:rPr>
                <w:sz w:val="20"/>
                <w:szCs w:val="20"/>
              </w:rPr>
              <w:t xml:space="preserve">Mars Reconnaissance Orbiter (MRO)</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2180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Planetary Society Cost of MRO: $716.6M total, dev $416.6M, no major cost-growth setback; 2180 kg; 6 instruments. https://www.planetary.org/space-policy/cost-of-the-mars-reconnaissance-orbiter</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Planetary Society Juno spending and JPL press kit: stayed within development budget despite NASA-imposed 2-yr slip; ~$1.13B total investment; 3625 kg; 9 instruments; Jupiter. https://www.planetary.org/mission-spending/juno-spending</w:t>
            </w:r>
          </w:p>
        </w:tc>
      </w:tr>
      <w:tr>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5712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Cassini-Huygens (Wikipedia) and GAO NSIAD-95-141BR: downsized ~$250M to meet cost cap, baseline pressure exceeded; 5712 kg; 12 instruments; Saturn flagship. https://en.wikipedia.org/wiki/Cassini%E2%80%93Huygens</w:t>
            </w:r>
          </w:p>
        </w:tc>
      </w:tr>
      <w:tr>
        <w:tc>
          <w:tcPr>
            <w:tcW w:w="0" w:type="auto"/>
          </w:tcPr>
          <w:p>
            <w:pPr>
              <w:spacing w:line="240" w:lineRule="auto" w:before="0" w:after="0"/>
              <w:pStyle w:val="Compact"/>
            </w:pPr>
            <w:r>
              <w:rPr>
                <w:sz w:val="20"/>
                <w:szCs w:val="20"/>
              </w:rPr>
              <w:t xml:space="preserve">Galileo</w:t>
            </w:r>
          </w:p>
        </w:tc>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2380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Galileo project (Wikipedia) and GAO NSIAD-88-138FS: multi-year slips, IUS/STS-driven cost growth well above baseline; 2380 kg; 11 instruments; Jupiter flagship. https://en.wikipedia.org/wiki/Galileo_project</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6065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NASA Assessments of Major Projects (2025): launched Oct 2024 within baseline tolerance; 6065 kg; 9 instruments; Jupiter. https://www.gao.gov/assets/gao-25-107591.pdf</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SPHEREx reported cost reduction after removing mis-included ops cost; launched 2025 near baseline; small astrophysics observatory. https://www.gao.gov/assets/gao-25-107591.pdf</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2800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and GAO-25-107591: NISAR cost and schedule under review after slips from antenna reflector issues, growth above 15%; 2800 kg; L/S-band radar. https://www.gao.gov/assets/gao-24-106767.pdf</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GAO-12-207SP and Planetary Society: GRAIL twin lunar orbiters delivered near baseline; 2x307 kg; gravity science payload. https://www.gao.gov/assets/gao-12-207sp.pdf</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Dawn (Wikipedia) and GAO: cancelled/reinstated 2006, ion-propulsion development cost growth; ~$446M to ~$472M with prior cancellation churn; 1217 kg; 3 instruments. https://en.wikipedia.org/wiki/Dawn_(spacecraft)</w:t>
            </w:r>
          </w:p>
        </w:tc>
      </w:tr>
      <w:tr>
        <w:tc>
          <w:tcPr>
            <w:tcW w:w="0" w:type="auto"/>
          </w:tcPr>
          <w:p>
            <w:pPr>
              <w:spacing w:line="240" w:lineRule="auto" w:before="0" w:after="0"/>
              <w:pStyle w:val="Compact"/>
            </w:pPr>
            <w:r>
              <w:rPr>
                <w:sz w:val="20"/>
                <w:szCs w:val="20"/>
              </w:rPr>
              <w:t xml:space="preserve">Mars Odyssey</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Planetary Society and NASA: 2001 Mars Odyssey delivered on cost after Mars program rebaseline; 725 kg; 3 instruments. https://en.wikipedia.org/wiki/2001_Mars_Odyssey</w:t>
            </w:r>
          </w:p>
        </w:tc>
      </w:tr>
      <w:tr>
        <w:tc>
          <w:tcPr>
            <w:tcW w:w="0" w:type="auto"/>
          </w:tcPr>
          <w:p>
            <w:pPr>
              <w:spacing w:line="240" w:lineRule="auto" w:before="0" w:after="0"/>
              <w:pStyle w:val="Compact"/>
            </w:pPr>
            <w:r>
              <w:rPr>
                <w:sz w:val="20"/>
                <w:szCs w:val="20"/>
              </w:rPr>
              <w:t xml:space="preserve">Spirit/Opportunity (MER)</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Mars Exploration Rover (Wikipedia): ~$820M for twin rovers, modest growth under cap; 185 kg each; 5 instruments (Athena). https://en.wikipedia.org/wiki/Mars_Exploration_Rover</w:t>
            </w:r>
          </w:p>
        </w:tc>
      </w:tr>
      <w:tr>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664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Phoenix (Wikipedia): Mars Scout selected, delivered near $420M cap; 664 kg lander; 7 instruments. https://en.wikipedia.org/wiki/Phoenix_(spacecraft)</w:t>
            </w:r>
          </w:p>
        </w:tc>
      </w:tr>
      <w:tr>
        <w:tc>
          <w:tcPr>
            <w:tcW w:w="0" w:type="auto"/>
          </w:tcPr>
          <w:p>
            <w:pPr>
              <w:spacing w:line="240" w:lineRule="auto" w:before="0" w:after="0"/>
              <w:pStyle w:val="Compact"/>
            </w:pPr>
            <w:r>
              <w:rPr>
                <w:sz w:val="20"/>
                <w:szCs w:val="20"/>
              </w:rPr>
              <w:t xml:space="preserve">Stardust</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385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Stardust (Wikipedia): Discovery-class comet sample return delivered near baseline ~$300M; 385 kg; 2 instruments. https://en.wikipedia.org/wiki/Stardust_(spacecraft)</w:t>
            </w:r>
          </w:p>
        </w:tc>
      </w:tr>
      <w:tr>
        <w:tc>
          <w:tcPr>
            <w:tcW w:w="0" w:type="auto"/>
          </w:tcPr>
          <w:p>
            <w:pPr>
              <w:spacing w:line="240" w:lineRule="auto" w:before="0" w:after="0"/>
              <w:pStyle w:val="Compact"/>
            </w:pPr>
            <w:r>
              <w:rPr>
                <w:sz w:val="20"/>
                <w:szCs w:val="20"/>
              </w:rPr>
              <w:t xml:space="preserve">Deep Impact</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Deep Impact (Wikipedia): Discovery mission overran the cost cap (~$330M vs ~$240M baseline), descope pressure; 973 kg; impactor+flyby. https://en.wikipedia.org/wiki/Deep_Impact_(spacecraft)</w:t>
            </w:r>
          </w:p>
        </w:tc>
      </w:tr>
      <w:tr>
        <w:tc>
          <w:tcPr>
            <w:tcW w:w="0" w:type="auto"/>
          </w:tcPr>
          <w:p>
            <w:pPr>
              <w:spacing w:line="240" w:lineRule="auto" w:before="0" w:after="0"/>
              <w:pStyle w:val="Compact"/>
            </w:pPr>
            <w:r>
              <w:rPr>
                <w:sz w:val="20"/>
                <w:szCs w:val="20"/>
              </w:rPr>
              <w:t xml:space="preserve">Mars Pathfinder</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264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Mars Pathfinder (Wikipedia): Discovery flagship-of-faster-better-cheaper delivered under $280M cap; 264 kg lander+rover. https://en.wikipedia.org/wiki/Mars_Pathfinder</w:t>
            </w:r>
          </w:p>
        </w:tc>
      </w:tr>
      <w:tr>
        <w:tc>
          <w:tcPr>
            <w:tcW w:w="0" w:type="auto"/>
          </w:tcPr>
          <w:p>
            <w:pPr>
              <w:spacing w:line="240" w:lineRule="auto" w:before="0" w:after="0"/>
              <w:pStyle w:val="Compact"/>
            </w:pPr>
            <w:r>
              <w:rPr>
                <w:sz w:val="20"/>
                <w:szCs w:val="20"/>
              </w:rPr>
              <w:t xml:space="preserve">Genesis</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Genesis (Wikipedia): Discovery solar-wind sample return, modest growth ~$264M; 636 kg; collector arrays. https://en.wikipedia.org/wiki/Genesis_(spacecraft)</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2454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MAVEN (Wikipedia) and GAO: Mars Scout delivered on the 2013 window near $671M baseline; 2454 kg; 8 instruments. https://en.wikipedia.org/wiki/MAVEN</w:t>
            </w:r>
          </w:p>
        </w:tc>
      </w:tr>
      <w:tr>
        <w:tc>
          <w:tcPr>
            <w:tcW w:w="0" w:type="auto"/>
          </w:tcPr>
          <w:p>
            <w:pPr>
              <w:spacing w:line="240" w:lineRule="auto" w:before="0" w:after="0"/>
              <w:pStyle w:val="Compact"/>
            </w:pPr>
            <w:r>
              <w:rPr>
                <w:sz w:val="20"/>
                <w:szCs w:val="20"/>
              </w:rPr>
              <w:t xml:space="preserve">Mars Climate Orbiter</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Mars Climate Orbiter (Wikipedia): faster-better-cheaper development near $193M (paired with Polar Lander); 338 kg; 2 instruments. https://en.wikipedia.org/wiki/Mars_Climate_Orbiter</w:t>
            </w:r>
          </w:p>
        </w:tc>
      </w:tr>
      <w:tr>
        <w:tc>
          <w:tcPr>
            <w:tcW w:w="0" w:type="auto"/>
          </w:tcPr>
          <w:p>
            <w:pPr>
              <w:spacing w:line="240" w:lineRule="auto" w:before="0" w:after="0"/>
              <w:pStyle w:val="Compact"/>
            </w:pPr>
            <w:r>
              <w:rPr>
                <w:sz w:val="20"/>
                <w:szCs w:val="20"/>
              </w:rPr>
              <w:t xml:space="preserve">Mars Polar Lander</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Mars Polar Lander (Wikipedia): faster-better-cheaper development near $165M; 290 kg lander; 4 instruments. https://en.wikipedia.org/wiki/Mars_Polar_Lander</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GRACE Follow-On (Wikipedia) and GAO: ~$430M near-baseline delivery with minor growth; 2x600 kg; ranging interferometer. https://en.wikipedia.org/wiki/GRACE-FO</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Lucy (Wikipedia) and GAO-21-306: Trojan-asteroid tour delivered near $981M baseline; 1550 kg; 4 instruments; multi-flyby. https://en.wikipedia.org/wiki/Lucy_(spacecraft)</w:t>
            </w:r>
          </w:p>
        </w:tc>
      </w:tr>
      <w:tr>
        <w:tc>
          <w:tcPr>
            <w:tcW w:w="0" w:type="auto"/>
          </w:tcPr>
          <w:p>
            <w:pPr>
              <w:spacing w:line="240" w:lineRule="auto" w:before="0" w:after="0"/>
              <w:pStyle w:val="Compact"/>
            </w:pPr>
            <w:r>
              <w:rPr>
                <w:sz w:val="20"/>
                <w:szCs w:val="20"/>
              </w:rPr>
              <w:t xml:space="preserve">OCO-2</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Orbiting Carbon Observatory-2 (Wikipedia): rebuild after OCO launch loss, ~$465M near baseline; 454 kg; single spectrometer. https://en.wikipedia.org/wiki/Orbiting_Carbon_Observatory_2</w:t>
            </w:r>
          </w:p>
        </w:tc>
      </w:tr>
    </w:tbl>
    <w:bookmarkEnd w:id="190"/>
    <w:bookmarkStart w:id="191"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dev_months</w:t>
            </w:r>
          </w:p>
        </w:tc>
        <w:tc>
          <w:tcPr>
            <w:tcW w:w="0" w:type="auto"/>
          </w:tcPr>
          <w:p>
            <w:pPr>
              <w:spacing w:line="240" w:lineRule="auto" w:before="0" w:after="0"/>
              <w:pStyle w:val="Compact"/>
            </w:pPr>
            <w:r>
              <w:rPr>
                <w:sz w:val="20"/>
                <w:szCs w:val="20"/>
              </w:rPr>
              <w:t xml:space="preserve">Development phase duration from project confirmation (KDP-C) to launch, in months; the time-at-risk over which development cost growth can accrue</w:t>
            </w:r>
          </w:p>
        </w:tc>
        <w:tc>
          <w:tcPr>
            <w:tcW w:w="0" w:type="auto"/>
          </w:tcPr>
          <w:p>
            <w:pPr>
              <w:spacing w:line="240" w:lineRule="auto" w:before="0" w:after="0"/>
              <w:pStyle w:val="Compact"/>
            </w:pPr>
            <w:r>
              <w:rPr>
                <w:sz w:val="20"/>
                <w:szCs w:val="20"/>
              </w:rPr>
              <w:t xml:space="preserve">NASA mission confirmation and launch dates; Wikipedia mission articles; Planetary Society mission cost pages</w:t>
            </w:r>
          </w:p>
        </w:tc>
      </w:tr>
      <w:tr>
        <w:tc>
          <w:tcPr>
            <w:tcW w:w="0" w:type="auto"/>
          </w:tcPr>
          <w:p>
            <w:pPr>
              <w:spacing w:line="240" w:lineRule="auto" w:before="0" w:after="0"/>
              <w:pStyle w:val="Compact"/>
            </w:pPr>
            <w:r>
              <w:rPr>
                <w:sz w:val="20"/>
                <w:szCs w:val="20"/>
              </w:rPr>
              <w:t xml:space="preserve">breach</w:t>
            </w:r>
          </w:p>
        </w:tc>
        <w:tc>
          <w:tcPr>
            <w:tcW w:w="0" w:type="auto"/>
          </w:tcPr>
          <w:p>
            <w:pPr>
              <w:spacing w:line="240" w:lineRule="auto" w:before="0" w:after="0"/>
              <w:pStyle w:val="Compact"/>
            </w:pPr>
            <w:r>
              <w:rPr>
                <w:sz w:val="20"/>
                <w:szCs w:val="20"/>
              </w:rPr>
              <w:t xml:space="preserve">Event indicator equal to 1 if documented development cost growth reached or exceeded 15 percent (the NASA/GAO rebaseline-trigger threshold), 0 if the mission launched within that tolerance (right-censored)</w:t>
            </w:r>
          </w:p>
        </w:tc>
        <w:tc>
          <w:tcPr>
            <w:tcW w:w="0" w:type="auto"/>
          </w:tcPr>
          <w:p>
            <w:pPr>
              <w:spacing w:line="240" w:lineRule="auto" w:before="0" w:after="0"/>
              <w:pStyle w:val="Compact"/>
            </w:pPr>
            <w:r>
              <w:rPr>
                <w:sz w:val="20"/>
                <w:szCs w:val="20"/>
              </w:rPr>
              <w:t xml:space="preserve">GAO NASA Assessments of Major Projects (GAO-25-107591, GAO-24-106767); Planetary Society mission cost pages; mission Wikipedia cost sections</w:t>
            </w:r>
          </w:p>
        </w:tc>
      </w:tr>
      <w:tr>
        <w:tc>
          <w:tcPr>
            <w:tcW w:w="0" w:type="auto"/>
          </w:tcPr>
          <w:p>
            <w:pPr>
              <w:spacing w:line="240" w:lineRule="auto" w:before="0" w:after="0"/>
              <w:pStyle w:val="Compact"/>
            </w:pPr>
            <w:r>
              <w:rPr>
                <w:sz w:val="20"/>
                <w:szCs w:val="20"/>
              </w:rPr>
              <w:t xml:space="preserve">launch_mass_kg</w:t>
            </w:r>
          </w:p>
        </w:tc>
        <w:tc>
          <w:tcPr>
            <w:tcW w:w="0" w:type="auto"/>
          </w:tcPr>
          <w:p>
            <w:pPr>
              <w:spacing w:line="240" w:lineRule="auto" w:before="0" w:after="0"/>
              <w:pStyle w:val="Compact"/>
            </w:pPr>
            <w:r>
              <w:rPr>
                <w:sz w:val="20"/>
                <w:szCs w:val="20"/>
              </w:rPr>
              <w:t xml:space="preserve">Spacecraft launch (wet) mass in kilograms, a proxy for system scale and integration complexity</w:t>
            </w:r>
          </w:p>
        </w:tc>
        <w:tc>
          <w:tcPr>
            <w:tcW w:w="0" w:type="auto"/>
          </w:tcPr>
          <w:p>
            <w:pPr>
              <w:spacing w:line="240" w:lineRule="auto" w:before="0" w:after="0"/>
              <w:pStyle w:val="Compact"/>
            </w:pPr>
            <w:r>
              <w:rPr>
                <w:sz w:val="20"/>
                <w:szCs w:val="20"/>
              </w:rPr>
              <w:t xml:space="preserve">NASA/JPL press kits and mission Wikipedia infoboxes</w:t>
            </w:r>
          </w:p>
        </w:tc>
      </w:tr>
      <w:tr>
        <w:tc>
          <w:tcPr>
            <w:tcW w:w="0" w:type="auto"/>
          </w:tcPr>
          <w:p>
            <w:pPr>
              <w:spacing w:line="240" w:lineRule="auto" w:before="0" w:after="0"/>
              <w:pStyle w:val="Compact"/>
            </w:pPr>
            <w:r>
              <w:rPr>
                <w:sz w:val="20"/>
                <w:szCs w:val="20"/>
              </w:rPr>
              <w:t xml:space="preserve">instrument_count</w:t>
            </w:r>
          </w:p>
        </w:tc>
        <w:tc>
          <w:tcPr>
            <w:tcW w:w="0" w:type="auto"/>
          </w:tcPr>
          <w:p>
            <w:pPr>
              <w:spacing w:line="240" w:lineRule="auto" w:before="0" w:after="0"/>
              <w:pStyle w:val="Compact"/>
            </w:pPr>
            <w:r>
              <w:rPr>
                <w:sz w:val="20"/>
                <w:szCs w:val="20"/>
              </w:rPr>
              <w:t xml:space="preserve">Number of distinct science instruments in the payload, a proxy for interface and verification complexity</w:t>
            </w:r>
          </w:p>
        </w:tc>
        <w:tc>
          <w:tcPr>
            <w:tcW w:w="0" w:type="auto"/>
          </w:tcPr>
          <w:p>
            <w:pPr>
              <w:spacing w:line="240" w:lineRule="auto" w:before="0" w:after="0"/>
              <w:pStyle w:val="Compact"/>
            </w:pPr>
            <w:r>
              <w:rPr>
                <w:sz w:val="20"/>
                <w:szCs w:val="20"/>
              </w:rPr>
              <w:t xml:space="preserve">NASA/JPL mission pages and Wikipedia payload sections</w:t>
            </w:r>
          </w:p>
        </w:tc>
      </w:tr>
      <w:tr>
        <w:tc>
          <w:tcPr>
            <w:tcW w:w="0" w:type="auto"/>
          </w:tcPr>
          <w:p>
            <w:pPr>
              <w:spacing w:line="240" w:lineRule="auto" w:before="0" w:after="0"/>
              <w:pStyle w:val="Compact"/>
            </w:pPr>
            <w:r>
              <w:rPr>
                <w:sz w:val="20"/>
                <w:szCs w:val="20"/>
              </w:rPr>
              <w:t xml:space="preserve">new_tech_index</w:t>
            </w:r>
          </w:p>
        </w:tc>
        <w:tc>
          <w:tcPr>
            <w:tcW w:w="0" w:type="auto"/>
          </w:tcPr>
          <w:p>
            <w:pPr>
              <w:spacing w:line="240" w:lineRule="auto" w:before="0" w:after="0"/>
              <w:pStyle w:val="Compact"/>
            </w:pPr>
            <w:r>
              <w:rPr>
                <w:sz w:val="20"/>
                <w:szCs w:val="20"/>
              </w:rPr>
              <w:t xml:space="preserve">Ordinal heritage index from 1 (high heritage, flight-proven) to 3 (substantial new technology development), coded from each mission’s documented technology narrative</w:t>
            </w:r>
          </w:p>
        </w:tc>
        <w:tc>
          <w:tcPr>
            <w:tcW w:w="0" w:type="auto"/>
          </w:tcPr>
          <w:p>
            <w:pPr>
              <w:spacing w:line="240" w:lineRule="auto" w:before="0" w:after="0"/>
              <w:pStyle w:val="Compact"/>
            </w:pPr>
            <w:r>
              <w:rPr>
                <w:sz w:val="20"/>
                <w:szCs w:val="20"/>
              </w:rPr>
              <w:t xml:space="preserve">Mission Wikipedia technology sections and NASA mission descriptions</w:t>
            </w:r>
          </w:p>
        </w:tc>
      </w:tr>
      <w:tr>
        <w:tc>
          <w:tcPr>
            <w:tcW w:w="0" w:type="auto"/>
          </w:tcPr>
          <w:p>
            <w:pPr>
              <w:spacing w:line="240" w:lineRule="auto" w:before="0" w:after="0"/>
              <w:pStyle w:val="Compact"/>
            </w:pPr>
            <w:r>
              <w:rPr>
                <w:sz w:val="20"/>
                <w:szCs w:val="20"/>
              </w:rPr>
              <w:t xml:space="preserve">outer_solar</w:t>
            </w:r>
          </w:p>
        </w:tc>
        <w:tc>
          <w:tcPr>
            <w:tcW w:w="0" w:type="auto"/>
          </w:tcPr>
          <w:p>
            <w:pPr>
              <w:spacing w:line="240" w:lineRule="auto" w:before="0" w:after="0"/>
              <w:pStyle w:val="Compact"/>
            </w:pPr>
            <w:r>
              <w:rPr>
                <w:sz w:val="20"/>
                <w:szCs w:val="20"/>
              </w:rPr>
              <w:t xml:space="preserve">Binary flag equal to 1 for outer-solar-system or long-cruise deep-space missions (Jupiter, Saturn, asteroid-belt, sample-return cruise), 0 otherwise</w:t>
            </w:r>
          </w:p>
        </w:tc>
        <w:tc>
          <w:tcPr>
            <w:tcW w:w="0" w:type="auto"/>
          </w:tcPr>
          <w:p>
            <w:pPr>
              <w:spacing w:line="240" w:lineRule="auto" w:before="0" w:after="0"/>
              <w:pStyle w:val="Compact"/>
            </w:pPr>
            <w:r>
              <w:rPr>
                <w:sz w:val="20"/>
                <w:szCs w:val="20"/>
              </w:rPr>
              <w:t xml:space="preserve">Mission destination per NASA/JPL mission pages</w:t>
            </w:r>
          </w:p>
        </w:tc>
      </w:tr>
    </w:tbl>
    <w:bookmarkEnd w:id="191"/>
    <w:bookmarkEnd w:id="192"/>
    <w:bookmarkEnd w:id="19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78" Type="http://schemas.openxmlformats.org/officeDocument/2006/relationships/image" Target="media/rId178.png"/><Relationship Id="rId186" Type="http://schemas.openxmlformats.org/officeDocument/2006/relationships/image" Target="media/rId186.png"/><Relationship Id="rId126" Type="http://schemas.openxmlformats.org/officeDocument/2006/relationships/hyperlink" Target="https://doi.org/10.1016/j.actaastro.2019.09.030" TargetMode="External"/><Relationship Id="rId140" Type="http://schemas.openxmlformats.org/officeDocument/2006/relationships/hyperlink" Target="https://doi.org/10.1016/j.actaastro.2020.04.046" TargetMode="External"/><Relationship Id="rId162" Type="http://schemas.openxmlformats.org/officeDocument/2006/relationships/hyperlink" Target="https://doi.org/10.1016/j.actaastro.2021.12.030" TargetMode="External"/><Relationship Id="rId128" Type="http://schemas.openxmlformats.org/officeDocument/2006/relationships/hyperlink" Target="https://doi.org/10.1016/j.actaastro.2022.12.036" TargetMode="External"/><Relationship Id="rId172" Type="http://schemas.openxmlformats.org/officeDocument/2006/relationships/hyperlink" Target="https://doi.org/10.1016/j.actaastro.2024.01.024" TargetMode="External"/><Relationship Id="rId170" Type="http://schemas.openxmlformats.org/officeDocument/2006/relationships/hyperlink" Target="https://doi.org/10.1016/j.actaastro.2024.05.036" TargetMode="External"/><Relationship Id="rId143" Type="http://schemas.openxmlformats.org/officeDocument/2006/relationships/hyperlink" Target="https://doi.org/10.1016/j.actaastro.2024.05.039" TargetMode="External"/><Relationship Id="rId134" Type="http://schemas.openxmlformats.org/officeDocument/2006/relationships/hyperlink" Target="https://doi.org/10.1016/j.actaastro.2024.08.022" TargetMode="External"/><Relationship Id="rId145" Type="http://schemas.openxmlformats.org/officeDocument/2006/relationships/hyperlink" Target="https://doi.org/10.1016/j.actaastro.2025.01.038" TargetMode="External"/><Relationship Id="rId164" Type="http://schemas.openxmlformats.org/officeDocument/2006/relationships/hyperlink" Target="https://doi.org/10.1016/j.actaastro.2025.04.038" TargetMode="External"/><Relationship Id="rId166" Type="http://schemas.openxmlformats.org/officeDocument/2006/relationships/hyperlink" Target="https://doi.org/10.1016/j.actaastro.2025.05.018" TargetMode="External"/><Relationship Id="rId130" Type="http://schemas.openxmlformats.org/officeDocument/2006/relationships/hyperlink" Target="https://doi.org/10.1016/j.actaastro.2025.10.018" TargetMode="External"/><Relationship Id="rId132" Type="http://schemas.openxmlformats.org/officeDocument/2006/relationships/hyperlink" Target="https://doi.org/10.1016/j.actaastro.2025.11.006" TargetMode="External"/><Relationship Id="rId168" Type="http://schemas.openxmlformats.org/officeDocument/2006/relationships/hyperlink" Target="https://doi.org/10.1016/j.actaastro.2025.11.056" TargetMode="External"/><Relationship Id="rId160" Type="http://schemas.openxmlformats.org/officeDocument/2006/relationships/hyperlink" Target="https://doi.org/10.1016/j.actaastro.2026.01.049" TargetMode="External"/><Relationship Id="rId174" Type="http://schemas.openxmlformats.org/officeDocument/2006/relationships/hyperlink" Target="https://doi.org/10.1016/j.actaastro.2026.03.026" TargetMode="External"/><Relationship Id="rId138" Type="http://schemas.openxmlformats.org/officeDocument/2006/relationships/hyperlink" Target="https://doi.org/10.1016/j.jsse.2020.07.016" TargetMode="External"/><Relationship Id="rId136" Type="http://schemas.openxmlformats.org/officeDocument/2006/relationships/hyperlink" Target="https://doi.org/10.1016/j.scitotenv.2019.02.438" TargetMode="External"/><Relationship Id="rId158" Type="http://schemas.openxmlformats.org/officeDocument/2006/relationships/hyperlink" Target="https://doi.org/10.64861/LBPZ7861" TargetMode="External"/><Relationship Id="rId150" Type="http://schemas.openxmlformats.org/officeDocument/2006/relationships/hyperlink" Target="https://doi.org/10.64861/LPFK9568" TargetMode="External"/></Relationships>
</file>

<file path=word/_rels/footnotes.xml.rels><?xml version='1.0' encoding='UTF-8' standalone='yes'?>
<Relationships xmlns="http://schemas.openxmlformats.org/package/2006/relationships"><Relationship Id="rId126" Type="http://schemas.openxmlformats.org/officeDocument/2006/relationships/hyperlink" Target="https://doi.org/10.1016/j.actaastro.2019.09.030" TargetMode="External"/><Relationship Id="rId140" Type="http://schemas.openxmlformats.org/officeDocument/2006/relationships/hyperlink" Target="https://doi.org/10.1016/j.actaastro.2020.04.046" TargetMode="External"/><Relationship Id="rId162" Type="http://schemas.openxmlformats.org/officeDocument/2006/relationships/hyperlink" Target="https://doi.org/10.1016/j.actaastro.2021.12.030" TargetMode="External"/><Relationship Id="rId128" Type="http://schemas.openxmlformats.org/officeDocument/2006/relationships/hyperlink" Target="https://doi.org/10.1016/j.actaastro.2022.12.036" TargetMode="External"/><Relationship Id="rId172" Type="http://schemas.openxmlformats.org/officeDocument/2006/relationships/hyperlink" Target="https://doi.org/10.1016/j.actaastro.2024.01.024" TargetMode="External"/><Relationship Id="rId170" Type="http://schemas.openxmlformats.org/officeDocument/2006/relationships/hyperlink" Target="https://doi.org/10.1016/j.actaastro.2024.05.036" TargetMode="External"/><Relationship Id="rId143" Type="http://schemas.openxmlformats.org/officeDocument/2006/relationships/hyperlink" Target="https://doi.org/10.1016/j.actaastro.2024.05.039" TargetMode="External"/><Relationship Id="rId134" Type="http://schemas.openxmlformats.org/officeDocument/2006/relationships/hyperlink" Target="https://doi.org/10.1016/j.actaastro.2024.08.022" TargetMode="External"/><Relationship Id="rId145" Type="http://schemas.openxmlformats.org/officeDocument/2006/relationships/hyperlink" Target="https://doi.org/10.1016/j.actaastro.2025.01.038" TargetMode="External"/><Relationship Id="rId164" Type="http://schemas.openxmlformats.org/officeDocument/2006/relationships/hyperlink" Target="https://doi.org/10.1016/j.actaastro.2025.04.038" TargetMode="External"/><Relationship Id="rId166" Type="http://schemas.openxmlformats.org/officeDocument/2006/relationships/hyperlink" Target="https://doi.org/10.1016/j.actaastro.2025.05.018" TargetMode="External"/><Relationship Id="rId130" Type="http://schemas.openxmlformats.org/officeDocument/2006/relationships/hyperlink" Target="https://doi.org/10.1016/j.actaastro.2025.10.018" TargetMode="External"/><Relationship Id="rId132" Type="http://schemas.openxmlformats.org/officeDocument/2006/relationships/hyperlink" Target="https://doi.org/10.1016/j.actaastro.2025.11.006" TargetMode="External"/><Relationship Id="rId168" Type="http://schemas.openxmlformats.org/officeDocument/2006/relationships/hyperlink" Target="https://doi.org/10.1016/j.actaastro.2025.11.056" TargetMode="External"/><Relationship Id="rId160" Type="http://schemas.openxmlformats.org/officeDocument/2006/relationships/hyperlink" Target="https://doi.org/10.1016/j.actaastro.2026.01.049" TargetMode="External"/><Relationship Id="rId174" Type="http://schemas.openxmlformats.org/officeDocument/2006/relationships/hyperlink" Target="https://doi.org/10.1016/j.actaastro.2026.03.026" TargetMode="External"/><Relationship Id="rId138" Type="http://schemas.openxmlformats.org/officeDocument/2006/relationships/hyperlink" Target="https://doi.org/10.1016/j.jsse.2020.07.016" TargetMode="External"/><Relationship Id="rId136" Type="http://schemas.openxmlformats.org/officeDocument/2006/relationships/hyperlink" Target="https://doi.org/10.1016/j.scitotenv.2019.02.438" TargetMode="External"/><Relationship Id="rId158" Type="http://schemas.openxmlformats.org/officeDocument/2006/relationships/hyperlink" Target="https://doi.org/10.64861/LBPZ7861" TargetMode="External"/><Relationship Id="rId150" Type="http://schemas.openxmlformats.org/officeDocument/2006/relationships/hyperlink" Target="https://doi.org/10.64861/LPFK95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Cost-Growth Hazard in JPL Deep-Space Missions: A Survival-Analysis Cliometric of Confirmation-to-Launch Budget Escalation</dc:title>
  <dc:creator>Gabriel Novak (1B-OPS-027)</dc:creator>
  <cp:keywords/>
  <dcterms:created xsi:type="dcterms:W3CDTF">2026-07-02T16:46:43Z</dcterms:created>
  <dcterms:modified xsi:type="dcterms:W3CDTF">2026-07-02T16:46:43Z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