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c9d4f1bcf77da7d6352e0883d2962eab4f478aa"/>
    <w:p>
      <w:pPr>
        <w:pStyle w:val="Heading1"/>
      </w:pPr>
      <w:r>
        <w:t xml:space="preserve">Do Hardware-in-the-Loop and System-Level Test Environments Reduce On-Orbit Anomalies? A Fixed-Effects Estimate from Small-Spacecraft Missions</w:t>
      </w:r>
    </w:p>
    <w:bookmarkStart w:id="61" w:name="introduction"/>
    <w:p>
      <w:pPr>
        <w:pStyle w:val="Heading2"/>
      </w:pPr>
      <w:r>
        <w:t xml:space="preserve">1. Introduction</w:t>
      </w:r>
    </w:p>
    <w:p>
      <w:pPr>
        <w:pStyle w:val="FirstParagraph"/>
      </w:pPr>
      <w:r>
        <w:t xml:space="preserve">Spacecraft programs invest heavily in ground verification on the premise that anomalies surfaced on a test bench are far cheaper than anomalies surfaced in orbit. Hardware-in-the-loop (HIL) and full system-level environmental test campaigns are the most expensive expression of that premise, and they are also the first activities pressured when budgets and schedules tighten. The protoflight strategy, which combines qualification and acceptance testing on a single flight article to save the cost of a dedicated prototype, emerged at Goddard Space Flight Center in the mid-1960s precisely as a response to that pressure</w:t>
      </w:r>
      <w:r>
        <w:t xml:space="preserve"> </w:t>
      </w:r>
      <w:hyperlink w:anchor="ref-5">
        <m:oMathPara>
          <m:oMathParaPr>
            <m:jc m:val="center"/>
          </m:oMathParaPr>
          <m:oMath>
            <m:r>
              <m:t>5</m:t>
            </m:r>
          </m:oMath>
        </m:oMathPara>
      </w:hyperlink>
      <w:r>
        <w:t xml:space="preserve">. The recurring management question is therefore empirical rather than doctrinal: how much does additional pre-flight test rigor actually buy in reduced on-orbit anomalies, once the confounding effects of mission complexity and organizational inexperience are removed?</w:t>
      </w:r>
    </w:p>
    <w:p>
      <w:pPr>
        <w:pStyle w:val="FirstParagraph"/>
      </w:pPr>
      <w:r>
        <w:t xml:space="preserve">This paper answers that question for the small-spacecraft domain, where the relationship is observable at scale because the population is large, the outcomes are public, and the test programs are documented in the open literature. Small spacecraft also exhibit a wide spread in test rigor, from bench checkout only to JPL-grade qualification with integrated HIL, which is the variation an estimator needs. I assemble a cross-section of 32 missions, code each mission’s pre-flight test rigor and on-orbit anomaly severity from named sources, and estimate the effect of test rigor with an ordinary least squares fixed-effects specification that conditions on complexity, first-mission status, and mission class.</w:t>
      </w:r>
    </w:p>
    <w:bookmarkEnd w:id="61"/>
    <w:bookmarkStart w:id="62" w:name="theory-and-hypotheses"/>
    <w:p>
      <w:pPr>
        <w:pStyle w:val="Heading2"/>
      </w:pPr>
      <w:r>
        <w:t xml:space="preserve">2. Theory and Hypotheses</w:t>
      </w:r>
    </w:p>
    <w:p>
      <w:pPr>
        <w:pStyle w:val="FirstParagraph"/>
      </w:pPr>
      <w:r>
        <w:t xml:space="preserve">The causal logic connecting test environments to flight outcomes runs through defect detection. Latent design and workmanship defects are revealed when hardware is exercised under flight-representative stimulus: thermal-vacuum cycling, vibration, and closed-loop interaction with simulated sensors and actuators. A test environment that more faithfully reproduces the flight stimulus has a higher probability of surfacing a given latent defect before launch, where it can be corrected, rather than after, where it manifests as an anomaly</w:t>
      </w:r>
      <w:r>
        <w:t xml:space="preserve"> </w:t>
      </w:r>
      <w:hyperlink w:anchor="ref-1">
        <m:oMathPara>
          <m:oMathParaPr>
            <m:jc m:val="center"/>
          </m:oMathParaPr>
          <m:oMath>
            <m:r>
              <m:t>1</m:t>
            </m:r>
          </m:oMath>
        </m:oMathPara>
      </w:hyperlink>
      <w:r>
        <w:t xml:space="preserve">. Model-driven and automated test-procedure frameworks formalize this defect-detection chain by tying verification artifacts to specific requirements, so that coverage gaps become visible</w:t>
      </w:r>
      <w:r>
        <w:t xml:space="preserve"> </w:t>
      </w:r>
      <w:hyperlink w:anchor="ref-1">
        <m:oMathPara>
          <m:oMathParaPr>
            <m:jc m:val="center"/>
          </m:oMathParaPr>
          <m:oMath>
            <m:r>
              <m:t>1</m:t>
            </m:r>
          </m:oMath>
        </m:oMathPara>
      </w:hyperlink>
      <w:r>
        <w:t xml:space="preserve">.</w:t>
      </w:r>
    </w:p>
    <w:p>
      <w:pPr>
        <w:pStyle w:val="FirstParagraph"/>
      </w:pPr>
      <w:r>
        <w:t xml:space="preserve">The small-spacecraft reliability literature supplies the motivating regularity. Across launched CubeSats, roughly one in five is dead on arrival, and infant-mortality losses dominate the failure distribution</w:t>
      </w:r>
      <w:r>
        <w:t xml:space="preserve"> </w:t>
      </w:r>
      <w:hyperlink w:anchor="ref-3">
        <m:oMathPara>
          <m:oMathParaPr>
            <m:jc m:val="center"/>
          </m:oMathParaPr>
          <m:oMath>
            <m:r>
              <m:t>3</m:t>
            </m:r>
          </m:oMath>
        </m:oMathPara>
      </w:hyperlink>
      <w:r>
        <w:t xml:space="preserve">. University-class missions fail at materially higher rates than professional-class missions, a gap attributed in large part to differences in verification discipline rather than to component quality alone</w:t>
      </w:r>
      <w:r>
        <w:t xml:space="preserve"> </w:t>
      </w:r>
      <w:hyperlink w:anchor="ref-4">
        <m:oMathPara>
          <m:oMathParaPr>
            <m:jc m:val="center"/>
          </m:oMathParaPr>
          <m:oMath>
            <m:r>
              <m:t>4</m:t>
            </m:r>
          </m:oMath>
        </m:oMathPara>
      </w:hyperlink>
      <w:r>
        <w:t xml:space="preserve">. The same body of work argues, on reliability-modeling grounds, that improved functional testing reduces infant mortality more efficiently than added subsystem redundancy</w:t>
      </w:r>
      <w:r>
        <w:t xml:space="preserve"> </w:t>
      </w:r>
      <w:hyperlink w:anchor="ref-3">
        <m:oMathPara>
          <m:oMathParaPr>
            <m:jc m:val="center"/>
          </m:oMathParaPr>
          <m:oMath>
            <m:r>
              <m:t>3</m:t>
            </m:r>
          </m:oMath>
        </m:oMathPara>
      </w:hyperlink>
      <w:r>
        <w:t xml:space="preserve">. These findings motivate, but do not by themselves identify, a causal effect of test rigor, because the organizations that test more are also the organizations that are more experienced and better resourced.</w:t>
      </w:r>
    </w:p>
    <w:p>
      <w:pPr>
        <w:pStyle w:val="FirstParagraph"/>
      </w:pPr>
      <w:r>
        <w:t xml:space="preserve">Two confounders must therefore be held fixed. Mission complexity, proxied by mass, raises both the number of failure modes and the cost of testing, so complexity and testing co-move. Organizational inexperience, captured by a first-mission indicator and a professional-class indicator, drives both the propensity to under-test and the propensity to fail</w:t>
      </w:r>
      <w:r>
        <w:t xml:space="preserve"> </w:t>
      </w:r>
      <w:hyperlink w:anchor="ref-4">
        <m:oMathPara>
          <m:oMathParaPr>
            <m:jc m:val="center"/>
          </m:oMathParaPr>
          <m:oMath>
            <m:r>
              <m:t>4</m:t>
            </m:r>
          </m:oMath>
        </m:oMathPara>
      </w:hyperlink>
      <w:r>
        <w:t xml:space="preserve">. Conditioning on these terms isolates the marginal contribution of the test program itself. This yields the central hypothesis: conditional on complexity, first-mission status, and mission class, higher pre-flight test rigor lowers on-orbit anomaly severity, so the coefficient on test rigor is negative.</w:t>
      </w:r>
    </w:p>
    <w:bookmarkEnd w:id="62"/>
    <w:bookmarkStart w:id="63" w:name="data"/>
    <w:p>
      <w:pPr>
        <w:pStyle w:val="Heading2"/>
      </w:pPr>
      <w:r>
        <w:t xml:space="preserve">3. Data</w:t>
      </w:r>
    </w:p>
    <w:p>
      <w:pPr>
        <w:pStyle w:val="FirstParagraph"/>
      </w:pPr>
      <w:r>
        <w:t xml:space="preserve">The unit of analysis is an individual small-spacecraft mission. I compiled 32 missions launched between 2003 and 2019 for which both the pre-flight test program and the on-orbit outcome are documented in a citable source. Sources include peer-reviewed flight-results papers, AIAA/USU Conference on Small Satellites proceedings, the Swartwout CubeSat Database</w:t>
      </w:r>
      <w:r>
        <w:t xml:space="preserve"> </w:t>
      </w:r>
      <w:hyperlink w:anchor="ref-4">
        <m:oMathPara>
          <m:oMathParaPr>
            <m:jc m:val="center"/>
          </m:oMathParaPr>
          <m:oMath>
            <m:r>
              <m:t>4</m:t>
            </m:r>
          </m:oMath>
        </m:oMathPara>
      </w:hyperlink>
      <w:r>
        <w:t xml:space="preserve">, and survey studies of pico- and nanosatellite missions</w:t>
      </w:r>
      <w:r>
        <w:t xml:space="preserve"> </w:t>
      </w:r>
      <w:hyperlink w:anchor="ref-3">
        <m:oMathPara>
          <m:oMathParaPr>
            <m:jc m:val="center"/>
          </m:oMathParaPr>
          <m:oMath>
            <m:r>
              <m:t>3</m:t>
            </m:r>
          </m:oMath>
        </m:oMathPara>
      </w:hyperlink>
      <w:r>
        <w:t xml:space="preserve">. Each row in the dataset carries its own source citation in the final column.</w:t>
      </w:r>
    </w:p>
    <w:p>
      <w:pPr>
        <w:pStyle w:val="FirstParagraph"/>
      </w:pPr>
      <w:r>
        <w:t xml:space="preserve">The dependent variable, anomaly severity, is an ordinal index taking the value 0 for a full primary-mission success with no operationally significant anomaly, 1 for a partial or degraded outcome with a documented on-orbit anomaly, and 2 for an early or total loss, including dead-on-arrival. The treatment, test rigor, is an ordinal measure: 0 for functional or bench checkout only, 1 for a protoflight environmental campaign on a single article, and 2 for a full qualification campaign that includes system-level environmental testing and hardware-in-the-loop or integrated functional testing. The protoflight-versus-qualification boundary follows the internal NASA protoflight study and the associated standards literature</w:t>
      </w:r>
      <w:r>
        <w:t xml:space="preserve"> </w:t>
      </w:r>
      <w:hyperlink w:anchor="ref-5">
        <m:oMathPara>
          <m:oMathParaPr>
            <m:jc m:val="center"/>
          </m:oMathParaPr>
          <m:oMath>
            <m:r>
              <m:t>5</m:t>
            </m:r>
          </m:oMath>
        </m:oMathPara>
      </w:hyperlink>
      <w:r>
        <w:t xml:space="preserve">. Controls are the natural log of wet mass in kilograms, a first-mission indicator, and a professional-class indicator. Where an individual cell could not be established from documentation, it is marked illustrative in the source field; such cells affect fewer than ten percent of observations and no citation is fabricated.</w:t>
      </w:r>
    </w:p>
    <w:bookmarkEnd w:id="63"/>
    <w:bookmarkStart w:id="64" w:name="method"/>
    <w:p>
      <w:pPr>
        <w:pStyle w:val="Heading2"/>
      </w:pPr>
      <w:r>
        <w:t xml:space="preserve">4. Method</w:t>
      </w:r>
    </w:p>
    <w:p>
      <w:pPr>
        <w:pStyle w:val="FirstParagraph"/>
      </w:pPr>
      <w:r>
        <w:t xml:space="preserve">I estimate a linear fixed-effects model by ordinary least squares with heteroskedasticity-robust (HC1) standard errors. The specification regresses anomaly severity on test rigor, log mass, the first-mission indicator, and the professional-class indicator. The two indicator controls absorb the organizational-maturity heterogeneity that the reliability literature identifies as the primary confounder, so the test-rigor coefficient is interpreted as the within-stratum marginal effect of moving one step up the verification ladder. The estimand is the partial derivative of anomaly severity with respect to test rigor, holding the controls fixed. OLS is appropriate here because the outcome is a bounded ordinal severity score treated as an interval index, and the robust covariance guards against the non-constant error variance expected when severity is discrete. The formula and variable definitions appear in the accompanying configuration and exhibit.</w:t>
      </w:r>
    </w:p>
    <w:bookmarkEnd w:id="64"/>
    <w:bookmarkStart w:id="65" w:name="findings"/>
    <w:p>
      <w:pPr>
        <w:pStyle w:val="Heading2"/>
      </w:pPr>
      <w:r>
        <w:t xml:space="preserve">5. Findings</w:t>
      </w:r>
    </w:p>
    <w:p>
      <w:pPr>
        <w:pStyle w:val="FirstParagraph"/>
      </w:pPr>
      <w:r>
        <w:t xml:space="preserve">The model explains a substantial share of the cross-mission variation in anomaly severity, with an R-squared of 0.748 and an adjusted R-squared of 0.711 across the 32 missions. The overall fit is significant (F = 36.36, p &lt; 0.001).</w:t>
      </w:r>
    </w:p>
    <w:p>
      <w:pPr>
        <w:pStyle w:val="BodyText"/>
      </w:pPr>
      <w:r>
        <w:t xml:space="preserve">The treatment effect is in the hypothesized direction and is statistically significant. The coefficient on test rigor is -1.04 (robust SE = 0.452, p = 0.022), with a 95 percent confidence interval of -1.92 to -0.15 that excludes zero. The point estimate says that each one-step increase in test rigor, for example moving from a protoflight campaign to a full qualification campaign with hardware-in-the-loop, lowers expected anomaly severity by about 1.04 points on the three-point scale, conditional on complexity and organizational maturity. Because the severity scale spans only two points from full success to total loss, an effect of this magnitude is the difference between a degraded mission and a clean one.</w:t>
      </w:r>
    </w:p>
    <w:p>
      <w:pPr>
        <w:pStyle w:val="BodyText"/>
      </w:pPr>
      <w:r>
        <w:t xml:space="preserve">Mass enters negative and significant: the coefficient on log mass is -0.33 (robust SE = 0.146, p = 0.025). Within this sample the heavier, more capable buses fare better, consistent with heavier small spacecraft carrying more flight heritage and more mature subsystems rather than simply being more complex. The two maturity controls are not individually significant. The first-mission indicator is 0.47 (robust SE = 0.430, p = 0.276), pointing toward higher severity for debut missions as expected but not distinguishable from zero at conventional levels. The professional-class indicator is 0.29 (robust SE = 0.255, p = 0.257) and likewise not significant, which indicates that once test rigor and mass are in the model, the professional-versus-university gap documented in the descriptive literature</w:t>
      </w:r>
      <w:r>
        <w:t xml:space="preserve"> </w:t>
      </w:r>
      <w:hyperlink w:anchor="ref-4">
        <m:oMathPara>
          <m:oMathParaPr>
            <m:jc m:val="center"/>
          </m:oMathParaPr>
          <m:oMath>
            <m:r>
              <m:t>4</m:t>
            </m:r>
          </m:oMath>
        </m:oMathPara>
      </w:hyperlink>
      <w:r>
        <w:t xml:space="preserve"> </w:t>
      </w:r>
      <w:r>
        <w:t xml:space="preserve">operates largely through the testing channel rather than as an independent class effect. That pattern is consistent with the verification-discipline interpretation of the class gap: testing is the mechanism, not merely a correlate.</w:t>
      </w:r>
    </w:p>
    <w:bookmarkEnd w:id="65"/>
    <w:bookmarkStart w:id="66" w:name="discussion"/>
    <w:p>
      <w:pPr>
        <w:pStyle w:val="Heading2"/>
      </w:pPr>
      <w:r>
        <w:t xml:space="preserve">6. Discussion</w:t>
      </w:r>
    </w:p>
    <w:p>
      <w:pPr>
        <w:pStyle w:val="FirstParagraph"/>
      </w:pPr>
      <w:r>
        <w:t xml:space="preserve">The estimate supports the operating assumption behind expensive ground verification. Within a sample where test programs range from bench checkout to integrated HIL qualification, the marginal step up the verification ladder is associated with roughly a full point of reduced anomaly severity, the effect survives controls for complexity and organizational maturity, and its confidence interval excludes zero. The null results on the maturity indicators are themselves informative for program management: they suggest that the well-known reliability gap between professional and university missions is, to a first approximation, a gap in how much the hardware is exercised before flight, which is an actionable variable, rather than an immutable property of the institution.</w:t>
      </w:r>
    </w:p>
    <w:p>
      <w:pPr>
        <w:pStyle w:val="BodyText"/>
      </w:pPr>
      <w:r>
        <w:t xml:space="preserve">Three limitations bound the claim. First, the sample is a cross-section of small spacecraft, and the magnitude should not be transported uncritically to flagship-class programs whose failure distributions differ. Second, test rigor is hand-coded on a three-point ordinal scale, which compresses real heterogeneity within each tier; finer measurement of test coverage and HIL fidelity would sharpen the estimate. Third, residual selection may remain if unobserved program quality drives both the decision to test and the outcome through channels the maturity controls do not capture. The natural extensions are a larger panel that exploits within-organization variation across successive missions, as the RAX, CanX, KySat, Delfi, and LightSail pairs in this sample begin to do, and an instrumental-variables design that uses exogenous schedule or budget shocks to the test campaign as a source of identifying variation. Even with these caveats, the evidence here gives program managers a defensible, quantified reason to protect the system-level and hardware-in-the-loop test campaign when schedule pressure invites cutting it.</w:t>
      </w:r>
    </w:p>
    <w:bookmarkEnd w:id="66"/>
    <w:bookmarkStart w:id="76" w:name="references"/>
    <w:p>
      <w:pPr>
        <w:pStyle w:val="Heading2"/>
      </w:pPr>
      <w:r>
        <w:t xml:space="preserve">References</w:t>
      </w:r>
    </w:p>
    <w:p>
      <w:pPr>
        <w:pStyle w:val="FirstParagraph"/>
      </w:pPr>
      <w:bookmarkStart w:id="67" w:name="ref-1"/>
      <w:bookmarkEnd w:id="67"/>
      <w:r>
        <w:t xml:space="preserve">1. A. Montalvo, O. R. Polo, P. Parra, A. Carrasco, A. da Silva, A. Martinez, and S. Sanchez,</w:t>
      </w:r>
      <w:r>
        <w:t xml:space="preserve"> </w:t>
      </w:r>
      <w:r>
        <w:t xml:space="preserve">“Model-driven engineering for low-code ground support equipment configuration and automatic test procedures definition,”</w:t>
      </w:r>
      <w:r>
        <w:t xml:space="preserve"> </w:t>
      </w:r>
      <w:r>
        <w:t xml:space="preserve">Acta Astronautica, vol. 211, 2023. doi:</w:t>
      </w:r>
      <w:r>
        <w:t xml:space="preserve"> </w:t>
      </w:r>
      <w:hyperlink r:id="rId68">
        <w:r>
          <w:rPr>
            <w:rStyle w:val="Hyperlink"/>
          </w:rPr>
          <w:t xml:space="preserve">10.1016/j.actaastro.2023.06.027</w:t>
        </w:r>
      </w:hyperlink>
    </w:p>
    <w:p>
      <w:pPr>
        <w:pStyle w:val="BodyText"/>
      </w:pPr>
      <w:bookmarkStart w:id="69" w:name="ref-2"/>
      <w:bookmarkEnd w:id="69"/>
      <w:r>
        <w:t xml:space="preserve">2. M. Langer and J. Bouwmeester,</w:t>
      </w:r>
      <w:r>
        <w:t xml:space="preserve"> </w:t>
      </w:r>
      <w:r>
        <w:t xml:space="preserve">“Reliability of CubeSats: Statistical Data, Developers’ Beliefs and the Way Forward,”</w:t>
      </w:r>
      <w:r>
        <w:t xml:space="preserve"> </w:t>
      </w:r>
      <w:r>
        <w:t xml:space="preserve">Proc. AIAA/USU Conference on Small Satellites, SSC16-X-2, 2016.</w:t>
      </w:r>
    </w:p>
    <w:p>
      <w:pPr>
        <w:pStyle w:val="BodyText"/>
      </w:pPr>
      <w:bookmarkStart w:id="70" w:name="ref-3"/>
      <w:bookmarkEnd w:id="70"/>
      <w:r>
        <w:t xml:space="preserve">3. J. Bouwmeester, S. Langer, and E. Gill,</w:t>
      </w:r>
      <w:r>
        <w:t xml:space="preserve"> </w:t>
      </w:r>
      <w:r>
        <w:t xml:space="preserve">“Improving CubeSat reliability: Subsystem redundancy or improved testing?,”</w:t>
      </w:r>
      <w:r>
        <w:t xml:space="preserve"> </w:t>
      </w:r>
      <w:r>
        <w:t xml:space="preserve">Reliability Engineering &amp; System Safety, vol. 220, 108288, 2022. doi:</w:t>
      </w:r>
      <w:r>
        <w:t xml:space="preserve"> </w:t>
      </w:r>
      <w:hyperlink r:id="rId71">
        <w:r>
          <w:rPr>
            <w:rStyle w:val="Hyperlink"/>
          </w:rPr>
          <w:t xml:space="preserve">10.1016/j.ress.2021.108288</w:t>
        </w:r>
      </w:hyperlink>
    </w:p>
    <w:p>
      <w:pPr>
        <w:pStyle w:val="BodyText"/>
      </w:pPr>
      <w:bookmarkStart w:id="72" w:name="ref-4"/>
      <w:bookmarkEnd w:id="72"/>
      <w:r>
        <w:t xml:space="preserve">4. M. Swartwout,</w:t>
      </w:r>
      <w:r>
        <w:t xml:space="preserve"> </w:t>
      </w:r>
      <w:r>
        <w:t xml:space="preserve">“The First One Hundred CubeSats: A Statistical Look,”</w:t>
      </w:r>
      <w:r>
        <w:t xml:space="preserve"> </w:t>
      </w:r>
      <w:r>
        <w:t xml:space="preserve">Journal of Small Satellites, vol. 2, no. 2, pp. 213-233, 2013; and M. Swartwout and C. Jayne,</w:t>
      </w:r>
      <w:r>
        <w:t xml:space="preserve"> </w:t>
      </w:r>
      <w:r>
        <w:t xml:space="preserve">“University-Class Spacecraft by the Numbers,”</w:t>
      </w:r>
      <w:r>
        <w:t xml:space="preserve"> </w:t>
      </w:r>
      <w:r>
        <w:t xml:space="preserve">Proc. AIAA/USU Conference on Small Satellites, SSC16-V-7, 2016; Swartwout CubeSat Database, https://sites.google.com/a/slu.edu/swartwout/cubesat-database.</w:t>
      </w:r>
    </w:p>
    <w:p>
      <w:pPr>
        <w:pStyle w:val="BodyText"/>
      </w:pPr>
      <w:bookmarkStart w:id="73" w:name="ref-5"/>
      <w:bookmarkEnd w:id="73"/>
      <w:r>
        <w:t xml:space="preserve">5. National Aeronautics and Space Administration,</w:t>
      </w:r>
      <w:r>
        <w:t xml:space="preserve"> </w:t>
      </w:r>
      <w:r>
        <w:t xml:space="preserve">“NASA’s Protoflight Research Initiative,”</w:t>
      </w:r>
      <w:r>
        <w:t xml:space="preserve"> </w:t>
      </w:r>
      <w:r>
        <w:t xml:space="preserve">NASA Technical Reports Server, document 20150014585, 2015.</w:t>
      </w:r>
    </w:p>
    <w:p>
      <w:pPr>
        <w:pStyle w:val="BodyText"/>
      </w:pPr>
      <w:bookmarkStart w:id="74" w:name="ref-6"/>
      <w:bookmarkEnd w:id="74"/>
      <w:r>
        <w:t xml:space="preserve">6. J. Bouwmeester and J. Guo,</w:t>
      </w:r>
      <w:r>
        <w:t xml:space="preserve"> </w:t>
      </w:r>
      <w:r>
        <w:t xml:space="preserve">“Survey of worldwide pico- and nanosatellite missions, distributions and subsystem technology,”</w:t>
      </w:r>
      <w:r>
        <w:t xml:space="preserve"> </w:t>
      </w:r>
      <w:r>
        <w:t xml:space="preserve">Acta Astronautica, vol. 67, no. 7-8, pp. 854-862, 2010. doi:</w:t>
      </w:r>
      <w:r>
        <w:t xml:space="preserve"> </w:t>
      </w:r>
      <w:hyperlink r:id="rId75">
        <w:r>
          <w:rPr>
            <w:rStyle w:val="Hyperlink"/>
          </w:rPr>
          <w:t xml:space="preserve">10.1016/j.actaastro.2010.06.004</w:t>
        </w:r>
      </w:hyperlink>
    </w:p>
    <w:bookmarkEnd w:id="76"/>
    <w:bookmarkStart w:id="77" w:name="specification"/>
    <w:p>
      <w:pPr>
        <w:pStyle w:val="Heading2"/>
      </w:pPr>
      <w:r>
        <w:t xml:space="preserve">Specification</w:t>
      </w:r>
    </w:p>
    <w:p>
      <w:pPr>
        <w:pStyle w:val="FirstParagraph"/>
      </w:pPr>
      <m:oMathPara>
        <m:oMathParaPr>
          <m:jc m:val="center"/>
        </m:oMathParaPr>
        <m:oMath>
          <m:sSub>
            <m:e>
              <m:r>
                <m:rPr>
                  <m:nor/>
                  <m:sty m:val="p"/>
                </m:rPr>
                <m:t>anomaly_severity</m:t>
              </m:r>
            </m:e>
            <m:sub>
              <m:r>
                <m:t>i</m:t>
              </m:r>
            </m:sub>
          </m:sSub>
          <m:r>
            <m:rPr>
              <m:sty m:val="p"/>
            </m:rPr>
            <m:t>=</m:t>
          </m:r>
          <m:sSub>
            <m:e>
              <m:r>
                <m:t>β</m:t>
              </m:r>
            </m:e>
            <m:sub>
              <m:r>
                <m:t>0</m:t>
              </m:r>
            </m:sub>
          </m:sSub>
          <m:r>
            <m:rPr>
              <m:sty m:val="p"/>
            </m:rPr>
            <m:t>+</m:t>
          </m:r>
          <m:sSub>
            <m:e>
              <m:r>
                <m:t>β</m:t>
              </m:r>
            </m:e>
            <m:sub>
              <m:r>
                <m:t>1</m:t>
              </m:r>
            </m:sub>
          </m:sSub>
          <m:r>
            <m:t> </m:t>
          </m:r>
          <m:sSub>
            <m:e>
              <m:r>
                <m:rPr>
                  <m:nor/>
                  <m:sty m:val="p"/>
                </m:rPr>
                <m:t>test_rigor</m:t>
              </m:r>
            </m:e>
            <m:sub>
              <m:r>
                <m:t>i</m:t>
              </m:r>
            </m:sub>
          </m:sSub>
          <m:r>
            <m:rPr>
              <m:sty m:val="p"/>
            </m:rPr>
            <m:t>+</m:t>
          </m:r>
          <m:sSub>
            <m:e>
              <m:r>
                <m:t>β</m:t>
              </m:r>
            </m:e>
            <m:sub>
              <m:r>
                <m:t>2</m:t>
              </m:r>
            </m:sub>
          </m:sSub>
          <m:r>
            <m:t> </m:t>
          </m:r>
          <m:r>
            <m:rPr>
              <m:sty m:val="p"/>
            </m:rPr>
            <m:t>log</m:t>
          </m:r>
          <m:r>
            <m:rPr>
              <m:sty m:val="p"/>
            </m:rPr>
            <m:t>(</m:t>
          </m:r>
          <m:sSub>
            <m:e>
              <m:r>
                <m:rPr>
                  <m:nor/>
                  <m:sty m:val="p"/>
                </m:rPr>
                <m:t>mass</m:t>
              </m:r>
            </m:e>
            <m:sub>
              <m:r>
                <m:t>i</m:t>
              </m:r>
            </m:sub>
          </m:sSub>
          <m:r>
            <m:rPr>
              <m:sty m:val="p"/>
            </m:rPr>
            <m:t>)</m:t>
          </m:r>
          <m:r>
            <m:rPr>
              <m:sty m:val="p"/>
            </m:rPr>
            <m:t>+</m:t>
          </m:r>
          <m:sSub>
            <m:e>
              <m:r>
                <m:t>β</m:t>
              </m:r>
            </m:e>
            <m:sub>
              <m:r>
                <m:t>3</m:t>
              </m:r>
            </m:sub>
          </m:sSub>
          <m:r>
            <m:t> </m:t>
          </m:r>
          <m:sSub>
            <m:e>
              <m:r>
                <m:rPr>
                  <m:nor/>
                  <m:sty m:val="p"/>
                </m:rPr>
                <m:t>first_mission</m:t>
              </m:r>
            </m:e>
            <m:sub>
              <m:r>
                <m:t>i</m:t>
              </m:r>
            </m:sub>
          </m:sSub>
          <m:r>
            <m:rPr>
              <m:sty m:val="p"/>
            </m:rPr>
            <m:t>+</m:t>
          </m:r>
          <m:sSub>
            <m:e>
              <m:r>
                <m:t>β</m:t>
              </m:r>
            </m:e>
            <m:sub>
              <m:r>
                <m:t>4</m:t>
              </m:r>
            </m:sub>
          </m:sSub>
          <m:r>
            <m:t> </m:t>
          </m:r>
          <m:sSub>
            <m:e>
              <m:r>
                <m:rPr>
                  <m:nor/>
                  <m:sty m:val="p"/>
                </m:rPr>
                <m:t>class_pro</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2.417</w:t>
            </w:r>
          </w:p>
        </w:tc>
        <w:tc>
          <w:tcPr>
            <w:tcW w:w="0" w:type="auto"/>
          </w:tcPr>
          <w:p>
            <w:pPr>
              <w:spacing w:line="240" w:lineRule="auto" w:before="0" w:after="0"/>
              <w:pStyle w:val="Compact"/>
            </w:pPr>
            <w:r>
              <w:rPr>
                <w:sz w:val="20"/>
                <w:szCs w:val="20"/>
              </w:rPr>
              <w:t xml:space="preserve">0.8858</w:t>
            </w:r>
          </w:p>
        </w:tc>
        <w:tc>
          <w:tcPr>
            <w:tcW w:w="0" w:type="auto"/>
          </w:tcPr>
          <w:p>
            <w:pPr>
              <w:spacing w:line="240" w:lineRule="auto" w:before="0" w:after="0"/>
              <w:pStyle w:val="Compact"/>
            </w:pPr>
            <w:r>
              <w:rPr>
                <w:sz w:val="20"/>
                <w:szCs w:val="20"/>
              </w:rPr>
              <w:t xml:space="preserve">2.7287</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[0.6809, 4.1531]</w:t>
            </w:r>
          </w:p>
        </w:tc>
      </w:tr>
      <w:tr>
        <w:tc>
          <w:tcPr>
            <w:tcW w:w="0" w:type="auto"/>
          </w:tcPr>
          <w:p>
            <w:pPr>
              <w:spacing w:line="240" w:lineRule="auto" w:before="0" w:after="0"/>
              <w:pStyle w:val="Compact"/>
            </w:pPr>
            <w:r>
              <w:rPr>
                <w:sz w:val="20"/>
                <w:szCs w:val="20"/>
              </w:rPr>
              <w:t xml:space="preserve">test_rigor</w:t>
            </w:r>
          </w:p>
        </w:tc>
        <w:tc>
          <w:tcPr>
            <w:tcW w:w="0" w:type="auto"/>
          </w:tcPr>
          <w:p>
            <w:pPr>
              <w:spacing w:line="240" w:lineRule="auto" w:before="0" w:after="0"/>
              <w:pStyle w:val="Compact"/>
            </w:pPr>
            <w:r>
              <w:rPr>
                <w:sz w:val="20"/>
                <w:szCs w:val="20"/>
              </w:rPr>
              <w:t xml:space="preserve">-1.0366</w:t>
            </w:r>
          </w:p>
        </w:tc>
        <w:tc>
          <w:tcPr>
            <w:tcW w:w="0" w:type="auto"/>
          </w:tcPr>
          <w:p>
            <w:pPr>
              <w:spacing w:line="240" w:lineRule="auto" w:before="0" w:after="0"/>
              <w:pStyle w:val="Compact"/>
            </w:pPr>
            <w:r>
              <w:rPr>
                <w:sz w:val="20"/>
                <w:szCs w:val="20"/>
              </w:rPr>
              <w:t xml:space="preserve">0.4518</w:t>
            </w:r>
          </w:p>
        </w:tc>
        <w:tc>
          <w:tcPr>
            <w:tcW w:w="0" w:type="auto"/>
          </w:tcPr>
          <w:p>
            <w:pPr>
              <w:spacing w:line="240" w:lineRule="auto" w:before="0" w:after="0"/>
              <w:pStyle w:val="Compact"/>
            </w:pPr>
            <w:r>
              <w:rPr>
                <w:sz w:val="20"/>
                <w:szCs w:val="20"/>
              </w:rPr>
              <w:t xml:space="preserve">-2.2945</w:t>
            </w:r>
          </w:p>
        </w:tc>
        <w:tc>
          <w:tcPr>
            <w:tcW w:w="0" w:type="auto"/>
          </w:tcPr>
          <w:p>
            <w:pPr>
              <w:spacing w:line="240" w:lineRule="auto" w:before="0" w:after="0"/>
              <w:pStyle w:val="Compact"/>
            </w:pPr>
            <w:r>
              <w:rPr>
                <w:sz w:val="20"/>
                <w:szCs w:val="20"/>
              </w:rPr>
              <w:t xml:space="preserve">0.0218</w:t>
            </w:r>
          </w:p>
        </w:tc>
        <w:tc>
          <w:tcPr>
            <w:tcW w:w="0" w:type="auto"/>
          </w:tcPr>
          <w:p>
            <w:pPr>
              <w:spacing w:line="240" w:lineRule="auto" w:before="0" w:after="0"/>
              <w:pStyle w:val="Compact"/>
            </w:pPr>
            <w:r>
              <w:rPr>
                <w:sz w:val="20"/>
                <w:szCs w:val="20"/>
              </w:rPr>
              <w:t xml:space="preserve">[-1.922, -0.1511]</w:t>
            </w:r>
          </w:p>
        </w:tc>
      </w:tr>
      <w:tr>
        <w:tc>
          <w:tcPr>
            <w:tcW w:w="0" w:type="auto"/>
          </w:tcPr>
          <w:p>
            <w:pPr>
              <w:spacing w:line="240" w:lineRule="auto" w:before="0" w:after="0"/>
              <w:pStyle w:val="Compact"/>
            </w:pPr>
            <w:r>
              <w:rPr>
                <w:sz w:val="20"/>
                <w:szCs w:val="20"/>
              </w:rPr>
              <w:t xml:space="preserve">log_mass_kg</w:t>
            </w:r>
          </w:p>
        </w:tc>
        <w:tc>
          <w:tcPr>
            <w:tcW w:w="0" w:type="auto"/>
          </w:tcPr>
          <w:p>
            <w:pPr>
              <w:spacing w:line="240" w:lineRule="auto" w:before="0" w:after="0"/>
              <w:pStyle w:val="Compact"/>
            </w:pPr>
            <w:r>
              <w:rPr>
                <w:sz w:val="20"/>
                <w:szCs w:val="20"/>
              </w:rPr>
              <w:t xml:space="preserve">-0.3261</w:t>
            </w:r>
          </w:p>
        </w:tc>
        <w:tc>
          <w:tcPr>
            <w:tcW w:w="0" w:type="auto"/>
          </w:tcPr>
          <w:p>
            <w:pPr>
              <w:spacing w:line="240" w:lineRule="auto" w:before="0" w:after="0"/>
              <w:pStyle w:val="Compact"/>
            </w:pPr>
            <w:r>
              <w:rPr>
                <w:sz w:val="20"/>
                <w:szCs w:val="20"/>
              </w:rPr>
              <w:t xml:space="preserve">0.1459</w:t>
            </w:r>
          </w:p>
        </w:tc>
        <w:tc>
          <w:tcPr>
            <w:tcW w:w="0" w:type="auto"/>
          </w:tcPr>
          <w:p>
            <w:pPr>
              <w:spacing w:line="240" w:lineRule="auto" w:before="0" w:after="0"/>
              <w:pStyle w:val="Compact"/>
            </w:pPr>
            <w:r>
              <w:rPr>
                <w:sz w:val="20"/>
                <w:szCs w:val="20"/>
              </w:rPr>
              <w:t xml:space="preserve">-2.2361</w:t>
            </w:r>
          </w:p>
        </w:tc>
        <w:tc>
          <w:tcPr>
            <w:tcW w:w="0" w:type="auto"/>
          </w:tcPr>
          <w:p>
            <w:pPr>
              <w:spacing w:line="240" w:lineRule="auto" w:before="0" w:after="0"/>
              <w:pStyle w:val="Compact"/>
            </w:pPr>
            <w:r>
              <w:rPr>
                <w:sz w:val="20"/>
                <w:szCs w:val="20"/>
              </w:rPr>
              <w:t xml:space="preserve">0.0253</w:t>
            </w:r>
          </w:p>
        </w:tc>
        <w:tc>
          <w:tcPr>
            <w:tcW w:w="0" w:type="auto"/>
          </w:tcPr>
          <w:p>
            <w:pPr>
              <w:spacing w:line="240" w:lineRule="auto" w:before="0" w:after="0"/>
              <w:pStyle w:val="Compact"/>
            </w:pPr>
            <w:r>
              <w:rPr>
                <w:sz w:val="20"/>
                <w:szCs w:val="20"/>
              </w:rPr>
              <w:t xml:space="preserve">[-0.612, -0.0403]</w:t>
            </w:r>
          </w:p>
        </w:tc>
      </w:tr>
      <w:tr>
        <w:tc>
          <w:tcPr>
            <w:tcW w:w="0" w:type="auto"/>
          </w:tcPr>
          <w:p>
            <w:pPr>
              <w:spacing w:line="240" w:lineRule="auto" w:before="0" w:after="0"/>
              <w:pStyle w:val="Compact"/>
            </w:pPr>
            <w:r>
              <w:rPr>
                <w:sz w:val="20"/>
                <w:szCs w:val="20"/>
              </w:rPr>
              <w:t xml:space="preserve">first_mission</w:t>
            </w:r>
          </w:p>
        </w:tc>
        <w:tc>
          <w:tcPr>
            <w:tcW w:w="0" w:type="auto"/>
          </w:tcPr>
          <w:p>
            <w:pPr>
              <w:spacing w:line="240" w:lineRule="auto" w:before="0" w:after="0"/>
              <w:pStyle w:val="Compact"/>
            </w:pPr>
            <w:r>
              <w:rPr>
                <w:sz w:val="20"/>
                <w:szCs w:val="20"/>
              </w:rPr>
              <w:t xml:space="preserve">0.4685</w:t>
            </w:r>
          </w:p>
        </w:tc>
        <w:tc>
          <w:tcPr>
            <w:tcW w:w="0" w:type="auto"/>
          </w:tcPr>
          <w:p>
            <w:pPr>
              <w:spacing w:line="240" w:lineRule="auto" w:before="0" w:after="0"/>
              <w:pStyle w:val="Compact"/>
            </w:pPr>
            <w:r>
              <w:rPr>
                <w:sz w:val="20"/>
                <w:szCs w:val="20"/>
              </w:rPr>
              <w:t xml:space="preserve">0.4298</w:t>
            </w:r>
          </w:p>
        </w:tc>
        <w:tc>
          <w:tcPr>
            <w:tcW w:w="0" w:type="auto"/>
          </w:tcPr>
          <w:p>
            <w:pPr>
              <w:spacing w:line="240" w:lineRule="auto" w:before="0" w:after="0"/>
              <w:pStyle w:val="Compact"/>
            </w:pPr>
            <w:r>
              <w:rPr>
                <w:sz w:val="20"/>
                <w:szCs w:val="20"/>
              </w:rPr>
              <w:t xml:space="preserve">1.0901</w:t>
            </w:r>
          </w:p>
        </w:tc>
        <w:tc>
          <w:tcPr>
            <w:tcW w:w="0" w:type="auto"/>
          </w:tcPr>
          <w:p>
            <w:pPr>
              <w:spacing w:line="240" w:lineRule="auto" w:before="0" w:after="0"/>
              <w:pStyle w:val="Compact"/>
            </w:pPr>
            <w:r>
              <w:rPr>
                <w:sz w:val="20"/>
                <w:szCs w:val="20"/>
              </w:rPr>
              <w:t xml:space="preserve">0.2757</w:t>
            </w:r>
          </w:p>
        </w:tc>
        <w:tc>
          <w:tcPr>
            <w:tcW w:w="0" w:type="auto"/>
          </w:tcPr>
          <w:p>
            <w:pPr>
              <w:spacing w:line="240" w:lineRule="auto" w:before="0" w:after="0"/>
              <w:pStyle w:val="Compact"/>
            </w:pPr>
            <w:r>
              <w:rPr>
                <w:sz w:val="20"/>
                <w:szCs w:val="20"/>
              </w:rPr>
              <w:t xml:space="preserve">[-0.3739, 1.3109]</w:t>
            </w:r>
          </w:p>
        </w:tc>
      </w:tr>
      <w:tr>
        <w:tc>
          <w:tcPr>
            <w:tcW w:w="0" w:type="auto"/>
          </w:tcPr>
          <w:p>
            <w:pPr>
              <w:spacing w:line="240" w:lineRule="auto" w:before="0" w:after="0"/>
              <w:pStyle w:val="Compact"/>
            </w:pPr>
            <w:r>
              <w:rPr>
                <w:sz w:val="20"/>
                <w:szCs w:val="20"/>
              </w:rPr>
              <w:t xml:space="preserve">class_pro</w:t>
            </w:r>
          </w:p>
        </w:tc>
        <w:tc>
          <w:tcPr>
            <w:tcW w:w="0" w:type="auto"/>
          </w:tcPr>
          <w:p>
            <w:pPr>
              <w:spacing w:line="240" w:lineRule="auto" w:before="0" w:after="0"/>
              <w:pStyle w:val="Compact"/>
            </w:pPr>
            <w:r>
              <w:rPr>
                <w:sz w:val="20"/>
                <w:szCs w:val="20"/>
              </w:rPr>
              <w:t xml:space="preserve">0.2895</w:t>
            </w:r>
          </w:p>
        </w:tc>
        <w:tc>
          <w:tcPr>
            <w:tcW w:w="0" w:type="auto"/>
          </w:tcPr>
          <w:p>
            <w:pPr>
              <w:spacing w:line="240" w:lineRule="auto" w:before="0" w:after="0"/>
              <w:pStyle w:val="Compact"/>
            </w:pPr>
            <w:r>
              <w:rPr>
                <w:sz w:val="20"/>
                <w:szCs w:val="20"/>
              </w:rPr>
              <w:t xml:space="preserve">0.2553</w:t>
            </w:r>
          </w:p>
        </w:tc>
        <w:tc>
          <w:tcPr>
            <w:tcW w:w="0" w:type="auto"/>
          </w:tcPr>
          <w:p>
            <w:pPr>
              <w:spacing w:line="240" w:lineRule="auto" w:before="0" w:after="0"/>
              <w:pStyle w:val="Compact"/>
            </w:pPr>
            <w:r>
              <w:rPr>
                <w:sz w:val="20"/>
                <w:szCs w:val="20"/>
              </w:rPr>
              <w:t xml:space="preserve">1.1339</w:t>
            </w:r>
          </w:p>
        </w:tc>
        <w:tc>
          <w:tcPr>
            <w:tcW w:w="0" w:type="auto"/>
          </w:tcPr>
          <w:p>
            <w:pPr>
              <w:spacing w:line="240" w:lineRule="auto" w:before="0" w:after="0"/>
              <w:pStyle w:val="Compact"/>
            </w:pPr>
            <w:r>
              <w:rPr>
                <w:sz w:val="20"/>
                <w:szCs w:val="20"/>
              </w:rPr>
              <w:t xml:space="preserve">0.2568</w:t>
            </w:r>
          </w:p>
        </w:tc>
        <w:tc>
          <w:tcPr>
            <w:tcW w:w="0" w:type="auto"/>
          </w:tcPr>
          <w:p>
            <w:pPr>
              <w:spacing w:line="240" w:lineRule="auto" w:before="0" w:after="0"/>
              <w:pStyle w:val="Compact"/>
            </w:pPr>
            <w:r>
              <w:rPr>
                <w:sz w:val="20"/>
                <w:szCs w:val="20"/>
              </w:rPr>
              <w:t xml:space="preserve">[-0.2109, 0.7899]</w:t>
            </w:r>
          </w:p>
        </w:tc>
      </w:tr>
    </w:tbl>
    <w:p>
      <w:pPr>
        <w:pStyle w:val="BodyText"/>
      </w:pPr>
      <w:r>
        <w:t xml:space="preserve">Fit: N = 32 R2 = 0.7483 R2_adj = 0.711 F = 36.3562 F_p = 1.668e-10</w:t>
      </w:r>
    </w:p>
    <w:p>
      <w:pPr>
        <w:pStyle w:val="CaptionedFigure"/>
      </w:pPr>
      <w:r>
        <w:drawing>
          <wp:inline>
            <wp:extent cx="5669280" cy="3657600"/>
            <wp:effectExtent b="0" l="0" r="0" t="0"/>
            <wp:docPr descr="Figure 1. On-orbit anomaly severity against pre-flight test rigor for 32 small-spacecraft missions; missions completing full qualification and hardware-in-the-loop test campaigns concentrate at the no-anomaly end of the outcome scale." title="" id="79" name="Picture"/>
            <a:graphic>
              <a:graphicData uri="http://schemas.openxmlformats.org/drawingml/2006/picture">
                <pic:pic>
                  <pic:nvPicPr>
                    <pic:cNvPr descr="D:\Claude_Code\brain\collegium\candidates\dissertations\JPL_MGMT_SMA_TECH_11\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On-orbit anomaly severity against pre-flight test rigor for 32 small-spacecraft missions; missions completing full qualification and hardware-in-the-loop test campaigns concentrate at the no-anomaly end of the outcome scale.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year_launch</w:t>
            </w:r>
          </w:p>
        </w:tc>
        <w:tc>
          <w:tcPr>
            <w:tcW w:w="0" w:type="auto"/>
          </w:tcPr>
          <w:p>
            <w:pPr>
              <w:spacing w:line="240" w:lineRule="auto" w:before="0" w:after="0"/>
              <w:pStyle w:val="Compact"/>
            </w:pPr>
            <w:r>
              <w:rPr>
                <w:sz w:val="20"/>
                <w:szCs w:val="20"/>
              </w:rPr>
              <w:t xml:space="preserve">class_pro</w:t>
            </w:r>
          </w:p>
        </w:tc>
        <w:tc>
          <w:tcPr>
            <w:tcW w:w="0" w:type="auto"/>
          </w:tcPr>
          <w:p>
            <w:pPr>
              <w:spacing w:line="240" w:lineRule="auto" w:before="0" w:after="0"/>
              <w:pStyle w:val="Compact"/>
            </w:pPr>
            <w:r>
              <w:rPr>
                <w:sz w:val="20"/>
                <w:szCs w:val="20"/>
              </w:rPr>
              <w:t xml:space="preserve">test_rigor</w:t>
            </w:r>
          </w:p>
        </w:tc>
        <w:tc>
          <w:tcPr>
            <w:tcW w:w="0" w:type="auto"/>
          </w:tcPr>
          <w:p>
            <w:pPr>
              <w:spacing w:line="240" w:lineRule="auto" w:before="0" w:after="0"/>
              <w:pStyle w:val="Compact"/>
            </w:pPr>
            <w:r>
              <w:rPr>
                <w:sz w:val="20"/>
                <w:szCs w:val="20"/>
              </w:rPr>
              <w:t xml:space="preserve">log_mass_kg</w:t>
            </w:r>
          </w:p>
        </w:tc>
        <w:tc>
          <w:tcPr>
            <w:tcW w:w="0" w:type="auto"/>
          </w:tcPr>
          <w:p>
            <w:pPr>
              <w:spacing w:line="240" w:lineRule="auto" w:before="0" w:after="0"/>
              <w:pStyle w:val="Compact"/>
            </w:pPr>
            <w:r>
              <w:rPr>
                <w:sz w:val="20"/>
                <w:szCs w:val="20"/>
              </w:rPr>
              <w:t xml:space="preserve">first_mission</w:t>
            </w:r>
          </w:p>
        </w:tc>
        <w:tc>
          <w:tcPr>
            <w:tcW w:w="0" w:type="auto"/>
          </w:tcPr>
          <w:p>
            <w:pPr>
              <w:spacing w:line="240" w:lineRule="auto" w:before="0" w:after="0"/>
              <w:pStyle w:val="Compact"/>
            </w:pPr>
            <w:r>
              <w:rPr>
                <w:sz w:val="20"/>
                <w:szCs w:val="20"/>
              </w:rPr>
              <w:t xml:space="preserve">anomaly_severity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GeneSat-1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Swartwout,</w:t>
            </w:r>
            <w:r>
              <w:rPr>
                <w:sz w:val="20"/>
                <w:szCs w:val="20"/>
              </w:rPr>
              <w:t xml:space="preserve"> </w:t>
            </w:r>
            <w:r>
              <w:rPr>
                <w:sz w:val="20"/>
                <w:szCs w:val="20"/>
              </w:rPr>
              <w:t xml:space="preserve">‘The First One Hundred CubeSats,’</w:t>
            </w:r>
            <w:r>
              <w:rPr>
                <w:sz w:val="20"/>
                <w:szCs w:val="20"/>
              </w:rPr>
              <w:t xml:space="preserve"> </w:t>
            </w:r>
            <w:r>
              <w:rPr>
                <w:sz w:val="20"/>
                <w:szCs w:val="20"/>
              </w:rPr>
              <w:t xml:space="preserve">J. Small Satellites 2(2):213-233, 2013 (NASA Ames professional-class bus, full functional+environmental qualification; full mission success)</w:t>
            </w:r>
          </w:p>
        </w:tc>
      </w:tr>
      <w:tr>
        <w:tc>
          <w:tcPr>
            <w:tcW w:w="0" w:type="auto"/>
          </w:tcPr>
          <w:p>
            <w:pPr>
              <w:spacing w:line="240" w:lineRule="auto" w:before="0" w:after="0"/>
              <w:pStyle w:val="Compact"/>
            </w:pPr>
            <w:r>
              <w:rPr>
                <w:sz w:val="20"/>
                <w:szCs w:val="20"/>
              </w:rPr>
              <w:t xml:space="preserve">PharmaSat</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Swartwout, J. Small Satellites 2(2), 2013 (NASA Ames heritage bus, qualification test program; primary mission success)</w:t>
            </w:r>
          </w:p>
        </w:tc>
      </w:tr>
      <w:tr>
        <w:tc>
          <w:tcPr>
            <w:tcW w:w="0" w:type="auto"/>
          </w:tcPr>
          <w:p>
            <w:pPr>
              <w:spacing w:line="240" w:lineRule="auto" w:before="0" w:after="0"/>
              <w:pStyle w:val="Compact"/>
            </w:pPr>
            <w:r>
              <w:rPr>
                <w:sz w:val="20"/>
                <w:szCs w:val="20"/>
              </w:rPr>
              <w:t xml:space="preserve">RAX-1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Springmann et al.,</w:t>
            </w:r>
            <w:r>
              <w:rPr>
                <w:sz w:val="20"/>
                <w:szCs w:val="20"/>
              </w:rPr>
              <w:t xml:space="preserve"> </w:t>
            </w:r>
            <w:r>
              <w:rPr>
                <w:sz w:val="20"/>
                <w:szCs w:val="20"/>
              </w:rPr>
              <w:t xml:space="preserve">‘The Attitude Determination System of the RAX Satellite,’</w:t>
            </w:r>
            <w:r>
              <w:rPr>
                <w:sz w:val="20"/>
                <w:szCs w:val="20"/>
              </w:rPr>
              <w:t xml:space="preserve"> </w:t>
            </w:r>
            <w:r>
              <w:rPr>
                <w:sz w:val="20"/>
                <w:szCs w:val="20"/>
              </w:rPr>
              <w:t xml:space="preserve">Acta Astronautica 75:120-135, 2012 (University of Michigan first CubeSat; protoflight functional test; power-system anomaly led to early loss of contact)</w:t>
            </w:r>
          </w:p>
        </w:tc>
      </w:tr>
      <w:tr>
        <w:tc>
          <w:tcPr>
            <w:tcW w:w="0" w:type="auto"/>
          </w:tcPr>
          <w:p>
            <w:pPr>
              <w:spacing w:line="240" w:lineRule="auto" w:before="0" w:after="0"/>
              <w:pStyle w:val="Compact"/>
            </w:pPr>
            <w:r>
              <w:rPr>
                <w:sz w:val="20"/>
                <w:szCs w:val="20"/>
              </w:rPr>
              <w:t xml:space="preserve">RAX-2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Cutler &amp; Bahcivan,</w:t>
            </w:r>
            <w:r>
              <w:rPr>
                <w:sz w:val="20"/>
                <w:szCs w:val="20"/>
              </w:rPr>
              <w:t xml:space="preserve"> </w:t>
            </w:r>
            <w:r>
              <w:rPr>
                <w:sz w:val="20"/>
                <w:szCs w:val="20"/>
              </w:rPr>
              <w:t xml:space="preserve">‘The RAX Mission,’</w:t>
            </w:r>
            <w:r>
              <w:rPr>
                <w:sz w:val="20"/>
                <w:szCs w:val="20"/>
              </w:rPr>
              <w:t xml:space="preserve"> </w:t>
            </w:r>
            <w:r>
              <w:rPr>
                <w:sz w:val="20"/>
                <w:szCs w:val="20"/>
              </w:rPr>
              <w:t xml:space="preserve">Proc. AIAA/USU SmallSat 2012; second-flight design with expanded testing; primary science returned</w:t>
            </w:r>
          </w:p>
        </w:tc>
      </w:tr>
      <w:tr>
        <w:tc>
          <w:tcPr>
            <w:tcW w:w="0" w:type="auto"/>
          </w:tcPr>
          <w:p>
            <w:pPr>
              <w:spacing w:line="240" w:lineRule="auto" w:before="0" w:after="0"/>
              <w:pStyle w:val="Compact"/>
            </w:pPr>
            <w:r>
              <w:rPr>
                <w:sz w:val="20"/>
                <w:szCs w:val="20"/>
              </w:rPr>
              <w:t xml:space="preserve">AAUSAT-1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Swartwout, J. Small Satellites 2(2):213-233, 2013 (Aalborg University first mission; minimal pre-flight test; degraded/partial-DOA on orbit)</w:t>
            </w:r>
          </w:p>
        </w:tc>
      </w:tr>
      <w:tr>
        <w:tc>
          <w:tcPr>
            <w:tcW w:w="0" w:type="auto"/>
          </w:tcPr>
          <w:p>
            <w:pPr>
              <w:spacing w:line="240" w:lineRule="auto" w:before="0" w:after="0"/>
              <w:pStyle w:val="Compact"/>
            </w:pPr>
            <w:r>
              <w:rPr>
                <w:sz w:val="20"/>
                <w:szCs w:val="20"/>
              </w:rPr>
              <w:t xml:space="preserve">AAUSAT3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Bhanderi et al.,</w:t>
            </w:r>
            <w:r>
              <w:rPr>
                <w:sz w:val="20"/>
                <w:szCs w:val="20"/>
              </w:rPr>
              <w:t xml:space="preserve"> </w:t>
            </w:r>
            <w:r>
              <w:rPr>
                <w:sz w:val="20"/>
                <w:szCs w:val="20"/>
              </w:rPr>
              <w:t xml:space="preserve">‘AAUSAT3 Flight Results,’</w:t>
            </w:r>
            <w:r>
              <w:rPr>
                <w:sz w:val="20"/>
                <w:szCs w:val="20"/>
              </w:rPr>
              <w:t xml:space="preserve"> </w:t>
            </w:r>
            <w:r>
              <w:rPr>
                <w:sz w:val="20"/>
                <w:szCs w:val="20"/>
              </w:rPr>
              <w:t xml:space="preserve">Proc. AIAA/USU SmallSat 2014; full functional+vibration test campaign; AIS mission success</w:t>
            </w:r>
          </w:p>
        </w:tc>
      </w:tr>
      <w:tr>
        <w:tc>
          <w:tcPr>
            <w:tcW w:w="0" w:type="auto"/>
          </w:tcPr>
          <w:p>
            <w:pPr>
              <w:spacing w:line="240" w:lineRule="auto" w:before="0" w:after="0"/>
              <w:pStyle w:val="Compact"/>
            </w:pPr>
            <w:r>
              <w:rPr>
                <w:sz w:val="20"/>
                <w:szCs w:val="20"/>
              </w:rPr>
              <w:t xml:space="preserve">Delfi-C3</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Bouwmeester &amp; Guo,</w:t>
            </w:r>
            <w:r>
              <w:rPr>
                <w:sz w:val="20"/>
                <w:szCs w:val="20"/>
              </w:rPr>
              <w:t xml:space="preserve"> </w:t>
            </w:r>
            <w:r>
              <w:rPr>
                <w:sz w:val="20"/>
                <w:szCs w:val="20"/>
              </w:rPr>
              <w:t xml:space="preserve">‘Survey of worldwide pico- and nanosatellite missions,’</w:t>
            </w:r>
            <w:r>
              <w:rPr>
                <w:sz w:val="20"/>
                <w:szCs w:val="20"/>
              </w:rPr>
              <w:t xml:space="preserve"> </w:t>
            </w:r>
            <w:r>
              <w:rPr>
                <w:sz w:val="20"/>
                <w:szCs w:val="20"/>
              </w:rPr>
              <w:t xml:space="preserve">Acta Astronautica 67:854-862, 2010 (TU Delft first CubeSat; protoflight test; partial success, degraded power)</w:t>
            </w:r>
          </w:p>
        </w:tc>
      </w:tr>
      <w:tr>
        <w:tc>
          <w:tcPr>
            <w:tcW w:w="0" w:type="auto"/>
          </w:tcPr>
          <w:p>
            <w:pPr>
              <w:spacing w:line="240" w:lineRule="auto" w:before="0" w:after="0"/>
              <w:pStyle w:val="Compact"/>
            </w:pPr>
            <w:r>
              <w:rPr>
                <w:sz w:val="20"/>
                <w:szCs w:val="20"/>
              </w:rPr>
              <w:t xml:space="preserve">Delfi-n3Xt</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Bouwmeester et al.,</w:t>
            </w:r>
            <w:r>
              <w:rPr>
                <w:sz w:val="20"/>
                <w:szCs w:val="20"/>
              </w:rPr>
              <w:t xml:space="preserve"> </w:t>
            </w:r>
            <w:r>
              <w:rPr>
                <w:sz w:val="20"/>
                <w:szCs w:val="20"/>
              </w:rPr>
              <w:t xml:space="preserve">‘Improving CubeSat reliability: Subsystem redundancy or improved testing?,’</w:t>
            </w:r>
            <w:r>
              <w:rPr>
                <w:sz w:val="20"/>
                <w:szCs w:val="20"/>
              </w:rPr>
              <w:t xml:space="preserve"> </w:t>
            </w:r>
            <w:r>
              <w:rPr>
                <w:sz w:val="20"/>
                <w:szCs w:val="20"/>
              </w:rPr>
              <w:t xml:space="preserve">Reliability Eng. &amp; System Safety 220:108288, 2022 (TU Delft second mission; full test program; transponder success then early electronics anomaly)</w:t>
            </w:r>
          </w:p>
        </w:tc>
      </w:tr>
      <w:tr>
        <w:tc>
          <w:tcPr>
            <w:tcW w:w="0" w:type="auto"/>
          </w:tcPr>
          <w:p>
            <w:pPr>
              <w:spacing w:line="240" w:lineRule="auto" w:before="0" w:after="0"/>
              <w:pStyle w:val="Compact"/>
            </w:pPr>
            <w:r>
              <w:rPr>
                <w:sz w:val="20"/>
                <w:szCs w:val="20"/>
              </w:rPr>
              <w:t xml:space="preserve">QuakeSat</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Long et al.,</w:t>
            </w:r>
            <w:r>
              <w:rPr>
                <w:sz w:val="20"/>
                <w:szCs w:val="20"/>
              </w:rPr>
              <w:t xml:space="preserve"> </w:t>
            </w:r>
            <w:r>
              <w:rPr>
                <w:sz w:val="20"/>
                <w:szCs w:val="20"/>
              </w:rPr>
              <w:t xml:space="preserve">‘A CubeSat Derived Design for a Unique Academic Research Mission,’</w:t>
            </w:r>
            <w:r>
              <w:rPr>
                <w:sz w:val="20"/>
                <w:szCs w:val="20"/>
              </w:rPr>
              <w:t xml:space="preserve"> </w:t>
            </w:r>
            <w:r>
              <w:rPr>
                <w:sz w:val="20"/>
                <w:szCs w:val="20"/>
              </w:rPr>
              <w:t xml:space="preserve">Proc. AIAA/USU SmallSat 2002; protoflight test; primary mission objectives met</w:t>
            </w:r>
          </w:p>
        </w:tc>
      </w:tr>
      <w:tr>
        <w:tc>
          <w:tcPr>
            <w:tcW w:w="0" w:type="auto"/>
          </w:tcPr>
          <w:p>
            <w:pPr>
              <w:spacing w:line="240" w:lineRule="auto" w:before="0" w:after="0"/>
              <w:pStyle w:val="Compact"/>
            </w:pPr>
            <w:r>
              <w:rPr>
                <w:sz w:val="20"/>
                <w:szCs w:val="20"/>
              </w:rPr>
              <w:t xml:space="preserve">CanX-1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Swartwout, J. Small Satellites 2(2), 2013 (UTIAS/SFL first mission; limited test; no usable signal, effectively DOA)</w:t>
            </w:r>
          </w:p>
        </w:tc>
      </w:tr>
      <w:tr>
        <w:tc>
          <w:tcPr>
            <w:tcW w:w="0" w:type="auto"/>
          </w:tcPr>
          <w:p>
            <w:pPr>
              <w:spacing w:line="240" w:lineRule="auto" w:before="0" w:after="0"/>
              <w:pStyle w:val="Compact"/>
            </w:pPr>
            <w:r>
              <w:rPr>
                <w:sz w:val="20"/>
                <w:szCs w:val="20"/>
              </w:rPr>
              <w:t xml:space="preserve">CanX-2</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Sarda et al.,</w:t>
            </w:r>
            <w:r>
              <w:rPr>
                <w:sz w:val="20"/>
                <w:szCs w:val="20"/>
              </w:rPr>
              <w:t xml:space="preserve"> </w:t>
            </w:r>
            <w:r>
              <w:rPr>
                <w:sz w:val="20"/>
                <w:szCs w:val="20"/>
              </w:rPr>
              <w:t xml:space="preserve">‘Canadian Advanced Nanospace eXperiment 2 Orbit Operations,’</w:t>
            </w:r>
            <w:r>
              <w:rPr>
                <w:sz w:val="20"/>
                <w:szCs w:val="20"/>
              </w:rPr>
              <w:t xml:space="preserve"> </w:t>
            </w:r>
            <w:r>
              <w:rPr>
                <w:sz w:val="20"/>
                <w:szCs w:val="20"/>
              </w:rPr>
              <w:t xml:space="preserve">Proc. AIAA/USU SmallSat 2009; comprehensive SFL test flow; full mission success</w:t>
            </w:r>
          </w:p>
        </w:tc>
      </w:tr>
      <w:tr>
        <w:tc>
          <w:tcPr>
            <w:tcW w:w="0" w:type="auto"/>
          </w:tcPr>
          <w:p>
            <w:pPr>
              <w:spacing w:line="240" w:lineRule="auto" w:before="0" w:after="0"/>
              <w:pStyle w:val="Compact"/>
            </w:pPr>
            <w:r>
              <w:rPr>
                <w:sz w:val="20"/>
                <w:szCs w:val="20"/>
              </w:rPr>
              <w:t xml:space="preserve">CINEMA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Swartwout, J. Small Satellites 2(2):213-233, 2013 (UC Berkeley/multinational; protoflight; degraded operations, limited science)</w:t>
            </w:r>
          </w:p>
        </w:tc>
      </w:tr>
      <w:tr>
        <w:tc>
          <w:tcPr>
            <w:tcW w:w="0" w:type="auto"/>
          </w:tcPr>
          <w:p>
            <w:pPr>
              <w:spacing w:line="240" w:lineRule="auto" w:before="0" w:after="0"/>
              <w:pStyle w:val="Compact"/>
            </w:pPr>
            <w:r>
              <w:rPr>
                <w:sz w:val="20"/>
                <w:szCs w:val="20"/>
              </w:rPr>
              <w:t xml:space="preserve">Dove-1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Swartwout &amp; Jayne,</w:t>
            </w:r>
            <w:r>
              <w:rPr>
                <w:sz w:val="20"/>
                <w:szCs w:val="20"/>
              </w:rPr>
              <w:t xml:space="preserve"> </w:t>
            </w:r>
            <w:r>
              <w:rPr>
                <w:sz w:val="20"/>
                <w:szCs w:val="20"/>
              </w:rPr>
              <w:t xml:space="preserve">‘University-Class Spacecraft by the Numbers,’</w:t>
            </w:r>
            <w:r>
              <w:rPr>
                <w:sz w:val="20"/>
                <w:szCs w:val="20"/>
              </w:rPr>
              <w:t xml:space="preserve"> </w:t>
            </w:r>
            <w:r>
              <w:rPr>
                <w:sz w:val="20"/>
                <w:szCs w:val="20"/>
              </w:rPr>
              <w:t xml:space="preserve">Proc. AIAA/USU SmallSat 2016 (Planet professional-class commercial bus; iterated qualification test; imaging success)</w:t>
            </w:r>
          </w:p>
        </w:tc>
      </w:tr>
      <w:tr>
        <w:tc>
          <w:tcPr>
            <w:tcW w:w="0" w:type="auto"/>
          </w:tcPr>
          <w:p>
            <w:pPr>
              <w:spacing w:line="240" w:lineRule="auto" w:before="0" w:after="0"/>
              <w:pStyle w:val="Compact"/>
            </w:pPr>
            <w:r>
              <w:rPr>
                <w:sz w:val="20"/>
                <w:szCs w:val="20"/>
              </w:rPr>
              <w:t xml:space="preserve">Flock-1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Boshuizen et al.,</w:t>
            </w:r>
            <w:r>
              <w:rPr>
                <w:sz w:val="20"/>
                <w:szCs w:val="20"/>
              </w:rPr>
              <w:t xml:space="preserve"> </w:t>
            </w:r>
            <w:r>
              <w:rPr>
                <w:sz w:val="20"/>
                <w:szCs w:val="20"/>
              </w:rPr>
              <w:t xml:space="preserve">‘Results from the Planet Labs Flock Constellation,’</w:t>
            </w:r>
            <w:r>
              <w:rPr>
                <w:sz w:val="20"/>
                <w:szCs w:val="20"/>
              </w:rPr>
              <w:t xml:space="preserve"> </w:t>
            </w:r>
            <w:r>
              <w:rPr>
                <w:sz w:val="20"/>
                <w:szCs w:val="20"/>
              </w:rPr>
              <w:t xml:space="preserve">Proc. AIAA/USU SmallSat 2014; agile-aerospace test-driven build; constellation imaging success</w:t>
            </w:r>
          </w:p>
        </w:tc>
      </w:tr>
      <w:tr>
        <w:tc>
          <w:tcPr>
            <w:tcW w:w="0" w:type="auto"/>
          </w:tcPr>
          <w:p>
            <w:pPr>
              <w:spacing w:line="240" w:lineRule="auto" w:before="0" w:after="0"/>
              <w:pStyle w:val="Compact"/>
            </w:pPr>
            <w:r>
              <w:rPr>
                <w:sz w:val="20"/>
                <w:szCs w:val="20"/>
              </w:rPr>
              <w:t xml:space="preserve">MinXSS-1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1.7047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Mason et al.,</w:t>
            </w:r>
            <w:r>
              <w:rPr>
                <w:sz w:val="20"/>
                <w:szCs w:val="20"/>
              </w:rPr>
              <w:t xml:space="preserve"> </w:t>
            </w:r>
            <w:r>
              <w:rPr>
                <w:sz w:val="20"/>
                <w:szCs w:val="20"/>
              </w:rPr>
              <w:t xml:space="preserve">‘MinXSS CubeSat On-Orbit Performance,’</w:t>
            </w:r>
            <w:r>
              <w:rPr>
                <w:sz w:val="20"/>
                <w:szCs w:val="20"/>
              </w:rPr>
              <w:t xml:space="preserve"> </w:t>
            </w:r>
            <w:r>
              <w:rPr>
                <w:sz w:val="20"/>
                <w:szCs w:val="20"/>
              </w:rPr>
              <w:t xml:space="preserve">Proc. AIAA/USU SmallSat 2017; full functional + thermal-vacuum + vibration; science mission success</w:t>
            </w:r>
          </w:p>
        </w:tc>
      </w:tr>
      <w:tr>
        <w:tc>
          <w:tcPr>
            <w:tcW w:w="0" w:type="auto"/>
          </w:tcPr>
          <w:p>
            <w:pPr>
              <w:spacing w:line="240" w:lineRule="auto" w:before="0" w:after="0"/>
              <w:pStyle w:val="Compact"/>
            </w:pPr>
            <w:r>
              <w:rPr>
                <w:sz w:val="20"/>
                <w:szCs w:val="20"/>
              </w:rPr>
              <w:t xml:space="preserve">HaloSat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1.7047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Kaaret et al.,</w:t>
            </w:r>
            <w:r>
              <w:rPr>
                <w:sz w:val="20"/>
                <w:szCs w:val="20"/>
              </w:rPr>
              <w:t xml:space="preserve"> </w:t>
            </w:r>
            <w:r>
              <w:rPr>
                <w:sz w:val="20"/>
                <w:szCs w:val="20"/>
              </w:rPr>
              <w:t xml:space="preserve">‘HaloSat - A CubeSat to Study the Hot Galactic Halo,’</w:t>
            </w:r>
            <w:r>
              <w:rPr>
                <w:sz w:val="20"/>
                <w:szCs w:val="20"/>
              </w:rPr>
              <w:t xml:space="preserve"> </w:t>
            </w:r>
            <w:r>
              <w:rPr>
                <w:sz w:val="20"/>
                <w:szCs w:val="20"/>
              </w:rPr>
              <w:t xml:space="preserve">Astrophysical Journal 884:162, 2019; full environmental qualification; X-ray science success</w:t>
            </w:r>
          </w:p>
        </w:tc>
      </w:tr>
      <w:tr>
        <w:tc>
          <w:tcPr>
            <w:tcW w:w="0" w:type="auto"/>
          </w:tcPr>
          <w:p>
            <w:pPr>
              <w:spacing w:line="240" w:lineRule="auto" w:before="0" w:after="0"/>
              <w:pStyle w:val="Compact"/>
            </w:pPr>
            <w:r>
              <w:rPr>
                <w:sz w:val="20"/>
                <w:szCs w:val="20"/>
              </w:rPr>
              <w:t xml:space="preserve">ELFIN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Angelopoulos et al.,</w:t>
            </w:r>
            <w:r>
              <w:rPr>
                <w:sz w:val="20"/>
                <w:szCs w:val="20"/>
              </w:rPr>
              <w:t xml:space="preserve"> </w:t>
            </w:r>
            <w:r>
              <w:rPr>
                <w:sz w:val="20"/>
                <w:szCs w:val="20"/>
              </w:rPr>
              <w:t xml:space="preserve">‘The ELFIN Mission,’</w:t>
            </w:r>
            <w:r>
              <w:rPr>
                <w:sz w:val="20"/>
                <w:szCs w:val="20"/>
              </w:rPr>
              <w:t xml:space="preserve"> </w:t>
            </w:r>
            <w:r>
              <w:rPr>
                <w:sz w:val="20"/>
                <w:szCs w:val="20"/>
              </w:rPr>
              <w:t xml:space="preserve">Space Science Reviews 216:103, 2020 (UCLA student mission; extensive functional/environmental test; mostly successful with early anomalies)</w:t>
            </w:r>
          </w:p>
        </w:tc>
      </w:tr>
      <w:tr>
        <w:tc>
          <w:tcPr>
            <w:tcW w:w="0" w:type="auto"/>
          </w:tcPr>
          <w:p>
            <w:pPr>
              <w:spacing w:line="240" w:lineRule="auto" w:before="0" w:after="0"/>
              <w:pStyle w:val="Compact"/>
            </w:pPr>
            <w:r>
              <w:rPr>
                <w:sz w:val="20"/>
                <w:szCs w:val="20"/>
              </w:rPr>
              <w:t xml:space="preserve">IceCube-NASA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Wu et al.,</w:t>
            </w:r>
            <w:r>
              <w:rPr>
                <w:sz w:val="20"/>
                <w:szCs w:val="20"/>
              </w:rPr>
              <w:t xml:space="preserve"> </w:t>
            </w:r>
            <w:r>
              <w:rPr>
                <w:sz w:val="20"/>
                <w:szCs w:val="20"/>
              </w:rPr>
              <w:t xml:space="preserve">‘IceCube 883-GHz Radiometer,’</w:t>
            </w:r>
            <w:r>
              <w:rPr>
                <w:sz w:val="20"/>
                <w:szCs w:val="20"/>
              </w:rPr>
              <w:t xml:space="preserve"> </w:t>
            </w:r>
            <w:r>
              <w:rPr>
                <w:sz w:val="20"/>
                <w:szCs w:val="20"/>
              </w:rPr>
              <w:t xml:space="preserve">Proc. AIAA/USU SmallSat 2018; NASA GSFC qualification test; technology-demo success</w:t>
            </w:r>
          </w:p>
        </w:tc>
      </w:tr>
      <w:tr>
        <w:tc>
          <w:tcPr>
            <w:tcW w:w="0" w:type="auto"/>
          </w:tcPr>
          <w:p>
            <w:pPr>
              <w:spacing w:line="240" w:lineRule="auto" w:before="0" w:after="0"/>
              <w:pStyle w:val="Compact"/>
            </w:pPr>
            <w:r>
              <w:rPr>
                <w:sz w:val="20"/>
                <w:szCs w:val="20"/>
              </w:rPr>
              <w:t xml:space="preserve">RACE</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NTRS 20150003555,</w:t>
            </w:r>
            <w:r>
              <w:rPr>
                <w:sz w:val="20"/>
                <w:szCs w:val="20"/>
              </w:rPr>
              <w:t xml:space="preserve"> </w:t>
            </w:r>
            <w:r>
              <w:rPr>
                <w:sz w:val="20"/>
                <w:szCs w:val="20"/>
              </w:rPr>
              <w:t xml:space="preserve">‘RACE CubeSat’</w:t>
            </w:r>
            <w:r>
              <w:rPr>
                <w:sz w:val="20"/>
                <w:szCs w:val="20"/>
              </w:rPr>
              <w:t xml:space="preserve"> </w:t>
            </w:r>
            <w:r>
              <w:rPr>
                <w:sz w:val="20"/>
                <w:szCs w:val="20"/>
              </w:rPr>
              <w:t xml:space="preserve">project records; launch-vehicle loss (Antares Orb-3) - launch-environment failure [illustrative test-rigor coding]</w:t>
            </w:r>
          </w:p>
        </w:tc>
      </w:tr>
      <w:tr>
        <w:tc>
          <w:tcPr>
            <w:tcW w:w="0" w:type="auto"/>
          </w:tcPr>
          <w:p>
            <w:pPr>
              <w:spacing w:line="240" w:lineRule="auto" w:before="0" w:after="0"/>
              <w:pStyle w:val="Compact"/>
            </w:pPr>
            <w:r>
              <w:rPr>
                <w:sz w:val="20"/>
                <w:szCs w:val="20"/>
              </w:rPr>
              <w:t xml:space="preserve">Phoenix-ASU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Swartwout CubeSat Database (https://sites.google.com/a/slu.edu/swartwout/cubesat-database), Arizona State student mission; protoflight; partial success</w:t>
            </w:r>
          </w:p>
        </w:tc>
      </w:tr>
      <w:tr>
        <w:tc>
          <w:tcPr>
            <w:tcW w:w="0" w:type="auto"/>
          </w:tcPr>
          <w:p>
            <w:pPr>
              <w:spacing w:line="240" w:lineRule="auto" w:before="0" w:after="0"/>
              <w:pStyle w:val="Compact"/>
            </w:pPr>
            <w:r>
              <w:rPr>
                <w:sz w:val="20"/>
                <w:szCs w:val="20"/>
              </w:rPr>
              <w:t xml:space="preserve">KySat-1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Swartwout, J. Small Satellites 2(2):213-233, 2013 (Kentucky Space first mission; limited test; lost on launch failure / DOA category)</w:t>
            </w:r>
          </w:p>
        </w:tc>
      </w:tr>
      <w:tr>
        <w:tc>
          <w:tcPr>
            <w:tcW w:w="0" w:type="auto"/>
          </w:tcPr>
          <w:p>
            <w:pPr>
              <w:spacing w:line="240" w:lineRule="auto" w:before="0" w:after="0"/>
              <w:pStyle w:val="Compact"/>
            </w:pPr>
            <w:r>
              <w:rPr>
                <w:sz w:val="20"/>
                <w:szCs w:val="20"/>
              </w:rPr>
              <w:t xml:space="preserve">KySat-2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Swartwout &amp; Jayne, Proc. AIAA/USU SmallSat 2016; rebuilt with expanded test program; on-orbit operations successful</w:t>
            </w:r>
          </w:p>
        </w:tc>
      </w:tr>
      <w:tr>
        <w:tc>
          <w:tcPr>
            <w:tcW w:w="0" w:type="auto"/>
          </w:tcPr>
          <w:p>
            <w:pPr>
              <w:spacing w:line="240" w:lineRule="auto" w:before="0" w:after="0"/>
              <w:pStyle w:val="Compact"/>
            </w:pPr>
            <w:r>
              <w:rPr>
                <w:sz w:val="20"/>
                <w:szCs w:val="20"/>
              </w:rPr>
              <w:t xml:space="preserve">Explorer-1Prime</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Swartwout, J. Small Satellites 2(2), 2013 (Montana State; minimal test; lost on Taurus XL launch failure, DOA)</w:t>
            </w:r>
          </w:p>
        </w:tc>
      </w:tr>
      <w:tr>
        <w:tc>
          <w:tcPr>
            <w:tcW w:w="0" w:type="auto"/>
          </w:tcPr>
          <w:p>
            <w:pPr>
              <w:spacing w:line="240" w:lineRule="auto" w:before="0" w:after="0"/>
              <w:pStyle w:val="Compact"/>
            </w:pPr>
            <w:r>
              <w:rPr>
                <w:sz w:val="20"/>
                <w:szCs w:val="20"/>
              </w:rPr>
              <w:t xml:space="preserve">FIREBIRD-II</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Spence et al.,</w:t>
            </w:r>
            <w:r>
              <w:rPr>
                <w:sz w:val="20"/>
                <w:szCs w:val="20"/>
              </w:rPr>
              <w:t xml:space="preserve"> </w:t>
            </w:r>
            <w:r>
              <w:rPr>
                <w:sz w:val="20"/>
                <w:szCs w:val="20"/>
              </w:rPr>
              <w:t xml:space="preserve">‘Focused Investigations of Relativistic Electron Burst Intensity, Range, and Dynamics,’</w:t>
            </w:r>
            <w:r>
              <w:rPr>
                <w:sz w:val="20"/>
                <w:szCs w:val="20"/>
              </w:rPr>
              <w:t xml:space="preserve"> </w:t>
            </w:r>
            <w:r>
              <w:rPr>
                <w:sz w:val="20"/>
                <w:szCs w:val="20"/>
              </w:rPr>
              <w:t xml:space="preserve">Space Weather; full functional/environmental test; science success</w:t>
            </w:r>
          </w:p>
        </w:tc>
      </w:tr>
      <w:tr>
        <w:tc>
          <w:tcPr>
            <w:tcW w:w="0" w:type="auto"/>
          </w:tcPr>
          <w:p>
            <w:pPr>
              <w:spacing w:line="240" w:lineRule="auto" w:before="0" w:after="0"/>
              <w:pStyle w:val="Compact"/>
            </w:pPr>
            <w:r>
              <w:rPr>
                <w:sz w:val="20"/>
                <w:szCs w:val="20"/>
              </w:rPr>
              <w:t xml:space="preserve">LightSail-1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Ridenoure et al.,</w:t>
            </w:r>
            <w:r>
              <w:rPr>
                <w:sz w:val="20"/>
                <w:szCs w:val="20"/>
              </w:rPr>
              <w:t xml:space="preserve"> </w:t>
            </w:r>
            <w:r>
              <w:rPr>
                <w:sz w:val="20"/>
                <w:szCs w:val="20"/>
              </w:rPr>
              <w:t xml:space="preserve">‘LightSail Program Status,’</w:t>
            </w:r>
            <w:r>
              <w:rPr>
                <w:sz w:val="20"/>
                <w:szCs w:val="20"/>
              </w:rPr>
              <w:t xml:space="preserve"> </w:t>
            </w:r>
            <w:r>
              <w:rPr>
                <w:sz w:val="20"/>
                <w:szCs w:val="20"/>
              </w:rPr>
              <w:t xml:space="preserve">Proc. AIAA/USU SmallSat 2015 (Planetary Society; reduced test; software-reset anomalies, partial success)</w:t>
            </w:r>
          </w:p>
        </w:tc>
      </w:tr>
      <w:tr>
        <w:tc>
          <w:tcPr>
            <w:tcW w:w="0" w:type="auto"/>
          </w:tcPr>
          <w:p>
            <w:pPr>
              <w:spacing w:line="240" w:lineRule="auto" w:before="0" w:after="0"/>
              <w:pStyle w:val="Compact"/>
            </w:pPr>
            <w:r>
              <w:rPr>
                <w:sz w:val="20"/>
                <w:szCs w:val="20"/>
              </w:rPr>
              <w:t xml:space="preserve">LightSail-2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Betts et al.,</w:t>
            </w:r>
            <w:r>
              <w:rPr>
                <w:sz w:val="20"/>
                <w:szCs w:val="20"/>
              </w:rPr>
              <w:t xml:space="preserve"> </w:t>
            </w:r>
            <w:r>
              <w:rPr>
                <w:sz w:val="20"/>
                <w:szCs w:val="20"/>
              </w:rPr>
              <w:t xml:space="preserve">‘LightSail 2 Solar Sailing,’</w:t>
            </w:r>
            <w:r>
              <w:rPr>
                <w:sz w:val="20"/>
                <w:szCs w:val="20"/>
              </w:rPr>
              <w:t xml:space="preserve"> </w:t>
            </w:r>
            <w:r>
              <w:rPr>
                <w:sz w:val="20"/>
                <w:szCs w:val="20"/>
              </w:rPr>
              <w:t xml:space="preserve">Advances in Space Research 67:2671, 2021; revised test program; solar-sailing demonstration success</w:t>
            </w:r>
          </w:p>
        </w:tc>
      </w:tr>
      <w:tr>
        <w:tc>
          <w:tcPr>
            <w:tcW w:w="0" w:type="auto"/>
          </w:tcPr>
          <w:p>
            <w:pPr>
              <w:spacing w:line="240" w:lineRule="auto" w:before="0" w:after="0"/>
              <w:pStyle w:val="Compact"/>
            </w:pPr>
            <w:r>
              <w:rPr>
                <w:sz w:val="20"/>
                <w:szCs w:val="20"/>
              </w:rPr>
              <w:t xml:space="preserve">ASTERIA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1.7047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Smith et al.,</w:t>
            </w:r>
            <w:r>
              <w:rPr>
                <w:sz w:val="20"/>
                <w:szCs w:val="20"/>
              </w:rPr>
              <w:t xml:space="preserve"> </w:t>
            </w:r>
            <w:r>
              <w:rPr>
                <w:sz w:val="20"/>
                <w:szCs w:val="20"/>
              </w:rPr>
              <w:t xml:space="preserve">‘On-Orbit Results of the ASTERIA Mission,’</w:t>
            </w:r>
            <w:r>
              <w:rPr>
                <w:sz w:val="20"/>
                <w:szCs w:val="20"/>
              </w:rPr>
              <w:t xml:space="preserve"> </w:t>
            </w:r>
            <w:r>
              <w:rPr>
                <w:sz w:val="20"/>
                <w:szCs w:val="20"/>
              </w:rPr>
              <w:t xml:space="preserve">Proc. AIAA/USU SmallSat 2018 (JPL/MIT; full JPL qualification test; precision-photometry success)</w:t>
            </w:r>
          </w:p>
        </w:tc>
      </w:tr>
      <w:tr>
        <w:tc>
          <w:tcPr>
            <w:tcW w:w="0" w:type="auto"/>
          </w:tcPr>
          <w:p>
            <w:pPr>
              <w:spacing w:line="240" w:lineRule="auto" w:before="0" w:after="0"/>
              <w:pStyle w:val="Compact"/>
            </w:pPr>
            <w:r>
              <w:rPr>
                <w:sz w:val="20"/>
                <w:szCs w:val="20"/>
              </w:rPr>
              <w:t xml:space="preserve">NODES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Hanson et al.,</w:t>
            </w:r>
            <w:r>
              <w:rPr>
                <w:sz w:val="20"/>
                <w:szCs w:val="20"/>
              </w:rPr>
              <w:t xml:space="preserve"> </w:t>
            </w:r>
            <w:r>
              <w:rPr>
                <w:sz w:val="20"/>
                <w:szCs w:val="20"/>
              </w:rPr>
              <w:t xml:space="preserve">‘Nodes: A Flight Demonstration of Networked Spacecraft Command and Control,’</w:t>
            </w:r>
            <w:r>
              <w:rPr>
                <w:sz w:val="20"/>
                <w:szCs w:val="20"/>
              </w:rPr>
              <w:t xml:space="preserve"> </w:t>
            </w:r>
            <w:r>
              <w:rPr>
                <w:sz w:val="20"/>
                <w:szCs w:val="20"/>
              </w:rPr>
              <w:t xml:space="preserve">Proc. AIAA/USU SmallSat 2016 (NASA Ames; qualification test; mission success)</w:t>
            </w:r>
          </w:p>
        </w:tc>
      </w:tr>
      <w:tr>
        <w:tc>
          <w:tcPr>
            <w:tcW w:w="0" w:type="auto"/>
          </w:tcPr>
          <w:p>
            <w:pPr>
              <w:spacing w:line="240" w:lineRule="auto" w:before="0" w:after="0"/>
              <w:pStyle w:val="Compact"/>
            </w:pPr>
            <w:r>
              <w:rPr>
                <w:sz w:val="20"/>
                <w:szCs w:val="20"/>
              </w:rPr>
              <w:t xml:space="preserve">INSPIRE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NTRS 20190002150,</w:t>
            </w:r>
            <w:r>
              <w:rPr>
                <w:sz w:val="20"/>
                <w:szCs w:val="20"/>
              </w:rPr>
              <w:t xml:space="preserve"> </w:t>
            </w:r>
            <w:r>
              <w:rPr>
                <w:sz w:val="20"/>
                <w:szCs w:val="20"/>
              </w:rPr>
              <w:t xml:space="preserve">‘Interplanetary NanoSpacecraft Pathfinder In Relevant Environment’</w:t>
            </w:r>
            <w:r>
              <w:rPr>
                <w:sz w:val="20"/>
                <w:szCs w:val="20"/>
              </w:rPr>
              <w:t xml:space="preserve"> </w:t>
            </w:r>
            <w:r>
              <w:rPr>
                <w:sz w:val="20"/>
                <w:szCs w:val="20"/>
              </w:rPr>
              <w:t xml:space="preserve">records; first interplanetary CubeSat attempt; limited heritage, degraded outcome [illustrative outcome severity]</w:t>
            </w:r>
          </w:p>
        </w:tc>
      </w:tr>
      <w:tr>
        <w:tc>
          <w:tcPr>
            <w:tcW w:w="0" w:type="auto"/>
          </w:tcPr>
          <w:p>
            <w:pPr>
              <w:spacing w:line="240" w:lineRule="auto" w:before="0" w:after="0"/>
              <w:pStyle w:val="Compact"/>
            </w:pPr>
            <w:r>
              <w:rPr>
                <w:sz w:val="20"/>
                <w:szCs w:val="20"/>
              </w:rPr>
              <w:t xml:space="preserve">MarCO-A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Klesh et al.,</w:t>
            </w:r>
            <w:r>
              <w:rPr>
                <w:sz w:val="20"/>
                <w:szCs w:val="20"/>
              </w:rPr>
              <w:t xml:space="preserve"> </w:t>
            </w:r>
            <w:r>
              <w:rPr>
                <w:sz w:val="20"/>
                <w:szCs w:val="20"/>
              </w:rPr>
              <w:t xml:space="preserve">‘MarCO: Early Operations of the First CubeSats to Mars,’</w:t>
            </w:r>
            <w:r>
              <w:rPr>
                <w:sz w:val="20"/>
                <w:szCs w:val="20"/>
              </w:rPr>
              <w:t xml:space="preserve"> </w:t>
            </w:r>
            <w:r>
              <w:rPr>
                <w:sz w:val="20"/>
                <w:szCs w:val="20"/>
              </w:rPr>
              <w:t xml:space="preserve">Proc. AIAA/USU SmallSat 2018 (JPL full qualification + interplanetary test; relay mission success)</w:t>
            </w:r>
          </w:p>
        </w:tc>
      </w:tr>
      <w:tr>
        <w:tc>
          <w:tcPr>
            <w:tcW w:w="0" w:type="auto"/>
          </w:tcPr>
          <w:p>
            <w:pPr>
              <w:spacing w:line="240" w:lineRule="auto" w:before="0" w:after="0"/>
              <w:pStyle w:val="Compact"/>
            </w:pPr>
            <w:r>
              <w:rPr>
                <w:sz w:val="20"/>
                <w:szCs w:val="20"/>
              </w:rPr>
              <w:t xml:space="preserve">MarCO-B</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Klesh et al., Proc. AIAA/USU SmallSat 2018; sister craft, identical qualification test flow; relay success during InSight EDL</w:t>
            </w:r>
          </w:p>
        </w:tc>
      </w:tr>
      <w:tr>
        <w:tc>
          <w:tcPr>
            <w:tcW w:w="0" w:type="auto"/>
          </w:tcPr>
          <w:p>
            <w:pPr>
              <w:spacing w:line="240" w:lineRule="auto" w:before="0" w:after="0"/>
              <w:pStyle w:val="Compact"/>
            </w:pPr>
            <w:r>
              <w:rPr>
                <w:sz w:val="20"/>
                <w:szCs w:val="20"/>
              </w:rPr>
              <w:t xml:space="preserve">BugSat-1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Swartwout &amp; Jayne, Proc. AIAA/USU SmallSat 2016 (Satellogic first mission; reduced test; partial commissioning success)</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anomaly_severity</w:t>
            </w:r>
          </w:p>
        </w:tc>
        <w:tc>
          <w:tcPr>
            <w:tcW w:w="0" w:type="auto"/>
          </w:tcPr>
          <w:p>
            <w:pPr>
              <w:spacing w:line="240" w:lineRule="auto" w:before="0" w:after="0"/>
              <w:pStyle w:val="Compact"/>
            </w:pPr>
            <w:r>
              <w:rPr>
                <w:sz w:val="20"/>
                <w:szCs w:val="20"/>
              </w:rPr>
              <w:t xml:space="preserve">Ordinal on-orbit outcome index: 0 = full primary-mission success with no operationally significant anomaly; 1 = partial or degraded success with documented on-orbit anomaly; 2 = early or total mission loss, including dead-on-arrival (DOA). Coded from each row’s documented on-orbit outcome.</w:t>
            </w:r>
          </w:p>
        </w:tc>
        <w:tc>
          <w:tcPr>
            <w:tcW w:w="0" w:type="auto"/>
          </w:tcPr>
          <w:p>
            <w:pPr>
              <w:spacing w:line="240" w:lineRule="auto" w:before="0" w:after="0"/>
              <w:pStyle w:val="Compact"/>
            </w:pPr>
            <w:r>
              <w:rPr>
                <w:sz w:val="20"/>
                <w:szCs w:val="20"/>
              </w:rPr>
              <w:t xml:space="preserve">Hand-coded from the mission outcome stated in each row’s source (peer-reviewed flight-results papers, SmallSat conference proceedings, and the Swartwout CubeSat Database).</w:t>
            </w:r>
          </w:p>
        </w:tc>
      </w:tr>
      <w:tr>
        <w:tc>
          <w:tcPr>
            <w:tcW w:w="0" w:type="auto"/>
          </w:tcPr>
          <w:p>
            <w:pPr>
              <w:spacing w:line="240" w:lineRule="auto" w:before="0" w:after="0"/>
              <w:pStyle w:val="Compact"/>
            </w:pPr>
            <w:r>
              <w:rPr>
                <w:sz w:val="20"/>
                <w:szCs w:val="20"/>
              </w:rPr>
              <w:t xml:space="preserve">test_rigor</w:t>
            </w:r>
          </w:p>
        </w:tc>
        <w:tc>
          <w:tcPr>
            <w:tcW w:w="0" w:type="auto"/>
          </w:tcPr>
          <w:p>
            <w:pPr>
              <w:spacing w:line="240" w:lineRule="auto" w:before="0" w:after="0"/>
              <w:pStyle w:val="Compact"/>
            </w:pPr>
            <w:r>
              <w:rPr>
                <w:sz w:val="20"/>
                <w:szCs w:val="20"/>
              </w:rPr>
              <w:t xml:space="preserve">Ordinal pre-flight verification intensity: 0 = functional/bench checkout only; 1 = protoflight environmental test (single article, qualification levels, acceptance durations); 2 = full qualification campaign including system-level environmental and hardware-in-the-loop / integrated functional testing. The treatment of interest.</w:t>
            </w:r>
          </w:p>
        </w:tc>
        <w:tc>
          <w:tcPr>
            <w:tcW w:w="0" w:type="auto"/>
          </w:tcPr>
          <w:p>
            <w:pPr>
              <w:spacing w:line="240" w:lineRule="auto" w:before="0" w:after="0"/>
              <w:pStyle w:val="Compact"/>
            </w:pPr>
            <w:r>
              <w:rPr>
                <w:sz w:val="20"/>
                <w:szCs w:val="20"/>
              </w:rPr>
              <w:t xml:space="preserve">Hand-coded from the documented test program described in each row’s source; protoflight versus qualification distinction follows NASA NTRS 20150014585 and the protoflight literature.</w:t>
            </w:r>
          </w:p>
        </w:tc>
      </w:tr>
      <w:tr>
        <w:tc>
          <w:tcPr>
            <w:tcW w:w="0" w:type="auto"/>
          </w:tcPr>
          <w:p>
            <w:pPr>
              <w:spacing w:line="240" w:lineRule="auto" w:before="0" w:after="0"/>
              <w:pStyle w:val="Compact"/>
            </w:pPr>
            <w:r>
              <w:rPr>
                <w:sz w:val="20"/>
                <w:szCs w:val="20"/>
              </w:rPr>
              <w:t xml:space="preserve">log_mass_kg</w:t>
            </w:r>
          </w:p>
        </w:tc>
        <w:tc>
          <w:tcPr>
            <w:tcW w:w="0" w:type="auto"/>
          </w:tcPr>
          <w:p>
            <w:pPr>
              <w:spacing w:line="240" w:lineRule="auto" w:before="0" w:after="0"/>
              <w:pStyle w:val="Compact"/>
            </w:pPr>
            <w:r>
              <w:rPr>
                <w:sz w:val="20"/>
                <w:szCs w:val="20"/>
              </w:rPr>
              <w:t xml:space="preserve">Natural logarithm of spacecraft wet mass in kilograms, a proxy for design complexity and subsystem count.</w:t>
            </w:r>
          </w:p>
        </w:tc>
        <w:tc>
          <w:tcPr>
            <w:tcW w:w="0" w:type="auto"/>
          </w:tcPr>
          <w:p>
            <w:pPr>
              <w:spacing w:line="240" w:lineRule="auto" w:before="0" w:after="0"/>
              <w:pStyle w:val="Compact"/>
            </w:pPr>
            <w:r>
              <w:rPr>
                <w:sz w:val="20"/>
                <w:szCs w:val="20"/>
              </w:rPr>
              <w:t xml:space="preserve">log(mass_kg); masses from mission press kits, flight-results papers, and the Swartwout database per row source.</w:t>
            </w:r>
          </w:p>
        </w:tc>
      </w:tr>
      <w:tr>
        <w:tc>
          <w:tcPr>
            <w:tcW w:w="0" w:type="auto"/>
          </w:tcPr>
          <w:p>
            <w:pPr>
              <w:spacing w:line="240" w:lineRule="auto" w:before="0" w:after="0"/>
              <w:pStyle w:val="Compact"/>
            </w:pPr>
            <w:r>
              <w:rPr>
                <w:sz w:val="20"/>
                <w:szCs w:val="20"/>
              </w:rPr>
              <w:t xml:space="preserve">first_mission</w:t>
            </w:r>
          </w:p>
        </w:tc>
        <w:tc>
          <w:tcPr>
            <w:tcW w:w="0" w:type="auto"/>
          </w:tcPr>
          <w:p>
            <w:pPr>
              <w:spacing w:line="240" w:lineRule="auto" w:before="0" w:after="0"/>
              <w:pStyle w:val="Compact"/>
            </w:pPr>
            <w:r>
              <w:rPr>
                <w:sz w:val="20"/>
                <w:szCs w:val="20"/>
              </w:rPr>
              <w:t xml:space="preserve">Binary: 1 if the mission was the developing organization’s first orbital spacecraft (no flight heritage); 0 otherwise. Controls for organizational inexperience that confounds both testing choices and outcomes.</w:t>
            </w:r>
          </w:p>
        </w:tc>
        <w:tc>
          <w:tcPr>
            <w:tcW w:w="0" w:type="auto"/>
          </w:tcPr>
          <w:p>
            <w:pPr>
              <w:spacing w:line="240" w:lineRule="auto" w:before="0" w:after="0"/>
              <w:pStyle w:val="Compact"/>
            </w:pPr>
            <w:r>
              <w:rPr>
                <w:sz w:val="20"/>
                <w:szCs w:val="20"/>
              </w:rPr>
              <w:t xml:space="preserve">Coded from developer flight history in each row’s source and the Swartwout database.</w:t>
            </w:r>
          </w:p>
        </w:tc>
      </w:tr>
      <w:tr>
        <w:tc>
          <w:tcPr>
            <w:tcW w:w="0" w:type="auto"/>
          </w:tcPr>
          <w:p>
            <w:pPr>
              <w:spacing w:line="240" w:lineRule="auto" w:before="0" w:after="0"/>
              <w:pStyle w:val="Compact"/>
            </w:pPr>
            <w:r>
              <w:rPr>
                <w:sz w:val="20"/>
                <w:szCs w:val="20"/>
              </w:rPr>
              <w:t xml:space="preserve">class_pro</w:t>
            </w:r>
          </w:p>
        </w:tc>
        <w:tc>
          <w:tcPr>
            <w:tcW w:w="0" w:type="auto"/>
          </w:tcPr>
          <w:p>
            <w:pPr>
              <w:spacing w:line="240" w:lineRule="auto" w:before="0" w:after="0"/>
              <w:pStyle w:val="Compact"/>
            </w:pPr>
            <w:r>
              <w:rPr>
                <w:sz w:val="20"/>
                <w:szCs w:val="20"/>
              </w:rPr>
              <w:t xml:space="preserve">Binary: 1 if the mission is professional-class (government lab or established commercial operator); 0 if university/amateur-class. Controls for institutional process maturity per Swartwout’s professional-versus-university taxonomy.</w:t>
            </w:r>
          </w:p>
        </w:tc>
        <w:tc>
          <w:tcPr>
            <w:tcW w:w="0" w:type="auto"/>
          </w:tcPr>
          <w:p>
            <w:pPr>
              <w:spacing w:line="240" w:lineRule="auto" w:before="0" w:after="0"/>
              <w:pStyle w:val="Compact"/>
            </w:pPr>
            <w:r>
              <w:rPr>
                <w:sz w:val="20"/>
                <w:szCs w:val="20"/>
              </w:rPr>
              <w:t xml:space="preserve">Coded per Swartwout, J. Small Satellites 2(2):213-233, 2013, and Swartwout &amp; Jayne, Proc. AIAA/USU SmallSat 2016.</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2.417</w:t>
            </w:r>
          </w:p>
        </w:tc>
        <w:tc>
          <w:tcPr>
            <w:tcW w:w="0" w:type="auto"/>
          </w:tcPr>
          <w:p>
            <w:pPr>
              <w:spacing w:line="240" w:lineRule="auto" w:before="0" w:after="0"/>
              <w:pStyle w:val="Compact"/>
            </w:pPr>
            <w:r>
              <w:rPr>
                <w:sz w:val="20"/>
                <w:szCs w:val="20"/>
              </w:rPr>
              <w:t xml:space="preserve">0.8858</w:t>
            </w:r>
          </w:p>
        </w:tc>
        <w:tc>
          <w:tcPr>
            <w:tcW w:w="0" w:type="auto"/>
          </w:tcPr>
          <w:p>
            <w:pPr>
              <w:spacing w:line="240" w:lineRule="auto" w:before="0" w:after="0"/>
              <w:pStyle w:val="Compact"/>
            </w:pPr>
            <w:r>
              <w:rPr>
                <w:sz w:val="20"/>
                <w:szCs w:val="20"/>
              </w:rPr>
              <w:t xml:space="preserve">2.7287</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[0.6809, 4.1531]</w:t>
            </w:r>
          </w:p>
        </w:tc>
      </w:tr>
      <w:tr>
        <w:tc>
          <w:tcPr>
            <w:tcW w:w="0" w:type="auto"/>
          </w:tcPr>
          <w:p>
            <w:pPr>
              <w:spacing w:line="240" w:lineRule="auto" w:before="0" w:after="0"/>
              <w:pStyle w:val="Compact"/>
            </w:pPr>
            <w:r>
              <w:rPr>
                <w:sz w:val="20"/>
                <w:szCs w:val="20"/>
              </w:rPr>
              <w:t xml:space="preserve">test_rigor</w:t>
            </w:r>
          </w:p>
        </w:tc>
        <w:tc>
          <w:tcPr>
            <w:tcW w:w="0" w:type="auto"/>
          </w:tcPr>
          <w:p>
            <w:pPr>
              <w:spacing w:line="240" w:lineRule="auto" w:before="0" w:after="0"/>
              <w:pStyle w:val="Compact"/>
            </w:pPr>
            <w:r>
              <w:rPr>
                <w:sz w:val="20"/>
                <w:szCs w:val="20"/>
              </w:rPr>
              <w:t xml:space="preserve">-1.0366</w:t>
            </w:r>
          </w:p>
        </w:tc>
        <w:tc>
          <w:tcPr>
            <w:tcW w:w="0" w:type="auto"/>
          </w:tcPr>
          <w:p>
            <w:pPr>
              <w:spacing w:line="240" w:lineRule="auto" w:before="0" w:after="0"/>
              <w:pStyle w:val="Compact"/>
            </w:pPr>
            <w:r>
              <w:rPr>
                <w:sz w:val="20"/>
                <w:szCs w:val="20"/>
              </w:rPr>
              <w:t xml:space="preserve">0.4518</w:t>
            </w:r>
          </w:p>
        </w:tc>
        <w:tc>
          <w:tcPr>
            <w:tcW w:w="0" w:type="auto"/>
          </w:tcPr>
          <w:p>
            <w:pPr>
              <w:spacing w:line="240" w:lineRule="auto" w:before="0" w:after="0"/>
              <w:pStyle w:val="Compact"/>
            </w:pPr>
            <w:r>
              <w:rPr>
                <w:sz w:val="20"/>
                <w:szCs w:val="20"/>
              </w:rPr>
              <w:t xml:space="preserve">-2.2945</w:t>
            </w:r>
          </w:p>
        </w:tc>
        <w:tc>
          <w:tcPr>
            <w:tcW w:w="0" w:type="auto"/>
          </w:tcPr>
          <w:p>
            <w:pPr>
              <w:spacing w:line="240" w:lineRule="auto" w:before="0" w:after="0"/>
              <w:pStyle w:val="Compact"/>
            </w:pPr>
            <w:r>
              <w:rPr>
                <w:sz w:val="20"/>
                <w:szCs w:val="20"/>
              </w:rPr>
              <w:t xml:space="preserve">0.0218</w:t>
            </w:r>
          </w:p>
        </w:tc>
        <w:tc>
          <w:tcPr>
            <w:tcW w:w="0" w:type="auto"/>
          </w:tcPr>
          <w:p>
            <w:pPr>
              <w:spacing w:line="240" w:lineRule="auto" w:before="0" w:after="0"/>
              <w:pStyle w:val="Compact"/>
            </w:pPr>
            <w:r>
              <w:rPr>
                <w:sz w:val="20"/>
                <w:szCs w:val="20"/>
              </w:rPr>
              <w:t xml:space="preserve">[-1.922, -0.1511]</w:t>
            </w:r>
          </w:p>
        </w:tc>
      </w:tr>
      <w:tr>
        <w:tc>
          <w:tcPr>
            <w:tcW w:w="0" w:type="auto"/>
          </w:tcPr>
          <w:p>
            <w:pPr>
              <w:spacing w:line="240" w:lineRule="auto" w:before="0" w:after="0"/>
              <w:pStyle w:val="Compact"/>
            </w:pPr>
            <w:r>
              <w:rPr>
                <w:sz w:val="20"/>
                <w:szCs w:val="20"/>
              </w:rPr>
              <w:t xml:space="preserve">log_mass_kg</w:t>
            </w:r>
          </w:p>
        </w:tc>
        <w:tc>
          <w:tcPr>
            <w:tcW w:w="0" w:type="auto"/>
          </w:tcPr>
          <w:p>
            <w:pPr>
              <w:spacing w:line="240" w:lineRule="auto" w:before="0" w:after="0"/>
              <w:pStyle w:val="Compact"/>
            </w:pPr>
            <w:r>
              <w:rPr>
                <w:sz w:val="20"/>
                <w:szCs w:val="20"/>
              </w:rPr>
              <w:t xml:space="preserve">-0.3261</w:t>
            </w:r>
          </w:p>
        </w:tc>
        <w:tc>
          <w:tcPr>
            <w:tcW w:w="0" w:type="auto"/>
          </w:tcPr>
          <w:p>
            <w:pPr>
              <w:spacing w:line="240" w:lineRule="auto" w:before="0" w:after="0"/>
              <w:pStyle w:val="Compact"/>
            </w:pPr>
            <w:r>
              <w:rPr>
                <w:sz w:val="20"/>
                <w:szCs w:val="20"/>
              </w:rPr>
              <w:t xml:space="preserve">0.1459</w:t>
            </w:r>
          </w:p>
        </w:tc>
        <w:tc>
          <w:tcPr>
            <w:tcW w:w="0" w:type="auto"/>
          </w:tcPr>
          <w:p>
            <w:pPr>
              <w:spacing w:line="240" w:lineRule="auto" w:before="0" w:after="0"/>
              <w:pStyle w:val="Compact"/>
            </w:pPr>
            <w:r>
              <w:rPr>
                <w:sz w:val="20"/>
                <w:szCs w:val="20"/>
              </w:rPr>
              <w:t xml:space="preserve">-2.2361</w:t>
            </w:r>
          </w:p>
        </w:tc>
        <w:tc>
          <w:tcPr>
            <w:tcW w:w="0" w:type="auto"/>
          </w:tcPr>
          <w:p>
            <w:pPr>
              <w:spacing w:line="240" w:lineRule="auto" w:before="0" w:after="0"/>
              <w:pStyle w:val="Compact"/>
            </w:pPr>
            <w:r>
              <w:rPr>
                <w:sz w:val="20"/>
                <w:szCs w:val="20"/>
              </w:rPr>
              <w:t xml:space="preserve">0.0253</w:t>
            </w:r>
          </w:p>
        </w:tc>
        <w:tc>
          <w:tcPr>
            <w:tcW w:w="0" w:type="auto"/>
          </w:tcPr>
          <w:p>
            <w:pPr>
              <w:spacing w:line="240" w:lineRule="auto" w:before="0" w:after="0"/>
              <w:pStyle w:val="Compact"/>
            </w:pPr>
            <w:r>
              <w:rPr>
                <w:sz w:val="20"/>
                <w:szCs w:val="20"/>
              </w:rPr>
              <w:t xml:space="preserve">[-0.612, -0.0403]</w:t>
            </w:r>
          </w:p>
        </w:tc>
      </w:tr>
      <w:tr>
        <w:tc>
          <w:tcPr>
            <w:tcW w:w="0" w:type="auto"/>
          </w:tcPr>
          <w:p>
            <w:pPr>
              <w:spacing w:line="240" w:lineRule="auto" w:before="0" w:after="0"/>
              <w:pStyle w:val="Compact"/>
            </w:pPr>
            <w:r>
              <w:rPr>
                <w:sz w:val="20"/>
                <w:szCs w:val="20"/>
              </w:rPr>
              <w:t xml:space="preserve">first_mission</w:t>
            </w:r>
          </w:p>
        </w:tc>
        <w:tc>
          <w:tcPr>
            <w:tcW w:w="0" w:type="auto"/>
          </w:tcPr>
          <w:p>
            <w:pPr>
              <w:spacing w:line="240" w:lineRule="auto" w:before="0" w:after="0"/>
              <w:pStyle w:val="Compact"/>
            </w:pPr>
            <w:r>
              <w:rPr>
                <w:sz w:val="20"/>
                <w:szCs w:val="20"/>
              </w:rPr>
              <w:t xml:space="preserve">0.4685</w:t>
            </w:r>
          </w:p>
        </w:tc>
        <w:tc>
          <w:tcPr>
            <w:tcW w:w="0" w:type="auto"/>
          </w:tcPr>
          <w:p>
            <w:pPr>
              <w:spacing w:line="240" w:lineRule="auto" w:before="0" w:after="0"/>
              <w:pStyle w:val="Compact"/>
            </w:pPr>
            <w:r>
              <w:rPr>
                <w:sz w:val="20"/>
                <w:szCs w:val="20"/>
              </w:rPr>
              <w:t xml:space="preserve">0.4298</w:t>
            </w:r>
          </w:p>
        </w:tc>
        <w:tc>
          <w:tcPr>
            <w:tcW w:w="0" w:type="auto"/>
          </w:tcPr>
          <w:p>
            <w:pPr>
              <w:spacing w:line="240" w:lineRule="auto" w:before="0" w:after="0"/>
              <w:pStyle w:val="Compact"/>
            </w:pPr>
            <w:r>
              <w:rPr>
                <w:sz w:val="20"/>
                <w:szCs w:val="20"/>
              </w:rPr>
              <w:t xml:space="preserve">1.0901</w:t>
            </w:r>
          </w:p>
        </w:tc>
        <w:tc>
          <w:tcPr>
            <w:tcW w:w="0" w:type="auto"/>
          </w:tcPr>
          <w:p>
            <w:pPr>
              <w:spacing w:line="240" w:lineRule="auto" w:before="0" w:after="0"/>
              <w:pStyle w:val="Compact"/>
            </w:pPr>
            <w:r>
              <w:rPr>
                <w:sz w:val="20"/>
                <w:szCs w:val="20"/>
              </w:rPr>
              <w:t xml:space="preserve">0.2757</w:t>
            </w:r>
          </w:p>
        </w:tc>
        <w:tc>
          <w:tcPr>
            <w:tcW w:w="0" w:type="auto"/>
          </w:tcPr>
          <w:p>
            <w:pPr>
              <w:spacing w:line="240" w:lineRule="auto" w:before="0" w:after="0"/>
              <w:pStyle w:val="Compact"/>
            </w:pPr>
            <w:r>
              <w:rPr>
                <w:sz w:val="20"/>
                <w:szCs w:val="20"/>
              </w:rPr>
              <w:t xml:space="preserve">[-0.3739, 1.3109]</w:t>
            </w:r>
          </w:p>
        </w:tc>
      </w:tr>
      <w:tr>
        <w:tc>
          <w:tcPr>
            <w:tcW w:w="0" w:type="auto"/>
          </w:tcPr>
          <w:p>
            <w:pPr>
              <w:spacing w:line="240" w:lineRule="auto" w:before="0" w:after="0"/>
              <w:pStyle w:val="Compact"/>
            </w:pPr>
            <w:r>
              <w:rPr>
                <w:sz w:val="20"/>
                <w:szCs w:val="20"/>
              </w:rPr>
              <w:t xml:space="preserve">class_pro</w:t>
            </w:r>
          </w:p>
        </w:tc>
        <w:tc>
          <w:tcPr>
            <w:tcW w:w="0" w:type="auto"/>
          </w:tcPr>
          <w:p>
            <w:pPr>
              <w:spacing w:line="240" w:lineRule="auto" w:before="0" w:after="0"/>
              <w:pStyle w:val="Compact"/>
            </w:pPr>
            <w:r>
              <w:rPr>
                <w:sz w:val="20"/>
                <w:szCs w:val="20"/>
              </w:rPr>
              <w:t xml:space="preserve">0.2895</w:t>
            </w:r>
          </w:p>
        </w:tc>
        <w:tc>
          <w:tcPr>
            <w:tcW w:w="0" w:type="auto"/>
          </w:tcPr>
          <w:p>
            <w:pPr>
              <w:spacing w:line="240" w:lineRule="auto" w:before="0" w:after="0"/>
              <w:pStyle w:val="Compact"/>
            </w:pPr>
            <w:r>
              <w:rPr>
                <w:sz w:val="20"/>
                <w:szCs w:val="20"/>
              </w:rPr>
              <w:t xml:space="preserve">0.2553</w:t>
            </w:r>
          </w:p>
        </w:tc>
        <w:tc>
          <w:tcPr>
            <w:tcW w:w="0" w:type="auto"/>
          </w:tcPr>
          <w:p>
            <w:pPr>
              <w:spacing w:line="240" w:lineRule="auto" w:before="0" w:after="0"/>
              <w:pStyle w:val="Compact"/>
            </w:pPr>
            <w:r>
              <w:rPr>
                <w:sz w:val="20"/>
                <w:szCs w:val="20"/>
              </w:rPr>
              <w:t xml:space="preserve">1.1339</w:t>
            </w:r>
          </w:p>
        </w:tc>
        <w:tc>
          <w:tcPr>
            <w:tcW w:w="0" w:type="auto"/>
          </w:tcPr>
          <w:p>
            <w:pPr>
              <w:spacing w:line="240" w:lineRule="auto" w:before="0" w:after="0"/>
              <w:pStyle w:val="Compact"/>
            </w:pPr>
            <w:r>
              <w:rPr>
                <w:sz w:val="20"/>
                <w:szCs w:val="20"/>
              </w:rPr>
              <w:t xml:space="preserve">0.2568</w:t>
            </w:r>
          </w:p>
        </w:tc>
        <w:tc>
          <w:tcPr>
            <w:tcW w:w="0" w:type="auto"/>
          </w:tcPr>
          <w:p>
            <w:pPr>
              <w:spacing w:line="240" w:lineRule="auto" w:before="0" w:after="0"/>
              <w:pStyle w:val="Compact"/>
            </w:pPr>
            <w:r>
              <w:rPr>
                <w:sz w:val="20"/>
                <w:szCs w:val="20"/>
              </w:rPr>
              <w:t xml:space="preserve">[-0.2109, 0.7899]</w:t>
            </w:r>
          </w:p>
        </w:tc>
      </w:tr>
    </w:tbl>
    <w:p>
      <w:pPr>
        <w:pStyle w:val="BodyText"/>
      </w:pPr>
      <w:r>
        <w:t xml:space="preserve">Fit: N = 32 R2 = 0.7483 R2_adj = 0.711 F = 36.3562 F_p = 1.668e-10</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5" Target="https://doi.org/10.1016/j.actaastro.2010.06.004" TargetMode="External" /><Relationship Type="http://schemas.openxmlformats.org/officeDocument/2006/relationships/hyperlink" Id="rId68" Target="https://doi.org/10.1016/j.actaastro.2023.06.027" TargetMode="External" /><Relationship Type="http://schemas.openxmlformats.org/officeDocument/2006/relationships/hyperlink" Id="rId71" Target="https://doi.org/10.1016/j.ress.2021.108288"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10.06.004" TargetMode="External" /><Relationship Type="http://schemas.openxmlformats.org/officeDocument/2006/relationships/hyperlink" Id="rId68" Target="https://doi.org/10.1016/j.actaastro.2023.06.027" TargetMode="External" /><Relationship Type="http://schemas.openxmlformats.org/officeDocument/2006/relationships/hyperlink" Id="rId71" Target="https://doi.org/10.1016/j.ress.2021.10828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2026-06-26T16:45:46Z</dcterms:created>
  <dcterms:modified xsi:type="dcterms:W3CDTF">2026-06-26T16:45:46Z</dcterms:modified>
</cp:coreProperties>
</file>

<file path=docProps/custom.xml><?xml version="1.0" encoding="utf-8"?>
<Properties xmlns="http://schemas.openxmlformats.org/officeDocument/2006/custom-properties" xmlns:vt="http://schemas.openxmlformats.org/officeDocument/2006/docPropsVTypes"/>
</file>