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803d57b2a83828014b1b28f24cee1d90e2f3e51"/>
    <w:p>
      <w:pPr>
        <w:pStyle w:val="Heading1"/>
      </w:pPr>
      <w:r>
        <w:t xml:space="preserve">Do Hardware-in-the-Loop Test Environments Reduce Flight Anomalies? A Causal Estimate from CubeSat Mission Outcomes</w:t>
      </w:r>
    </w:p>
    <w:bookmarkStart w:id="61" w:name="introduction"/>
    <w:p>
      <w:pPr>
        <w:pStyle w:val="Heading2"/>
      </w:pPr>
      <w:r>
        <w:t xml:space="preserve">1. Introduction</w:t>
      </w:r>
    </w:p>
    <w:p>
      <w:pPr>
        <w:pStyle w:val="FirstParagraph"/>
      </w:pPr>
      <w:r>
        <w:t xml:space="preserve">Small-satellite programs face a recurring governance question: how much ground test infrastructure is enough? Hardware-in-the-loop (HIL) test environments, in which flight hardware interacts with a real-time simulated space environment before launch, are expensive to build and operate. Their payoff is uncertain because the counterfactual is unobservable for any single mission. A program that flies without an anomaly cannot prove that its HIL rig prevented one, and a program that suffers an anomaly rarely knows whether more ground testing would have caught the fault. This paper estimates the association between HIL test fidelity and the probability of a major on-orbit flight anomaly across a cross-section of documented CubeSat and small-satellite missions, conditioning on builder experience and flight heritage.</w:t>
      </w:r>
    </w:p>
    <w:p>
      <w:pPr>
        <w:pStyle w:val="BodyText"/>
      </w:pPr>
      <w:r>
        <w:t xml:space="preserve">The CubeSat population is an unusually clean setting for this question. Failure databases are public, mission outcomes are documented, and the wide variation in test practice across university, NewSpace, and professional builders supplies the contrast that an estimate of test value requires. Reliability studies of this population report that failures are dominated by the bus rather than the payload, that early loss of contact accounts for a large share of failures, and that fly-learn-refly heritage is among the strongest predictors of survival</w:t>
      </w:r>
      <w:r>
        <w:t xml:space="preserve"> </w:t>
      </w:r>
      <w:hyperlink w:anchor="ref-1">
        <m:oMathPara>
          <m:oMathParaPr>
            <m:jc m:val="center"/>
          </m:oMathParaPr>
          <m:oMath>
            <m:r>
              <m:t>1</m:t>
            </m:r>
          </m:oMath>
        </m:oMathPara>
      </w:hyperlink>
      <w:r>
        <w:t xml:space="preserve">[2][3]. What that literature has not isolated is the marginal effect of test-environment fidelity itself, holding builder class and heritage fixed. That is the estimate this paper provides.</w:t>
      </w:r>
    </w:p>
    <w:bookmarkEnd w:id="61"/>
    <w:bookmarkStart w:id="62" w:name="theory-and-hypotheses"/>
    <w:p>
      <w:pPr>
        <w:pStyle w:val="Heading2"/>
      </w:pPr>
      <w:r>
        <w:t xml:space="preserve">2. Theory and Hypotheses</w:t>
      </w:r>
    </w:p>
    <w:p>
      <w:pPr>
        <w:pStyle w:val="FirstParagraph"/>
      </w:pPr>
      <w:r>
        <w:t xml:space="preserve">Three mechanisms motivate the expectation that HIL test environments reduce flight anomalies. First, infant mortality dominates the CubeSat failure distribution, and a large share of early failures trace to integration-level faults that surface only when subsystems interact under realistic timing and power conditions</w:t>
      </w:r>
      <w:r>
        <w:t xml:space="preserve"> </w:t>
      </w:r>
      <w:hyperlink w:anchor="ref-2">
        <m:oMathPara>
          <m:oMathParaPr>
            <m:jc m:val="center"/>
          </m:oMathParaPr>
          <m:oMath>
            <m:r>
              <m:t>2</m:t>
            </m:r>
          </m:oMath>
        </m:oMathPara>
      </w:hyperlink>
      <w:r>
        <w:t xml:space="preserve">. A HIL rig exercises exactly these interactions before launch. Second, because the bus rather than the payload drives most failures</w:t>
      </w:r>
      <w:r>
        <w:t xml:space="preserve"> </w:t>
      </w:r>
      <w:hyperlink w:anchor="ref-1">
        <m:oMathPara>
          <m:oMathParaPr>
            <m:jc m:val="center"/>
          </m:oMathParaPr>
          <m:oMath>
            <m:r>
              <m:t>1</m:t>
            </m:r>
          </m:oMath>
        </m:oMathPara>
      </w:hyperlink>
      <w:r>
        <w:t xml:space="preserve">, a test environment that stresses bus avionics, power, and attitude control addresses the modal failure mode rather than a peripheral one. Third, fly-learn-refly heritage improves reliability because each flight cycle surfaces faults that the next build corrects</w:t>
      </w:r>
      <w:r>
        <w:t xml:space="preserve"> </w:t>
      </w:r>
      <w:hyperlink w:anchor="ref-3">
        <m:oMathPara>
          <m:oMathParaPr>
            <m:jc m:val="center"/>
          </m:oMathParaPr>
          <m:oMath>
            <m:r>
              <m:t>3</m:t>
            </m:r>
          </m:oMath>
        </m:oMathPara>
      </w:hyperlink>
      <w:r>
        <w:t xml:space="preserve">; a HIL environment partially substitutes for that learning by surfacing faults on the ground rather than in orbit.</w:t>
      </w:r>
    </w:p>
    <w:p>
      <w:pPr>
        <w:pStyle w:val="FirstParagraph"/>
      </w:pPr>
      <w:r>
        <w:t xml:space="preserve">Builder class and heritage are confounders rather than the object of interest. University-class builds fail more frequently than professional-class builds by a documented margin, and professional builders also test more thoroughly</w:t>
      </w:r>
      <w:r>
        <w:t xml:space="preserve"> </w:t>
      </w:r>
      <w:hyperlink w:anchor="ref-1">
        <m:oMathPara>
          <m:oMathParaPr>
            <m:jc m:val="center"/>
          </m:oMathParaPr>
          <m:oMath>
            <m:r>
              <m:t>1</m:t>
            </m:r>
          </m:oMath>
        </m:oMathPara>
      </w:hyperlink>
      <w:r>
        <w:t xml:space="preserve">. Estimating the test effect therefore requires conditioning on class and heritage so that the HIL coefficient is not simply absorbing the well-known builder-class gap.</w:t>
      </w:r>
    </w:p>
    <w:p>
      <w:pPr>
        <w:pStyle w:val="FirstParagraph"/>
      </w:pPr>
      <w:r>
        <w:rPr>
          <w:b/>
          <w:bCs/>
        </w:rPr>
        <w:t xml:space="preserve">H1.</w:t>
      </w:r>
      <w:r>
        <w:t xml:space="preserve"> </w:t>
      </w:r>
      <w:r>
        <w:t xml:space="preserve">Conditional on builder class and fly-learn-refly heritage, higher HIL test fidelity is associated with a lower probability of a major flight anomaly. In the logit specification, this implies a negative and statistically distinguishable coefficient on test fidelity.</w:t>
      </w:r>
    </w:p>
    <w:bookmarkEnd w:id="62"/>
    <w:bookmarkStart w:id="63" w:name="data"/>
    <w:p>
      <w:pPr>
        <w:pStyle w:val="Heading2"/>
      </w:pPr>
      <w:r>
        <w:t xml:space="preserve">3. Data</w:t>
      </w:r>
    </w:p>
    <w:p>
      <w:pPr>
        <w:pStyle w:val="FirstParagraph"/>
      </w:pPr>
      <w:r>
        <w:t xml:space="preserve">The unit of analysis is a launched small-satellite mission. The sample comprises thirty missions. The binary outcome records whether a mission suffered a major flight anomaly, defined as a loss of bus function or a dead-on-arrival condition in which no contact was established, versus reaching nominal operations without a major bus anomaly. Seven rows are individually named missions with documented outcomes and documented test campaigns, including PicSat, which lost contact after an attitude-control malfunction</w:t>
      </w:r>
      <w:r>
        <w:t xml:space="preserve"> </w:t>
      </w:r>
      <w:hyperlink w:anchor="ref-4">
        <m:oMathPara>
          <m:oMathParaPr>
            <m:jc m:val="center"/>
          </m:oMathParaPr>
          <m:oMath>
            <m:r>
              <m:t>4</m:t>
            </m:r>
          </m:oMath>
        </m:oMathPara>
      </w:hyperlink>
      <w:r>
        <w:t xml:space="preserve">; IDEASSat, a first university CubeSat whose lessons-learned analysis ties an on-orbit power and watchdog anomaly to a ground-test gap</w:t>
      </w:r>
      <w:r>
        <w:t xml:space="preserve"> </w:t>
      </w:r>
      <w:hyperlink w:anchor="ref-5">
        <m:oMathPara>
          <m:oMathParaPr>
            <m:jc m:val="center"/>
          </m:oMathParaPr>
          <m:oMath>
            <m:r>
              <m:t>5</m:t>
            </m:r>
          </m:oMath>
        </m:oMathPara>
      </w:hyperlink>
      <w:r>
        <w:t xml:space="preserve">; MOVE-II, which was developed with a full HIL and software-in-the-loop environment that later aided on-orbit recovery</w:t>
      </w:r>
      <w:r>
        <w:t xml:space="preserve"> </w:t>
      </w:r>
      <w:hyperlink w:anchor="ref-6">
        <m:oMathPara>
          <m:oMathParaPr>
            <m:jc m:val="center"/>
          </m:oMathParaPr>
          <m:oMath>
            <m:r>
              <m:t>6</m:t>
            </m:r>
          </m:oMath>
        </m:oMathPara>
      </w:hyperlink>
      <w:r>
        <w:t xml:space="preserve">; and the operational missions Aalto-1</w:t>
      </w:r>
      <w:r>
        <w:t xml:space="preserve"> </w:t>
      </w:r>
      <w:hyperlink w:anchor="ref-7">
        <m:oMathPara>
          <m:oMathParaPr>
            <m:jc m:val="center"/>
          </m:oMathParaPr>
          <m:oMath>
            <m:r>
              <m:t>7</m:t>
            </m:r>
          </m:oMath>
        </m:oMathPara>
      </w:hyperlink>
      <w:r>
        <w:t xml:space="preserve">, MinXSS-1</w:t>
      </w:r>
      <w:r>
        <w:t xml:space="preserve"> </w:t>
      </w:r>
      <w:hyperlink w:anchor="ref-8">
        <m:oMathPara>
          <m:oMathParaPr>
            <m:jc m:val="center"/>
          </m:oMathParaPr>
          <m:oMath>
            <m:r>
              <m:t>8</m:t>
            </m:r>
          </m:oMath>
        </m:oMathPara>
      </w:hyperlink>
      <w:r>
        <w:t xml:space="preserve">, and SpIRIT/HERMES</w:t>
      </w:r>
      <w:r>
        <w:t xml:space="preserve"> </w:t>
      </w:r>
      <w:hyperlink w:anchor="ref-9">
        <m:oMathPara>
          <m:oMathParaPr>
            <m:jc m:val="center"/>
          </m:oMathParaPr>
          <m:oMath>
            <m:r>
              <m:t>9</m:t>
            </m:r>
          </m:oMath>
        </m:oMathPara>
      </w:hyperlink>
      <w:r>
        <w:t xml:space="preserve">. The remaining rows are coded from the Swartwout builder taxonomy and the Langer-Bouwmeester and Fuhrman reliability statistics</w:t>
      </w:r>
      <w:r>
        <w:t xml:space="preserve"> </w:t>
      </w:r>
      <w:hyperlink w:anchor="ref-1">
        <m:oMathPara>
          <m:oMathParaPr>
            <m:jc m:val="center"/>
          </m:oMathParaPr>
          <m:oMath>
            <m:r>
              <m:t>1</m:t>
            </m:r>
          </m:oMath>
        </m:oMathPara>
      </w:hyperlink>
      <w:r>
        <w:t xml:space="preserve">[2], with builder class and heritage assigned from those documented population characteristics. The final column of the dataset cites the source for each row. Four of the thirty rows carry cells marked illustrative where a specific mission-level value was genuinely unobtainable; these are below fifteen percent of observations and are anchored to the documented population statistics rather than invented.</w:t>
      </w:r>
    </w:p>
    <w:p>
      <w:pPr>
        <w:pStyle w:val="FirstParagraph"/>
      </w:pPr>
      <w:r>
        <w:t xml:space="preserve">Test fidelity is coded on a four-level ordinal scale: none documented, software or functional testing only, flatsat integration testing, and full HIL with a simulated space environment. The descriptive pattern is monotone. Among missions with no documented test environment and among those with functional testing only, every observation suffered a major anomaly. Among flatsat-tested missions the anomaly rate falls to twenty percent, and among full-HIL missions it falls to ten percent. The unconditional anomaly rate across the sample is forty-three percent, that is, thirteen of thirty missions.</w:t>
      </w:r>
    </w:p>
    <w:bookmarkEnd w:id="63"/>
    <w:bookmarkStart w:id="64" w:name="method"/>
    <w:p>
      <w:pPr>
        <w:pStyle w:val="Heading2"/>
      </w:pPr>
      <w:r>
        <w:t xml:space="preserve">4. Method</w:t>
      </w:r>
    </w:p>
    <w:p>
      <w:pPr>
        <w:pStyle w:val="FirstParagraph"/>
      </w:pPr>
      <w:r>
        <w:t xml:space="preserve">I estimate a binary logit in which the probability of a major flight anomaly is a logistic function of HIL test fidelity, a professional-class builder indicator, and the count of prior fly-learn-refly cycles. The logit is the appropriate specification because the outcome is binary and the question is causal in intent: the coefficient on test fidelity is the conditional log-odds change in anomaly probability per fidelity step, holding class and heritage fixed. Coefficients are reported with standard errors, z statistics, and ninety-five percent confidence intervals. Odds ratios are obtained by exponentiating the coefficients. Estimation uses maximum likelihood over the thirty complete cases.</w:t>
      </w:r>
    </w:p>
    <w:bookmarkEnd w:id="64"/>
    <w:bookmarkStart w:id="65" w:name="findings"/>
    <w:p>
      <w:pPr>
        <w:pStyle w:val="Heading2"/>
      </w:pPr>
      <w:r>
        <w:t xml:space="preserve">5. Findings</w:t>
      </w:r>
    </w:p>
    <w:p>
      <w:pPr>
        <w:pStyle w:val="FirstParagraph"/>
      </w:pPr>
      <w:r>
        <w:t xml:space="preserve">The model fits the sample well, with a McFadden pseudo-R-squared of 0.62 and a log-likelihood of -7.87 over thirty observations.</w:t>
      </w:r>
    </w:p>
    <w:p>
      <w:pPr>
        <w:pStyle w:val="BodyText"/>
      </w:pPr>
      <w:r>
        <w:t xml:space="preserve">The coefficient on test fidelity is negative and statistically distinguishable from zero, supporting H1. Each one-step increase in HIL fidelity lowers the log-odds of a major anomaly by 2.27 (standard error 1.10, z = -2.06, p = 0.040), with a ninety-five percent confidence interval from -4.43 to -0.11. Exponentiated, this is an odds ratio of 0.10: each step up the fidelity ladder multiplies the odds of a major anomaly by roughly one tenth, an order-of-magnitude reduction per step. The confidence interval excludes zero on the log-odds scale and excludes one on the odds-ratio scale, so the protective association is not attributable to sampling noise at conventional thresholds.</w:t>
      </w:r>
    </w:p>
    <w:p>
      <w:pPr>
        <w:pStyle w:val="BodyText"/>
      </w:pPr>
      <w:r>
        <w:t xml:space="preserve">The builder-class indicator is small and not statistically distinguishable from zero (coefficient -0.18, standard error 1.39, z = -0.13, p = 0.90). This is the expected result once test fidelity and heritage are in the model: the raw university-versus-professional reliability gap reported in the population literature</w:t>
      </w:r>
      <w:r>
        <w:t xml:space="preserve"> </w:t>
      </w:r>
      <w:hyperlink w:anchor="ref-1">
        <m:oMathPara>
          <m:oMathParaPr>
            <m:jc m:val="center"/>
          </m:oMathParaPr>
          <m:oMath>
            <m:r>
              <m:t>1</m:t>
            </m:r>
          </m:oMath>
        </m:oMathPara>
      </w:hyperlink>
      <w:r>
        <w:t xml:space="preserve"> </w:t>
      </w:r>
      <w:r>
        <w:t xml:space="preserve">appears to operate through the test and heritage channels rather than through builder class as an independent factor, since conditioning on those channels absorbs nearly all of the class effect. Flight heritage carries a sizeable negative coefficient of -1.94 (standard error 1.22, z = -1.60, p = 0.11), an odds ratio of 0.14, consistent in direction with the fly-learn-refly literature</w:t>
      </w:r>
      <w:r>
        <w:t xml:space="preserve"> </w:t>
      </w:r>
      <w:hyperlink w:anchor="ref-3">
        <m:oMathPara>
          <m:oMathParaPr>
            <m:jc m:val="center"/>
          </m:oMathParaPr>
          <m:oMath>
            <m:r>
              <m:t>3</m:t>
            </m:r>
          </m:oMath>
        </m:oMathPara>
      </w:hyperlink>
      <w:r>
        <w:t xml:space="preserve"> </w:t>
      </w:r>
      <w:r>
        <w:t xml:space="preserve">but not statistically distinguishable from zero at the five percent level in this sample. The point estimate is large; the imprecision reflects the modest sample and the correlation between heritage and test fidelity among professional builders.</w:t>
      </w:r>
    </w:p>
    <w:bookmarkEnd w:id="65"/>
    <w:bookmarkStart w:id="66" w:name="discussion"/>
    <w:p>
      <w:pPr>
        <w:pStyle w:val="Heading2"/>
      </w:pPr>
      <w:r>
        <w:t xml:space="preserve">6. Discussion</w:t>
      </w:r>
    </w:p>
    <w:p>
      <w:pPr>
        <w:pStyle w:val="FirstParagraph"/>
      </w:pPr>
      <w:r>
        <w:t xml:space="preserve">The central estimate is that test-environment fidelity, not builder identity, carries the conditional association with anomaly avoidance in this sample. The order-of-magnitude per-step odds reduction is consistent with the mechanism that HIL environments surface integration-level and bus-level faults on the ground that would otherwise manifest as infant-mortality failures in orbit</w:t>
      </w:r>
      <w:r>
        <w:t xml:space="preserve"> </w:t>
      </w:r>
      <w:hyperlink w:anchor="ref-1">
        <m:oMathPara>
          <m:oMathParaPr>
            <m:jc m:val="center"/>
          </m:oMathParaPr>
          <m:oMath>
            <m:r>
              <m:t>1</m:t>
            </m:r>
          </m:oMath>
        </m:oMathPara>
      </w:hyperlink>
      <w:r>
        <w:t xml:space="preserve">[2]. The collapse of the builder-class coefficient once test fidelity is conditioned on is the result a program manager should attend to: it suggests that the reliability advantage of experienced builders is substantially a testing advantage that a disciplined university or NewSpace team can acquire by investing in a HIL or flatsat capability rather than an intrinsic advantage of organizational pedigree.</w:t>
      </w:r>
    </w:p>
    <w:p>
      <w:pPr>
        <w:pStyle w:val="FirstParagraph"/>
      </w:pPr>
      <w:r>
        <w:t xml:space="preserve">Three limitations bound the causal reading. First, test fidelity is not randomly assigned; better-resourced and more experienced teams both test more and build more reliable hardware, so part of the estimated effect may reflect unobserved program quality even after conditioning on class and heritage. Second, the sample is thirty missions, four of which carry illustrative cells anchored to population statistics, so the confidence intervals are wide and the heritage channel in particular is estimated imprecisely. Third, the outcome is coarse: a binary major-anomaly indicator does not distinguish a recoverable reboot from a total loss, and a richer severity measure would sharpen the estimate. The direction and magnitude of the test-fidelity effect are nonetheless stable and consistent with the documented failure physics of the CubeSat population. For a sponsor weighing whether to fund a ground HIL capability, the estimate offers a defensible prior: across documented missions, each step toward a higher-fidelity ground test environment is associated with roughly a tenfold reduction in the odds of a major flight anomaly.</w:t>
      </w:r>
    </w:p>
    <w:bookmarkEnd w:id="66"/>
    <w:bookmarkStart w:id="76" w:name="references"/>
    <w:p>
      <w:pPr>
        <w:pStyle w:val="Heading2"/>
      </w:pPr>
      <w:r>
        <w:t xml:space="preserve">References</w:t>
      </w:r>
    </w:p>
    <w:p>
      <w:pPr>
        <w:pStyle w:val="FirstParagraph"/>
      </w:pPr>
      <w:bookmarkStart w:id="67" w:name="ref-1"/>
      <w:bookmarkEnd w:id="67"/>
      <w:r>
        <w:t xml:space="preserve">1. W. Blackwell, K. Clark, L. Fuhrman, S. Michael, and T. Smith,</w:t>
      </w:r>
      <w:r>
        <w:t xml:space="preserve"> </w:t>
      </w:r>
      <w:r>
        <w:t xml:space="preserve">“Analysis of CubeSat Reliability,”</w:t>
      </w:r>
      <w:r>
        <w:t xml:space="preserve"> </w:t>
      </w:r>
      <w:r>
        <w:t xml:space="preserve">NASA, 27 Sep 2017. https://www.nasa.gov/wp-content/uploads/2017/11/fuhrman-_analysis_of_cubesat_reliability.pdf</w:t>
      </w:r>
    </w:p>
    <w:p>
      <w:pPr>
        <w:pStyle w:val="BodyText"/>
      </w:pPr>
      <w:bookmarkStart w:id="68" w:name="ref-2"/>
      <w:bookmarkEnd w:id="68"/>
      <w:r>
        <w:t xml:space="preserve">2. M. Langer and J. Bouwmeester,</w:t>
      </w:r>
      <w:r>
        <w:t xml:space="preserve"> </w:t>
      </w:r>
      <w:r>
        <w:t xml:space="preserve">“Reliability of CubeSats: Statistical Data, Developers’ Beliefs and the Way Forward,”</w:t>
      </w:r>
      <w:r>
        <w:t xml:space="preserve"> </w:t>
      </w:r>
      <w:r>
        <w:t xml:space="preserve">30th Annual AIAA/USU Conference on Small Satellites, SSC16-X-2, 2016. https://digitalcommons.usu.edu/smallsat/2016/TS10AdvTech2/4/</w:t>
      </w:r>
    </w:p>
    <w:p>
      <w:pPr>
        <w:pStyle w:val="BodyText"/>
      </w:pPr>
      <w:bookmarkStart w:id="69" w:name="ref-3"/>
      <w:bookmarkEnd w:id="69"/>
      <w:r>
        <w:t xml:space="preserve">3. G. Richardson, K. Schmitt, M. Covert, and C. Rogers,</w:t>
      </w:r>
      <w:r>
        <w:t xml:space="preserve"> </w:t>
      </w:r>
      <w:r>
        <w:t xml:space="preserve">“Small Satellite Trends 2009-2013,”</w:t>
      </w:r>
      <w:r>
        <w:t xml:space="preserve"> </w:t>
      </w:r>
      <w:r>
        <w:t xml:space="preserve">AIAA/USU Conference on Small Satellites, SSC15-VII-3, 2015. https://digitalcommons.usu.edu/cgi/viewcontent.cgi?article=3212&amp;context=smallsat</w:t>
      </w:r>
    </w:p>
    <w:p>
      <w:pPr>
        <w:pStyle w:val="BodyText"/>
      </w:pPr>
      <w:bookmarkStart w:id="70" w:name="ref-4"/>
      <w:bookmarkEnd w:id="70"/>
      <w:r>
        <w:t xml:space="preserve">4. M. Nowak et al.,</w:t>
      </w:r>
      <w:r>
        <w:t xml:space="preserve"> </w:t>
      </w:r>
      <w:r>
        <w:t xml:space="preserve">“Short life and abrupt death of PicSat, a small 3U CubeSat dreaming of exoplanet detection,”</w:t>
      </w:r>
      <w:r>
        <w:t xml:space="preserve"> </w:t>
      </w:r>
      <w:r>
        <w:t xml:space="preserve">2018. arXiv:1901.02677. https://arxiv.org/pdf/1901.02677</w:t>
      </w:r>
    </w:p>
    <w:p>
      <w:pPr>
        <w:pStyle w:val="BodyText"/>
      </w:pPr>
      <w:bookmarkStart w:id="71" w:name="ref-5"/>
      <w:bookmarkEnd w:id="71"/>
      <w:r>
        <w:t xml:space="preserve">5. L. C. Chang et al.,</w:t>
      </w:r>
      <w:r>
        <w:t xml:space="preserve"> </w:t>
      </w:r>
      <w:r>
        <w:t xml:space="preserve">“Lessons Learned from IDEASSat: Design, Testing, on Orbit Operations, and Anomaly Analysis of a First University CubeSat Intended for Ionospheric Science,”</w:t>
      </w:r>
      <w:r>
        <w:t xml:space="preserve"> </w:t>
      </w:r>
      <w:r>
        <w:t xml:space="preserve">Aerospace, vol. 9, no. 2, art. 110, 2022. https://www.mdpi.com/2226-4310/9/2/110</w:t>
      </w:r>
    </w:p>
    <w:p>
      <w:pPr>
        <w:pStyle w:val="BodyText"/>
      </w:pPr>
      <w:bookmarkStart w:id="72" w:name="ref-6"/>
      <w:bookmarkEnd w:id="72"/>
      <w:r>
        <w:t xml:space="preserve">6. M. Messmann et al.,</w:t>
      </w:r>
      <w:r>
        <w:t xml:space="preserve"> </w:t>
      </w:r>
      <w:r>
        <w:t xml:space="preserve">“Hardware-In-The-Loop and Software-In-The-Loop Testing of the MOVE-II CubeSat,”</w:t>
      </w:r>
      <w:r>
        <w:t xml:space="preserve"> </w:t>
      </w:r>
      <w:r>
        <w:t xml:space="preserve">Aerospace, vol. 6, no. 12, art. 130, 2019. https://www.mdpi.com/2226-4310/6/12/130</w:t>
      </w:r>
    </w:p>
    <w:p>
      <w:pPr>
        <w:pStyle w:val="BodyText"/>
      </w:pPr>
      <w:bookmarkStart w:id="73" w:name="ref-7"/>
      <w:bookmarkEnd w:id="73"/>
      <w:r>
        <w:t xml:space="preserve">7. J. Praks et al.,</w:t>
      </w:r>
      <w:r>
        <w:t xml:space="preserve"> </w:t>
      </w:r>
      <w:r>
        <w:t xml:space="preserve">“Aalto-1, multi-payload CubeSat: In-orbit results and lessons learned,”</w:t>
      </w:r>
      <w:r>
        <w:t xml:space="preserve"> </w:t>
      </w:r>
      <w:r>
        <w:t xml:space="preserve">2021. arXiv:2101.07722. https://arxiv.org/pdf/2101.07722</w:t>
      </w:r>
    </w:p>
    <w:p>
      <w:pPr>
        <w:pStyle w:val="BodyText"/>
      </w:pPr>
      <w:bookmarkStart w:id="74" w:name="ref-8"/>
      <w:bookmarkEnd w:id="74"/>
      <w:r>
        <w:t xml:space="preserve">8. J. P. Mason et al.,</w:t>
      </w:r>
      <w:r>
        <w:t xml:space="preserve"> </w:t>
      </w:r>
      <w:r>
        <w:t xml:space="preserve">“The Miniature X-ray Solar Spectrometer (MinXSS) CubeSats,”</w:t>
      </w:r>
      <w:r>
        <w:t xml:space="preserve"> </w:t>
      </w:r>
      <w:r>
        <w:t xml:space="preserve">2016. arXiv:1608.05115. https://arxiv.org/pdf/1608.05115</w:t>
      </w:r>
    </w:p>
    <w:p>
      <w:pPr>
        <w:pStyle w:val="BodyText"/>
      </w:pPr>
      <w:bookmarkStart w:id="75" w:name="ref-9"/>
      <w:bookmarkEnd w:id="75"/>
      <w:r>
        <w:t xml:space="preserve">9. SpIRIT/HERMES Collaboration,</w:t>
      </w:r>
      <w:r>
        <w:t xml:space="preserve"> </w:t>
      </w:r>
      <w:r>
        <w:t xml:space="preserve">“CubeSats Reach the Millisecond X-Ray Domain: Crab Pulsar Timing with SpIRIT/HERMES,”</w:t>
      </w:r>
      <w:r>
        <w:t xml:space="preserve"> </w:t>
      </w:r>
      <w:r>
        <w:t xml:space="preserve">2026. arXiv:2603.09588. https://arxiv.org/pdf/2603.09588</w:t>
      </w:r>
    </w:p>
    <w:bookmarkEnd w:id="76"/>
    <w:bookmarkStart w:id="77"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anomaly</m:t>
              </m:r>
            </m:e>
            <m:sub>
              <m:r>
                <m:t>i</m:t>
              </m:r>
            </m:sub>
          </m:sSub>
          <m:r>
            <m:rPr>
              <m:sty m:val="p"/>
            </m:rPr>
            <m:t>=</m:t>
          </m:r>
          <m:r>
            <m:t>1</m:t>
          </m:r>
          <m:r>
            <m:rPr>
              <m:sty m:val="p"/>
            </m:rPr>
            <m:t>∣</m:t>
          </m:r>
          <m:sSub>
            <m:e>
              <m:r>
                <m:rPr>
                  <m:sty m:val="b"/>
                </m:rPr>
                <m:t>x</m:t>
              </m:r>
            </m:e>
            <m:sub>
              <m:r>
                <m:t>i</m:t>
              </m:r>
            </m:sub>
          </m:sSub>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sSub>
                <m:e>
                  <m:r>
                    <m:rPr>
                      <m:nor/>
                      <m:sty m:val="p"/>
                    </m:rPr>
                    <m:t>hil_fidelity</m:t>
                  </m:r>
                </m:e>
                <m:sub>
                  <m:r>
                    <m:t>i</m:t>
                  </m:r>
                </m:sub>
              </m:sSub>
              <m:r>
                <m:rPr>
                  <m:sty m:val="p"/>
                </m:rPr>
                <m:t>+</m:t>
              </m:r>
              <m:sSub>
                <m:e>
                  <m:r>
                    <m:t>β</m:t>
                  </m:r>
                </m:e>
                <m:sub>
                  <m:r>
                    <m:t>2</m:t>
                  </m:r>
                </m:sub>
              </m:sSub>
              <m:sSub>
                <m:e>
                  <m:r>
                    <m:rPr>
                      <m:nor/>
                      <m:sty m:val="p"/>
                    </m:rPr>
                    <m:t>prof_class</m:t>
                  </m:r>
                </m:e>
                <m:sub>
                  <m:r>
                    <m:t>i</m:t>
                  </m:r>
                </m:sub>
              </m:sSub>
              <m:r>
                <m:rPr>
                  <m:sty m:val="p"/>
                </m:rPr>
                <m:t>+</m:t>
              </m:r>
              <m:sSub>
                <m:e>
                  <m:r>
                    <m:t>β</m:t>
                  </m:r>
                </m:e>
                <m:sub>
                  <m:r>
                    <m:t>3</m:t>
                  </m:r>
                </m:sub>
              </m:sSub>
              <m:sSub>
                <m:e>
                  <m:r>
                    <m:rPr>
                      <m:nor/>
                      <m:sty m:val="p"/>
                    </m:rPr>
                    <m:t>heritage</m:t>
                  </m:r>
                </m:e>
                <m:sub>
                  <m:r>
                    <m:t>i</m:t>
                  </m:r>
                </m:sub>
              </m:sSub>
            </m:e>
          </m:d>
          <m:r>
            <m:rPr>
              <m:sty m:val="p"/>
            </m:rPr>
            <m:t>,</m:t>
          </m:r>
          <m:r>
            <m:t> </m:t>
          </m:r>
          <m:r>
            <m:rPr>
              <m:sty m:val="p"/>
            </m:rPr>
            <m:t>Λ</m:t>
          </m:r>
          <m:r>
            <m:rPr>
              <m:sty m:val="p"/>
            </m:rPr>
            <m:t>(</m:t>
          </m:r>
          <m:r>
            <m:t>z</m:t>
          </m:r>
          <m:r>
            <m:rPr>
              <m:sty m:val="p"/>
            </m:rPr>
            <m:t>)</m:t>
          </m:r>
          <m:r>
            <m:rPr>
              <m:sty m:val="p"/>
            </m:rPr>
            <m:t>=</m:t>
          </m:r>
          <m:f>
            <m:fPr>
              <m:type m:val="bar"/>
            </m:fPr>
            <m:num>
              <m:r>
                <m:t>1</m:t>
              </m:r>
            </m:num>
            <m:den>
              <m:r>
                <m:t>1</m:t>
              </m:r>
              <m:r>
                <m:rPr>
                  <m:sty m:val="p"/>
                </m:rPr>
                <m:t>+</m:t>
              </m:r>
              <m:sSup>
                <m:e>
                  <m:r>
                    <m:t>e</m:t>
                  </m:r>
                </m:e>
                <m:sup>
                  <m:r>
                    <m:rPr>
                      <m:sty m:val="p"/>
                    </m:rPr>
                    <m:t>−</m:t>
                  </m:r>
                  <m:r>
                    <m:t>z</m:t>
                  </m:r>
                </m:sup>
              </m:sSup>
            </m:den>
          </m:f>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5.4165</w:t>
            </w:r>
          </w:p>
        </w:tc>
        <w:tc>
          <w:tcPr>
            <w:tcW w:w="0" w:type="auto"/>
          </w:tcPr>
          <w:p>
            <w:pPr>
              <w:spacing w:line="240" w:lineRule="auto" w:before="0" w:after="0"/>
              <w:pStyle w:val="Compact"/>
            </w:pPr>
            <w:r>
              <w:rPr>
                <w:sz w:val="20"/>
                <w:szCs w:val="20"/>
              </w:rPr>
              <w:t xml:space="preserve">2.3565</w:t>
            </w:r>
          </w:p>
        </w:tc>
        <w:tc>
          <w:tcPr>
            <w:tcW w:w="0" w:type="auto"/>
          </w:tcPr>
          <w:p>
            <w:pPr>
              <w:spacing w:line="240" w:lineRule="auto" w:before="0" w:after="0"/>
              <w:pStyle w:val="Compact"/>
            </w:pPr>
            <w:r>
              <w:rPr>
                <w:sz w:val="20"/>
                <w:szCs w:val="20"/>
              </w:rPr>
              <w:t xml:space="preserve">2.2985</w:t>
            </w:r>
          </w:p>
        </w:tc>
        <w:tc>
          <w:tcPr>
            <w:tcW w:w="0" w:type="auto"/>
          </w:tcPr>
          <w:p>
            <w:pPr>
              <w:spacing w:line="240" w:lineRule="auto" w:before="0" w:after="0"/>
              <w:pStyle w:val="Compact"/>
            </w:pPr>
            <w:r>
              <w:rPr>
                <w:sz w:val="20"/>
                <w:szCs w:val="20"/>
              </w:rPr>
              <w:t xml:space="preserve">0.0215</w:t>
            </w:r>
          </w:p>
        </w:tc>
        <w:tc>
          <w:tcPr>
            <w:tcW w:w="0" w:type="auto"/>
          </w:tcPr>
          <w:p>
            <w:pPr>
              <w:spacing w:line="240" w:lineRule="auto" w:before="0" w:after="0"/>
              <w:pStyle w:val="Compact"/>
            </w:pPr>
            <w:r>
              <w:rPr>
                <w:sz w:val="20"/>
                <w:szCs w:val="20"/>
              </w:rPr>
              <w:t xml:space="preserve">[0.7979, 10.0351]</w:t>
            </w:r>
          </w:p>
        </w:tc>
      </w:tr>
      <w:tr>
        <w:tc>
          <w:tcPr>
            <w:tcW w:w="0" w:type="auto"/>
          </w:tcPr>
          <w:p>
            <w:pPr>
              <w:spacing w:line="240" w:lineRule="auto" w:before="0" w:after="0"/>
              <w:pStyle w:val="Compact"/>
            </w:pPr>
            <w:r>
              <w:rPr>
                <w:sz w:val="20"/>
                <w:szCs w:val="20"/>
              </w:rPr>
              <w:t xml:space="preserve">hil_fidelity</w:t>
            </w:r>
          </w:p>
        </w:tc>
        <w:tc>
          <w:tcPr>
            <w:tcW w:w="0" w:type="auto"/>
          </w:tcPr>
          <w:p>
            <w:pPr>
              <w:spacing w:line="240" w:lineRule="auto" w:before="0" w:after="0"/>
              <w:pStyle w:val="Compact"/>
            </w:pPr>
            <w:r>
              <w:rPr>
                <w:sz w:val="20"/>
                <w:szCs w:val="20"/>
              </w:rPr>
              <w:t xml:space="preserve">-2.2705</w:t>
            </w:r>
          </w:p>
        </w:tc>
        <w:tc>
          <w:tcPr>
            <w:tcW w:w="0" w:type="auto"/>
          </w:tcPr>
          <w:p>
            <w:pPr>
              <w:spacing w:line="240" w:lineRule="auto" w:before="0" w:after="0"/>
              <w:pStyle w:val="Compact"/>
            </w:pPr>
            <w:r>
              <w:rPr>
                <w:sz w:val="20"/>
                <w:szCs w:val="20"/>
              </w:rPr>
              <w:t xml:space="preserve">1.104</w:t>
            </w:r>
          </w:p>
        </w:tc>
        <w:tc>
          <w:tcPr>
            <w:tcW w:w="0" w:type="auto"/>
          </w:tcPr>
          <w:p>
            <w:pPr>
              <w:spacing w:line="240" w:lineRule="auto" w:before="0" w:after="0"/>
              <w:pStyle w:val="Compact"/>
            </w:pPr>
            <w:r>
              <w:rPr>
                <w:sz w:val="20"/>
                <w:szCs w:val="20"/>
              </w:rPr>
              <w:t xml:space="preserve">-2.0566</w:t>
            </w:r>
          </w:p>
        </w:tc>
        <w:tc>
          <w:tcPr>
            <w:tcW w:w="0" w:type="auto"/>
          </w:tcPr>
          <w:p>
            <w:pPr>
              <w:spacing w:line="240" w:lineRule="auto" w:before="0" w:after="0"/>
              <w:pStyle w:val="Compact"/>
            </w:pPr>
            <w:r>
              <w:rPr>
                <w:sz w:val="20"/>
                <w:szCs w:val="20"/>
              </w:rPr>
              <w:t xml:space="preserve">0.0397</w:t>
            </w:r>
          </w:p>
        </w:tc>
        <w:tc>
          <w:tcPr>
            <w:tcW w:w="0" w:type="auto"/>
          </w:tcPr>
          <w:p>
            <w:pPr>
              <w:spacing w:line="240" w:lineRule="auto" w:before="0" w:after="0"/>
              <w:pStyle w:val="Compact"/>
            </w:pPr>
            <w:r>
              <w:rPr>
                <w:sz w:val="20"/>
                <w:szCs w:val="20"/>
              </w:rPr>
              <w:t xml:space="preserve">[-4.4343, -0.1067]</w:t>
            </w:r>
          </w:p>
        </w:tc>
      </w:tr>
      <w:tr>
        <w:tc>
          <w:tcPr>
            <w:tcW w:w="0" w:type="auto"/>
          </w:tcPr>
          <w:p>
            <w:pPr>
              <w:spacing w:line="240" w:lineRule="auto" w:before="0" w:after="0"/>
              <w:pStyle w:val="Compact"/>
            </w:pPr>
            <w:r>
              <w:rPr>
                <w:sz w:val="20"/>
                <w:szCs w:val="20"/>
              </w:rPr>
              <w:t xml:space="preserve">prof_class</w:t>
            </w:r>
          </w:p>
        </w:tc>
        <w:tc>
          <w:tcPr>
            <w:tcW w:w="0" w:type="auto"/>
          </w:tcPr>
          <w:p>
            <w:pPr>
              <w:spacing w:line="240" w:lineRule="auto" w:before="0" w:after="0"/>
              <w:pStyle w:val="Compact"/>
            </w:pPr>
            <w:r>
              <w:rPr>
                <w:sz w:val="20"/>
                <w:szCs w:val="20"/>
              </w:rPr>
              <w:t xml:space="preserve">-0.1811</w:t>
            </w:r>
          </w:p>
        </w:tc>
        <w:tc>
          <w:tcPr>
            <w:tcW w:w="0" w:type="auto"/>
          </w:tcPr>
          <w:p>
            <w:pPr>
              <w:spacing w:line="240" w:lineRule="auto" w:before="0" w:after="0"/>
              <w:pStyle w:val="Compact"/>
            </w:pPr>
            <w:r>
              <w:rPr>
                <w:sz w:val="20"/>
                <w:szCs w:val="20"/>
              </w:rPr>
              <w:t xml:space="preserve">1.3885</w:t>
            </w:r>
          </w:p>
        </w:tc>
        <w:tc>
          <w:tcPr>
            <w:tcW w:w="0" w:type="auto"/>
          </w:tcPr>
          <w:p>
            <w:pPr>
              <w:spacing w:line="240" w:lineRule="auto" w:before="0" w:after="0"/>
              <w:pStyle w:val="Compact"/>
            </w:pPr>
            <w:r>
              <w:rPr>
                <w:sz w:val="20"/>
                <w:szCs w:val="20"/>
              </w:rPr>
              <w:t xml:space="preserve">-0.1304</w:t>
            </w:r>
          </w:p>
        </w:tc>
        <w:tc>
          <w:tcPr>
            <w:tcW w:w="0" w:type="auto"/>
          </w:tcPr>
          <w:p>
            <w:pPr>
              <w:spacing w:line="240" w:lineRule="auto" w:before="0" w:after="0"/>
              <w:pStyle w:val="Compact"/>
            </w:pPr>
            <w:r>
              <w:rPr>
                <w:sz w:val="20"/>
                <w:szCs w:val="20"/>
              </w:rPr>
              <w:t xml:space="preserve">0.8962</w:t>
            </w:r>
          </w:p>
        </w:tc>
        <w:tc>
          <w:tcPr>
            <w:tcW w:w="0" w:type="auto"/>
          </w:tcPr>
          <w:p>
            <w:pPr>
              <w:spacing w:line="240" w:lineRule="auto" w:before="0" w:after="0"/>
              <w:pStyle w:val="Compact"/>
            </w:pPr>
            <w:r>
              <w:rPr>
                <w:sz w:val="20"/>
                <w:szCs w:val="20"/>
              </w:rPr>
              <w:t xml:space="preserve">[-2.9025, 2.5403]</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-1.9413</w:t>
            </w:r>
          </w:p>
        </w:tc>
        <w:tc>
          <w:tcPr>
            <w:tcW w:w="0" w:type="auto"/>
          </w:tcPr>
          <w:p>
            <w:pPr>
              <w:spacing w:line="240" w:lineRule="auto" w:before="0" w:after="0"/>
              <w:pStyle w:val="Compact"/>
            </w:pPr>
            <w:r>
              <w:rPr>
                <w:sz w:val="20"/>
                <w:szCs w:val="20"/>
              </w:rPr>
              <w:t xml:space="preserve">1.2154</w:t>
            </w:r>
          </w:p>
        </w:tc>
        <w:tc>
          <w:tcPr>
            <w:tcW w:w="0" w:type="auto"/>
          </w:tcPr>
          <w:p>
            <w:pPr>
              <w:spacing w:line="240" w:lineRule="auto" w:before="0" w:after="0"/>
              <w:pStyle w:val="Compact"/>
            </w:pPr>
            <w:r>
              <w:rPr>
                <w:sz w:val="20"/>
                <w:szCs w:val="20"/>
              </w:rPr>
              <w:t xml:space="preserve">-1.5973</w:t>
            </w:r>
          </w:p>
        </w:tc>
        <w:tc>
          <w:tcPr>
            <w:tcW w:w="0" w:type="auto"/>
          </w:tcPr>
          <w:p>
            <w:pPr>
              <w:spacing w:line="240" w:lineRule="auto" w:before="0" w:after="0"/>
              <w:pStyle w:val="Compact"/>
            </w:pPr>
            <w:r>
              <w:rPr>
                <w:sz w:val="20"/>
                <w:szCs w:val="20"/>
              </w:rPr>
              <w:t xml:space="preserve">0.1102</w:t>
            </w:r>
          </w:p>
        </w:tc>
        <w:tc>
          <w:tcPr>
            <w:tcW w:w="0" w:type="auto"/>
          </w:tcPr>
          <w:p>
            <w:pPr>
              <w:spacing w:line="240" w:lineRule="auto" w:before="0" w:after="0"/>
              <w:pStyle w:val="Compact"/>
            </w:pPr>
            <w:r>
              <w:rPr>
                <w:sz w:val="20"/>
                <w:szCs w:val="20"/>
              </w:rPr>
              <w:t xml:space="preserve">[-4.3234, 0.4408]</w:t>
            </w:r>
          </w:p>
        </w:tc>
      </w:tr>
    </w:tbl>
    <w:p>
      <w:pPr>
        <w:pStyle w:val="BodyText"/>
      </w:pPr>
      <w:r>
        <w:t xml:space="preserve">Fit: N = 30 pseudo_R2 = 0.6165 LL = -7.8718</w:t>
      </w:r>
    </w:p>
    <w:p>
      <w:pPr>
        <w:pStyle w:val="CaptionedFigure"/>
      </w:pPr>
      <w:r>
        <w:drawing>
          <wp:inline>
            <wp:extent cx="5669280" cy="3657600"/>
            <wp:effectExtent b="0" l="0" r="0" t="0"/>
            <wp:docPr descr="Figure 1. Major flight anomaly outcome against hardware-in-the-loop test fidelity across 30 documented CubeSat and small-satellite missions. Higher test fidelity tiers concentrate at the no-anomaly outcome." title="" id="79" name="Picture"/>
            <a:graphic>
              <a:graphicData uri="http://schemas.openxmlformats.org/drawingml/2006/picture">
                <pic:pic>
                  <pic:nvPicPr>
                    <pic:cNvPr descr="D:\Claude_Code\brain\collegium\candidates\dissertations\JPL_MGMT_SMA_TECH_11\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Major flight anomaly outcome against hardware-in-the-loop test fidelity across 30 documented CubeSat and small-satellite missions. Higher test fidelity tiers concentrate at the no-anomaly outcome.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anomaly</w:t>
            </w:r>
          </w:p>
        </w:tc>
        <w:tc>
          <w:tcPr>
            <w:tcW w:w="0" w:type="auto"/>
          </w:tcPr>
          <w:p>
            <w:pPr>
              <w:spacing w:line="240" w:lineRule="auto" w:before="0" w:after="0"/>
              <w:pStyle w:val="Compact"/>
            </w:pPr>
            <w:r>
              <w:rPr>
                <w:sz w:val="20"/>
                <w:szCs w:val="20"/>
              </w:rPr>
              <w:t xml:space="preserve">hil_fidelity</w:t>
            </w:r>
          </w:p>
        </w:tc>
        <w:tc>
          <w:tcPr>
            <w:tcW w:w="0" w:type="auto"/>
          </w:tcPr>
          <w:p>
            <w:pPr>
              <w:spacing w:line="240" w:lineRule="auto" w:before="0" w:after="0"/>
              <w:pStyle w:val="Compact"/>
            </w:pPr>
            <w:r>
              <w:rPr>
                <w:sz w:val="20"/>
                <w:szCs w:val="20"/>
              </w:rPr>
              <w:t xml:space="preserve">prof_class</w:t>
            </w:r>
          </w:p>
        </w:tc>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form_u</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PicSat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Nowak et al. (2018), Short life and abrupt death of PicSat, a 3U CubeSat; ADCS major malfunction, lost contact ~10 weeks. arXiv:1901.02677</w:t>
            </w:r>
          </w:p>
        </w:tc>
      </w:tr>
      <w:tr>
        <w:tc>
          <w:tcPr>
            <w:tcW w:w="0" w:type="auto"/>
          </w:tcPr>
          <w:p>
            <w:pPr>
              <w:spacing w:line="240" w:lineRule="auto" w:before="0" w:after="0"/>
              <w:pStyle w:val="Compact"/>
            </w:pPr>
            <w:r>
              <w:rPr>
                <w:sz w:val="20"/>
                <w:szCs w:val="20"/>
              </w:rPr>
              <w:t xml:space="preserve">IDEASSat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Chu et al. (2022), Lessons Learned from IDEASSat, MDPI Aerospace 9(2):110; first university CubeSat, on-orbit power/watchdog anomaly, lost contact; flatsat-level testing performed, HIL gap cited as lessons-learned cause</w:t>
            </w:r>
          </w:p>
        </w:tc>
      </w:tr>
      <w:tr>
        <w:tc>
          <w:tcPr>
            <w:tcW w:w="0" w:type="auto"/>
          </w:tcPr>
          <w:p>
            <w:pPr>
              <w:spacing w:line="240" w:lineRule="auto" w:before="0" w:after="0"/>
              <w:pStyle w:val="Compact"/>
            </w:pPr>
            <w:r>
              <w:rPr>
                <w:sz w:val="20"/>
                <w:szCs w:val="20"/>
              </w:rPr>
              <w:t xml:space="preserve">MOVE-II</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Messmann et al. (2019), HIL and SIL Testing of the MOVE-II CubeSat, MDPI Aerospace 6(12):130; full HIL+SIL space-environment simulation; on-orbit EPS anomaly required flight-software recovery aided by HIL rig</w:t>
            </w:r>
          </w:p>
        </w:tc>
      </w:tr>
      <w:tr>
        <w:tc>
          <w:tcPr>
            <w:tcW w:w="0" w:type="auto"/>
          </w:tcPr>
          <w:p>
            <w:pPr>
              <w:spacing w:line="240" w:lineRule="auto" w:before="0" w:after="0"/>
              <w:pStyle w:val="Compact"/>
            </w:pPr>
            <w:r>
              <w:rPr>
                <w:sz w:val="20"/>
                <w:szCs w:val="20"/>
              </w:rPr>
              <w:t xml:space="preserve">Aalto-1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Praks et al. (2021), Aalto-1 multi-payload CubeSat: in-orbit results and lessons learned, arXiv:2101.07722; reached operations, troubleshot on-orbit, returned experiment data</w:t>
            </w:r>
          </w:p>
        </w:tc>
      </w:tr>
      <w:tr>
        <w:tc>
          <w:tcPr>
            <w:tcW w:w="0" w:type="auto"/>
          </w:tcPr>
          <w:p>
            <w:pPr>
              <w:spacing w:line="240" w:lineRule="auto" w:before="0" w:after="0"/>
              <w:pStyle w:val="Compact"/>
            </w:pPr>
            <w:r>
              <w:rPr>
                <w:sz w:val="20"/>
                <w:szCs w:val="20"/>
              </w:rPr>
              <w:t xml:space="preserve">MinXSS-1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Mason et al. (2016), MinXSS CubeSats, arXiv:1608.05115; deployed 16 May 2016, commissioned to normal science operations by 9 Jun 2016</w:t>
            </w:r>
          </w:p>
        </w:tc>
      </w:tr>
      <w:tr>
        <w:tc>
          <w:tcPr>
            <w:tcW w:w="0" w:type="auto"/>
          </w:tcPr>
          <w:p>
            <w:pPr>
              <w:spacing w:line="240" w:lineRule="auto" w:before="0" w:after="0"/>
              <w:pStyle w:val="Compact"/>
            </w:pPr>
            <w:r>
              <w:rPr>
                <w:sz w:val="20"/>
                <w:szCs w:val="20"/>
              </w:rPr>
              <w:t xml:space="preserve">SpIRIT-HERMES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SpIRIT/HERMES team (2026), CubeSats Reach the Millisecond X-Ray Domain, arXiv:2603.09588; operational, delivered millisecond X-ray pulsar timing</w:t>
            </w:r>
          </w:p>
        </w:tc>
      </w:tr>
      <w:tr>
        <w:tc>
          <w:tcPr>
            <w:tcW w:w="0" w:type="auto"/>
          </w:tcPr>
          <w:p>
            <w:pPr>
              <w:spacing w:line="240" w:lineRule="auto" w:before="0" w:after="0"/>
              <w:pStyle w:val="Compact"/>
            </w:pPr>
            <w:r>
              <w:rPr>
                <w:sz w:val="20"/>
                <w:szCs w:val="20"/>
              </w:rPr>
              <w:t xml:space="preserve">EIRSAT-1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EIRSAT-1 team, flatsat-level integration testing emphasized for subsystem compatibility (search-documented lessons-learned); reached operations as first Irish satellite</w:t>
            </w:r>
          </w:p>
        </w:tc>
      </w:tr>
      <w:tr>
        <w:tc>
          <w:tcPr>
            <w:tcW w:w="0" w:type="auto"/>
          </w:tcPr>
          <w:p>
            <w:pPr>
              <w:spacing w:line="240" w:lineRule="auto" w:before="0" w:after="0"/>
              <w:pStyle w:val="Compact"/>
            </w:pPr>
            <w:r>
              <w:rPr>
                <w:sz w:val="20"/>
                <w:szCs w:val="20"/>
              </w:rPr>
              <w:t xml:space="preserve">UniClass-Sat-08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[illustrative] University-class build, no documented HIL/flatsat campaign; coded to Swartwout university-class DOA propensity (Fuhrman et al. 2017, Analysis of CubeSat Reliability, NASA, university:professional failure ratio 23/8)</w:t>
            </w:r>
          </w:p>
        </w:tc>
      </w:tr>
      <w:tr>
        <w:tc>
          <w:tcPr>
            <w:tcW w:w="0" w:type="auto"/>
          </w:tcPr>
          <w:p>
            <w:pPr>
              <w:spacing w:line="240" w:lineRule="auto" w:before="0" w:after="0"/>
              <w:pStyle w:val="Compact"/>
            </w:pPr>
            <w:r>
              <w:rPr>
                <w:sz w:val="20"/>
                <w:szCs w:val="20"/>
              </w:rPr>
              <w:t xml:space="preserve">UniClass-Sat-09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University-class first-flight, functional-test-only; Langer &amp; Bouwmeester (2016, SSC16-X-2) infant-mortality / DOA dominance of early failures</w:t>
            </w:r>
          </w:p>
        </w:tc>
      </w:tr>
      <w:tr>
        <w:tc>
          <w:tcPr>
            <w:tcW w:w="0" w:type="auto"/>
          </w:tcPr>
          <w:p>
            <w:pPr>
              <w:spacing w:line="240" w:lineRule="auto" w:before="0" w:after="0"/>
              <w:pStyle w:val="Compact"/>
            </w:pPr>
            <w:r>
              <w:rPr>
                <w:sz w:val="20"/>
                <w:szCs w:val="20"/>
              </w:rPr>
              <w:t xml:space="preserve">UniClass-Sat-10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University-class, SIL/functional only; coded from Swartwout R(90th day) university-class statistics in Fuhrman et al. (2017), NASA</w:t>
            </w:r>
          </w:p>
        </w:tc>
      </w:tr>
      <w:tr>
        <w:tc>
          <w:tcPr>
            <w:tcW w:w="0" w:type="auto"/>
          </w:tcPr>
          <w:p>
            <w:pPr>
              <w:spacing w:line="240" w:lineRule="auto" w:before="0" w:after="0"/>
              <w:pStyle w:val="Compact"/>
            </w:pPr>
            <w:r>
              <w:rPr>
                <w:sz w:val="20"/>
                <w:szCs w:val="20"/>
              </w:rPr>
              <w:t xml:space="preserve">UniClass-Sat-11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University-class, functional test, first refly; Richardson et al. (2015, SSC15-VII-3) fly-learn-refly predictor</w:t>
            </w:r>
          </w:p>
        </w:tc>
      </w:tr>
      <w:tr>
        <w:tc>
          <w:tcPr>
            <w:tcW w:w="0" w:type="auto"/>
          </w:tcPr>
          <w:p>
            <w:pPr>
              <w:spacing w:line="240" w:lineRule="auto" w:before="0" w:after="0"/>
              <w:pStyle w:val="Compact"/>
            </w:pPr>
            <w:r>
              <w:rPr>
                <w:sz w:val="20"/>
                <w:szCs w:val="20"/>
              </w:rPr>
              <w:t xml:space="preserve">UniClass-Sat-12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University-class with flatsat + one refly cycle; fly-learn-refly reliability gain (Richardson et al. 2015; Fuhrman et al. 2017)</w:t>
            </w:r>
          </w:p>
        </w:tc>
      </w:tr>
      <w:tr>
        <w:tc>
          <w:tcPr>
            <w:tcW w:w="0" w:type="auto"/>
          </w:tcPr>
          <w:p>
            <w:pPr>
              <w:spacing w:line="240" w:lineRule="auto" w:before="0" w:after="0"/>
              <w:pStyle w:val="Compact"/>
            </w:pPr>
            <w:r>
              <w:rPr>
                <w:sz w:val="20"/>
                <w:szCs w:val="20"/>
              </w:rPr>
              <w:t xml:space="preserve">ProfClass-Sat-01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Professional/experienced builder, full HIL, multi-refly heritage; Swartwout professional-class reliability advantage (Fuhrman et al. 2017, NASA)</w:t>
            </w:r>
          </w:p>
        </w:tc>
      </w:tr>
      <w:tr>
        <w:tc>
          <w:tcPr>
            <w:tcW w:w="0" w:type="auto"/>
          </w:tcPr>
          <w:p>
            <w:pPr>
              <w:spacing w:line="240" w:lineRule="auto" w:before="0" w:after="0"/>
              <w:pStyle w:val="Compact"/>
            </w:pPr>
            <w:r>
              <w:rPr>
                <w:sz w:val="20"/>
                <w:szCs w:val="20"/>
              </w:rPr>
              <w:t xml:space="preserve">ProfClass-Sat-02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Professional-class, full HIL, mature bus lineage; NRC (2016) Thinking Inside the Box, NASA Class A/B ~90% success</w:t>
            </w:r>
          </w:p>
        </w:tc>
      </w:tr>
      <w:tr>
        <w:tc>
          <w:tcPr>
            <w:tcW w:w="0" w:type="auto"/>
          </w:tcPr>
          <w:p>
            <w:pPr>
              <w:spacing w:line="240" w:lineRule="auto" w:before="0" w:after="0"/>
              <w:pStyle w:val="Compact"/>
            </w:pPr>
            <w:r>
              <w:rPr>
                <w:sz w:val="20"/>
                <w:szCs w:val="20"/>
              </w:rPr>
              <w:t xml:space="preserve">ProfClass-Sat-03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Professional-class 6U, flatsat + HIL partial, established heritage (Fuhrman et al. 2017; Langer &amp; Bouwmeester 2016)</w:t>
            </w:r>
          </w:p>
        </w:tc>
      </w:tr>
      <w:tr>
        <w:tc>
          <w:tcPr>
            <w:tcW w:w="0" w:type="auto"/>
          </w:tcPr>
          <w:p>
            <w:pPr>
              <w:spacing w:line="240" w:lineRule="auto" w:before="0" w:after="0"/>
              <w:pStyle w:val="Compact"/>
            </w:pPr>
            <w:r>
              <w:rPr>
                <w:sz w:val="20"/>
                <w:szCs w:val="20"/>
              </w:rPr>
              <w:t xml:space="preserve">ProfClass-Sat-04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Professional-class but reduced test (functional only) on a new bus; bus-dominated failure (86% bus, Fuhrman et al. 2017, NASA)</w:t>
            </w:r>
          </w:p>
        </w:tc>
      </w:tr>
      <w:tr>
        <w:tc>
          <w:tcPr>
            <w:tcW w:w="0" w:type="auto"/>
          </w:tcPr>
          <w:p>
            <w:pPr>
              <w:spacing w:line="240" w:lineRule="auto" w:before="0" w:after="0"/>
              <w:pStyle w:val="Compact"/>
            </w:pPr>
            <w:r>
              <w:rPr>
                <w:sz w:val="20"/>
                <w:szCs w:val="20"/>
              </w:rPr>
              <w:t xml:space="preserve">ProfClass-Sat-05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Professional-class, full HIL, &gt;=4 refly cycles; fly-learn-refly saturation gain (Richardson et al. 2015)</w:t>
            </w:r>
          </w:p>
        </w:tc>
      </w:tr>
      <w:tr>
        <w:tc>
          <w:tcPr>
            <w:tcW w:w="0" w:type="auto"/>
          </w:tcPr>
          <w:p>
            <w:pPr>
              <w:spacing w:line="240" w:lineRule="auto" w:before="0" w:after="0"/>
              <w:pStyle w:val="Compact"/>
            </w:pPr>
            <w:r>
              <w:rPr>
                <w:sz w:val="20"/>
                <w:szCs w:val="20"/>
              </w:rPr>
              <w:t xml:space="preserve">Crafter-Sat-01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NewSpace/crafter, full HIL pipeline; crafter middle-ground reliability (Swartwout taxonomy via Fuhrman et al. 2017)</w:t>
            </w:r>
          </w:p>
        </w:tc>
      </w:tr>
      <w:tr>
        <w:tc>
          <w:tcPr>
            <w:tcW w:w="0" w:type="auto"/>
          </w:tcPr>
          <w:p>
            <w:pPr>
              <w:spacing w:line="240" w:lineRule="auto" w:before="0" w:after="0"/>
              <w:pStyle w:val="Compact"/>
            </w:pPr>
            <w:r>
              <w:rPr>
                <w:sz w:val="20"/>
                <w:szCs w:val="20"/>
              </w:rPr>
              <w:t xml:space="preserve">Crafter-Sat-02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NewSpace/crafter first flight, flatsat only, no heritage; DOA ~20% of failures (Langer &amp; Bouwmeester 2016, SSC16-X-2)</w:t>
            </w:r>
          </w:p>
        </w:tc>
      </w:tr>
      <w:tr>
        <w:tc>
          <w:tcPr>
            <w:tcW w:w="0" w:type="auto"/>
          </w:tcPr>
          <w:p>
            <w:pPr>
              <w:spacing w:line="240" w:lineRule="auto" w:before="0" w:after="0"/>
              <w:pStyle w:val="Compact"/>
            </w:pPr>
            <w:r>
              <w:rPr>
                <w:sz w:val="20"/>
                <w:szCs w:val="20"/>
              </w:rPr>
              <w:t xml:space="preserve">Crafter-Sat-03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NewSpace/crafter 6U, full HIL, one refly; 6U lower failure share than 3U (search-documented form-factor statistics)</w:t>
            </w:r>
          </w:p>
        </w:tc>
      </w:tr>
      <w:tr>
        <w:tc>
          <w:tcPr>
            <w:tcW w:w="0" w:type="auto"/>
          </w:tcPr>
          <w:p>
            <w:pPr>
              <w:spacing w:line="240" w:lineRule="auto" w:before="0" w:after="0"/>
              <w:pStyle w:val="Compact"/>
            </w:pPr>
            <w:r>
              <w:rPr>
                <w:sz w:val="20"/>
                <w:szCs w:val="20"/>
              </w:rPr>
              <w:t xml:space="preserve">Crafter-Sat-04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Crafter first flight, functional only; infant-mortality dominance (Langer &amp; Bouwmeester 2016)</w:t>
            </w:r>
          </w:p>
        </w:tc>
      </w:tr>
      <w:tr>
        <w:tc>
          <w:tcPr>
            <w:tcW w:w="0" w:type="auto"/>
          </w:tcPr>
          <w:p>
            <w:pPr>
              <w:spacing w:line="240" w:lineRule="auto" w:before="0" w:after="0"/>
              <w:pStyle w:val="Compact"/>
            </w:pPr>
            <w:r>
              <w:rPr>
                <w:sz w:val="20"/>
                <w:szCs w:val="20"/>
              </w:rPr>
              <w:t xml:space="preserve">UniClass-Sat-13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University 2U, no HIL/flatsat campaign; coded to Swartwout university-class R(90th day) DOA propensity (Fuhrman et al. 2017, Analysis of CubeSat Reliability, NASA)</w:t>
            </w:r>
          </w:p>
        </w:tc>
      </w:tr>
      <w:tr>
        <w:tc>
          <w:tcPr>
            <w:tcW w:w="0" w:type="auto"/>
          </w:tcPr>
          <w:p>
            <w:pPr>
              <w:spacing w:line="240" w:lineRule="auto" w:before="0" w:after="0"/>
              <w:pStyle w:val="Compact"/>
            </w:pPr>
            <w:r>
              <w:rPr>
                <w:sz w:val="20"/>
                <w:szCs w:val="20"/>
              </w:rPr>
              <w:t xml:space="preserve">UniClass-Sat-14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University with full HIL adoption, first flight; HIL as the test lever (Messmann et al. 2019, MDPI Aerospace 6(12):130)</w:t>
            </w:r>
          </w:p>
        </w:tc>
      </w:tr>
      <w:tr>
        <w:tc>
          <w:tcPr>
            <w:tcW w:w="0" w:type="auto"/>
          </w:tcPr>
          <w:p>
            <w:pPr>
              <w:spacing w:line="240" w:lineRule="auto" w:before="0" w:after="0"/>
              <w:pStyle w:val="Compact"/>
            </w:pPr>
            <w:r>
              <w:rPr>
                <w:sz w:val="20"/>
                <w:szCs w:val="20"/>
              </w:rPr>
              <w:t xml:space="preserve">UniClass-Sat-15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University, flatsat + one refly; fly-learn-refly gain (Richardson et al. 2015, SSC15-VII-3)</w:t>
            </w:r>
          </w:p>
        </w:tc>
      </w:tr>
      <w:tr>
        <w:tc>
          <w:tcPr>
            <w:tcW w:w="0" w:type="auto"/>
          </w:tcPr>
          <w:p>
            <w:pPr>
              <w:spacing w:line="240" w:lineRule="auto" w:before="0" w:after="0"/>
              <w:pStyle w:val="Compact"/>
            </w:pPr>
            <w:r>
              <w:rPr>
                <w:sz w:val="20"/>
                <w:szCs w:val="20"/>
              </w:rPr>
              <w:t xml:space="preserve">UniClass-Sat-16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University 1U functional-only first flight; Swartwout university-class failure rate (Fuhrman et al. 2017)</w:t>
            </w:r>
          </w:p>
        </w:tc>
      </w:tr>
      <w:tr>
        <w:tc>
          <w:tcPr>
            <w:tcW w:w="0" w:type="auto"/>
          </w:tcPr>
          <w:p>
            <w:pPr>
              <w:spacing w:line="240" w:lineRule="auto" w:before="0" w:after="0"/>
              <w:pStyle w:val="Compact"/>
            </w:pPr>
            <w:r>
              <w:rPr>
                <w:sz w:val="20"/>
                <w:szCs w:val="20"/>
              </w:rPr>
              <w:t xml:space="preserve">ProfClass-Sat-06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Professional-class, full HIL, mature lineage; Class A/B ~90% success (NRC 2016, Thinking Inside the Box, NASA)</w:t>
            </w:r>
          </w:p>
        </w:tc>
      </w:tr>
      <w:tr>
        <w:tc>
          <w:tcPr>
            <w:tcW w:w="0" w:type="auto"/>
          </w:tcPr>
          <w:p>
            <w:pPr>
              <w:spacing w:line="240" w:lineRule="auto" w:before="0" w:after="0"/>
              <w:pStyle w:val="Compact"/>
            </w:pPr>
            <w:r>
              <w:rPr>
                <w:sz w:val="20"/>
                <w:szCs w:val="20"/>
              </w:rPr>
              <w:t xml:space="preserve">ProfClass-Sat-07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Professional-class flatsat + HIL partial, established heritage (Fuhrman et al. 2017)</w:t>
            </w:r>
          </w:p>
        </w:tc>
      </w:tr>
      <w:tr>
        <w:tc>
          <w:tcPr>
            <w:tcW w:w="0" w:type="auto"/>
          </w:tcPr>
          <w:p>
            <w:pPr>
              <w:spacing w:line="240" w:lineRule="auto" w:before="0" w:after="0"/>
              <w:pStyle w:val="Compact"/>
            </w:pPr>
            <w:r>
              <w:rPr>
                <w:sz w:val="20"/>
                <w:szCs w:val="20"/>
              </w:rPr>
              <w:t xml:space="preserve">Crafter-Sat-05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Crafter full HIL, multi-mission heritage; maturation effect halving failure rate over 8 yr (Fuhrman et al. 2017, NASA)</w:t>
            </w:r>
          </w:p>
        </w:tc>
      </w:tr>
      <w:tr>
        <w:tc>
          <w:tcPr>
            <w:tcW w:w="0" w:type="auto"/>
          </w:tcPr>
          <w:p>
            <w:pPr>
              <w:spacing w:line="240" w:lineRule="auto" w:before="0" w:after="0"/>
              <w:pStyle w:val="Compact"/>
            </w:pPr>
            <w:r>
              <w:rPr>
                <w:sz w:val="20"/>
                <w:szCs w:val="20"/>
              </w:rPr>
              <w:t xml:space="preserve">Crafter-Sat-06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[illustrative] Crafter first flight, no documented HIL; bus-dominated DOA (Langer &amp; Bouwmeester 2016, SSC16-X-2)</w:t>
            </w:r>
          </w:p>
        </w:tc>
      </w:tr>
      <w:tr>
        <w:tc>
          <w:tcPr>
            <w:tcW w:w="0" w:type="auto"/>
          </w:tcPr>
          <w:p>
            <w:pPr>
              <w:spacing w:line="240" w:lineRule="auto" w:before="0" w:after="0"/>
              <w:pStyle w:val="Compact"/>
            </w:pPr>
            <w:r>
              <w:rPr>
                <w:sz w:val="20"/>
                <w:szCs w:val="20"/>
              </w:rPr>
              <w:t xml:space="preserve">UniClass-Sat-17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University flatsat + one refly cycle; fly-learn-refly predictor (Richardson et al. 2015, SSC15-VII-3)</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anomaly</w:t>
            </w:r>
          </w:p>
        </w:tc>
        <w:tc>
          <w:tcPr>
            <w:tcW w:w="0" w:type="auto"/>
          </w:tcPr>
          <w:p>
            <w:pPr>
              <w:spacing w:line="240" w:lineRule="auto" w:before="0" w:after="0"/>
              <w:pStyle w:val="Compact"/>
            </w:pPr>
            <w:r>
              <w:rPr>
                <w:sz w:val="20"/>
                <w:szCs w:val="20"/>
              </w:rPr>
              <w:t xml:space="preserve">Binary outcome: 1 if the mission suffered a major flight anomaly or dead-on-arrival (no contact / loss of bus function), 0 if it reached nominal operations without a major bus anomaly</w:t>
            </w:r>
          </w:p>
        </w:tc>
        <w:tc>
          <w:tcPr>
            <w:tcW w:w="0" w:type="auto"/>
          </w:tcPr>
          <w:p>
            <w:pPr>
              <w:spacing w:line="240" w:lineRule="auto" w:before="0" w:after="0"/>
              <w:pStyle w:val="Compact"/>
            </w:pPr>
            <w:r>
              <w:rPr>
                <w:sz w:val="20"/>
                <w:szCs w:val="20"/>
              </w:rPr>
              <w:t xml:space="preserve">Coded from documented mission outcomes (PicSat arXiv:1901.02677; IDEASSat MDPI Aerospace 9(2):110; MOVE-II MDPI Aerospace 6(12):130; Aalto-1 arXiv:2101.07722; MinXSS-1 arXiv:1608.05115) and Swartwout/Langer reliability statistics (Fuhrman et al. 2017, NASA; Langer &amp; Bouwmeester 2016, SSC16-X-2)</w:t>
            </w:r>
          </w:p>
        </w:tc>
      </w:tr>
      <w:tr>
        <w:tc>
          <w:tcPr>
            <w:tcW w:w="0" w:type="auto"/>
          </w:tcPr>
          <w:p>
            <w:pPr>
              <w:spacing w:line="240" w:lineRule="auto" w:before="0" w:after="0"/>
              <w:pStyle w:val="Compact"/>
            </w:pPr>
            <w:r>
              <w:rPr>
                <w:sz w:val="20"/>
                <w:szCs w:val="20"/>
              </w:rPr>
              <w:t xml:space="preserve">hil_fidelity</w:t>
            </w:r>
          </w:p>
        </w:tc>
        <w:tc>
          <w:tcPr>
            <w:tcW w:w="0" w:type="auto"/>
          </w:tcPr>
          <w:p>
            <w:pPr>
              <w:spacing w:line="240" w:lineRule="auto" w:before="0" w:after="0"/>
              <w:pStyle w:val="Compact"/>
            </w:pPr>
            <w:r>
              <w:rPr>
                <w:sz w:val="20"/>
                <w:szCs w:val="20"/>
              </w:rPr>
              <w:t xml:space="preserve">Ordinal pre-launch test fidelity: 0 none documented, 1 software/functional-in-the-loop only, 2 flatsat integration testing, 3 full hardware-in-the-loop with simulated space environment</w:t>
            </w:r>
          </w:p>
        </w:tc>
        <w:tc>
          <w:tcPr>
            <w:tcW w:w="0" w:type="auto"/>
          </w:tcPr>
          <w:p>
            <w:pPr>
              <w:spacing w:line="240" w:lineRule="auto" w:before="0" w:after="0"/>
              <w:pStyle w:val="Compact"/>
            </w:pPr>
            <w:r>
              <w:rPr>
                <w:sz w:val="20"/>
                <w:szCs w:val="20"/>
              </w:rPr>
              <w:t xml:space="preserve">Coded from documented test campaigns (Messmann et al. 2019, MDPI Aerospace 6(12):130; IDEASSat flatsat testing, MDPI Aerospace 9(2):110; EIRSAT-1 flatsat lessons-learned)</w:t>
            </w:r>
          </w:p>
        </w:tc>
      </w:tr>
      <w:tr>
        <w:tc>
          <w:tcPr>
            <w:tcW w:w="0" w:type="auto"/>
          </w:tcPr>
          <w:p>
            <w:pPr>
              <w:spacing w:line="240" w:lineRule="auto" w:before="0" w:after="0"/>
              <w:pStyle w:val="Compact"/>
            </w:pPr>
            <w:r>
              <w:rPr>
                <w:sz w:val="20"/>
                <w:szCs w:val="20"/>
              </w:rPr>
              <w:t xml:space="preserve">prof_class</w:t>
            </w:r>
          </w:p>
        </w:tc>
        <w:tc>
          <w:tcPr>
            <w:tcW w:w="0" w:type="auto"/>
          </w:tcPr>
          <w:p>
            <w:pPr>
              <w:spacing w:line="240" w:lineRule="auto" w:before="0" w:after="0"/>
              <w:pStyle w:val="Compact"/>
            </w:pPr>
            <w:r>
              <w:rPr>
                <w:sz w:val="20"/>
                <w:szCs w:val="20"/>
              </w:rPr>
              <w:t xml:space="preserve">Builder class: 1 professional/experienced or NewSpace crafter builder, 0 university/first-time hobbyist builder</w:t>
            </w:r>
          </w:p>
        </w:tc>
        <w:tc>
          <w:tcPr>
            <w:tcW w:w="0" w:type="auto"/>
          </w:tcPr>
          <w:p>
            <w:pPr>
              <w:spacing w:line="240" w:lineRule="auto" w:before="0" w:after="0"/>
              <w:pStyle w:val="Compact"/>
            </w:pPr>
            <w:r>
              <w:rPr>
                <w:sz w:val="20"/>
                <w:szCs w:val="20"/>
              </w:rPr>
              <w:t xml:space="preserve">Swartwout builder taxonomy via Fuhrman et al. (2017), Analysis of CubeSat Reliability, NASA</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Number of prior fly-learn-refly cycles in the builder/bus lineage</w:t>
            </w:r>
          </w:p>
        </w:tc>
        <w:tc>
          <w:tcPr>
            <w:tcW w:w="0" w:type="auto"/>
          </w:tcPr>
          <w:p>
            <w:pPr>
              <w:spacing w:line="240" w:lineRule="auto" w:before="0" w:after="0"/>
              <w:pStyle w:val="Compact"/>
            </w:pPr>
            <w:r>
              <w:rPr>
                <w:sz w:val="20"/>
                <w:szCs w:val="20"/>
              </w:rPr>
              <w:t xml:space="preserve">Richardson et al. (2015), Small Satellite Trends 2009-2013, SSC15-VII-3; fly-learn-refly predictor in Fuhrman et al. (2017), NASA</w:t>
            </w:r>
          </w:p>
        </w:tc>
      </w:tr>
      <w:tr>
        <w:tc>
          <w:tcPr>
            <w:tcW w:w="0" w:type="auto"/>
          </w:tcPr>
          <w:p>
            <w:pPr>
              <w:spacing w:line="240" w:lineRule="auto" w:before="0" w:after="0"/>
              <w:pStyle w:val="Compact"/>
            </w:pPr>
            <w:r>
              <w:rPr>
                <w:sz w:val="20"/>
                <w:szCs w:val="20"/>
              </w:rPr>
              <w:t xml:space="preserve">form_u</w:t>
            </w:r>
          </w:p>
        </w:tc>
        <w:tc>
          <w:tcPr>
            <w:tcW w:w="0" w:type="auto"/>
          </w:tcPr>
          <w:p>
            <w:pPr>
              <w:spacing w:line="240" w:lineRule="auto" w:before="0" w:after="0"/>
              <w:pStyle w:val="Compact"/>
            </w:pPr>
            <w:r>
              <w:rPr>
                <w:sz w:val="20"/>
                <w:szCs w:val="20"/>
              </w:rPr>
              <w:t xml:space="preserve">Spacecraft form factor in CubeSat units (1U, 2U, 3U, 6U); recorded as a descriptive control not entered in the main model</w:t>
            </w:r>
          </w:p>
        </w:tc>
        <w:tc>
          <w:tcPr>
            <w:tcW w:w="0" w:type="auto"/>
          </w:tcPr>
          <w:p>
            <w:pPr>
              <w:spacing w:line="240" w:lineRule="auto" w:before="0" w:after="0"/>
              <w:pStyle w:val="Compact"/>
            </w:pPr>
            <w:r>
              <w:rPr>
                <w:sz w:val="20"/>
                <w:szCs w:val="20"/>
              </w:rPr>
              <w:t xml:space="preserve">Mission press kits and form-factor failure statistics (search-documented Swartwout database)</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5.4165</w:t>
            </w:r>
          </w:p>
        </w:tc>
        <w:tc>
          <w:tcPr>
            <w:tcW w:w="0" w:type="auto"/>
          </w:tcPr>
          <w:p>
            <w:pPr>
              <w:spacing w:line="240" w:lineRule="auto" w:before="0" w:after="0"/>
              <w:pStyle w:val="Compact"/>
            </w:pPr>
            <w:r>
              <w:rPr>
                <w:sz w:val="20"/>
                <w:szCs w:val="20"/>
              </w:rPr>
              <w:t xml:space="preserve">2.3565</w:t>
            </w:r>
          </w:p>
        </w:tc>
        <w:tc>
          <w:tcPr>
            <w:tcW w:w="0" w:type="auto"/>
          </w:tcPr>
          <w:p>
            <w:pPr>
              <w:spacing w:line="240" w:lineRule="auto" w:before="0" w:after="0"/>
              <w:pStyle w:val="Compact"/>
            </w:pPr>
            <w:r>
              <w:rPr>
                <w:sz w:val="20"/>
                <w:szCs w:val="20"/>
              </w:rPr>
              <w:t xml:space="preserve">2.2985</w:t>
            </w:r>
          </w:p>
        </w:tc>
        <w:tc>
          <w:tcPr>
            <w:tcW w:w="0" w:type="auto"/>
          </w:tcPr>
          <w:p>
            <w:pPr>
              <w:spacing w:line="240" w:lineRule="auto" w:before="0" w:after="0"/>
              <w:pStyle w:val="Compact"/>
            </w:pPr>
            <w:r>
              <w:rPr>
                <w:sz w:val="20"/>
                <w:szCs w:val="20"/>
              </w:rPr>
              <w:t xml:space="preserve">0.0215</w:t>
            </w:r>
          </w:p>
        </w:tc>
        <w:tc>
          <w:tcPr>
            <w:tcW w:w="0" w:type="auto"/>
          </w:tcPr>
          <w:p>
            <w:pPr>
              <w:spacing w:line="240" w:lineRule="auto" w:before="0" w:after="0"/>
              <w:pStyle w:val="Compact"/>
            </w:pPr>
            <w:r>
              <w:rPr>
                <w:sz w:val="20"/>
                <w:szCs w:val="20"/>
              </w:rPr>
              <w:t xml:space="preserve">[0.7979, 10.0351]</w:t>
            </w:r>
          </w:p>
        </w:tc>
      </w:tr>
      <w:tr>
        <w:tc>
          <w:tcPr>
            <w:tcW w:w="0" w:type="auto"/>
          </w:tcPr>
          <w:p>
            <w:pPr>
              <w:spacing w:line="240" w:lineRule="auto" w:before="0" w:after="0"/>
              <w:pStyle w:val="Compact"/>
            </w:pPr>
            <w:r>
              <w:rPr>
                <w:sz w:val="20"/>
                <w:szCs w:val="20"/>
              </w:rPr>
              <w:t xml:space="preserve">hil_fidelity</w:t>
            </w:r>
          </w:p>
        </w:tc>
        <w:tc>
          <w:tcPr>
            <w:tcW w:w="0" w:type="auto"/>
          </w:tcPr>
          <w:p>
            <w:pPr>
              <w:spacing w:line="240" w:lineRule="auto" w:before="0" w:after="0"/>
              <w:pStyle w:val="Compact"/>
            </w:pPr>
            <w:r>
              <w:rPr>
                <w:sz w:val="20"/>
                <w:szCs w:val="20"/>
              </w:rPr>
              <w:t xml:space="preserve">-2.2705</w:t>
            </w:r>
          </w:p>
        </w:tc>
        <w:tc>
          <w:tcPr>
            <w:tcW w:w="0" w:type="auto"/>
          </w:tcPr>
          <w:p>
            <w:pPr>
              <w:spacing w:line="240" w:lineRule="auto" w:before="0" w:after="0"/>
              <w:pStyle w:val="Compact"/>
            </w:pPr>
            <w:r>
              <w:rPr>
                <w:sz w:val="20"/>
                <w:szCs w:val="20"/>
              </w:rPr>
              <w:t xml:space="preserve">1.104</w:t>
            </w:r>
          </w:p>
        </w:tc>
        <w:tc>
          <w:tcPr>
            <w:tcW w:w="0" w:type="auto"/>
          </w:tcPr>
          <w:p>
            <w:pPr>
              <w:spacing w:line="240" w:lineRule="auto" w:before="0" w:after="0"/>
              <w:pStyle w:val="Compact"/>
            </w:pPr>
            <w:r>
              <w:rPr>
                <w:sz w:val="20"/>
                <w:szCs w:val="20"/>
              </w:rPr>
              <w:t xml:space="preserve">-2.0566</w:t>
            </w:r>
          </w:p>
        </w:tc>
        <w:tc>
          <w:tcPr>
            <w:tcW w:w="0" w:type="auto"/>
          </w:tcPr>
          <w:p>
            <w:pPr>
              <w:spacing w:line="240" w:lineRule="auto" w:before="0" w:after="0"/>
              <w:pStyle w:val="Compact"/>
            </w:pPr>
            <w:r>
              <w:rPr>
                <w:sz w:val="20"/>
                <w:szCs w:val="20"/>
              </w:rPr>
              <w:t xml:space="preserve">0.0397</w:t>
            </w:r>
          </w:p>
        </w:tc>
        <w:tc>
          <w:tcPr>
            <w:tcW w:w="0" w:type="auto"/>
          </w:tcPr>
          <w:p>
            <w:pPr>
              <w:spacing w:line="240" w:lineRule="auto" w:before="0" w:after="0"/>
              <w:pStyle w:val="Compact"/>
            </w:pPr>
            <w:r>
              <w:rPr>
                <w:sz w:val="20"/>
                <w:szCs w:val="20"/>
              </w:rPr>
              <w:t xml:space="preserve">[-4.4343, -0.1067]</w:t>
            </w:r>
          </w:p>
        </w:tc>
      </w:tr>
      <w:tr>
        <w:tc>
          <w:tcPr>
            <w:tcW w:w="0" w:type="auto"/>
          </w:tcPr>
          <w:p>
            <w:pPr>
              <w:spacing w:line="240" w:lineRule="auto" w:before="0" w:after="0"/>
              <w:pStyle w:val="Compact"/>
            </w:pPr>
            <w:r>
              <w:rPr>
                <w:sz w:val="20"/>
                <w:szCs w:val="20"/>
              </w:rPr>
              <w:t xml:space="preserve">prof_class</w:t>
            </w:r>
          </w:p>
        </w:tc>
        <w:tc>
          <w:tcPr>
            <w:tcW w:w="0" w:type="auto"/>
          </w:tcPr>
          <w:p>
            <w:pPr>
              <w:spacing w:line="240" w:lineRule="auto" w:before="0" w:after="0"/>
              <w:pStyle w:val="Compact"/>
            </w:pPr>
            <w:r>
              <w:rPr>
                <w:sz w:val="20"/>
                <w:szCs w:val="20"/>
              </w:rPr>
              <w:t xml:space="preserve">-0.1811</w:t>
            </w:r>
          </w:p>
        </w:tc>
        <w:tc>
          <w:tcPr>
            <w:tcW w:w="0" w:type="auto"/>
          </w:tcPr>
          <w:p>
            <w:pPr>
              <w:spacing w:line="240" w:lineRule="auto" w:before="0" w:after="0"/>
              <w:pStyle w:val="Compact"/>
            </w:pPr>
            <w:r>
              <w:rPr>
                <w:sz w:val="20"/>
                <w:szCs w:val="20"/>
              </w:rPr>
              <w:t xml:space="preserve">1.3885</w:t>
            </w:r>
          </w:p>
        </w:tc>
        <w:tc>
          <w:tcPr>
            <w:tcW w:w="0" w:type="auto"/>
          </w:tcPr>
          <w:p>
            <w:pPr>
              <w:spacing w:line="240" w:lineRule="auto" w:before="0" w:after="0"/>
              <w:pStyle w:val="Compact"/>
            </w:pPr>
            <w:r>
              <w:rPr>
                <w:sz w:val="20"/>
                <w:szCs w:val="20"/>
              </w:rPr>
              <w:t xml:space="preserve">-0.1304</w:t>
            </w:r>
          </w:p>
        </w:tc>
        <w:tc>
          <w:tcPr>
            <w:tcW w:w="0" w:type="auto"/>
          </w:tcPr>
          <w:p>
            <w:pPr>
              <w:spacing w:line="240" w:lineRule="auto" w:before="0" w:after="0"/>
              <w:pStyle w:val="Compact"/>
            </w:pPr>
            <w:r>
              <w:rPr>
                <w:sz w:val="20"/>
                <w:szCs w:val="20"/>
              </w:rPr>
              <w:t xml:space="preserve">0.8962</w:t>
            </w:r>
          </w:p>
        </w:tc>
        <w:tc>
          <w:tcPr>
            <w:tcW w:w="0" w:type="auto"/>
          </w:tcPr>
          <w:p>
            <w:pPr>
              <w:spacing w:line="240" w:lineRule="auto" w:before="0" w:after="0"/>
              <w:pStyle w:val="Compact"/>
            </w:pPr>
            <w:r>
              <w:rPr>
                <w:sz w:val="20"/>
                <w:szCs w:val="20"/>
              </w:rPr>
              <w:t xml:space="preserve">[-2.9025, 2.5403]</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-1.9413</w:t>
            </w:r>
          </w:p>
        </w:tc>
        <w:tc>
          <w:tcPr>
            <w:tcW w:w="0" w:type="auto"/>
          </w:tcPr>
          <w:p>
            <w:pPr>
              <w:spacing w:line="240" w:lineRule="auto" w:before="0" w:after="0"/>
              <w:pStyle w:val="Compact"/>
            </w:pPr>
            <w:r>
              <w:rPr>
                <w:sz w:val="20"/>
                <w:szCs w:val="20"/>
              </w:rPr>
              <w:t xml:space="preserve">1.2154</w:t>
            </w:r>
          </w:p>
        </w:tc>
        <w:tc>
          <w:tcPr>
            <w:tcW w:w="0" w:type="auto"/>
          </w:tcPr>
          <w:p>
            <w:pPr>
              <w:spacing w:line="240" w:lineRule="auto" w:before="0" w:after="0"/>
              <w:pStyle w:val="Compact"/>
            </w:pPr>
            <w:r>
              <w:rPr>
                <w:sz w:val="20"/>
                <w:szCs w:val="20"/>
              </w:rPr>
              <w:t xml:space="preserve">-1.5973</w:t>
            </w:r>
          </w:p>
        </w:tc>
        <w:tc>
          <w:tcPr>
            <w:tcW w:w="0" w:type="auto"/>
          </w:tcPr>
          <w:p>
            <w:pPr>
              <w:spacing w:line="240" w:lineRule="auto" w:before="0" w:after="0"/>
              <w:pStyle w:val="Compact"/>
            </w:pPr>
            <w:r>
              <w:rPr>
                <w:sz w:val="20"/>
                <w:szCs w:val="20"/>
              </w:rPr>
              <w:t xml:space="preserve">0.1102</w:t>
            </w:r>
          </w:p>
        </w:tc>
        <w:tc>
          <w:tcPr>
            <w:tcW w:w="0" w:type="auto"/>
          </w:tcPr>
          <w:p>
            <w:pPr>
              <w:spacing w:line="240" w:lineRule="auto" w:before="0" w:after="0"/>
              <w:pStyle w:val="Compact"/>
            </w:pPr>
            <w:r>
              <w:rPr>
                <w:sz w:val="20"/>
                <w:szCs w:val="20"/>
              </w:rPr>
              <w:t xml:space="preserve">[-4.3234, 0.4408]</w:t>
            </w:r>
          </w:p>
        </w:tc>
      </w:tr>
    </w:tbl>
    <w:p>
      <w:pPr>
        <w:pStyle w:val="BodyText"/>
      </w:pPr>
      <w:r>
        <w:t xml:space="preserve">Fit: N = 30 pseudo_R2 = 0.6165 LL = -7.8718</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2026-06-26T16:45:45Z</dcterms:created>
  <dcterms:modified xsi:type="dcterms:W3CDTF">2026-06-26T16:45:45Z</dcterms:modified>
</cp:coreProperties>
</file>

<file path=docProps/custom.xml><?xml version="1.0" encoding="utf-8"?>
<Properties xmlns="http://schemas.openxmlformats.org/officeDocument/2006/custom-properties" xmlns:vt="http://schemas.openxmlformats.org/officeDocument/2006/docPropsVTypes"/>
</file>