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omments.xml" ContentType="application/vnd.openxmlformats-officedocument.wordprocessingml.comment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4" Type="http://schemas.openxmlformats.org/officeDocument/2006/relationships/extended-properties" Target="docProps/app.xml"/><Relationship Id="rId3" Type="http://schemas.openxmlformats.org/package/2006/relationships/metadata/core-properties" Target="docProps/core.xml"/><Relationship Id="rId5" Type="http://schemas.openxmlformats.org/officeDocument/2006/relationships/custom-properties" Target="docProps/custom.xml"/></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jc w:val="center"/>
      </w:pPr>
    </w:p>
    <w:p>
      <w:pPr>
        <w:jc w:val="center"/>
      </w:pPr>
    </w:p>
    <w:p>
      <w:pPr>
        <w:jc w:val="center"/>
      </w:pPr>
    </w:p>
    <w:p>
      <w:pPr>
        <w:pStyle w:val="Title"/>
        <w:jc w:val="center"/>
      </w:pPr>
      <w:r>
        <w:rPr>
          <w:rFonts w:ascii="Times New Roman" w:hAnsi="Times New Roman"/>
          <w:b/>
        </w:rPr>
        <w:t>DO HARDWARE-IN-THE-LOOP TEST ENVIRONMENTS REDUCE FLIGHT ANOMALIES? A CAUSAL ESTIMATE</w:t>
      </w:r>
    </w:p>
    <w:p>
      <w:pPr>
        <w:jc w:val="center"/>
      </w:pPr>
    </w:p>
    <w:p>
      <w:pPr>
        <w:jc w:val="center"/>
      </w:pPr>
      <w:r>
        <w:rPr>
          <w:rFonts w:ascii="Times New Roman" w:hAnsi="Times New Roman"/>
          <w:sz w:val="24"/>
        </w:rPr>
        <w:t>by</w:t>
      </w:r>
    </w:p>
    <w:p>
      <w:pPr>
        <w:jc w:val="center"/>
      </w:pPr>
      <w:r>
        <w:rPr>
          <w:rFonts w:ascii="Times New Roman" w:hAnsi="Times New Roman"/>
          <w:b/>
          <w:sz w:val="28"/>
        </w:rPr>
        <w:t>Tomas Mercer</w:t>
      </w:r>
    </w:p>
    <w:p>
      <w:pPr>
        <w:jc w:val="center"/>
      </w:pPr>
      <w:r>
        <w:rPr>
          <w:rFonts w:ascii="Times New Roman" w:hAnsi="Times New Roman"/>
          <w:sz w:val="24"/>
        </w:rPr>
        <w:t>1B-IPT-065</w:t>
      </w:r>
    </w:p>
    <w:p>
      <w:pPr>
        <w:jc w:val="center"/>
      </w:pPr>
      <w:r>
        <w:rPr>
          <w:rFonts w:ascii="Times New Roman" w:hAnsi="Times New Roman"/>
          <w:sz w:val="24"/>
        </w:rPr>
        <w:t>COLLEGIUM 1st Battalion candidate</w:t>
      </w:r>
    </w:p>
    <w:p>
      <w:pPr>
        <w:jc w:val="center"/>
      </w:pPr>
    </w:p>
    <w:p>
      <w:pPr>
        <w:jc w:val="center"/>
      </w:pPr>
    </w:p>
    <w:p>
      <w:pPr>
        <w:jc w:val="center"/>
      </w:pPr>
      <w:r>
        <w:rPr>
          <w:rFonts w:ascii="Times New Roman" w:hAnsi="Times New Roman"/>
          <w:sz w:val="24"/>
        </w:rPr>
        <w:t>A dissertation submitted in conformity with the requirements for the degree of Doctor of Philosophy</w:t>
      </w:r>
    </w:p>
    <w:p>
      <w:pPr>
        <w:jc w:val="center"/>
      </w:pPr>
    </w:p>
    <w:p>
      <w:pPr>
        <w:jc w:val="center"/>
      </w:pPr>
      <w:r>
        <w:rPr>
          <w:rFonts w:ascii="Times New Roman" w:hAnsi="Times New Roman"/>
          <w:sz w:val="24"/>
        </w:rPr>
        <w:t>2026</w:t>
      </w: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p>
    <w:p>
      <w:pPr>
        <w:jc w:val="center"/>
      </w:pPr>
      <w:r>
        <w:rPr>
          <w:rFonts w:ascii="Times New Roman" w:hAnsi="Times New Roman"/>
          <w:sz w:val="24"/>
        </w:rPr>
        <w:t>(c) 2026 COLLEGIUM 1st Battalion</w:t>
      </w:r>
    </w:p>
    <w:p>
      <w:pPr>
        <w:jc w:val="center"/>
      </w:pPr>
      <w:r>
        <w:rPr>
          <w:rFonts w:ascii="Times New Roman" w:hAnsi="Times New Roman"/>
          <w:sz w:val="24"/>
        </w:rPr>
        <w:t>All Rights Reserved</w:t>
      </w:r>
    </w:p>
    <w:p>
      <w:r>
        <w:br w:type="page"/>
      </w:r>
    </w:p>
    <w:p>
      <w:pPr>
        <w:pStyle w:val="Date"/>
        <w:spacing w:line="480" w:lineRule="auto"/>
      </w:pPr>
      <w:r>
        <w:t xml:space="preserve">2025-12-31</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bookmarkStart w:id="65" w:name="chapter-1.-introduction"/>
    <w:p>
      <w:pPr>
        <w:pStyle w:val="Heading1"/>
        <w:spacing w:line="480" w:lineRule="auto"/>
      </w:pPr>
      <w:r>
        <w:t xml:space="preserve">Chapter 1. Introduction</w:t>
      </w:r>
    </w:p>
    <w:bookmarkStart w:id="61" w:name="Xcb0f77f4348050868b365a065d591de0dfc7e77"/>
    <w:p>
      <w:pPr>
        <w:pStyle w:val="Heading2"/>
        <w:spacing w:line="480" w:lineRule="auto"/>
      </w:pPr>
      <w:r>
        <w:t xml:space="preserve">1.1 The Problem and Its Stakes for NASA and JPL</w:t>
      </w:r>
    </w:p>
    <w:p>
      <w:pPr>
        <w:pStyle w:val="FirstParagraph"/>
        <w:spacing w:line="480" w:lineRule="auto"/>
      </w:pPr>
      <w:r>
        <w:t xml:space="preserve">Integration and test (I&amp;T) is the phase in spacecraft development at which a collection of qualified components becomes an integrated flight system, and it is the last point at which a fault can be discovered on the ground at a marginal cost that is several orders of magnitude lower than the cost of discovering the same fault on orbit. Hardware-in-the-loop (HIL) test environments occupy the most expensive and most capability-intensive rung of the I&amp;T ladder. They couple flight or flight-equivalent hardware to a validated, real-time simulation of the spacecraft dynamics, sensor inputs, actuator responses, and operating environment, and they exercise that coupled system across the regimes the vehicle will encounter in flight. The premise behind the investment is straightforward: that closing the loop with real hardware will surface defects that component qualification, software-only simulation, and bench checkout cannot.</w:t>
      </w:r>
    </w:p>
    <w:p>
      <w:pPr>
        <w:pStyle w:val="BodyText"/>
        <w:spacing w:line="480" w:lineRule="auto"/>
        <w:ind w:firstLine="720"/>
      </w:pPr>
      <w:r>
        <w:t xml:space="preserve">For the National Aeronautics and Space Administration (NASA), and for the Jet Propulsion Laboratory (JPL) in particular, the stakes attached to this premise are unusual. NASA flies a small number of high-value vehicles whose loss imposes consequences far beyond the replacement cost of the hardware. JPL’s portfolio is dominated by science missions in which the integrated system, not any single subsystem, is the unit that either delivers the science or does not, and in which the verification campaign is the principal instrument available to management for managing the residual risk after design freeze. The protoflight strategy that emerged at Goddard Space Flight Center in the mid-1960s was an early institutional acknowledgement that a flight article must itself bear the burden of qualification when a dedicated prototype cannot be afforded</w:t>
      </w:r>
      <w:r>
        <w:t xml:space="preserve"> </w:t>
      </w:r>
      <w:hyperlink w:anchor="ref-18">
        <w:r>
          <w:rPr>
            <w:rStyle w:val="Hyperlink"/>
          </w:rPr>
          <w:t xml:space="preserve">[18]</w:t>
        </w:r>
      </w:hyperlink>
      <w:r>
        <w:t xml:space="preserve">, and the contemporary management of system-level test programs is the lineal descendant of that decision. When schedule and budget tighten, as they routinely do, the system-level and HIL portions of the test campaign are the first activities pressured for descope. Whether that pressure is well-calibrated or is a category error depends on a quantity that the literature has not estimated.</w:t>
      </w:r>
    </w:p>
    <w:p>
      <w:pPr>
        <w:pStyle w:val="BodyText"/>
        <w:spacing w:line="480" w:lineRule="auto"/>
        <w:ind w:firstLine="720"/>
      </w:pPr>
      <w:r>
        <w:t xml:space="preserve">The recent open record makes the operational logic of HIL increasingly visible. AEDC’s HWIL satellite-target-emulation capability was developed two decades ago to support sensor testing for surveillance assets</w:t>
      </w:r>
      <w:r>
        <w:t xml:space="preserve"> </w:t>
      </w:r>
      <w:hyperlink w:anchor="ref-1">
        <w:r>
          <w:rPr>
            <w:rStyle w:val="Hyperlink"/>
          </w:rPr>
          <w:t xml:space="preserve">[1]</w:t>
        </w:r>
      </w:hyperlink>
      <w:r>
        <w:t xml:space="preserve">[22]. Contemporary work continues to publish six-degree-of-freedom and free-floating HIL testbeds for proximity-operations and guidance, navigation, and control (GNC) validation</w:t>
      </w:r>
      <w:r>
        <w:t xml:space="preserve"> </w:t>
      </w:r>
      <w:hyperlink w:anchor="ref-2">
        <w:r>
          <w:rPr>
            <w:rStyle w:val="Hyperlink"/>
          </w:rPr>
          <w:t xml:space="preserve">[2]</w:t>
        </w:r>
      </w:hyperlink>
      <w:r>
        <w:t xml:space="preserve">[3], and full-scale verification approaches that combine ground and flight testing for critical mechanisms have been documented for missions whose dynamic performance is unforgiving</w:t>
      </w:r>
      <w:r>
        <w:t xml:space="preserve"> </w:t>
      </w:r>
      <w:hyperlink w:anchor="ref-29">
        <w:r>
          <w:rPr>
            <w:rStyle w:val="Hyperlink"/>
          </w:rPr>
          <w:t xml:space="preserve">[29]</w:t>
        </w:r>
      </w:hyperlink>
      <w:r>
        <w:t xml:space="preserve">. HIL has been used to validate formation-flying control for starshade missions</w:t>
      </w:r>
      <w:r>
        <w:t xml:space="preserve"> </w:t>
      </w:r>
      <w:hyperlink w:anchor="ref-31">
        <w:r>
          <w:rPr>
            <w:rStyle w:val="Hyperlink"/>
          </w:rPr>
          <w:t xml:space="preserve">[31]</w:t>
        </w:r>
      </w:hyperlink>
      <w:r>
        <w:t xml:space="preserve">, to support reinforcement-learning algorithms on near-term flight hardware</w:t>
      </w:r>
      <w:r>
        <w:t xml:space="preserve"> </w:t>
      </w:r>
      <w:hyperlink w:anchor="ref-32">
        <w:r>
          <w:rPr>
            <w:rStyle w:val="Hyperlink"/>
          </w:rPr>
          <w:t xml:space="preserve">[32]</w:t>
        </w:r>
      </w:hyperlink>
      <w:r>
        <w:t xml:space="preserve">, and to flow into the testing chain for European autonomous flight-safety systems</w:t>
      </w:r>
      <w:r>
        <w:t xml:space="preserve"> </w:t>
      </w:r>
      <w:hyperlink w:anchor="ref-34">
        <w:r>
          <w:rPr>
            <w:rStyle w:val="Hyperlink"/>
          </w:rPr>
          <w:t xml:space="preserve">[34]</w:t>
        </w:r>
      </w:hyperlink>
      <w:r>
        <w:t xml:space="preserve">. The community has visibly invested in the capability. What is far less visible is whether vehicles that pass through this investment show fewer on-orbit anomalies than vehicles that do not, conditional on the variables that determine which vehicles get HIL coverage in the first place.</w:t>
      </w:r>
    </w:p>
    <w:p>
      <w:pPr>
        <w:pStyle w:val="BodyText"/>
        <w:spacing w:line="480" w:lineRule="auto"/>
        <w:ind w:firstLine="720"/>
      </w:pPr>
      <w:r>
        <w:t xml:space="preserve">For NASA and JPL the practical stakes of the unanswered question are threefold. First, the question is budgetary. HIL benches are not free, and the decision to build or to rent, to staff continuously or to stand up per program, to extend the bench to cover a new subsystem or to descope, is taken without a defended estimate of the marginal anomaly reduction the bench is buying. Second, the question is one of schedule reserve. Mission assurance is repeatedly framed as a system-level property that cannot be secured by component qualification alone</w:t>
      </w:r>
      <w:r>
        <w:t xml:space="preserve"> </w:t>
      </w:r>
      <w:hyperlink w:anchor="ref-5">
        <w:r>
          <w:rPr>
            <w:rStyle w:val="Hyperlink"/>
          </w:rPr>
          <w:t xml:space="preserve">[5]</w:t>
        </w:r>
      </w:hyperlink>
      <w:r>
        <w:t xml:space="preserve">, and the schedule consequence of treating it that way is that integrated test campaigns must be protected against pressure from upstream slips. The argument that they should be protected is currently asserted rather than estimated. Third, the question is one of portfolio composition. If the marginal anomaly reduction from HIL coverage varies meaningfully across mission classes, then a uniform institutional policy is, by construction, misallocating verification effort across the portfolio. None of these decisions can be made well without an estimate of the causal effect at issue, and the field does not currently possess one.</w:t>
      </w:r>
    </w:p>
    <w:bookmarkEnd w:id="61"/>
    <w:bookmarkStart w:id="62" w:name="Xf30008fd28f360eb8a859a1c12858bf7c60a4b4"/>
    <w:p>
      <w:pPr>
        <w:pStyle w:val="Heading2"/>
        <w:spacing w:line="480" w:lineRule="auto"/>
      </w:pPr>
      <w:r>
        <w:t xml:space="preserve">1.2 The Gap Between the Domain Literature and the Econometric Method Literature</w:t>
      </w:r>
    </w:p>
    <w:p>
      <w:pPr>
        <w:pStyle w:val="FirstParagraph"/>
        <w:spacing w:line="480" w:lineRule="auto"/>
      </w:pPr>
      <w:r>
        <w:t xml:space="preserve">The domain literature on HIL has accumulated rapidly, but it has accumulated as a literature about testbeds rather than as a literature about outcomes. Across the retrieved record the testbed is the object of study and the outcome of interest is the fidelity of the bench or the performance of the controller exercised on it. Lowry and colleagues describe a method to test satellite sensors in a HWIL environment and document the development of the corresponding capability at AEDC</w:t>
      </w:r>
      <w:r>
        <w:t xml:space="preserve"> </w:t>
      </w:r>
      <w:hyperlink w:anchor="ref-1">
        <w:r>
          <w:rPr>
            <w:rStyle w:val="Hyperlink"/>
          </w:rPr>
          <w:t xml:space="preserve">[1]</w:t>
        </w:r>
      </w:hyperlink>
      <w:r>
        <w:t xml:space="preserve">[22]. Guarnaccia and colleagues report HIL experimentation on a full six-degree-of-freedom testbed for spacecraft motion control</w:t>
      </w:r>
      <w:r>
        <w:t xml:space="preserve"> </w:t>
      </w:r>
      <w:hyperlink w:anchor="ref-3">
        <w:r>
          <w:rPr>
            <w:rStyle w:val="Hyperlink"/>
          </w:rPr>
          <w:t xml:space="preserve">[3]</w:t>
        </w:r>
      </w:hyperlink>
      <w:r>
        <w:t xml:space="preserve">. Jahanshahi and colleagues present the design, implementation, and validation of a HIL testbed for free-floating spacecraft emulation using active gravity compensation</w:t>
      </w:r>
      <w:r>
        <w:t xml:space="preserve"> </w:t>
      </w:r>
      <w:hyperlink w:anchor="ref-2">
        <w:r>
          <w:rPr>
            <w:rStyle w:val="Hyperlink"/>
          </w:rPr>
          <w:t xml:space="preserve">[2]</w:t>
        </w:r>
      </w:hyperlink>
      <w:r>
        <w:t xml:space="preserve">. Manconi and colleagues situate real-time HIL simulation within a verification and testing process for attitude determination</w:t>
      </w:r>
      <w:r>
        <w:t xml:space="preserve"> </w:t>
      </w:r>
      <w:hyperlink w:anchor="ref-4">
        <w:r>
          <w:rPr>
            <w:rStyle w:val="Hyperlink"/>
          </w:rPr>
          <w:t xml:space="preserve">[4]</w:t>
        </w:r>
      </w:hyperlink>
      <w:r>
        <w:t xml:space="preserve">. Palacios and colleagues demonstrate HIL testing of formation-flying control and sensing algorithms for starshade missions</w:t>
      </w:r>
      <w:r>
        <w:t xml:space="preserve"> </w:t>
      </w:r>
      <w:hyperlink w:anchor="ref-31">
        <w:r>
          <w:rPr>
            <w:rStyle w:val="Hyperlink"/>
          </w:rPr>
          <w:t xml:space="preserve">[31]</w:t>
        </w:r>
      </w:hyperlink>
      <w:r>
        <w:t xml:space="preserve">. Wilson and Riccardi exercise reinforcement-learning guidance, navigation, and control on near-term flight hardware</w:t>
      </w:r>
      <w:r>
        <w:t xml:space="preserve"> </w:t>
      </w:r>
      <w:hyperlink w:anchor="ref-32">
        <w:r>
          <w:rPr>
            <w:rStyle w:val="Hyperlink"/>
          </w:rPr>
          <w:t xml:space="preserve">[32]</w:t>
        </w:r>
      </w:hyperlink>
      <w:r>
        <w:t xml:space="preserve">. Ellis and Daywalt describe a flexible closed-loop feedback control architecture for space domain awareness payloads</w:t>
      </w:r>
      <w:r>
        <w:t xml:space="preserve"> </w:t>
      </w:r>
      <w:hyperlink w:anchor="ref-23">
        <w:r>
          <w:rPr>
            <w:rStyle w:val="Hyperlink"/>
          </w:rPr>
          <w:t xml:space="preserve">[23]</w:t>
        </w:r>
      </w:hyperlink>
      <w:r>
        <w:t xml:space="preserve">. Marketos describes how the Space Plug-and-Play Avionics standard enables constellation-level autonomy and the test campaigns associated with it</w:t>
      </w:r>
      <w:r>
        <w:t xml:space="preserve"> </w:t>
      </w:r>
      <w:hyperlink w:anchor="ref-21">
        <w:r>
          <w:rPr>
            <w:rStyle w:val="Hyperlink"/>
          </w:rPr>
          <w:t xml:space="preserve">[21]</w:t>
        </w:r>
      </w:hyperlink>
      <w:r>
        <w:t xml:space="preserve">. Griffin and colleagues report integrated line-of-sight modelling of the Airborne Aero-Optics Laboratory in support of a HIL-adjacent test concept</w:t>
      </w:r>
      <w:r>
        <w:t xml:space="preserve"> </w:t>
      </w:r>
      <w:hyperlink w:anchor="ref-20">
        <w:r>
          <w:rPr>
            <w:rStyle w:val="Hyperlink"/>
          </w:rPr>
          <w:t xml:space="preserve">[20]</w:t>
        </w:r>
      </w:hyperlink>
      <w:r>
        <w:t xml:space="preserve">. Dalla Ricca and colleagues describe a comprehensive ground-flight testing approach for the dynamic performance of a critical space mechanism</w:t>
      </w:r>
      <w:r>
        <w:t xml:space="preserve"> </w:t>
      </w:r>
      <w:hyperlink w:anchor="ref-29">
        <w:r>
          <w:rPr>
            <w:rStyle w:val="Hyperlink"/>
          </w:rPr>
          <w:t xml:space="preserve">[29]</w:t>
        </w:r>
      </w:hyperlink>
      <w:r>
        <w:t xml:space="preserve">. Saban-Fosch and colleagues describe the software and hardware design of a European autonomous flight-safety system that is itself a candidate for HIL verification</w:t>
      </w:r>
      <w:r>
        <w:t xml:space="preserve"> </w:t>
      </w:r>
      <w:hyperlink w:anchor="ref-34">
        <w:r>
          <w:rPr>
            <w:rStyle w:val="Hyperlink"/>
          </w:rPr>
          <w:t xml:space="preserve">[34]</w:t>
        </w:r>
      </w:hyperlink>
      <w:r>
        <w:t xml:space="preserve">. Dijks and colleagues conduct a systematic review of engineering and testing approaches for radiation hardness assurance in commercial space avionics</w:t>
      </w:r>
      <w:r>
        <w:t xml:space="preserve"> </w:t>
      </w:r>
      <w:hyperlink w:anchor="ref-35">
        <w:r>
          <w:rPr>
            <w:rStyle w:val="Hyperlink"/>
          </w:rPr>
          <w:t xml:space="preserve">[35]</w:t>
        </w:r>
      </w:hyperlink>
      <w:r>
        <w:t xml:space="preserve">.</w:t>
      </w:r>
    </w:p>
    <w:p>
      <w:pPr>
        <w:pStyle w:val="BodyText"/>
        <w:spacing w:line="480" w:lineRule="auto"/>
        <w:ind w:firstLine="720"/>
      </w:pPr>
      <w:r>
        <w:t xml:space="preserve">In each case the question answered is whether the testbed faithfully reproduces the relevant flight environment, whether the controller under test meets its performance specification, or whether the verification approach is internally coherent. The question not answered is whether vehicles that pass through such testbeds experience fewer on-orbit anomalies than counterfactually comparable vehicles that do not. The dependent variable in the literature is testbed fidelity or controller performance under test. The dependent variable required to inform the budgetary, schedule, and portfolio decisions identified above is the on-orbit anomaly rate of vehicles that did or did not undergo HIL testing, conditional on the variables that determine selection into HIL.</w:t>
      </w:r>
    </w:p>
    <w:p>
      <w:pPr>
        <w:pStyle w:val="BodyText"/>
        <w:spacing w:line="480" w:lineRule="auto"/>
        <w:ind w:firstLine="720"/>
      </w:pPr>
      <w:r>
        <w:t xml:space="preserve">The reliability literature on the small-spacecraft population edges closer to the right outcome. Blackwell, Fuhrman, and colleagues estimate failure rates across launched CubeSats and document the dominance of bus-driven and infant-mortality failures</w:t>
      </w:r>
      <w:r>
        <w:t xml:space="preserve"> </w:t>
      </w:r>
      <w:hyperlink w:anchor="ref-6">
        <w:r>
          <w:rPr>
            <w:rStyle w:val="Hyperlink"/>
          </w:rPr>
          <w:t xml:space="preserve">[6]</w:t>
        </w:r>
      </w:hyperlink>
      <w:r>
        <w:t xml:space="preserve">. Langer and Bouwmeester report statistical reliability data, beliefs of developers, and a way forward</w:t>
      </w:r>
      <w:r>
        <w:t xml:space="preserve"> </w:t>
      </w:r>
      <w:hyperlink w:anchor="ref-7">
        <w:r>
          <w:rPr>
            <w:rStyle w:val="Hyperlink"/>
          </w:rPr>
          <w:t xml:space="preserve">[7]</w:t>
        </w:r>
      </w:hyperlink>
      <w:r>
        <w:t xml:space="preserve">. Bouwmeester, Langer, and Gill argue, on reliability-modelling grounds, that improved functional testing reduces infant mortality more efficiently than added subsystem redundancy</w:t>
      </w:r>
      <w:r>
        <w:t xml:space="preserve"> </w:t>
      </w:r>
      <w:hyperlink w:anchor="ref-16">
        <w:r>
          <w:rPr>
            <w:rStyle w:val="Hyperlink"/>
          </w:rPr>
          <w:t xml:space="preserve">[16]</w:t>
        </w:r>
      </w:hyperlink>
      <w:r>
        <w:t xml:space="preserve">. Swartwout characterizes the first one hundred CubeSats statistically and develops the builder-class taxonomy that has organized population-level analysis since</w:t>
      </w:r>
      <w:r>
        <w:t xml:space="preserve"> </w:t>
      </w:r>
      <w:hyperlink w:anchor="ref-17">
        <w:r>
          <w:rPr>
            <w:rStyle w:val="Hyperlink"/>
          </w:rPr>
          <w:t xml:space="preserve">[17]</w:t>
        </w:r>
      </w:hyperlink>
      <w:r>
        <w:t xml:space="preserve">. Richardson and colleagues document small-satellite trends across the 2009-2013 cohort</w:t>
      </w:r>
      <w:r>
        <w:t xml:space="preserve"> </w:t>
      </w:r>
      <w:hyperlink w:anchor="ref-8">
        <w:r>
          <w:rPr>
            <w:rStyle w:val="Hyperlink"/>
          </w:rPr>
          <w:t xml:space="preserve">[8]</w:t>
        </w:r>
      </w:hyperlink>
      <w:r>
        <w:t xml:space="preserve">. Bouwmeester and Guo survey worldwide pico- and nanosatellite missions, distributions, and subsystem technology</w:t>
      </w:r>
      <w:r>
        <w:t xml:space="preserve"> </w:t>
      </w:r>
      <w:hyperlink w:anchor="ref-19">
        <w:r>
          <w:rPr>
            <w:rStyle w:val="Hyperlink"/>
          </w:rPr>
          <w:t xml:space="preserve">[19]</w:t>
        </w:r>
      </w:hyperlink>
      <w:r>
        <w:t xml:space="preserve">. Named mission accounts that bear directly on the HIL question are present in the same body of work: PicSat documents an abrupt loss after an attitude-control malfunction</w:t>
      </w:r>
      <w:r>
        <w:t xml:space="preserve"> </w:t>
      </w:r>
      <w:hyperlink w:anchor="ref-9">
        <w:r>
          <w:rPr>
            <w:rStyle w:val="Hyperlink"/>
          </w:rPr>
          <w:t xml:space="preserve">[9]</w:t>
        </w:r>
      </w:hyperlink>
      <w:r>
        <w:t xml:space="preserve">, IDEASSat documents an on-orbit power and watchdog anomaly tied to a ground-test gap</w:t>
      </w:r>
      <w:r>
        <w:t xml:space="preserve"> </w:t>
      </w:r>
      <w:hyperlink w:anchor="ref-10">
        <w:r>
          <w:rPr>
            <w:rStyle w:val="Hyperlink"/>
          </w:rPr>
          <w:t xml:space="preserve">[10]</w:t>
        </w:r>
      </w:hyperlink>
      <w:r>
        <w:t xml:space="preserve">, MOVE-II documents the development of a full HIL and software-in-the-loop environment that aided on-orbit recovery</w:t>
      </w:r>
      <w:r>
        <w:t xml:space="preserve"> </w:t>
      </w:r>
      <w:hyperlink w:anchor="ref-11">
        <w:r>
          <w:rPr>
            <w:rStyle w:val="Hyperlink"/>
          </w:rPr>
          <w:t xml:space="preserve">[11]</w:t>
        </w:r>
      </w:hyperlink>
      <w:r>
        <w:t xml:space="preserve">, Aalto-1 documents in-orbit results and lessons learned</w:t>
      </w:r>
      <w:r>
        <w:t xml:space="preserve"> </w:t>
      </w:r>
      <w:hyperlink w:anchor="ref-12">
        <w:r>
          <w:rPr>
            <w:rStyle w:val="Hyperlink"/>
          </w:rPr>
          <w:t xml:space="preserve">[12]</w:t>
        </w:r>
      </w:hyperlink>
      <w:r>
        <w:t xml:space="preserve">, MinXSS documents flight results of a science CubeSat program</w:t>
      </w:r>
      <w:r>
        <w:t xml:space="preserve"> </w:t>
      </w:r>
      <w:hyperlink w:anchor="ref-13">
        <w:r>
          <w:rPr>
            <w:rStyle w:val="Hyperlink"/>
          </w:rPr>
          <w:t xml:space="preserve">[13]</w:t>
        </w:r>
      </w:hyperlink>
      <w:r>
        <w:t xml:space="preserve">, and the SpIRIT/HERMES collaboration documents the extension of CubeSat capability into the millisecond X-ray domain</w:t>
      </w:r>
      <w:r>
        <w:t xml:space="preserve"> </w:t>
      </w:r>
      <w:hyperlink w:anchor="ref-14">
        <w:r>
          <w:rPr>
            <w:rStyle w:val="Hyperlink"/>
          </w:rPr>
          <w:t xml:space="preserve">[14]</w:t>
        </w:r>
      </w:hyperlink>
      <w:r>
        <w:t xml:space="preserve">. Each of these accounts is informative in isolation, and several explicitly tie an anomaly to a verification gap or to a verification success. None is a causal estimate.</w:t>
      </w:r>
    </w:p>
    <w:p>
      <w:pPr>
        <w:pStyle w:val="BodyText"/>
        <w:spacing w:line="480" w:lineRule="auto"/>
        <w:ind w:firstLine="720"/>
      </w:pPr>
      <w:r>
        <w:t xml:space="preserve">The methodological gap is also a literature gap. The econometric literatures on programme evaluation, on panel-data identification with fixed effects, on difference-in-differences estimation, and on count outcomes with overdispersion have matured to the point at which they could be applied directly to the HIL question if the data were assembled. They have not been so applied. The closest the domain literature comes to causal identification is the protoflight study, which articulates the verification logic of the protoflight strategy and its standards but does not estimate its anomaly-rate effect</w:t>
      </w:r>
      <w:r>
        <w:t xml:space="preserve"> </w:t>
      </w:r>
      <w:hyperlink w:anchor="ref-18">
        <w:r>
          <w:rPr>
            <w:rStyle w:val="Hyperlink"/>
          </w:rPr>
          <w:t xml:space="preserve">[18]</w:t>
        </w:r>
      </w:hyperlink>
      <w:r>
        <w:t xml:space="preserve">. The ground-support equipment and model-driven testing literature articulates the defect-detection chain by which test artifacts link to specific requirements but does not estimate the marginal anomaly-rate consequence of a closed-loop bench</w:t>
      </w:r>
      <w:r>
        <w:t xml:space="preserve"> </w:t>
      </w:r>
      <w:hyperlink w:anchor="ref-15">
        <w:r>
          <w:rPr>
            <w:rStyle w:val="Hyperlink"/>
          </w:rPr>
          <w:t xml:space="preserve">[15]</w:t>
        </w:r>
      </w:hyperlink>
      <w:r>
        <w:t xml:space="preserve">. Even where adjacent autonomous fault management is treated, it is treated as a capability to be built and demonstrated rather than as a treatment whose effect on flight outcomes is to be estimated</w:t>
      </w:r>
      <w:r>
        <w:t xml:space="preserve"> </w:t>
      </w:r>
      <w:hyperlink w:anchor="ref-26">
        <w:r>
          <w:rPr>
            <w:rStyle w:val="Hyperlink"/>
          </w:rPr>
          <w:t xml:space="preserve">[26]</w:t>
        </w:r>
      </w:hyperlink>
      <w:r>
        <w:t xml:space="preserve">.</w:t>
      </w:r>
    </w:p>
    <w:p>
      <w:pPr>
        <w:pStyle w:val="BodyText"/>
        <w:spacing w:line="480" w:lineRule="auto"/>
        <w:ind w:firstLine="720"/>
      </w:pPr>
      <w:r>
        <w:t xml:space="preserve">The gap is, therefore, neither a missing testbed nor a missing capability description. It is the absence of a counterfactual. No element of the retrieved record compares the anomaly rate of HIL-tested vehicles to the anomaly rate of comparable non-HIL-tested vehicles while addressing the confounding fact that the most complex and most anomaly-prone missions are also the most likely to invest in HIL. The literature on the test environment and the literature on the on-orbit outcome have grown in parallel without intersecting at the point where a programme manager would need them to intersect. The contribution of this dissertation is to make that intersection.</w:t>
      </w:r>
    </w:p>
    <w:bookmarkEnd w:id="62"/>
    <w:bookmarkStart w:id="63" w:name="the-single-falsifiable-contribution"/>
    <w:p>
      <w:pPr>
        <w:pStyle w:val="Heading2"/>
        <w:spacing w:line="480" w:lineRule="auto"/>
      </w:pPr>
      <w:r>
        <w:t xml:space="preserve">1.3 The Single Falsifiable Contribution</w:t>
      </w:r>
    </w:p>
    <w:p>
      <w:pPr>
        <w:pStyle w:val="FirstParagraph"/>
        <w:spacing w:line="480" w:lineRule="auto"/>
      </w:pPr>
      <w:r>
        <w:t xml:space="preserve">This dissertation produces one causal estimate. The estimand is the average effect of HIL test coverage on the first-year on-orbit anomaly rate per spacecraft, with an explicit confidence interval and an explicit minimum detectable effect. The contribution is one number, defensibly estimated, with a stated falsification criterion. It is not a new testbed, not a new capability description, and not a new survey of the literature.</w:t>
      </w:r>
    </w:p>
    <w:p>
      <w:pPr>
        <w:pStyle w:val="BodyText"/>
        <w:spacing w:line="480" w:lineRule="auto"/>
        <w:ind w:firstLine="720"/>
      </w:pPr>
      <w:r>
        <w:t xml:space="preserve">The treatment variable is HIL test coverage, operationalized as the fraction of GNC and avionics interfaces exercised in a closed loop against flight or flight-equivalent hardware during the integration-and-test campaign. The outcome is the count of distinct on-orbit anomalies in the first twelve months following launch, modelled with a negative binomial specification to accommodate overdispersion in count data. The covariates are bus class, programme, mission complexity proxied by subsystem count and GNC novelty, and orbit regime. Selection into HIL is addressed in the primary specification by a fixed-effects panel estimator with bus-class and programme fixed effects, which absorbs time-invariant programme-level and bus-level confounders and identifies the effect from within-unit variation rather than from cross-sectional comparison. A secondary specification uses a difference-in-differences design keyed to discrete events in which a programme newly adopted a HIL bench between successive builds of the same bus, comparing the change in anomaly rate across the adoption boundary against contemporaneous non-adopting builds.</w:t>
      </w:r>
    </w:p>
    <w:p>
      <w:pPr>
        <w:pStyle w:val="BodyText"/>
        <w:spacing w:line="480" w:lineRule="auto"/>
        <w:ind w:firstLine="720"/>
      </w:pPr>
      <w:r>
        <w:t xml:space="preserve">The hypothesis is stated falsifiably. The null hypothesis is that, conditional on bus class, mission complexity, and programme, HIL test coverage has no effect on the first-year on-orbit anomaly rate; the estimated coefficient is statistically indistinguishable from zero. The alternative hypothesis is that, conditional on the same covariates, higher HIL test coverage reduces the first-year on-orbit anomaly rate; the estimated coefficient is negative and its confidence interval excludes zero. The hypothesis is falsifiable in both directions. If the estimated effect is null or positive, with a confidence interval excluding a meaningful negative effect at the pre-registered minimum detectable size, then the prevailing mission-assurance justification for HIL coverage is not supported by the data. The pre-registration of the minimum detectable effect, rather than an open-ended significance test, is what makes the contribution falsifiable rather than merely directional.</w:t>
      </w:r>
    </w:p>
    <w:p>
      <w:pPr>
        <w:pStyle w:val="BodyText"/>
        <w:spacing w:line="480" w:lineRule="auto"/>
        <w:ind w:firstLine="720"/>
      </w:pPr>
      <w:r>
        <w:t xml:space="preserve">The reader is owed a precise statement of what the dissertation does not claim. It does not claim that HIL is sufficient for mission assurance, that the absence of HIL is dispositive of failure, or that the estimated effect transports without modification from civil-space to commercial or defence buses. It does not claim that the estimated effect captures every channel through which a HIL bench affects a programme; effects on programme culture, on engineer training, and on the discovery of design defects upstream of integration are real but lie outside the estimand. It claims only that, on the panel assembled and within the stated scope, the average effect of HIL coverage on the first-year on-orbit anomaly rate is the number reported, with the confidence interval reported, and that the number is the consequence of an identification strategy whose assumptions are stated and whose failure modes are bounded.</w:t>
      </w:r>
    </w:p>
    <w:p>
      <w:pPr>
        <w:pStyle w:val="BodyText"/>
        <w:spacing w:line="480" w:lineRule="auto"/>
        <w:ind w:firstLine="720"/>
      </w:pPr>
      <w:r>
        <w:t xml:space="preserve">Two prior papers within this dissertation programme establish the empirical tractability of the question on adjacent data and provide the methodological scaffolding for the full panel. The first paper estimates the association between HIL test fidelity and the probability of a major on-orbit flight anomaly across a cross-section of thirty documented CubeSat and small-satellite missions, using a binary logit conditioned on builder class and fly-learn-refly heritage, and reports a coefficient on test fidelity of negative 2.27 with a confidence interval that excludes zero, corresponding to an odds ratio of 0.10 per step on the four-level fidelity scale</w:t>
      </w:r>
      <w:r>
        <w:t xml:space="preserve"> </w:t>
      </w:r>
      <w:hyperlink w:anchor="ref-6">
        <w:r>
          <w:rPr>
            <w:rStyle w:val="Hyperlink"/>
          </w:rPr>
          <w:t xml:space="preserve">[6]</w:t>
        </w:r>
      </w:hyperlink>
      <w:r>
        <w:t xml:space="preserve">[7][8][9][10][11][12][13][14]. The second paper extends the analysis to a thirty-two-mission cross-section of small spacecraft launched between 2003 and 2019 and estimates an ordinary least squares fixed-effects model of an ordinal anomaly-severity outcome on test rigor, log wet mass, a first-mission indicator, and a professional-class indicator, recovering a test-rigor coefficient of negative 1.04 with a robust standard error of 0.452 and a confidence interval that excludes zero</w:t>
      </w:r>
      <w:r>
        <w:t xml:space="preserve"> </w:t>
      </w:r>
      <w:hyperlink w:anchor="ref-15">
        <w:r>
          <w:rPr>
            <w:rStyle w:val="Hyperlink"/>
          </w:rPr>
          <w:t xml:space="preserve">[15]</w:t>
        </w:r>
      </w:hyperlink>
      <w:r>
        <w:t xml:space="preserve">[16][17][18][19]. These two papers do not by themselves resolve the question at issue, because they rely on cross-sectional rather than panel identification and because the small-spacecraft estimate may not transport to the flagship class that dominates NASA and JPL risk. They do, however, demonstrate that the data exist, that the coding is tractable, that the direction is consistent across two independent specifications, and that the magnitude is large enough to matter operationally. The dissertation builds on that scaffolding to produce the single panel estimate.</w:t>
      </w:r>
    </w:p>
    <w:bookmarkEnd w:id="63"/>
    <w:bookmarkStart w:id="64" w:name="roadmap"/>
    <w:p>
      <w:pPr>
        <w:pStyle w:val="Heading2"/>
        <w:spacing w:line="480" w:lineRule="auto"/>
      </w:pPr>
      <w:r>
        <w:t xml:space="preserve">1.4 Roadmap</w:t>
      </w:r>
    </w:p>
    <w:p>
      <w:pPr>
        <w:pStyle w:val="FirstParagraph"/>
        <w:spacing w:line="480" w:lineRule="auto"/>
      </w:pPr>
      <w:r>
        <w:t xml:space="preserve">The remainder of the dissertation is organized as follows.</w:t>
      </w:r>
    </w:p>
    <w:p>
      <w:pPr>
        <w:pStyle w:val="BodyText"/>
        <w:spacing w:line="480" w:lineRule="auto"/>
        <w:ind w:firstLine="720"/>
      </w:pPr>
      <w:r>
        <w:t xml:space="preserve">Chapter 2 reviews the domain literature on HIL and integrated test environments, the small-spacecraft reliability literature, and the econometric literatures on panel identification and count-outcome estimation. The review is structured around the gap identified in Section 1.2 and concentrates on the boundary between what is known about how testbeds are built and what is unknown about whether vehicles that pass through them experience fewer flight anomalies.</w:t>
      </w:r>
    </w:p>
    <w:p>
      <w:pPr>
        <w:pStyle w:val="BodyText"/>
        <w:spacing w:line="480" w:lineRule="auto"/>
        <w:ind w:firstLine="720"/>
      </w:pPr>
      <w:r>
        <w:t xml:space="preserve">Chapter 3 specifies the identification strategy. It develops the fixed-effects panel estimator as the primary specification and the difference-in-differences adoption design as the secondary specification, states the identifying assumptions of each, derives the conditions under which the estimands of the two specifications coincide, and bounds the bias direction under plausible violations of each assumption. The chapter closes with the pre-registered minimum detectable effect and the falsification criterion.</w:t>
      </w:r>
    </w:p>
    <w:p>
      <w:pPr>
        <w:pStyle w:val="BodyText"/>
        <w:spacing w:line="480" w:lineRule="auto"/>
        <w:ind w:firstLine="720"/>
      </w:pPr>
      <w:r>
        <w:t xml:space="preserve">Chapter 4 describes the data. It documents the construction of the panel from the NASA Spacecraft On-Orbit Anomaly database held in the NASA Technical Reports Server, the lessons-learned records in the NASA Engineering Network Lessons Learned Information System, and the mission-level integration-and-test descriptions extracted from the same corpora supplemented by publicly released mission press kits and programme documentation. It reports inter-coder reliability on a double-coded subsample of the HIL coverage variable, the coverage-completeness statistic for missions held out where coverage cannot be established from primary documentation, and the provenance log that ties each treatment assignment to its source.</w:t>
      </w:r>
    </w:p>
    <w:p>
      <w:pPr>
        <w:pStyle w:val="BodyText"/>
        <w:spacing w:line="480" w:lineRule="auto"/>
        <w:ind w:firstLine="720"/>
      </w:pPr>
      <w:r>
        <w:t xml:space="preserve">Chapter 5 reports the estimates. It presents the primary fixed-effects negative binomial estimate, the secondary difference-in-differences estimate, and the suite of robustness checks: the GNC-restricted outcome that isolates the anomaly class most directly addressed by the testbeds in the retrieved literature, the placebo test on anomaly classes that HIL cannot plausibly affect, the alternative outcome windows, the continuous-versus-ordinal coding of the treatment, and the era control that addresses differential reporting completeness across programmes and decades.</w:t>
      </w:r>
    </w:p>
    <w:p>
      <w:pPr>
        <w:pStyle w:val="BodyText"/>
        <w:spacing w:line="480" w:lineRule="auto"/>
        <w:ind w:firstLine="720"/>
      </w:pPr>
      <w:r>
        <w:t xml:space="preserve">Chapter 6 discusses the threats to validity in the order identified by the prospectus: selection on unobserved complexity, measurement of HIL coverage, outcome ascertainment bias, external validity, and construct validity of the outcome window. It states the conditions under which each threat would overturn the headline estimate and the conditions under which it would not.</w:t>
      </w:r>
    </w:p>
    <w:p>
      <w:pPr>
        <w:pStyle w:val="BodyText"/>
        <w:spacing w:line="480" w:lineRule="auto"/>
        <w:ind w:firstLine="720"/>
      </w:pPr>
      <w:r>
        <w:t xml:space="preserve">Chapter 7 concludes. It states the estimate and its confidence interval, the verdict of the falsification criterion, and the operational implications for the budgetary, schedule, and portfolio decisions identified in Section 1.1. It identifies the natural extensions: a larger panel that exploits within-organization variation across successive missions in programmes such as the small-spacecraft pairs documented in</w:t>
      </w:r>
      <w:r>
        <w:t xml:space="preserve"> </w:t>
      </w:r>
      <w:hyperlink w:anchor="ref-17">
        <w:r>
          <w:rPr>
            <w:rStyle w:val="Hyperlink"/>
          </w:rPr>
          <w:t xml:space="preserve">[17]</w:t>
        </w:r>
      </w:hyperlink>
      <w:r>
        <w:t xml:space="preserve"> </w:t>
      </w:r>
      <w:r>
        <w:t xml:space="preserve">and</w:t>
      </w:r>
      <w:r>
        <w:t xml:space="preserve"> </w:t>
      </w:r>
      <w:hyperlink w:anchor="ref-19">
        <w:r>
          <w:rPr>
            <w:rStyle w:val="Hyperlink"/>
          </w:rPr>
          <w:t xml:space="preserve">[19]</w:t>
        </w:r>
      </w:hyperlink>
      <w:r>
        <w:t xml:space="preserve">, an instrumental-variables design that uses exogenous schedule or budget shocks to the test campaign as a source of identifying variation, and a comparable estimate for flagship-class missions whose anomaly distributions differ from the small-spacecraft population on which the prior papers are estimated</w:t>
      </w:r>
      <w:r>
        <w:t xml:space="preserve"> </w:t>
      </w:r>
      <w:hyperlink w:anchor="ref-6">
        <w:r>
          <w:rPr>
            <w:rStyle w:val="Hyperlink"/>
          </w:rPr>
          <w:t xml:space="preserve">[6]</w:t>
        </w:r>
      </w:hyperlink>
      <w:r>
        <w:t xml:space="preserve">[7][16].</w:t>
      </w:r>
    </w:p>
    <w:p>
      <w:pPr>
        <w:pStyle w:val="BodyText"/>
        <w:spacing w:line="480" w:lineRule="auto"/>
        <w:ind w:firstLine="720"/>
      </w:pPr>
      <w:r>
        <w:t xml:space="preserve">The dissertation thus delivers one number, defended by an identification strategy, bounded by a stated set of threats, and tied to decisions that NASA and JPL programme offices are already taking under the assumption that the number is approximately what the alternative hypothesis says it is. The point of the exercise is to replace that assumption with an estimate.</w:t>
      </w:r>
    </w:p>
    <w:bookmarkEnd w:id="64"/>
    <w:bookmarkEnd w:id="65"/>
    <w:bookmarkStart w:id="78" w:name="chapter-2.-literature-review"/>
    <w:p>
      <w:pPr>
        <w:pStyle w:val="Heading1"/>
        <w:spacing w:line="480" w:lineRule="auto"/>
      </w:pPr>
      <w:r>
        <w:t xml:space="preserve">Chapter 2. Literature Review</w:t>
      </w:r>
    </w:p>
    <w:bookmarkStart w:id="66" w:name="orientation-and-scope"/>
    <w:p>
      <w:pPr>
        <w:pStyle w:val="Heading2"/>
        <w:spacing w:line="480" w:lineRule="auto"/>
      </w:pPr>
      <w:r>
        <w:t xml:space="preserve">2.1 Orientation and Scope</w:t>
      </w:r>
    </w:p>
    <w:p>
      <w:pPr>
        <w:pStyle w:val="FirstParagraph"/>
        <w:spacing w:line="480" w:lineRule="auto"/>
      </w:pPr>
      <w:r>
        <w:t xml:space="preserve">This dissertation sits at the intersection of two literatures that have, to date, developed largely in isolation from one another. The first is the technical and engineering literature on hardware-in-the-loop (HIL) test environments and related system-level verification practice for spacecraft. It is a literature of capability descriptions, testbed designs, controller validations, and reliability statistics. The second is the cliometric and applied econometric literature on causal identification from observational panels, in particular fixed-effects estimation, difference-in-differences (DiD) designs, count-data regression, and the broader practice of quantitative program evaluation. The first literature tells the reader, in elaborate detail, how to build a HIL bench and what it can be made to demonstrate. The second tells the reader how to estimate the effect of an intervention on an outcome when the intervention is not assigned at random. The two literatures do not currently meet on the question of whether HIL coverage causally reduces flight anomalies, and the gap between them is the gap this dissertation closes.</w:t>
      </w:r>
    </w:p>
    <w:p>
      <w:pPr>
        <w:pStyle w:val="BodyText"/>
        <w:spacing w:line="480" w:lineRule="auto"/>
        <w:ind w:firstLine="720"/>
      </w:pPr>
      <w:r>
        <w:t xml:space="preserve">The review proceeds in five movements. Section 2.2 examines the HIL and ground-verification technical literature, organized by the dependent variable each strand treats as its object of study. Section 2.3 examines the small-spacecraft reliability literature, which supplies the population-level regularities that motivate causal inquiry but does not, in itself, identify a causal parameter. Section 2.4 examines the cliometric and econometric methodology literature insofar as it applies to observational program evaluation in engineering contexts. Section 2.5 synthesizes the two strands and states the gap. Section 2.6 anchors the dissertation’s identification strategy against that gap.</w:t>
      </w:r>
    </w:p>
    <w:bookmarkEnd w:id="66"/>
    <w:bookmarkStart w:id="73" w:name="Xd60e5e207122a640a99e9e91fffb05dc0fa6f44"/>
    <w:p>
      <w:pPr>
        <w:pStyle w:val="Heading2"/>
        <w:spacing w:line="480" w:lineRule="auto"/>
      </w:pPr>
      <w:r>
        <w:t xml:space="preserve">2.2 The HIL and Ground-Verification Technical Literature</w:t>
      </w:r>
    </w:p>
    <w:bookmarkStart w:id="67" w:name="X1a9704451f28aa1642543864de31ec4d863b133"/>
    <w:p>
      <w:pPr>
        <w:pStyle w:val="Heading3"/>
        <w:spacing w:line="480" w:lineRule="auto"/>
      </w:pPr>
      <w:r>
        <w:t xml:space="preserve">2.2.1 Testbed Design and Capability as Object of Study</w:t>
      </w:r>
    </w:p>
    <w:p>
      <w:pPr>
        <w:pStyle w:val="FirstParagraph"/>
        <w:spacing w:line="480" w:lineRule="auto"/>
      </w:pPr>
      <w:r>
        <w:t xml:space="preserve">The dominant mode in the HIL literature is the capability-description paper. Its purpose is to document a new or upgraded testbed, characterize its fidelity envelope, and present a representative experiment that exercises the bench against a controller or sensor. The earliest entry in the assembled reference pool is Lowry and colleagues’ description of the development of HWIL testing capabilities for satellite target emulation at the Arnold Engineering Development Center (AEDC) [1, 22]. That paper documents how a ground facility can be configured to emulate orbital sensor stimuli for hardware verification, and it locates HIL squarely within the mission-assurance value chain by treating the testbed as an asset that programs draw on rather than as a quantitative input to a flight-outcome model. The dependent variable in Lowry et al. is the fidelity of the emulated stimulus, not the rate of on-orbit anomalies in vehicles that did or did not use the bench.</w:t>
      </w:r>
    </w:p>
    <w:p>
      <w:pPr>
        <w:pStyle w:val="BodyText"/>
        <w:spacing w:line="480" w:lineRule="auto"/>
        <w:ind w:firstLine="720"/>
      </w:pPr>
      <w:r>
        <w:t xml:space="preserve">Two decades later, the same mode persists in the contemporary Acta Astronautica literature, with greater sophistication of method but no shift in object of study. Jahanshahi, Alizadeh, and Zhu document a HIL emulation environment for six-degree-of-freedom free-floating spacecraft motion using active gravity compensation with a collaborative robot</w:t>
      </w:r>
      <w:r>
        <w:t xml:space="preserve"> </w:t>
      </w:r>
      <w:hyperlink w:anchor="ref-2">
        <w:r>
          <w:rPr>
            <w:rStyle w:val="Hyperlink"/>
          </w:rPr>
          <w:t xml:space="preserve">[2]</w:t>
        </w:r>
      </w:hyperlink>
      <w:r>
        <w:t xml:space="preserve">. Guarnaccia, Bevilacqua, and Pastorelli report HIL experimentation on a full six-degree-of-freedom testbed for spacecraft motion control, paired with a suboptimal linear quadratic regulator</w:t>
      </w:r>
      <w:r>
        <w:t xml:space="preserve"> </w:t>
      </w:r>
      <w:hyperlink w:anchor="ref-3">
        <w:r>
          <w:rPr>
            <w:rStyle w:val="Hyperlink"/>
          </w:rPr>
          <w:t xml:space="preserve">[3]</w:t>
        </w:r>
      </w:hyperlink>
      <w:r>
        <w:t xml:space="preserve">. Manconi, Martire, Stesina, and Battaglia describe real-time HIL simulation within a verification and testing process for high-accuracy attitude determination using a fast-rotating Doppler radar reflector</w:t>
      </w:r>
      <w:r>
        <w:t xml:space="preserve"> </w:t>
      </w:r>
      <w:hyperlink w:anchor="ref-4">
        <w:r>
          <w:rPr>
            <w:rStyle w:val="Hyperlink"/>
          </w:rPr>
          <w:t xml:space="preserve">[4]</w:t>
        </w:r>
      </w:hyperlink>
      <w:r>
        <w:t xml:space="preserve">. Palacios, Harness, and Kasdin extend HIL testing into the formation-flying and starshade domain, with closed-loop control and sensing algorithms exercised on the ground prior to flight</w:t>
      </w:r>
      <w:r>
        <w:t xml:space="preserve"> </w:t>
      </w:r>
      <w:hyperlink w:anchor="ref-31">
        <w:r>
          <w:rPr>
            <w:rStyle w:val="Hyperlink"/>
          </w:rPr>
          <w:t xml:space="preserve">[31]</w:t>
        </w:r>
      </w:hyperlink>
      <w:r>
        <w:t xml:space="preserve">. Wilson and Riccardi push in a different direction, embedding reinforcement-learning policies for onboard guidance, navigation, and control into near-term flight hardware via HIL prior to deployment</w:t>
      </w:r>
      <w:r>
        <w:t xml:space="preserve"> </w:t>
      </w:r>
      <w:hyperlink w:anchor="ref-32">
        <w:r>
          <w:rPr>
            <w:rStyle w:val="Hyperlink"/>
          </w:rPr>
          <w:t xml:space="preserve">[32]</w:t>
        </w:r>
      </w:hyperlink>
      <w:r>
        <w:t xml:space="preserve">. In all of these papers the testbed and the controller are the joint object of study, and the criterion of success is fidelity of emulation or performance of the controller under closed-loop conditions, not the downstream rate of on-orbit anomalies.</w:t>
      </w:r>
    </w:p>
    <w:p>
      <w:pPr>
        <w:pStyle w:val="BodyText"/>
        <w:spacing w:line="480" w:lineRule="auto"/>
        <w:ind w:firstLine="720"/>
      </w:pPr>
      <w:r>
        <w:t xml:space="preserve">A complementary strand examines the architectural infrastructure that makes HIL coverage tractable in the first place. Marketos describes the use of the Space Plug-and-Play Avionics (SPA) standard to enable collaborative autonomy at the constellation level, which implies a verification regime in which interfaces are standardized enough to be exercised on the bench</w:t>
      </w:r>
      <w:r>
        <w:t xml:space="preserve"> </w:t>
      </w:r>
      <w:hyperlink w:anchor="ref-21">
        <w:r>
          <w:rPr>
            <w:rStyle w:val="Hyperlink"/>
          </w:rPr>
          <w:t xml:space="preserve">[21]</w:t>
        </w:r>
      </w:hyperlink>
      <w:r>
        <w:t xml:space="preserve">. Ellis and Daywalt document a flexible closed-loop feedback control architecture for space domain awareness payloads, again locating HIL within a payload-class-specific verification stack</w:t>
      </w:r>
      <w:r>
        <w:t xml:space="preserve"> </w:t>
      </w:r>
      <w:hyperlink w:anchor="ref-23">
        <w:r>
          <w:rPr>
            <w:rStyle w:val="Hyperlink"/>
          </w:rPr>
          <w:t xml:space="preserve">[23]</w:t>
        </w:r>
      </w:hyperlink>
      <w:r>
        <w:t xml:space="preserve">. Griffin and colleagues take a hybrid path with integrated line-of-sight modeling of the Airborne Aero-Optics Laboratory, in which ground and airborne assets together emulate a flight-representative optical environment</w:t>
      </w:r>
      <w:r>
        <w:t xml:space="preserve"> </w:t>
      </w:r>
      <w:hyperlink w:anchor="ref-20">
        <w:r>
          <w:rPr>
            <w:rStyle w:val="Hyperlink"/>
          </w:rPr>
          <w:t xml:space="preserve">[20]</w:t>
        </w:r>
      </w:hyperlink>
      <w:r>
        <w:t xml:space="preserve">. These papers each treat the bench as the artifact of interest and quantify its capability.</w:t>
      </w:r>
    </w:p>
    <w:bookmarkEnd w:id="67"/>
    <w:bookmarkStart w:id="68" w:name="X783d41984bfcd8f9f6d4e89ee82437b41727f34"/>
    <w:p>
      <w:pPr>
        <w:pStyle w:val="Heading3"/>
        <w:spacing w:line="480" w:lineRule="auto"/>
      </w:pPr>
      <w:r>
        <w:t xml:space="preserve">2.2.2 HIL as a Mission Lessons-Learned Variable</w:t>
      </w:r>
    </w:p>
    <w:p>
      <w:pPr>
        <w:pStyle w:val="FirstParagraph"/>
        <w:spacing w:line="480" w:lineRule="auto"/>
      </w:pPr>
      <w:r>
        <w:t xml:space="preserve">A smaller but methodologically important strand documents HIL use at the mission level and ties it post hoc to flight outcomes through case-study reasoning. Messmann and colleagues describe the HIL and software-in-the-loop testing of the MOVE-II CubeSat and report that the same simulation infrastructure later aided on-orbit recovery from anomalies</w:t>
      </w:r>
      <w:r>
        <w:t xml:space="preserve"> </w:t>
      </w:r>
      <w:hyperlink w:anchor="ref-11">
        <w:r>
          <w:rPr>
            <w:rStyle w:val="Hyperlink"/>
          </w:rPr>
          <w:t xml:space="preserve">[11]</w:t>
        </w:r>
      </w:hyperlink>
      <w:r>
        <w:t xml:space="preserve">. The lessons-learned analyses of IDEASSat by Chang and colleagues attribute an on-orbit power and watchdog anomaly to a specific gap in the ground-test campaign</w:t>
      </w:r>
      <w:r>
        <w:t xml:space="preserve"> </w:t>
      </w:r>
      <w:hyperlink w:anchor="ref-10">
        <w:r>
          <w:rPr>
            <w:rStyle w:val="Hyperlink"/>
          </w:rPr>
          <w:t xml:space="preserve">[10]</w:t>
        </w:r>
      </w:hyperlink>
      <w:r>
        <w:t xml:space="preserve">, which is the inverse claim: had HIL coverage extended over that interface, the anomaly would, on the lessons-learned authors’ reading, have been surfaced before launch. The PicSat retrospective by Nowak and colleagues, which traces a short on-orbit life to an attitude-control malfunction</w:t>
      </w:r>
      <w:r>
        <w:t xml:space="preserve"> </w:t>
      </w:r>
      <w:hyperlink w:anchor="ref-9">
        <w:r>
          <w:rPr>
            <w:rStyle w:val="Hyperlink"/>
          </w:rPr>
          <w:t xml:space="preserve">[9]</w:t>
        </w:r>
      </w:hyperlink>
      <w:r>
        <w:t xml:space="preserve">, the Aalto-1 in-orbit results paper by Praks and colleagues</w:t>
      </w:r>
      <w:r>
        <w:t xml:space="preserve"> </w:t>
      </w:r>
      <w:hyperlink w:anchor="ref-12">
        <w:r>
          <w:rPr>
            <w:rStyle w:val="Hyperlink"/>
          </w:rPr>
          <w:t xml:space="preserve">[12]</w:t>
        </w:r>
      </w:hyperlink>
      <w:r>
        <w:t xml:space="preserve">, the MinXSS reporting by Mason and colleagues</w:t>
      </w:r>
      <w:r>
        <w:t xml:space="preserve"> </w:t>
      </w:r>
      <w:hyperlink w:anchor="ref-13">
        <w:r>
          <w:rPr>
            <w:rStyle w:val="Hyperlink"/>
          </w:rPr>
          <w:t xml:space="preserve">[13]</w:t>
        </w:r>
      </w:hyperlink>
      <w:r>
        <w:t xml:space="preserve">, and the SpIRIT/HERMES collaboration’s millisecond X-ray timing paper</w:t>
      </w:r>
      <w:r>
        <w:t xml:space="preserve"> </w:t>
      </w:r>
      <w:hyperlink w:anchor="ref-14">
        <w:r>
          <w:rPr>
            <w:rStyle w:val="Hyperlink"/>
          </w:rPr>
          <w:t xml:space="preserve">[14]</w:t>
        </w:r>
      </w:hyperlink>
      <w:r>
        <w:t xml:space="preserve"> </w:t>
      </w:r>
      <w:r>
        <w:t xml:space="preserve">together populate a case-base in which mission-level test investments and mission-level outcomes can be jointly observed.</w:t>
      </w:r>
    </w:p>
    <w:p>
      <w:pPr>
        <w:pStyle w:val="BodyText"/>
        <w:spacing w:line="480" w:lineRule="auto"/>
        <w:ind w:firstLine="720"/>
      </w:pPr>
      <w:r>
        <w:t xml:space="preserve">What this strand achieves is descriptive coverage of the joint distribution; what it cannot achieve, on its own, is a counterfactual estimate. Each case-study identifies a possible mechanism, but the absence of a contemporaneous untreated comparison and the absence of an explicit identification strategy mean that the literature cannot move from</w:t>
      </w:r>
      <w:r>
        <w:t xml:space="preserve"> </w:t>
      </w:r>
      <w:r>
        <w:t xml:space="preserve">“MOVE-II benefited from HIL”</w:t>
      </w:r>
      <w:r>
        <w:t xml:space="preserve"> </w:t>
      </w:r>
      <w:r>
        <w:t xml:space="preserve">to</w:t>
      </w:r>
      <w:r>
        <w:t xml:space="preserve"> </w:t>
      </w:r>
      <w:r>
        <w:t xml:space="preserve">“HIL reduces the anomaly rate by X with confidence interval Y.”</w:t>
      </w:r>
      <w:r>
        <w:t xml:space="preserve"> </w:t>
      </w:r>
      <w:r>
        <w:t xml:space="preserve">The first paper of this dissertation [P1] showed that with a thirty-mission cross-section and a logit specification conditioning on builder class and heritage, the descriptive monotone pattern across the four-level fidelity ladder (none, software-only, flatsat, full HIL) can be tightened into a conditional odds ratio of 0.10 per step, a result that is only possible because population-level reliability studies [6, 7, 8, 17] supply the contrast structure the case-study literature lacks. The second paper [P2] extended this with a fixed-effects ordinary least squares specification on a thirty-two-mission cross-section, recovering a coefficient on test rigor of negative 1.04 on a three-point severity scale. Both results are themselves first-pass uses of cliometric method in a domain that has not, to my reading of the assembled pool, previously imported it for this question.</w:t>
      </w:r>
    </w:p>
    <w:bookmarkEnd w:id="68"/>
    <w:bookmarkStart w:id="69" w:name="X7c1336e39ca85f50997b54fcbef4ba1818d8069"/>
    <w:p>
      <w:pPr>
        <w:pStyle w:val="Heading3"/>
        <w:spacing w:line="480" w:lineRule="auto"/>
      </w:pPr>
      <w:r>
        <w:t xml:space="preserve">2.2.3 System-Level Test Doctrine and the Protoflight Lineage</w:t>
      </w:r>
    </w:p>
    <w:p>
      <w:pPr>
        <w:pStyle w:val="FirstParagraph"/>
        <w:spacing w:line="480" w:lineRule="auto"/>
      </w:pPr>
      <w:r>
        <w:t xml:space="preserve">A third strand grounds HIL within the longer institutional history of system-level verification. The NASA protoflight research initiative documented in the NASA Technical Reports Server</w:t>
      </w:r>
      <w:r>
        <w:t xml:space="preserve"> </w:t>
      </w:r>
      <w:hyperlink w:anchor="ref-18">
        <w:r>
          <w:rPr>
            <w:rStyle w:val="Hyperlink"/>
          </w:rPr>
          <w:t xml:space="preserve">[18]</w:t>
        </w:r>
      </w:hyperlink>
      <w:r>
        <w:t xml:space="preserve"> </w:t>
      </w:r>
      <w:r>
        <w:t xml:space="preserve">traces the protoflight strategy to Goddard Space Flight Center in the mid-1960s, framing it as a response to the schedule and cost pressure that has, in every generation, threatened the most expensive ground-verification activities first. The protoflight versus full-qualification boundary, used in P2 as the boundary between the rigor levels 1 and 2 on the ordinal treatment, is doctrinal as well as empirical: the doctrine asserts that flight-representative stimulus on flight hardware is the activity that catches the residual class of integration faults, and the cost-versus-rigor tradeoff is what protoflight tries to manage.</w:t>
      </w:r>
    </w:p>
    <w:p>
      <w:pPr>
        <w:pStyle w:val="BodyText"/>
        <w:spacing w:line="480" w:lineRule="auto"/>
        <w:ind w:firstLine="720"/>
      </w:pPr>
      <w:r>
        <w:t xml:space="preserve">The model-driven engineering literature represented by Montalvo and colleagues formalizes the verification artifact chain that protoflight implies</w:t>
      </w:r>
      <w:r>
        <w:t xml:space="preserve"> </w:t>
      </w:r>
      <w:hyperlink w:anchor="ref-15">
        <w:r>
          <w:rPr>
            <w:rStyle w:val="Hyperlink"/>
          </w:rPr>
          <w:t xml:space="preserve">[15]</w:t>
        </w:r>
      </w:hyperlink>
      <w:r>
        <w:t xml:space="preserve">. By tying ground-support-equipment configuration and automatic test procedures to the requirements they verify, the model-driven framework makes test coverage measurable, which is the precondition for using it as a treatment variable in a cliometric specification. Sabán-Fosch and colleagues extend the same logic into autonomous flight safety systems with both software and hardware design subjected to formal verification regimes</w:t>
      </w:r>
      <w:r>
        <w:t xml:space="preserve"> </w:t>
      </w:r>
      <w:hyperlink w:anchor="ref-34">
        <w:r>
          <w:rPr>
            <w:rStyle w:val="Hyperlink"/>
          </w:rPr>
          <w:t xml:space="preserve">[34]</w:t>
        </w:r>
      </w:hyperlink>
      <w:r>
        <w:t xml:space="preserve">. Dijks and colleagues offer a systematic review of engineering and testing approaches for radiation hardness assurance in commercial space avionics</w:t>
      </w:r>
      <w:r>
        <w:t xml:space="preserve"> </w:t>
      </w:r>
      <w:hyperlink w:anchor="ref-35">
        <w:r>
          <w:rPr>
            <w:rStyle w:val="Hyperlink"/>
          </w:rPr>
          <w:t xml:space="preserve">[35]</w:t>
        </w:r>
      </w:hyperlink>
      <w:r>
        <w:t xml:space="preserve">, a review that, like the HIL strand, is dominated by methodological description rather than counterfactual estimation.</w:t>
      </w:r>
    </w:p>
    <w:p>
      <w:pPr>
        <w:pStyle w:val="BodyText"/>
        <w:spacing w:line="480" w:lineRule="auto"/>
        <w:ind w:firstLine="720"/>
      </w:pPr>
      <w:r>
        <w:t xml:space="preserve">Two further mission-specific exemplars round out the system-level strand. Dalla Ricca and colleagues describe a comprehensive ground-flight testing approach for the dynamic performance of a critical space mechanism, in which ground-test conditions and on-orbit performance are deliberately paired to assess transferability</w:t>
      </w:r>
      <w:r>
        <w:t xml:space="preserve"> </w:t>
      </w:r>
      <w:hyperlink w:anchor="ref-29">
        <w:r>
          <w:rPr>
            <w:rStyle w:val="Hyperlink"/>
          </w:rPr>
          <w:t xml:space="preserve">[29]</w:t>
        </w:r>
      </w:hyperlink>
      <w:r>
        <w:t xml:space="preserve">. Ishida and colleagues report vision-based navigation and obstacle-detection flight results in the SLIM lunar landing, a setting in which HIL-class ground rehearsal of the GNC stack was a direct precondition for a successful landing</w:t>
      </w:r>
      <w:r>
        <w:t xml:space="preserve"> </w:t>
      </w:r>
      <w:hyperlink w:anchor="ref-33">
        <w:r>
          <w:rPr>
            <w:rStyle w:val="Hyperlink"/>
          </w:rPr>
          <w:t xml:space="preserve">[33]</w:t>
        </w:r>
      </w:hyperlink>
      <w:r>
        <w:t xml:space="preserve">. Stottler and colleagues approach the same problem from the on-board side, with a hybrid spacecraft subsystem fault detection, diagnosis, and recovery framework that quietly embeds residual ground-verification debt into autonomous on-orbit logic</w:t>
      </w:r>
      <w:r>
        <w:t xml:space="preserve"> </w:t>
      </w:r>
      <w:hyperlink w:anchor="ref-26">
        <w:r>
          <w:rPr>
            <w:rStyle w:val="Hyperlink"/>
          </w:rPr>
          <w:t xml:space="preserve">[26]</w:t>
        </w:r>
      </w:hyperlink>
      <w:r>
        <w:t xml:space="preserve">. Each of these papers is, again, methodological in the engineering sense and not in the cliometric sense.</w:t>
      </w:r>
    </w:p>
    <w:bookmarkEnd w:id="69"/>
    <w:bookmarkStart w:id="70" w:name="X097a127fd073ccd0792f105f7decb324306b1b0"/>
    <w:p>
      <w:pPr>
        <w:pStyle w:val="Heading3"/>
        <w:spacing w:line="480" w:lineRule="auto"/>
      </w:pPr>
      <w:r>
        <w:t xml:space="preserve">2.2.4 Surveillance, SSA, and the Hybrid-Sensor HIL</w:t>
      </w:r>
    </w:p>
    <w:p>
      <w:pPr>
        <w:pStyle w:val="FirstParagraph"/>
        <w:spacing w:line="480" w:lineRule="auto"/>
      </w:pPr>
      <w:r>
        <w:t xml:space="preserve">A specialized strand within the HIL literature concerns space situational awareness (SSA) sensors and the bench environments that emulate their stimulus. Hobson and Clarkson develop a sensor-scheduling simulation for disparate sensors directed at SSA tasking</w:t>
      </w:r>
      <w:r>
        <w:t xml:space="preserve"> </w:t>
      </w:r>
      <w:hyperlink w:anchor="ref-24">
        <w:r>
          <w:rPr>
            <w:rStyle w:val="Hyperlink"/>
          </w:rPr>
          <w:t xml:space="preserve">[24]</w:t>
        </w:r>
      </w:hyperlink>
      <w:r>
        <w:t xml:space="preserve">, and Privett and colleagues report on-orbit satellite detection and extraction in J band imagery against a backdrop of ground-truthed observation</w:t>
      </w:r>
      <w:r>
        <w:t xml:space="preserve"> </w:t>
      </w:r>
      <w:hyperlink w:anchor="ref-25">
        <w:r>
          <w:rPr>
            <w:rStyle w:val="Hyperlink"/>
          </w:rPr>
          <w:t xml:space="preserve">[25]</w:t>
        </w:r>
      </w:hyperlink>
      <w:r>
        <w:t xml:space="preserve">. Latif and colleagues, including a MITRE-affiliated author, situate AI-enabled space battle management on a quantum-resilient blockchain, in a posture that presumes a HIL-class ground rehearsal of the entire decision stack before flight</w:t>
      </w:r>
      <w:r>
        <w:t xml:space="preserve"> </w:t>
      </w:r>
      <w:hyperlink w:anchor="ref-27">
        <w:r>
          <w:rPr>
            <w:rStyle w:val="Hyperlink"/>
          </w:rPr>
          <w:t xml:space="preserve">[27]</w:t>
        </w:r>
      </w:hyperlink>
      <w:r>
        <w:t xml:space="preserve">. These papers expand the HIL conversation beyond GNC and avionics into surveillance and command-and-control, but the dependent variable remains the sensor or the architecture, not the flight-anomaly rate.</w:t>
      </w:r>
    </w:p>
    <w:bookmarkEnd w:id="70"/>
    <w:bookmarkStart w:id="71" w:name="Xb60e529f4a9bfcdfe8205b6f789e0869d8f9202"/>
    <w:p>
      <w:pPr>
        <w:pStyle w:val="Heading3"/>
        <w:spacing w:line="480" w:lineRule="auto"/>
      </w:pPr>
      <w:r>
        <w:t xml:space="preserve">2.2.5 Outlier Strands: Biological and Human-Factors Verification</w:t>
      </w:r>
    </w:p>
    <w:p>
      <w:pPr>
        <w:pStyle w:val="FirstParagraph"/>
        <w:spacing w:line="480" w:lineRule="auto"/>
      </w:pPr>
      <w:r>
        <w:t xml:space="preserve">For completeness the assembled pool includes two papers from adjacent verification regimes that do not address spacecraft HIL in the GNC and avionics sense, but that illustrate the breadth of what the term</w:t>
      </w:r>
      <w:r>
        <w:t xml:space="preserve"> </w:t>
      </w:r>
      <w:r>
        <w:t xml:space="preserve">“ground-flight test transferability”</w:t>
      </w:r>
      <w:r>
        <w:t xml:space="preserve"> </w:t>
      </w:r>
      <w:r>
        <w:t xml:space="preserve">covers across the discipline. Blaber, Goswami, and Xu document the cardiovascular consequences of prolonged unloading in bedrest and spaceflight</w:t>
      </w:r>
      <w:r>
        <w:t xml:space="preserve"> </w:t>
      </w:r>
      <w:hyperlink w:anchor="ref-28">
        <w:r>
          <w:rPr>
            <w:rStyle w:val="Hyperlink"/>
          </w:rPr>
          <w:t xml:space="preserve">[28]</w:t>
        </w:r>
      </w:hyperlink>
      <w:r>
        <w:t xml:space="preserve">, and the ARTHROSPIRA C space-flight experiment validates biomass production in a hardware experiment whose ground analog was a precondition for the orbital run</w:t>
      </w:r>
      <w:r>
        <w:t xml:space="preserve"> </w:t>
      </w:r>
      <w:hyperlink w:anchor="ref-30">
        <w:r>
          <w:rPr>
            <w:rStyle w:val="Hyperlink"/>
          </w:rPr>
          <w:t xml:space="preserve">[30]</w:t>
        </w:r>
      </w:hyperlink>
      <w:r>
        <w:t xml:space="preserve">. These papers are not load-bearing for the dissertation, but they establish that the cliometric extension this dissertation proposes (treatment is a coded test-environment variable, outcome is a flight-realized variable, identification is observational) is in principle applicable to verification regimes well beyond the GNC bench.</w:t>
      </w:r>
    </w:p>
    <w:bookmarkEnd w:id="71"/>
    <w:bookmarkStart w:id="72" w:name="the-architectural-and-norms-frame"/>
    <w:p>
      <w:pPr>
        <w:pStyle w:val="Heading3"/>
        <w:spacing w:line="480" w:lineRule="auto"/>
      </w:pPr>
      <w:r>
        <w:t xml:space="preserve">2.2.6 The Architectural and Norms Frame</w:t>
      </w:r>
    </w:p>
    <w:p>
      <w:pPr>
        <w:pStyle w:val="FirstParagraph"/>
        <w:spacing w:line="480" w:lineRule="auto"/>
      </w:pPr>
      <w:r>
        <w:t xml:space="preserve">Finally, the architectural and norms frame represented by the Space Economy Papers source SD03, on the architectural socio-technological transformative change of space-use norms</w:t>
      </w:r>
      <w:r>
        <w:t xml:space="preserve"> </w:t>
      </w:r>
      <w:hyperlink w:anchor="ref-5">
        <w:r>
          <w:rPr>
            <w:rStyle w:val="Hyperlink"/>
          </w:rPr>
          <w:t xml:space="preserve">[5]</w:t>
        </w:r>
      </w:hyperlink>
      <w:r>
        <w:t xml:space="preserve">, situates mission assurance as a system-level property that cross-cuts components and that cannot be secured by component qualification alone. This is the conceptual proposition that motivates HIL in the first place: if assurance is a system-level emergent property, then the only place where it can be tested is at the system level, and the most flight-representative system-level test is the HIL closed loop. The proposition is correct but is, in source SD03 and in the technical strand more generally, asserted rather than empirically estimated.</w:t>
      </w:r>
    </w:p>
    <w:bookmarkEnd w:id="72"/>
    <w:bookmarkEnd w:id="73"/>
    <w:bookmarkStart w:id="74" w:name="X248096bb8c6aaba85de25742f1da951655dbc1c"/>
    <w:p>
      <w:pPr>
        <w:pStyle w:val="Heading2"/>
        <w:spacing w:line="480" w:lineRule="auto"/>
      </w:pPr>
      <w:r>
        <w:t xml:space="preserve">2.3 The Small-Spacecraft Reliability Literature</w:t>
      </w:r>
    </w:p>
    <w:p>
      <w:pPr>
        <w:pStyle w:val="FirstParagraph"/>
        <w:spacing w:line="480" w:lineRule="auto"/>
      </w:pPr>
      <w:r>
        <w:t xml:space="preserve">The small-spacecraft reliability literature is the bridge between the engineering strand and the cliometric strand. It is empirical in a different sense than the HIL strand: it observes populations of launched spacecraft and reports failure-rate statistics conditioned on builder class, mission size, year of flight, and subsystem. The Blackwell, Clark, Fuhrman, Michael, and Smith NASA analysis of CubeSat reliability</w:t>
      </w:r>
      <w:r>
        <w:t xml:space="preserve"> </w:t>
      </w:r>
      <w:hyperlink w:anchor="ref-6">
        <w:r>
          <w:rPr>
            <w:rStyle w:val="Hyperlink"/>
          </w:rPr>
          <w:t xml:space="preserve">[6]</w:t>
        </w:r>
      </w:hyperlink>
      <w:r>
        <w:t xml:space="preserve"> </w:t>
      </w:r>
      <w:r>
        <w:t xml:space="preserve">is the canonical reference for the proposition that failures concentrate in the bus rather than the payload and that infant mortality dominates the failure distribution. Langer and Bouwmeester</w:t>
      </w:r>
      <w:r>
        <w:t xml:space="preserve"> </w:t>
      </w:r>
      <w:hyperlink w:anchor="ref-7">
        <w:r>
          <w:rPr>
            <w:rStyle w:val="Hyperlink"/>
          </w:rPr>
          <w:t xml:space="preserve">[7]</w:t>
        </w:r>
      </w:hyperlink>
      <w:r>
        <w:t xml:space="preserve"> </w:t>
      </w:r>
      <w:r>
        <w:t xml:space="preserve">extend this with a developer-belief survey and statistical reanalysis, finding that fly-learn-refly heritage is among the strongest predictors of mission survival. Richardson, Schmitt, Covert, and Rogers</w:t>
      </w:r>
      <w:r>
        <w:t xml:space="preserve"> </w:t>
      </w:r>
      <w:hyperlink w:anchor="ref-8">
        <w:r>
          <w:rPr>
            <w:rStyle w:val="Hyperlink"/>
          </w:rPr>
          <w:t xml:space="preserve">[8]</w:t>
        </w:r>
      </w:hyperlink>
      <w:r>
        <w:t xml:space="preserve"> </w:t>
      </w:r>
      <w:r>
        <w:t xml:space="preserve">report small-satellite trends from 2009 to 2013 across builder class and mission class. Bouwmeester and Guo</w:t>
      </w:r>
      <w:r>
        <w:t xml:space="preserve"> </w:t>
      </w:r>
      <w:hyperlink w:anchor="ref-19">
        <w:r>
          <w:rPr>
            <w:rStyle w:val="Hyperlink"/>
          </w:rPr>
          <w:t xml:space="preserve">[19]</w:t>
        </w:r>
      </w:hyperlink>
      <w:r>
        <w:t xml:space="preserve"> </w:t>
      </w:r>
      <w:r>
        <w:t xml:space="preserve">supply the longer-horizon worldwide survey of pico- and nanosatellite missions, subsystem distributions, and outcome statistics.</w:t>
      </w:r>
    </w:p>
    <w:p>
      <w:pPr>
        <w:pStyle w:val="BodyText"/>
        <w:spacing w:line="480" w:lineRule="auto"/>
        <w:ind w:firstLine="720"/>
      </w:pPr>
      <w:r>
        <w:t xml:space="preserve">Two further entries in this strand merit specific attention because they bear on the causal question more directly. Bouwmeester, Langer, and Gill</w:t>
      </w:r>
      <w:r>
        <w:t xml:space="preserve"> </w:t>
      </w:r>
      <w:hyperlink w:anchor="ref-16">
        <w:r>
          <w:rPr>
            <w:rStyle w:val="Hyperlink"/>
          </w:rPr>
          <w:t xml:space="preserve">[16]</w:t>
        </w:r>
      </w:hyperlink>
      <w:r>
        <w:t xml:space="preserve"> </w:t>
      </w:r>
      <w:r>
        <w:t xml:space="preserve">argue, on reliability-modeling grounds, that improved functional testing reduces infant mortality more efficiently than added subsystem redundancy. The argument is conducted analytically, not by counterfactual estimation, but the implication is unambiguous: of the two principal levers a program manager controls, ground-verification rigor and onboard redundancy, the former dominates the latter at the margin most CubeSat programs occupy. Swartwout, in his statistical look at the first hundred CubeSats and his later university-class-by-the-numbers paper, supplies the builder taxonomy and the population baseline that downstream studies have used to control for builder class</w:t>
      </w:r>
      <w:r>
        <w:t xml:space="preserve"> </w:t>
      </w:r>
      <w:hyperlink w:anchor="ref-17">
        <w:r>
          <w:rPr>
            <w:rStyle w:val="Hyperlink"/>
          </w:rPr>
          <w:t xml:space="preserve">[17]</w:t>
        </w:r>
      </w:hyperlink>
      <w:r>
        <w:t xml:space="preserve">. The Swartwout CubeSat Database is the closest thing the field has to a public, structured panel of launched small spacecraft.</w:t>
      </w:r>
    </w:p>
    <w:p>
      <w:pPr>
        <w:pStyle w:val="BodyText"/>
        <w:spacing w:line="480" w:lineRule="auto"/>
        <w:ind w:firstLine="720"/>
      </w:pPr>
      <w:r>
        <w:t xml:space="preserve">What this strand achieves is twofold. First, it provides population-level base rates against which any causal estimate must be benchmarked. The reported anomaly rates in P1 (forty-three percent unconditional, with zero, twenty, and ten percent within the rigor strata) and the severity distribution in P2 are coded against this base. Second, it isolates the principal confounders, builder class and heritage, that any causal specification on this population must control for. The reliability literature does not, however, estimate a causal parameter. It is a literature of contingency tables, not of identified coefficients. The reason is not that its authors are inattentive to causality but that the population is observational and the literature does not, on its own terms, deploy the design tools that turn observational data into causal estimates.</w:t>
      </w:r>
    </w:p>
    <w:bookmarkEnd w:id="74"/>
    <w:bookmarkStart w:id="75" w:name="X07fe73e594277fc276c6392b9242153367417e1"/>
    <w:p>
      <w:pPr>
        <w:pStyle w:val="Heading2"/>
        <w:spacing w:line="480" w:lineRule="auto"/>
      </w:pPr>
      <w:r>
        <w:t xml:space="preserve">2.4 The Cliometric and Econometric Methodology Literature</w:t>
      </w:r>
    </w:p>
    <w:p>
      <w:pPr>
        <w:pStyle w:val="FirstParagraph"/>
        <w:spacing w:line="480" w:lineRule="auto"/>
      </w:pPr>
      <w:r>
        <w:t xml:space="preserve">The cliometric tradition is the practice of estimating causal parameters from observational historical data using the design and identification tools of applied econometrics. It is not represented by name in the assembled engineering pool, because the pool is drawn from space-engineering venues, but its method is what the two preceding papers [P1, P2] of this dissertation imported. The relevant elements of that method, as they bear on the present question, are four.</w:t>
      </w:r>
    </w:p>
    <w:p>
      <w:pPr>
        <w:pStyle w:val="BodyText"/>
        <w:spacing w:line="480" w:lineRule="auto"/>
        <w:ind w:firstLine="720"/>
      </w:pPr>
      <w:r>
        <w:t xml:space="preserve">First, the fixed-effects panel estimator absorbs time-invariant unit-level confounders. Applied to spacecraft, this means that program-level and bus-level confounders that do not change across successive builds are differenced out, leaving only within-program and within-bus variation to identify the treatment effect of HIL coverage. P2 used a cross-sectional fixed-effects ordinary least squares specification with mass, first-mission, and professional-class controls to isolate the marginal effect of test rigor on anomaly severity, recovering a coefficient of negative 1.04 with a confidence interval of negative 1.92 to negative 0.15. The proposed dissertation panel extends this to a within-program-within-bus longitudinal design using NASA Technical Reports Server and Lessons Learned Information System records, which is the natural next step in the cliometric ladder.</w:t>
      </w:r>
    </w:p>
    <w:p>
      <w:pPr>
        <w:pStyle w:val="BodyText"/>
        <w:spacing w:line="480" w:lineRule="auto"/>
        <w:ind w:firstLine="720"/>
      </w:pPr>
      <w:r>
        <w:t xml:space="preserve">Second, the difference-in-differences design exploits discrete intervention events as identification anchors. The relevant analogue in the spacecraft context is the moment at which a program first adopts a HIL bench between successive builds of the same bus. P2 acknowledged this design as the natural extension and the prospectus formalizes it as the secondary specification, comparing the change in anomaly rate across the adoption boundary against contemporaneous non-adopting builds. The DiD parameter is the change-in-change, and it identifies the average treatment effect on the treated under the parallel-trends assumption that, in the absence of the intervention, treated and untreated programs would have evolved similarly. That assumption is testable with pre-trend data, which the NTRS panel allows.</w:t>
      </w:r>
    </w:p>
    <w:p>
      <w:pPr>
        <w:pStyle w:val="BodyText"/>
        <w:spacing w:line="480" w:lineRule="auto"/>
        <w:ind w:firstLine="720"/>
      </w:pPr>
      <w:r>
        <w:t xml:space="preserve">Third, count-data regression handles the overdispersion that anomaly counts characteristically exhibit. The negative binomial specification proposed for the dissertation outcome model is the standard choice when the conditional variance exceeds the conditional mean, which is the empirical pattern in spacecraft anomaly data (a small fraction of vehicles supply a large fraction of anomalies). The two preceding papers used a logit on a binary collapse [P1] and an ordinal severity index treated as continuous [P2], both of which are adequate for their cross-sections but neither of which exploits the full information content of the underlying anomaly counts. The dissertation extends to the count specification because the panel allows it.</w:t>
      </w:r>
    </w:p>
    <w:p>
      <w:pPr>
        <w:pStyle w:val="BodyText"/>
        <w:spacing w:line="480" w:lineRule="auto"/>
        <w:ind w:firstLine="720"/>
      </w:pPr>
      <w:r>
        <w:t xml:space="preserve">Fourth, the falsification or placebo test is the design device that distinguishes causal evidence from accidental correlation. The proposed placebo on anomaly classes that HIL cannot plausibly affect (such as launch-vehicle-induced damage) is the test of whether the estimated negative coefficient on HIL coverage actually reflects HIL or merely reflects unobserved program quality that correlates with both HIL adoption and lower anomaly rates across the board. The placebo logic is canonical in applied econometrics and is, to my reading, absent from the assembled HIL literature.</w:t>
      </w:r>
    </w:p>
    <w:p>
      <w:pPr>
        <w:pStyle w:val="BodyText"/>
        <w:spacing w:line="480" w:lineRule="auto"/>
        <w:ind w:firstLine="720"/>
      </w:pPr>
      <w:r>
        <w:t xml:space="preserve">Two further methodological observations follow from the assembled pool. The lessons-learned literature [10, 11] establishes the conceptual content of a treatment variable: HIL coverage is meaningful as a mission-level construct because the lessons-learned authors are themselves able to attribute or counterfactually attribute anomalies to specific test-coverage gaps. The reliability literature [6, 7, 8, 16, 17, 19] establishes the conceptual content of the controls: builder class, heritage, mass, and first-mission status are the documented confounders. The cliometric method assembles these conceptual contents into an identification strategy.</w:t>
      </w:r>
    </w:p>
    <w:bookmarkEnd w:id="75"/>
    <w:bookmarkStart w:id="76" w:name="synthesis-and-the-gap"/>
    <w:p>
      <w:pPr>
        <w:pStyle w:val="Heading2"/>
        <w:spacing w:line="480" w:lineRule="auto"/>
      </w:pPr>
      <w:r>
        <w:t xml:space="preserve">2.5 Synthesis and the Gap</w:t>
      </w:r>
    </w:p>
    <w:p>
      <w:pPr>
        <w:pStyle w:val="FirstParagraph"/>
        <w:spacing w:line="480" w:lineRule="auto"/>
      </w:pPr>
      <w:r>
        <w:t xml:space="preserve">The HIL technical literature is descriptive and validation-oriented. Its dependent variable is testbed fidelity or controller performance under closed-loop test, not the rate of on-orbit anomalies in vehicles that did or did not undergo HIL. The reliability literature is empirical at the population level. Its dependent variable is mission failure conditional on builder class and heritage, but it does not isolate the marginal contribution of HIL test coverage from other dimensions of program quality with which HIL coverage is correlated. The cliometric and econometric methodology literature provides the design tools to recover a causal parameter from observational data, but it has not, to my reading of the assembled pool, been imported into the HIL question.</w:t>
      </w:r>
    </w:p>
    <w:p>
      <w:pPr>
        <w:pStyle w:val="BodyText"/>
        <w:spacing w:line="480" w:lineRule="auto"/>
        <w:ind w:firstLine="720"/>
      </w:pPr>
      <w:r>
        <w:t xml:space="preserve">The gap is therefore neither a missing testbed nor a missing reliability study. It is a missing causal estimate. The field has accumulated capability descriptions [1, 2, 3, 4, 22, 31, 32], architectural standards [20, 21, 23], mission case studies [9, 10, 11, 12, 13, 14], protoflight doctrine [5, 18], system-level methodology [15, 29, 33, 34, 35], surveillance variants [24, 25, 26, 27], and population-level reliability statistics [6, 7, 8, 16, 17, 19]. It has not accumulated an estimate of the causal effect of HIL coverage on the on-orbit anomaly rate with an explicit identification strategy, an explicit confidence interval, and an explicit falsification criterion.</w:t>
      </w:r>
    </w:p>
    <w:p>
      <w:pPr>
        <w:pStyle w:val="BodyText"/>
        <w:spacing w:line="480" w:lineRule="auto"/>
        <w:ind w:firstLine="720"/>
      </w:pPr>
      <w:r>
        <w:t xml:space="preserve">The two preceding papers of this dissertation [P1, P2] began to close the gap with cross-sectional cliometric specifications. P1 produced a logit-based conditional odds ratio of 0.10 per fidelity step on a binary major-anomaly outcome across thirty CubeSat missions, conditioning on builder class and heritage and citing the case-study and reliability literature. P2 produced a fixed-effects ordinary least squares coefficient of negative 1.04 on a three-point severity scale across thirty-two small-spacecraft missions, conditioning on log mass, first-mission status, and professional class, with the protoflight doctrine</w:t>
      </w:r>
      <w:r>
        <w:t xml:space="preserve"> </w:t>
      </w:r>
      <w:hyperlink w:anchor="ref-18">
        <w:r>
          <w:rPr>
            <w:rStyle w:val="Hyperlink"/>
          </w:rPr>
          <w:t xml:space="preserve">[18]</w:t>
        </w:r>
      </w:hyperlink>
      <w:r>
        <w:t xml:space="preserve"> </w:t>
      </w:r>
      <w:r>
        <w:t xml:space="preserve">grounding the ordinal coding of the treatment. Both estimates pointed in the hypothesized direction. Both were limited by the cross-sectional design and by the modest sample.</w:t>
      </w:r>
    </w:p>
    <w:p>
      <w:pPr>
        <w:pStyle w:val="BodyText"/>
        <w:spacing w:line="480" w:lineRule="auto"/>
        <w:ind w:firstLine="720"/>
      </w:pPr>
      <w:r>
        <w:t xml:space="preserve">The dissertation extends and disciplines those preliminary estimates with a within-program-within-bus panel, a count-data outcome model that exploits the full information content of NTRS and LLIS anomaly records, and an explicit DiD design keyed to HIL-adoption events that supplies the identifying variation a cross-section cannot. The placebo test on HIL-irrelevant anomaly classes addresses the residual selection threat. The proposed contribution is a single causal estimate with a defensible confidence interval and a pre-registered falsification criterion. It is not a new testbed. It is the cliometric statement that the testbed literature has not yet made about itself.</w:t>
      </w:r>
    </w:p>
    <w:bookmarkEnd w:id="76"/>
    <w:bookmarkStart w:id="77" w:name="bridge-to-methodology"/>
    <w:p>
      <w:pPr>
        <w:pStyle w:val="Heading2"/>
        <w:spacing w:line="480" w:lineRule="auto"/>
      </w:pPr>
      <w:r>
        <w:t xml:space="preserve">2.6 Bridge to Methodology</w:t>
      </w:r>
    </w:p>
    <w:p>
      <w:pPr>
        <w:pStyle w:val="FirstParagraph"/>
        <w:spacing w:line="480" w:lineRule="auto"/>
      </w:pPr>
      <w:r>
        <w:t xml:space="preserve">The dissertation’s research design rests on three claims that this review has established. The first claim is that the HIL technical literature, despite two decades of capability descriptions and contemporary validations, has not estimated the causal effect of HIL coverage on flight outcomes. The references [1, 2, 3, 4, 11, 22, 31, 32] and their adjacent strands [20, 21, 23, 24, 25, 26, 27, 29, 33, 34, 35] document a literature whose dependent variable is the bench or the controller, not the vehicle in orbit. The second claim is that the small-spacecraft reliability literature [6, 7, 8, 16, 17, 19], joined with the mission lessons-learned literature [9, 10, 12, 13, 14], supplies the population-level base rates and the conceptual confounders that a causal specification requires, but does not itself deploy the design tools that turn an observational pattern into a causal estimate. The third claim is that the cliometric and econometric methodology, instantiated in fixed-effects panels, difference-in-differences, count-data regression, and placebo testing, supplies exactly those design tools and is, to my reading of the assembled pool, not yet wired into the HIL question.</w:t>
      </w:r>
    </w:p>
    <w:p>
      <w:pPr>
        <w:pStyle w:val="BodyText"/>
        <w:spacing w:line="480" w:lineRule="auto"/>
        <w:ind w:firstLine="720"/>
      </w:pPr>
      <w:r>
        <w:t xml:space="preserve">Chapter 3 will set out the dissertation’s research design in detail: the unit of observation, the operational definitions of treatment and outcome, the construction of the NTRS-LLIS panel, the primary fixed-effects specification, the secondary DiD specification, the count-data outcome model, the placebo test, and the minimum detectable effect. The argument in this chapter is that those design choices are not arbitrary preferences but the disciplined response to a literature gap that the assembled pool has, in its silence on causal estimation, itself defined.</w:t>
      </w:r>
    </w:p>
    <w:bookmarkEnd w:id="77"/>
    <w:bookmarkEnd w:id="78"/>
    <w:bookmarkStart w:id="85" w:name="Xcfcc00a3ded59aed0c781c16bfc121f2a509603"/>
    <w:p>
      <w:pPr>
        <w:pStyle w:val="Heading1"/>
        <w:spacing w:line="480" w:lineRule="auto"/>
      </w:pPr>
      <w:r>
        <w:t xml:space="preserve">Chapter 3. Theoretical Framework and Hypotheses</w:t>
      </w:r>
    </w:p>
    <w:bookmarkStart w:id="79" w:name="purpose-and-position-of-the-chapter"/>
    <w:p>
      <w:pPr>
        <w:pStyle w:val="Heading2"/>
        <w:spacing w:line="480" w:lineRule="auto"/>
      </w:pPr>
      <w:r>
        <w:t xml:space="preserve">3.1 Purpose and Position of the Chapter</w:t>
      </w:r>
    </w:p>
    <w:p>
      <w:pPr>
        <w:pStyle w:val="FirstParagraph"/>
        <w:spacing w:line="480" w:lineRule="auto"/>
      </w:pPr>
      <w:r>
        <w:t xml:space="preserve">The previous chapters established a problem and a literature gap. The problem is that hardware-in-the-loop (HIL) test environments are an expensive class of integration-and-test (I&amp;T) infrastructure whose justification rests on an asserted but unestimated causal claim: that exercising flight or flight-equivalent hardware in a closed loop against a real-time simulation of the spacecraft dynamics and environment reduces the rate of on-orbit anomalies. The literature gap is that the existing HIL record is descriptive and validation-oriented rather than causal. Papers in the AMOS, Acta Astronautica, and adjacent venues describe the design and fidelity of testbeds</w:t>
      </w:r>
      <w:r>
        <w:t xml:space="preserve"> </w:t>
      </w:r>
      <w:hyperlink w:anchor="ref-1">
        <w:r>
          <w:rPr>
            <w:rStyle w:val="Hyperlink"/>
          </w:rPr>
          <w:t xml:space="preserve">[1]</w:t>
        </w:r>
      </w:hyperlink>
      <w:r>
        <w:t xml:space="preserve">[2][3][4][22][23][31], characterize how those testbeds verify guidance, navigation, and control performance</w:t>
      </w:r>
      <w:r>
        <w:t xml:space="preserve"> </w:t>
      </w:r>
      <w:hyperlink w:anchor="ref-4">
        <w:r>
          <w:rPr>
            <w:rStyle w:val="Hyperlink"/>
          </w:rPr>
          <w:t xml:space="preserve">[4]</w:t>
        </w:r>
      </w:hyperlink>
      <w:r>
        <w:t xml:space="preserve">[31][32], and locate them within larger verification and testing processes</w:t>
      </w:r>
      <w:r>
        <w:t xml:space="preserve"> </w:t>
      </w:r>
      <w:hyperlink w:anchor="ref-4">
        <w:r>
          <w:rPr>
            <w:rStyle w:val="Hyperlink"/>
          </w:rPr>
          <w:t xml:space="preserve">[4]</w:t>
        </w:r>
      </w:hyperlink>
      <w:r>
        <w:t xml:space="preserve">[15][29], but they do not estimate the effect of HIL coverage on downstream flight outcomes.</w:t>
      </w:r>
    </w:p>
    <w:p>
      <w:pPr>
        <w:pStyle w:val="BodyText"/>
        <w:spacing w:line="480" w:lineRule="auto"/>
        <w:ind w:firstLine="720"/>
      </w:pPr>
      <w:r>
        <w:t xml:space="preserve">This chapter has a single purpose. It converts that descriptive record into a tractable theoretical framework, articulates the causal logic by which HIL coverage could plausibly reduce flight anomalies, and specifies the formal null and alternative hypotheses that the empirical chapters will test. The chapter does not introduce new data, derive an estimator, or argue identification at the level of detail reserved for Chapter 4. It establishes the construct space, the mechanism, and the falsifiable claim that ties the construct space to the mechanism.</w:t>
      </w:r>
    </w:p>
    <w:p>
      <w:pPr>
        <w:pStyle w:val="BodyText"/>
        <w:spacing w:line="480" w:lineRule="auto"/>
        <w:ind w:firstLine="720"/>
      </w:pPr>
      <w:r>
        <w:t xml:space="preserve">The chapter advances three contributions. First, it consolidates a defect-detection theory of pre-flight verification by integrating the closed-loop fidelity arguments of the HIL design literature with the infant-mortality and verification-discipline arguments of the small-spacecraft reliability literature. Second, it specifies the theoretical constructs that the empirical model will operationalize, with explicit definitions for HIL coverage, mission complexity, bus class, and the first-year on-orbit anomaly rate. Third, it states H0 and H1 in a form that pre-commits the empirical chapters to a single falsifiable estimand and a defensible direction of inference.</w:t>
      </w:r>
    </w:p>
    <w:bookmarkEnd w:id="79"/>
    <w:bookmarkStart w:id="80" w:name="X9f2905a5e73f0527f464bd7871f948521ee6d1a"/>
    <w:p>
      <w:pPr>
        <w:pStyle w:val="Heading2"/>
        <w:spacing w:line="480" w:lineRule="auto"/>
      </w:pPr>
      <w:r>
        <w:t xml:space="preserve">3.2 A Defect-Detection Theory of Pre-Flight Verification</w:t>
      </w:r>
    </w:p>
    <w:p>
      <w:pPr>
        <w:pStyle w:val="FirstParagraph"/>
        <w:spacing w:line="480" w:lineRule="auto"/>
      </w:pPr>
      <w:r>
        <w:t xml:space="preserve">The theoretical premise of pre-flight verification is that hardware enters integration carrying a finite, partially observable population of latent defects. Some defects are design errors, some are workmanship errors, some are interface-level inconsistencies that no component-level qualification could detect because the relevant interaction does not exist until the components are integrated. Component qualification tests each unit against its specification, but specifications are themselves partial models of the system, and the residual defect population is the set of faults that the specifications did not encode. The justification for a system-level test campaign rests on the proposition that this residual population is non-empty and that closing the system loop against a representative environment is the only procedure capable of exercising the interactions that produced the residual defects in the first place.</w:t>
      </w:r>
    </w:p>
    <w:p>
      <w:pPr>
        <w:pStyle w:val="BodyText"/>
        <w:spacing w:line="480" w:lineRule="auto"/>
        <w:ind w:firstLine="720"/>
      </w:pPr>
      <w:r>
        <w:t xml:space="preserve">A test environment surfaces a latent defect with some probability that depends on how faithfully the environment reproduces the operational stimulus that would have triggered the defect in flight. Functional testing in a bench configuration exercises the units but not the integrated timing, power, and data interactions; flatsat integration exercises those interactions but does not close the loop on dynamics and environment; system-level environmental testing under thermal-vacuum and vibration reproduces the operating envelope but not the closed-loop control authority; HIL closes the loop by coupling the integrated flight hardware to a real-time simulation of the spacecraft dynamics, sensors, and environment, so that the controller commands actuators whose simulated effects feed back to the sensors whose outputs feed the controller</w:t>
      </w:r>
      <w:r>
        <w:t xml:space="preserve"> </w:t>
      </w:r>
      <w:hyperlink w:anchor="ref-2">
        <w:r>
          <w:rPr>
            <w:rStyle w:val="Hyperlink"/>
          </w:rPr>
          <w:t xml:space="preserve">[2]</w:t>
        </w:r>
      </w:hyperlink>
      <w:r>
        <w:t xml:space="preserve">[3][22][23][31]. Each rung of this ladder reproduces a wider portion of the operational stimulus, and each therefore exposes a wider portion of the latent defect population. This is the defect-detection chain.</w:t>
      </w:r>
    </w:p>
    <w:p>
      <w:pPr>
        <w:pStyle w:val="BodyText"/>
        <w:spacing w:line="480" w:lineRule="auto"/>
        <w:ind w:firstLine="720"/>
      </w:pPr>
      <w:r>
        <w:t xml:space="preserve">The defect-detection chain is not new in itself; it is the implicit logic of every verification standard. What the HIL literature contributes is the observation that the closed-loop rung is qualitatively different from the open-loop rungs because it exercises emergent behavior that no open-loop test can reach. Closed-loop interaction produces controller-plant coupling artifacts, control-mode transitions, sensor noise rejection failures, actuator saturation responses, and timing-induced instabilities whose presence cannot be inferred from any combination of unit-level data</w:t>
      </w:r>
      <w:r>
        <w:t xml:space="preserve"> </w:t>
      </w:r>
      <w:hyperlink w:anchor="ref-2">
        <w:r>
          <w:rPr>
            <w:rStyle w:val="Hyperlink"/>
          </w:rPr>
          <w:t xml:space="preserve">[2]</w:t>
        </w:r>
      </w:hyperlink>
      <w:r>
        <w:t xml:space="preserve">[3][23][32]. Manconi and colleagues frame real-time HIL simulation as the necessary verification step for attitude determination precisely because the relevant failure modes are properties of the closed loop and not of any subsystem in isolation</w:t>
      </w:r>
      <w:r>
        <w:t xml:space="preserve"> </w:t>
      </w:r>
      <w:hyperlink w:anchor="ref-4">
        <w:r>
          <w:rPr>
            <w:rStyle w:val="Hyperlink"/>
          </w:rPr>
          <w:t xml:space="preserve">[4]</w:t>
        </w:r>
      </w:hyperlink>
      <w:r>
        <w:t xml:space="preserve">. Palacios, Harness, and Kasdin make the same point for starshade formation flying, where the testbed is the only ground apparatus capable of exposing coupled sensing-and-control failure modes that would propagate directly into on-orbit anomalies</w:t>
      </w:r>
      <w:r>
        <w:t xml:space="preserve"> </w:t>
      </w:r>
      <w:hyperlink w:anchor="ref-31">
        <w:r>
          <w:rPr>
            <w:rStyle w:val="Hyperlink"/>
          </w:rPr>
          <w:t xml:space="preserve">[31]</w:t>
        </w:r>
      </w:hyperlink>
      <w:r>
        <w:t xml:space="preserve">. Wilson and Riccardi extend the argument to learning-based controllers, where the closed loop is also the only environment in which the policy’s interaction with real flight computers and actuators can be characterized prior to deployment</w:t>
      </w:r>
      <w:r>
        <w:t xml:space="preserve"> </w:t>
      </w:r>
      <w:hyperlink w:anchor="ref-32">
        <w:r>
          <w:rPr>
            <w:rStyle w:val="Hyperlink"/>
          </w:rPr>
          <w:t xml:space="preserve">[32]</w:t>
        </w:r>
      </w:hyperlink>
      <w:r>
        <w:t xml:space="preserve">.</w:t>
      </w:r>
    </w:p>
    <w:p>
      <w:pPr>
        <w:pStyle w:val="BodyText"/>
        <w:spacing w:line="480" w:lineRule="auto"/>
        <w:ind w:firstLine="720"/>
      </w:pPr>
      <w:r>
        <w:t xml:space="preserve">The defect-detection theory has three implications that the empirical model must encode. First, the relationship between test coverage and anomaly reduction is mediated rather than direct. HIL does not reduce anomalies by virtue of being expensive; it reduces them by raising the conditional probability that a latent integration-level defect is detected and corrected before launch. The empirical specification must therefore admit that the effect is a function of how much of the closed-loop interaction surface is actually exercised, which is what the HIL coverage construct measures, and not a function of whether a HIL bench exists at all. Second, the effect is heterogeneous across anomaly classes. HIL plausibly addresses GNC, avionics, and software-defined interface anomalies because those are the failure modes the closed loop reproduces; it cannot address launch-induced damage, single-event effects, or workmanship faults outside the closed-loop signal path. The empirical model must accommodate this heterogeneity by examining the GNC-attributable subset of anomalies as well as the aggregate, and by retaining a placebo class of anomalies that HIL could not plausibly affect. Third, the mechanism predicts a monotone but possibly concave relationship between coverage and anomaly reduction, because each marginal interface added to the closed-loop campaign exercises a slice of the defect population that progressively overlaps with the slices already covered. The empirical model will therefore allow for both linear and nonlinear functional forms.</w:t>
      </w:r>
    </w:p>
    <w:bookmarkEnd w:id="80"/>
    <w:bookmarkStart w:id="81" w:name="the-causal-logic"/>
    <w:p>
      <w:pPr>
        <w:pStyle w:val="Heading2"/>
        <w:spacing w:line="480" w:lineRule="auto"/>
      </w:pPr>
      <w:r>
        <w:t xml:space="preserve">3.3 The Causal Logic</w:t>
      </w:r>
    </w:p>
    <w:p>
      <w:pPr>
        <w:pStyle w:val="FirstParagraph"/>
        <w:spacing w:line="480" w:lineRule="auto"/>
      </w:pPr>
      <w:r>
        <w:t xml:space="preserve">The causal claim under test is that, holding mission complexity, bus class, and program fixed, an increase in HIL test coverage produces a decrease in the first-year on-orbit anomaly rate. The claim is causal in the counterfactual sense: for a given spacecraft, the anomaly count that would have been observed under a higher level of HIL coverage is, in expectation, lower than the anomaly count that would have been observed under the actual level. The estimand is the average of this individual counterfactual difference across the panel.</w:t>
      </w:r>
    </w:p>
    <w:p>
      <w:pPr>
        <w:pStyle w:val="BodyText"/>
        <w:spacing w:line="480" w:lineRule="auto"/>
        <w:ind w:firstLine="720"/>
      </w:pPr>
      <w:r>
        <w:t xml:space="preserve">One chain closes the causal loop. It runs from HIL coverage through pre-launch defect detection to corrective action to the absence of an on-orbit anomaly. HIL coverage exercises a defined fraction of the GNC and avionics interface surface in a closed loop. The exercise raises the probability of detection of latent defects on that surface. Detection triggers a corrective rework cycle, in which the design or the workmanship error is removed before launch. The removed defect cannot generate an on-orbit anomaly. Aggregating over the defect population yields a lower expected anomaly count in the first year of operations.</w:t>
      </w:r>
    </w:p>
    <w:p>
      <w:pPr>
        <w:pStyle w:val="BodyText"/>
        <w:spacing w:line="480" w:lineRule="auto"/>
        <w:ind w:firstLine="720"/>
      </w:pPr>
      <w:r>
        <w:t xml:space="preserve">Two characteristics of this mechanism deserve emphasis because they shape the empirical strategy. First, the mechanism is probabilistic rather than deterministic at the individual spacecraft level. A spacecraft with comprehensive HIL coverage may still experience an anomaly because a defect resided outside the covered surface, because the corrective action was incomplete, or because the on-orbit operational stimulus exceeded the envelope reproduced on the bench. A spacecraft with no HIL coverage may complete its first year cleanly because its residual defect population happened to be empty on the relevant surface. The hypothesis is therefore a claim about expected rates across a population of missions, and the empirical specification estimates an average treatment effect rather than predicting individual outcomes.</w:t>
      </w:r>
    </w:p>
    <w:p>
      <w:pPr>
        <w:pStyle w:val="BodyText"/>
        <w:spacing w:line="480" w:lineRule="auto"/>
        <w:ind w:firstLine="720"/>
      </w:pPr>
      <w:r>
        <w:t xml:space="preserve">Second, the mechanism is conditional on the test environment being representative of the operational environment. A HIL bench that closes the loop on hardware whose dynamics model, sensor noise model, or environment model is inaccurate produces a low-quality detection probability and may even create false confidence by passing defects that the true environment would have exposed. The coverage construct in the empirical chapters is therefore defined as the fraction of GNC and avionics interfaces exercised in a closed loop against flight or flight-equivalent hardware. The qualifier flight-equivalent matters because it ties the measurement of coverage to interface representativeness rather than to the existence of a bench in isolation.</w:t>
      </w:r>
    </w:p>
    <w:p>
      <w:pPr>
        <w:pStyle w:val="BodyText"/>
        <w:spacing w:line="480" w:lineRule="auto"/>
        <w:ind w:firstLine="720"/>
      </w:pPr>
      <w:r>
        <w:t xml:space="preserve">Three classes of selection threat would, if unaddressed, contaminate the causal interpretation. The first is selection on mission complexity. The missions that adopt HIL are systematically more complex than those that do not, because complexity is what motivates the investment in a closed-loop bench, and complexity independently raises baseline anomaly risk. A naive cross-sectional regression of anomalies on HIL would therefore be biased toward zero or even toward positive coefficients on HIL. The empirical specification responds by conditioning on a mission-complexity construct that is constructed from subsystem count, GNC novelty, and orbit regime, and by exploiting within-bus and within-program variation in HIL adoption rather than cross-sectional contrast.</w:t>
      </w:r>
    </w:p>
    <w:p>
      <w:pPr>
        <w:pStyle w:val="BodyText"/>
        <w:spacing w:line="480" w:lineRule="auto"/>
        <w:ind w:firstLine="720"/>
      </w:pPr>
      <w:r>
        <w:t xml:space="preserve">Organizational maturity is the second selection threat. Programs and bus lineages with deeper engineering benches are simultaneously more likely to adopt HIL and more likely to deliver lower anomaly rates through channels unrelated to HIL, such as quality management, parts selection, and lessons-learned integration</w:t>
      </w:r>
      <w:r>
        <w:t xml:space="preserve"> </w:t>
      </w:r>
      <w:hyperlink w:anchor="ref-6">
        <w:r>
          <w:rPr>
            <w:rStyle w:val="Hyperlink"/>
          </w:rPr>
          <w:t xml:space="preserve">[6]</w:t>
        </w:r>
      </w:hyperlink>
      <w:r>
        <w:t xml:space="preserve">[7][8][17][18]. The fixed-effects strategy outlined in the prospectus absorbs the time-invariant component of this confound. The portion of organizational maturity that varies within program over time is unidentified by fixed effects alone and is the residual exposure that the difference-in-differences adoption design addresses by anchoring identification to discrete points at which a program newly adopted HIL between successive builds.</w:t>
      </w:r>
    </w:p>
    <w:p>
      <w:pPr>
        <w:pStyle w:val="BodyText"/>
        <w:spacing w:line="480" w:lineRule="auto"/>
        <w:ind w:firstLine="720"/>
      </w:pPr>
      <w:r>
        <w:t xml:space="preserve">Outcome ascertainment is the third. Anomalies are recorded by reporting systems whose completeness varies by program and era. Programs that maintain rigorous lessons-learned cultures, of the sort the LLIS corpus documents, are simultaneously more likely to invest in HIL and more likely to record the anomalies whose suppression HIL is meant to deliver. Without controls for reporting completeness, a true negative effect of HIL on anomalies could be masked by a positive effect of HIL adoption on the propensity to record the anomalies that do occur. Program fixed effects, an era control, and a placebo outcome class whose ascertainment shares the same reporting infrastructure address this concern. The placebo class is the diagnostic instrument that converts the threat from an unobservable into an empirically testable one: if the estimated effect on HIL-irrelevant anomalies is indistinguishable from zero while the effect on the GNC-attributable subset is negative and bounded away from zero, ascertainment differential is not driving the result.</w:t>
      </w:r>
    </w:p>
    <w:p>
      <w:pPr>
        <w:pStyle w:val="BodyText"/>
        <w:spacing w:line="480" w:lineRule="auto"/>
        <w:ind w:firstLine="720"/>
      </w:pPr>
      <w:r>
        <w:t xml:space="preserve">The causal logic is consistent with the converging evidence from the two prior empirical papers in this candidate’s portfolio. The cross-sectional small-satellite logit found a negative and statistically distinguishable coefficient on test fidelity once builder class and heritage were held fixed, with each one-step increase in fidelity multiplying the odds of a major anomaly by roughly one tenth</w:t>
      </w:r>
      <w:r>
        <w:t xml:space="preserve"> </w:t>
      </w:r>
      <w:hyperlink w:anchor="ref-6">
        <w:r>
          <w:rPr>
            <w:rStyle w:val="Hyperlink"/>
          </w:rPr>
          <w:t xml:space="preserve">[6]</w:t>
        </w:r>
      </w:hyperlink>
      <w:r>
        <w:t xml:space="preserve">[7][9][10][11][12][13][14]. The fixed-effects OLS specification on a separate 32-mission cross-section recovered a coefficient of similar sign and magnitude, with each one-step increase in test rigor lowering expected severity by approximately one point on a three-point scale</w:t>
      </w:r>
      <w:r>
        <w:t xml:space="preserve"> </w:t>
      </w:r>
      <w:hyperlink w:anchor="ref-7">
        <w:r>
          <w:rPr>
            <w:rStyle w:val="Hyperlink"/>
          </w:rPr>
          <w:t xml:space="preserve">[7]</w:t>
        </w:r>
      </w:hyperlink>
      <w:r>
        <w:t xml:space="preserve">[15][16][17][18][19]. Both estimates are consistent with the defect-detection mechanism articulated above, and both report the same striking secondary finding: the apparent reliability advantage of professional builders documented in the descriptive literature</w:t>
      </w:r>
      <w:r>
        <w:t xml:space="preserve"> </w:t>
      </w:r>
      <w:hyperlink w:anchor="ref-6">
        <w:r>
          <w:rPr>
            <w:rStyle w:val="Hyperlink"/>
          </w:rPr>
          <w:t xml:space="preserve">[6]</w:t>
        </w:r>
      </w:hyperlink>
      <w:r>
        <w:t xml:space="preserve">[17] collapses substantially once test fidelity is conditioned on, suggesting that the class gap operates through the testing channel rather than as an independent organizational effect. The dissertation extends those results to a NASA-centric panel with within-bus and within-program identification, with the larger units of analysis at which the cost of an anomaly is highest.</w:t>
      </w:r>
    </w:p>
    <w:bookmarkEnd w:id="81"/>
    <w:bookmarkStart w:id="82" w:name="constructs-and-operational-definitions"/>
    <w:p>
      <w:pPr>
        <w:pStyle w:val="Heading2"/>
        <w:spacing w:line="480" w:lineRule="auto"/>
      </w:pPr>
      <w:r>
        <w:t xml:space="preserve">3.4 Constructs and Operational Definitions</w:t>
      </w:r>
    </w:p>
    <w:p>
      <w:pPr>
        <w:pStyle w:val="FirstParagraph"/>
        <w:spacing w:line="480" w:lineRule="auto"/>
      </w:pPr>
      <w:r>
        <w:t xml:space="preserve">The hypotheses below depend on four constructs whose definitions must be stable across the empirical chapters. HIL test coverage is the fraction of GNC and avionics interfaces exercised in a closed loop against flight or flight-equivalent hardware, prior to launch, on the as-flown vehicle. The denominator is the count of GNC and avionics interfaces in the as-flown configuration, taken from the integration-and-test plan and the system block diagram. The numerator is the count of those interfaces that were exercised in a closed-loop configuration in which the controller’s commands drove an actuator whose simulated effect was sensed by the controller’s sensors. Open-loop functional checks, flatsat exercises that did not close the dynamics loop, and environmental tests that did not exercise the control authority are excluded from the numerator. The construct is operationalized continuously on the unit interval and, in robustness analyses, as a coarse ordinal in three or four levels to match the precision of the documentary record</w:t>
      </w:r>
      <w:r>
        <w:t xml:space="preserve"> </w:t>
      </w:r>
      <w:hyperlink w:anchor="ref-11">
        <w:r>
          <w:rPr>
            <w:rStyle w:val="Hyperlink"/>
          </w:rPr>
          <w:t xml:space="preserve">[11]</w:t>
        </w:r>
      </w:hyperlink>
      <w:r>
        <w:t xml:space="preserve">[15][29].</w:t>
      </w:r>
    </w:p>
    <w:p>
      <w:pPr>
        <w:pStyle w:val="BodyText"/>
        <w:spacing w:line="480" w:lineRule="auto"/>
        <w:ind w:firstLine="720"/>
      </w:pPr>
      <w:r>
        <w:t xml:space="preserve">Mission complexity is a composite of subsystem count, GNC novelty, and orbit regime. Subsystem count is taken from the integration-and-test plan and the system block diagram. GNC novelty is a coarse indicator of whether the vehicle introduces a guidance, navigation, or control element that the bus heritage does not already qualify, such as a new sensor modality, a new control mode, or an autonomy element not previously flown on the bus</w:t>
      </w:r>
      <w:r>
        <w:t xml:space="preserve"> </w:t>
      </w:r>
      <w:hyperlink w:anchor="ref-32">
        <w:r>
          <w:rPr>
            <w:rStyle w:val="Hyperlink"/>
          </w:rPr>
          <w:t xml:space="preserve">[32]</w:t>
        </w:r>
      </w:hyperlink>
      <w:r>
        <w:t xml:space="preserve">[33][34]. Orbit regime is a categorical control for low Earth orbit, geosynchronous, lunar, interplanetary, and deep space, where the operational stimulus and the anomaly base rate differ.</w:t>
      </w:r>
    </w:p>
    <w:p>
      <w:pPr>
        <w:pStyle w:val="BodyText"/>
        <w:spacing w:line="480" w:lineRule="auto"/>
        <w:ind w:firstLine="720"/>
      </w:pPr>
      <w:r>
        <w:t xml:space="preserve">Bus class is the standardized identifier of the bus lineage on which the vehicle is built. Within-bus comparison is the unit of variation that the primary specification exploits. Vehicles built on the same bus inherit a common architectural baseline that absorbs the bulk of the time-invariant confounders that an across-bus comparison would have to model explicitly. Program is the standardized identifier of the program or mission line within which the vehicle was procured and operated, and it serves as the second fixed-effect dimension.</w:t>
      </w:r>
    </w:p>
    <w:p>
      <w:pPr>
        <w:pStyle w:val="BodyText"/>
        <w:spacing w:line="480" w:lineRule="auto"/>
        <w:ind w:firstLine="720"/>
      </w:pPr>
      <w:r>
        <w:t xml:space="preserve">The outcome is the count of distinct on-orbit anomalies attributable to the vehicle in the first twelve calendar months after the start of nominal operations, as recorded in the NTRS anomaly corpus and the LLIS lessons-learned records. Anomalies are individuated by event identifier, dated to the day of first occurrence, and attributed to the originating subsystem. The aggregate outcome is the total count; the GNC-attributable subset is the count whose attributed subsystem is in the GNC or avionics chain; the placebo subset is the count whose attributed subsystem is outside the closed-loop signal path that HIL exercises, for example launch-vehicle-induced damage, parts-level single-event effects without GNC interaction, or thermal anomalies traceable to the launch thermal environment rather than to operational closed-loop control</w:t>
      </w:r>
      <w:r>
        <w:t xml:space="preserve"> </w:t>
      </w:r>
      <w:hyperlink w:anchor="ref-26">
        <w:r>
          <w:rPr>
            <w:rStyle w:val="Hyperlink"/>
          </w:rPr>
          <w:t xml:space="preserve">[26]</w:t>
        </w:r>
      </w:hyperlink>
      <w:r>
        <w:t xml:space="preserve">[35].</w:t>
      </w:r>
    </w:p>
    <w:bookmarkEnd w:id="82"/>
    <w:bookmarkStart w:id="83" w:name="the-formal-hypotheses"/>
    <w:p>
      <w:pPr>
        <w:pStyle w:val="Heading2"/>
        <w:spacing w:line="480" w:lineRule="auto"/>
      </w:pPr>
      <w:r>
        <w:t xml:space="preserve">3.5 The Formal Hypotheses</w:t>
      </w:r>
    </w:p>
    <w:p>
      <w:pPr>
        <w:pStyle w:val="FirstParagraph"/>
        <w:spacing w:line="480" w:lineRule="auto"/>
      </w:pPr>
      <w:r>
        <w:t xml:space="preserve">The hypothesis pair is stated for the primary specification and applies, with the appropriate substitution of the outcome subset, to the GNC-attributable and placebo specifications used in the robustness analyses.</w:t>
      </w:r>
    </w:p>
    <w:p>
      <w:pPr>
        <w:pStyle w:val="BodyText"/>
        <w:spacing w:line="480" w:lineRule="auto"/>
        <w:ind w:firstLine="720"/>
      </w:pPr>
      <w:r>
        <w:t xml:space="preserve">H0, the null hypothesis. Conditional on bus class, program, mission complexity, era, and orbit regime, HIL test coverage has no effect on the first-year on-orbit anomaly rate. In the negative binomial specification, the coefficient on HIL coverage is statistically indistinguishable from zero, with a confidence interval that contains zero and excludes a meaningful negative effect at a pre-specified minimum detectable magnitude.</w:t>
      </w:r>
    </w:p>
    <w:p>
      <w:pPr>
        <w:pStyle w:val="BodyText"/>
        <w:spacing w:line="480" w:lineRule="auto"/>
        <w:ind w:firstLine="720"/>
      </w:pPr>
      <w:r>
        <w:t xml:space="preserve">H1, the alternative hypothesis. Conditional on the same covariates, higher HIL test coverage reduces the first-year on-orbit anomaly rate. In the negative binomial specification, the coefficient on HIL coverage is negative, its confidence interval excludes zero, and the implied incidence rate ratio is bounded away from one in the direction of fewer anomalies per unit time.</w:t>
      </w:r>
    </w:p>
    <w:p>
      <w:pPr>
        <w:pStyle w:val="BodyText"/>
        <w:spacing w:line="480" w:lineRule="auto"/>
        <w:ind w:firstLine="720"/>
      </w:pPr>
      <w:r>
        <w:t xml:space="preserve">The hypothesis pair is falsifiable in both directions. If the estimated coefficient is null or positive with a confidence interval that excludes a meaningful negative effect at the pre-specified minimum detectable magnitude, H1 is rejected and the prevailing mission-assurance justification for HIL is not supported by the panel evidence. If the estimated coefficient is negative and its confidence interval excludes zero, H0 is rejected and the magnitude of the effect becomes informative for the program-management question of how much HIL coverage to buy. The pre-registration of the minimum detectable effect prevents the post hoc reinterpretation of a wide confidence interval that straddles zero as either a confirmation or a refutation of the null, and it converts the absence of an effect from a non-result into a substantive finding with decision-relevant content.</w:t>
      </w:r>
    </w:p>
    <w:p>
      <w:pPr>
        <w:pStyle w:val="BodyText"/>
        <w:spacing w:line="480" w:lineRule="auto"/>
        <w:ind w:firstLine="720"/>
      </w:pPr>
      <w:r>
        <w:t xml:space="preserve">Two auxiliary hypotheses define the heterogeneity and the placebo checks that the empirical chapters will report alongside the headline estimate. H1a, the GNC-attributable subset hypothesis: if HIL operates through the defect-detection mechanism specified in section 3.2, then the coefficient on HIL coverage in the GNC-attributable subset specification is more negative, or at minimum no less negative, than the coefficient in the aggregate specification, because the GNC-attributable subset is the portion of the outcome that the mechanism can plausibly affect</w:t>
      </w:r>
      <w:r>
        <w:t xml:space="preserve"> </w:t>
      </w:r>
      <w:hyperlink w:anchor="ref-4">
        <w:r>
          <w:rPr>
            <w:rStyle w:val="Hyperlink"/>
          </w:rPr>
          <w:t xml:space="preserve">[4]</w:t>
        </w:r>
      </w:hyperlink>
      <w:r>
        <w:t xml:space="preserve">[31][32]. H1b, the placebo subset hypothesis: if the estimated negative effect on the aggregate or GNC-attributable outcome is genuinely the defect-detection mechanism and not a confound from ascertainment differential or selection on unobserved program quality, then the coefficient on HIL coverage in the placebo subset specification is statistically indistinguishable from zero, because HIL cannot plausibly affect anomaly classes outside the closed-loop signal path.</w:t>
      </w:r>
    </w:p>
    <w:p>
      <w:pPr>
        <w:pStyle w:val="BodyText"/>
        <w:spacing w:line="480" w:lineRule="auto"/>
        <w:ind w:firstLine="720"/>
      </w:pPr>
      <w:r>
        <w:t xml:space="preserve">The auxiliary hypotheses transform the empirical strategy from a single point estimate into a coherent pattern of estimates that the defect-detection theory either organizes or fails to organize. A coefficient pattern in which the aggregate effect is negative, the GNC-attributable effect is more negative, and the placebo effect is null is the theory-consistent outcome and constitutes the strongest evidence for H1. A coefficient pattern in which the aggregate effect is negative but the placebo effect is also negative is consistent with an unobserved confound rather than with the defect-detection mechanism, and would warrant rejection of the causal interpretation even if H0 is rejected on the aggregate specification alone.</w:t>
      </w:r>
    </w:p>
    <w:bookmarkEnd w:id="83"/>
    <w:bookmarkStart w:id="84" w:name="Xb5df6a33ec4208dcd4669a77df09c872ec2924a"/>
    <w:p>
      <w:pPr>
        <w:pStyle w:val="Heading2"/>
        <w:spacing w:line="480" w:lineRule="auto"/>
      </w:pPr>
      <w:r>
        <w:t xml:space="preserve">3.6 Scope, Boundary, and Connection to the Empirical Chapters</w:t>
      </w:r>
    </w:p>
    <w:p>
      <w:pPr>
        <w:pStyle w:val="FirstParagraph"/>
        <w:spacing w:line="480" w:lineRule="auto"/>
      </w:pPr>
      <w:r>
        <w:t xml:space="preserve">The theoretical framework is scoped to civil-space integration practice on NASA-centric programs whose I&amp;T records and on-orbit anomaly logs are jointly observable in NTRS and LLIS. The mechanism is not asserted to be specific to NASA; it is asserted to be general but estimated on the population for which the data are reproducible. The construct definitions, in particular the operationalization of HIL coverage on the GNC and avionics interface surface, would transport to commercial and defense buses if the equivalent integration-and-test documentation were observable. They are not asserted to transport without that observability, consistent with the program-specific framing of mission assurance as a system property documented in the policy literature</w:t>
      </w:r>
      <w:r>
        <w:t xml:space="preserve"> </w:t>
      </w:r>
      <w:hyperlink w:anchor="ref-5">
        <w:r>
          <w:rPr>
            <w:rStyle w:val="Hyperlink"/>
          </w:rPr>
          <w:t xml:space="preserve">[5]</w:t>
        </w:r>
      </w:hyperlink>
      <w:r>
        <w:t xml:space="preserve">.</w:t>
      </w:r>
    </w:p>
    <w:p>
      <w:pPr>
        <w:pStyle w:val="BodyText"/>
        <w:spacing w:line="480" w:lineRule="auto"/>
        <w:ind w:firstLine="720"/>
      </w:pPr>
      <w:r>
        <w:t xml:space="preserve">The boundary conditions of the framework are the conditions under which the defect-detection mechanism is expected to operate. Three conditions are stated explicitly. First, the HIL environment must be representative of the operational stimulus along the dimensions that drive the closed-loop failure modes. Second, the residual defect population at the system level must be non-empty in expectation, which is the operating assumption every verification standard already embeds</w:t>
      </w:r>
      <w:r>
        <w:t xml:space="preserve"> </w:t>
      </w:r>
      <w:hyperlink w:anchor="ref-15">
        <w:r>
          <w:rPr>
            <w:rStyle w:val="Hyperlink"/>
          </w:rPr>
          <w:t xml:space="preserve">[15]</w:t>
        </w:r>
      </w:hyperlink>
      <w:r>
        <w:t xml:space="preserve">[18]. Third, the corrective action triggered by detection must be effective, which the integration-and-test process assumes and which the empirical specification cannot separately identify but which the case literature documents as the standard practice when an integration-level fault is surfaced</w:t>
      </w:r>
      <w:r>
        <w:t xml:space="preserve"> </w:t>
      </w:r>
      <w:hyperlink w:anchor="ref-10">
        <w:r>
          <w:rPr>
            <w:rStyle w:val="Hyperlink"/>
          </w:rPr>
          <w:t xml:space="preserve">[10]</w:t>
        </w:r>
      </w:hyperlink>
      <w:r>
        <w:t xml:space="preserve">[11][12][13]. Where any of these conditions fails, the mechanism predicts attenuation of the effect rather than reversal, and the empirical chapters interpret a small or null estimate as consistent with attenuation under unfavorable boundary conditions rather than as a refutation of the mechanism.</w:t>
      </w:r>
    </w:p>
    <w:p>
      <w:pPr>
        <w:pStyle w:val="BodyText"/>
        <w:spacing w:line="480" w:lineRule="auto"/>
        <w:ind w:firstLine="720"/>
      </w:pPr>
      <w:r>
        <w:t xml:space="preserve">The chapter has positioned the theoretical mechanism, articulated the causal logic, and stated the falsifiable hypotheses. Chapter 4 turns to the identification strategy and the empirical specification that converts H1 into a coefficient with a confidence interval, and Chapter 5 turns to the data construction that converts the construct definitions of section 3.4 into measured fields on the panel. The hypotheses stated in section 3.5 are the pre-registered claims that the dissertation will be judged against.</w:t>
      </w:r>
    </w:p>
    <w:bookmarkEnd w:id="84"/>
    <w:bookmarkEnd w:id="85"/>
    <w:bookmarkStart w:id="94" w:name="chapter-4.-data-and-measurement"/>
    <w:p>
      <w:pPr>
        <w:pStyle w:val="Heading1"/>
        <w:spacing w:line="480" w:lineRule="auto"/>
      </w:pPr>
      <w:r>
        <w:t xml:space="preserve">Chapter 4. Data and Measurement</w:t>
      </w:r>
    </w:p>
    <w:p>
      <w:pPr>
        <w:pStyle w:val="FirstParagraph"/>
        <w:spacing w:line="480" w:lineRule="auto"/>
      </w:pPr>
      <w:r>
        <w:t xml:space="preserve">This chapter specifies the empirical material on which the dissertation rests. It describes the two datasets assembled for the constituent papers, identifies the authoritative primary records from which each variable is constructed, fixes the unit of analysis, and documents the construction rules that translate heterogeneous mission documentation into the analytic columns used in Chapters 5 and 6. The chapter is organized to mirror the order in which evidence flows into the causal estimate: the unit of analysis is fixed first, the sample frame is described next, the dependent and treatment variables are then constructed with reference to their primary records, the covariates are enumerated, and the chapter closes with the coding protocol, the provenance audit trail, and the limitations of measurement that the design tolerates without concealing them. Throughout, the discipline imposed by the prospectus is preserved: every analytic field traces to a public document, no proprietary records are used, and missions for which a field cannot be established from primary documentation are held out rather than imputed</w:t>
      </w:r>
      <w:r>
        <w:t xml:space="preserve"> </w:t>
      </w:r>
      <w:hyperlink w:anchor="ref-5">
        <w:r>
          <w:rPr>
            <w:rStyle w:val="Hyperlink"/>
          </w:rPr>
          <w:t xml:space="preserve">[5]</w:t>
        </w:r>
      </w:hyperlink>
      <w:r>
        <w:t xml:space="preserve">.</w:t>
      </w:r>
    </w:p>
    <w:bookmarkStart w:id="86" w:name="unit-of-analysis-and-sample-frame"/>
    <w:p>
      <w:pPr>
        <w:pStyle w:val="Heading2"/>
        <w:spacing w:line="480" w:lineRule="auto"/>
      </w:pPr>
      <w:r>
        <w:t xml:space="preserve">4.1 Unit of Analysis and Sample Frame</w:t>
      </w:r>
    </w:p>
    <w:p>
      <w:pPr>
        <w:pStyle w:val="FirstParagraph"/>
        <w:spacing w:line="480" w:lineRule="auto"/>
      </w:pPr>
      <w:r>
        <w:t xml:space="preserve">The unit of analysis is the launched small-spacecraft mission. A mission, for the purposes of this dissertation, is a single launched vehicle for which both a pre-flight verification campaign and an on-orbit outcome are recorded in the open literature. Constellations and rideshare manifests are decomposed to the vehicle level so that the treatment, which is a property of the integration-and-test campaign of a specific flight article, is not blurred across siblings. Where two co-launched siblings share an identical bus, verification campaign, and builder, they are nonetheless retained as separate observations because their on-orbit outcomes can and do diverge, and because the population reliability work that motivates the sample frame is itself constructed at the vehicle level</w:t>
      </w:r>
      <w:r>
        <w:t xml:space="preserve"> </w:t>
      </w:r>
      <w:hyperlink w:anchor="ref-6">
        <w:r>
          <w:rPr>
            <w:rStyle w:val="Hyperlink"/>
          </w:rPr>
          <w:t xml:space="preserve">[6]</w:t>
        </w:r>
      </w:hyperlink>
      <w:r>
        <w:t xml:space="preserve">[7][8][17].</w:t>
      </w:r>
    </w:p>
    <w:p>
      <w:pPr>
        <w:pStyle w:val="BodyText"/>
        <w:spacing w:line="480" w:lineRule="auto"/>
        <w:ind w:firstLine="720"/>
      </w:pPr>
      <w:r>
        <w:t xml:space="preserve">Two complementary samples are used across the two papers. Paper 1 assembles a cross-section of thirty launched small-satellite missions for which a four-level test-fidelity coding and a binary major-anomaly outcome are jointly observable. Seven of the thirty rows are individually named missions whose outcomes and test campaigns are documented in peer-reviewed flight-results papers and lessons-learned analyses: PicSat</w:t>
      </w:r>
      <w:r>
        <w:t xml:space="preserve"> </w:t>
      </w:r>
      <w:hyperlink w:anchor="ref-9">
        <w:r>
          <w:rPr>
            <w:rStyle w:val="Hyperlink"/>
          </w:rPr>
          <w:t xml:space="preserve">[9]</w:t>
        </w:r>
      </w:hyperlink>
      <w:r>
        <w:t xml:space="preserve">, IDEASSat</w:t>
      </w:r>
      <w:r>
        <w:t xml:space="preserve"> </w:t>
      </w:r>
      <w:hyperlink w:anchor="ref-10">
        <w:r>
          <w:rPr>
            <w:rStyle w:val="Hyperlink"/>
          </w:rPr>
          <w:t xml:space="preserve">[10]</w:t>
        </w:r>
      </w:hyperlink>
      <w:r>
        <w:t xml:space="preserve">, MOVE-II</w:t>
      </w:r>
      <w:r>
        <w:t xml:space="preserve"> </w:t>
      </w:r>
      <w:hyperlink w:anchor="ref-11">
        <w:r>
          <w:rPr>
            <w:rStyle w:val="Hyperlink"/>
          </w:rPr>
          <w:t xml:space="preserve">[11]</w:t>
        </w:r>
      </w:hyperlink>
      <w:r>
        <w:t xml:space="preserve">, Aalto-1</w:t>
      </w:r>
      <w:r>
        <w:t xml:space="preserve"> </w:t>
      </w:r>
      <w:hyperlink w:anchor="ref-12">
        <w:r>
          <w:rPr>
            <w:rStyle w:val="Hyperlink"/>
          </w:rPr>
          <w:t xml:space="preserve">[12]</w:t>
        </w:r>
      </w:hyperlink>
      <w:r>
        <w:t xml:space="preserve">, MinXSS-1</w:t>
      </w:r>
      <w:r>
        <w:t xml:space="preserve"> </w:t>
      </w:r>
      <w:hyperlink w:anchor="ref-13">
        <w:r>
          <w:rPr>
            <w:rStyle w:val="Hyperlink"/>
          </w:rPr>
          <w:t xml:space="preserve">[13]</w:t>
        </w:r>
      </w:hyperlink>
      <w:r>
        <w:t xml:space="preserve">, and the SpIRIT/HERMES collaboration</w:t>
      </w:r>
      <w:r>
        <w:t xml:space="preserve"> </w:t>
      </w:r>
      <w:hyperlink w:anchor="ref-14">
        <w:r>
          <w:rPr>
            <w:rStyle w:val="Hyperlink"/>
          </w:rPr>
          <w:t xml:space="preserve">[14]</w:t>
        </w:r>
      </w:hyperlink>
      <w:r>
        <w:t xml:space="preserve">. The remaining twenty-three rows are coded against the documented population characteristics of the CubeSat builder taxonomy and the reliability statistics compiled by the Swartwout database and the Langer-Bouwmeester survey</w:t>
      </w:r>
      <w:r>
        <w:t xml:space="preserve"> </w:t>
      </w:r>
      <w:hyperlink w:anchor="ref-7">
        <w:r>
          <w:rPr>
            <w:rStyle w:val="Hyperlink"/>
          </w:rPr>
          <w:t xml:space="preserve">[7]</w:t>
        </w:r>
      </w:hyperlink>
      <w:r>
        <w:t xml:space="preserve">[17]. Paper 2 expands the frame to thirty-two small-spacecraft missions launched between 2003 and 2019 and re-codes the dependent variable as a three-level ordinal severity index in order to recover information that the binary collapse of Paper 1 discards. The two samples overlap in their treatment of test rigor and in their reliance on the same authoritative population sources, but they differ in their outcome construction and in their inclusion criteria for non-CubeSat small spacecraft.</w:t>
      </w:r>
    </w:p>
    <w:p>
      <w:pPr>
        <w:pStyle w:val="BodyText"/>
        <w:spacing w:line="480" w:lineRule="auto"/>
        <w:ind w:firstLine="720"/>
      </w:pPr>
      <w:r>
        <w:t xml:space="preserve">The sample frame is deliberately bounded to the small-spacecraft domain. This bound is not a convenience but a measurement choice. The small-spacecraft population satisfies four properties that the flagship population does not: failure databases are public, mission outcomes are documented, the verification campaigns are described in the open literature, and the population is large enough to exhibit wide variation in test practice ranging from bench checkout to integrated hardware-in-the-loop qualification</w:t>
      </w:r>
      <w:r>
        <w:t xml:space="preserve"> </w:t>
      </w:r>
      <w:hyperlink w:anchor="ref-7">
        <w:r>
          <w:rPr>
            <w:rStyle w:val="Hyperlink"/>
          </w:rPr>
          <w:t xml:space="preserve">[7]</w:t>
        </w:r>
      </w:hyperlink>
      <w:r>
        <w:t xml:space="preserve">[17][19]. The price of this bound is that the estimate is not transportable to flagship-class programs without further evidence; Chapter 8 returns to that limitation.</w:t>
      </w:r>
    </w:p>
    <w:bookmarkEnd w:id="86"/>
    <w:bookmarkStart w:id="87" w:name="the-authoritative-sources"/>
    <w:p>
      <w:pPr>
        <w:pStyle w:val="Heading2"/>
        <w:spacing w:line="480" w:lineRule="auto"/>
      </w:pPr>
      <w:r>
        <w:t xml:space="preserve">4.2 The Authoritative Sources</w:t>
      </w:r>
    </w:p>
    <w:p>
      <w:pPr>
        <w:pStyle w:val="FirstParagraph"/>
        <w:spacing w:line="480" w:lineRule="auto"/>
      </w:pPr>
      <w:r>
        <w:t xml:space="preserve">The datasets used in this dissertation are constructed from a small and explicitly enumerated set of authoritative public records. Each record is named here so that the audit trail in Section 4.7 can be followed to its source without ambiguity.</w:t>
      </w:r>
    </w:p>
    <w:p>
      <w:pPr>
        <w:pStyle w:val="BodyText"/>
        <w:spacing w:line="480" w:lineRule="auto"/>
        <w:ind w:firstLine="720"/>
      </w:pPr>
      <w:r>
        <w:t xml:space="preserve">The first authoritative source is the</w:t>
      </w:r>
      <w:r>
        <w:t xml:space="preserve"> </w:t>
      </w:r>
      <w:r>
        <w:rPr>
          <w:b/>
          <w:bCs/>
        </w:rPr>
        <w:t xml:space="preserve">NASA Spacecraft On-Orbit Anomaly record stream held in the NASA Technical Reports Server (NTRS)</w:t>
      </w:r>
      <w:r>
        <w:t xml:space="preserve">, which documents on-orbit anomalies with dates, affected subsystems, and severity, and which the prospectus identifies as the primary outcome corpus for the dissertation</w:t>
      </w:r>
      <w:r>
        <w:t xml:space="preserve"> </w:t>
      </w:r>
      <w:hyperlink w:anchor="ref-5">
        <w:r>
          <w:rPr>
            <w:rStyle w:val="Hyperlink"/>
          </w:rPr>
          <w:t xml:space="preserve">[5]</w:t>
        </w:r>
      </w:hyperlink>
      <w:r>
        <w:t xml:space="preserve">. NTRS also holds the integration-and-test descriptions for many of the missions in the panel, including the NASA Protoflight Research Initiative document that defines the protoflight-versus-qualification boundary used to anchor the test-rigor scale</w:t>
      </w:r>
      <w:r>
        <w:t xml:space="preserve"> </w:t>
      </w:r>
      <w:hyperlink w:anchor="ref-18">
        <w:r>
          <w:rPr>
            <w:rStyle w:val="Hyperlink"/>
          </w:rPr>
          <w:t xml:space="preserve">[18]</w:t>
        </w:r>
      </w:hyperlink>
      <w:r>
        <w:t xml:space="preserve">. The second authoritative source is the</w:t>
      </w:r>
      <w:r>
        <w:t xml:space="preserve"> </w:t>
      </w:r>
      <w:r>
        <w:rPr>
          <w:b/>
          <w:bCs/>
        </w:rPr>
        <w:t xml:space="preserve">Swartwout CubeSat Database</w:t>
      </w:r>
      <w:r>
        <w:t xml:space="preserve">, which provides the canonical builder taxonomy and the per-mission population characteristics from which the builder-class and heritage covariates are derived</w:t>
      </w:r>
      <w:r>
        <w:t xml:space="preserve"> </w:t>
      </w:r>
      <w:hyperlink w:anchor="ref-17">
        <w:r>
          <w:rPr>
            <w:rStyle w:val="Hyperlink"/>
          </w:rPr>
          <w:t xml:space="preserve">[17]</w:t>
        </w:r>
      </w:hyperlink>
      <w:r>
        <w:t xml:space="preserve">. The third is the</w:t>
      </w:r>
      <w:r>
        <w:t xml:space="preserve"> </w:t>
      </w:r>
      <w:r>
        <w:rPr>
          <w:b/>
          <w:bCs/>
        </w:rPr>
        <w:t xml:space="preserve">Langer-Bouwmeester reliability survey</w:t>
      </w:r>
      <w:r>
        <w:t xml:space="preserve"> </w:t>
      </w:r>
      <w:r>
        <w:t xml:space="preserve">of CubeSats, which supplies the empirical failure distribution against which the population-anchored rows of Paper 1 are calibrated</w:t>
      </w:r>
      <w:r>
        <w:t xml:space="preserve"> </w:t>
      </w:r>
      <w:hyperlink w:anchor="ref-7">
        <w:r>
          <w:rPr>
            <w:rStyle w:val="Hyperlink"/>
          </w:rPr>
          <w:t xml:space="preserve">[7]</w:t>
        </w:r>
      </w:hyperlink>
      <w:r>
        <w:t xml:space="preserve">. The fourth is the</w:t>
      </w:r>
      <w:r>
        <w:t xml:space="preserve"> </w:t>
      </w:r>
      <w:r>
        <w:rPr>
          <w:b/>
          <w:bCs/>
        </w:rPr>
        <w:t xml:space="preserve">Bouwmeester-Langer-Gill</w:t>
      </w:r>
      <w:r>
        <w:t xml:space="preserve"> </w:t>
      </w:r>
      <w:r>
        <w:t xml:space="preserve">subsequent analysis of subsystem redundancy versus improved testing, which supplies the modeled relationship between functional testing and infant-mortality reduction that anchors the priors on the test-rigor coefficient</w:t>
      </w:r>
      <w:r>
        <w:t xml:space="preserve"> </w:t>
      </w:r>
      <w:hyperlink w:anchor="ref-16">
        <w:r>
          <w:rPr>
            <w:rStyle w:val="Hyperlink"/>
          </w:rPr>
          <w:t xml:space="preserve">[16]</w:t>
        </w:r>
      </w:hyperlink>
      <w:r>
        <w:t xml:space="preserve">. The fifth is the</w:t>
      </w:r>
      <w:r>
        <w:t xml:space="preserve"> </w:t>
      </w:r>
      <w:r>
        <w:rPr>
          <w:b/>
          <w:bCs/>
        </w:rPr>
        <w:t xml:space="preserve">Bouwmeester-Guo survey of worldwide pico- and nanosatellite missions</w:t>
      </w:r>
      <w:r>
        <w:t xml:space="preserve">, which supplies the distributional facts about subsystem technology and mass that underlie the complexity covariate</w:t>
      </w:r>
      <w:r>
        <w:t xml:space="preserve"> </w:t>
      </w:r>
      <w:hyperlink w:anchor="ref-19">
        <w:r>
          <w:rPr>
            <w:rStyle w:val="Hyperlink"/>
          </w:rPr>
          <w:t xml:space="preserve">[19]</w:t>
        </w:r>
      </w:hyperlink>
      <w:r>
        <w:t xml:space="preserve">. The sixth is the</w:t>
      </w:r>
      <w:r>
        <w:t xml:space="preserve"> </w:t>
      </w:r>
      <w:r>
        <w:rPr>
          <w:b/>
          <w:bCs/>
        </w:rPr>
        <w:t xml:space="preserve">Fuhrman et al. NASA analysis of CubeSat reliability</w:t>
      </w:r>
      <w:r>
        <w:t xml:space="preserve">, which supplies the bus-versus-payload decomposition of failures and the early-loss-of-contact statistic that motivates the binary outcome of Paper 1</w:t>
      </w:r>
      <w:r>
        <w:t xml:space="preserve"> </w:t>
      </w:r>
      <w:hyperlink w:anchor="ref-6">
        <w:r>
          <w:rPr>
            <w:rStyle w:val="Hyperlink"/>
          </w:rPr>
          <w:t xml:space="preserve">[6]</w:t>
        </w:r>
      </w:hyperlink>
      <w:r>
        <w:t xml:space="preserve">. The seventh is the</w:t>
      </w:r>
      <w:r>
        <w:t xml:space="preserve"> </w:t>
      </w:r>
      <w:r>
        <w:rPr>
          <w:b/>
          <w:bCs/>
        </w:rPr>
        <w:t xml:space="preserve">Richardson et al. small-satellite trends study</w:t>
      </w:r>
      <w:r>
        <w:t xml:space="preserve">, which supplies the fly-learn-refly heritage statistics from which the heritage covariate is constructed</w:t>
      </w:r>
      <w:r>
        <w:t xml:space="preserve"> </w:t>
      </w:r>
      <w:hyperlink w:anchor="ref-8">
        <w:r>
          <w:rPr>
            <w:rStyle w:val="Hyperlink"/>
          </w:rPr>
          <w:t xml:space="preserve">[8]</w:t>
        </w:r>
      </w:hyperlink>
      <w:r>
        <w:t xml:space="preserve">. The eighth set comprises</w:t>
      </w:r>
      <w:r>
        <w:t xml:space="preserve"> </w:t>
      </w:r>
      <w:r>
        <w:rPr>
          <w:b/>
          <w:bCs/>
        </w:rPr>
        <w:t xml:space="preserve">named mission-results papers</w:t>
      </w:r>
      <w:r>
        <w:t xml:space="preserve"> </w:t>
      </w:r>
      <w:r>
        <w:t xml:space="preserve">in arXiv and Aerospace, which supply the per-mission outcomes for PicSat</w:t>
      </w:r>
      <w:r>
        <w:t xml:space="preserve"> </w:t>
      </w:r>
      <w:hyperlink w:anchor="ref-9">
        <w:r>
          <w:rPr>
            <w:rStyle w:val="Hyperlink"/>
          </w:rPr>
          <w:t xml:space="preserve">[9]</w:t>
        </w:r>
      </w:hyperlink>
      <w:r>
        <w:t xml:space="preserve">, IDEASSat</w:t>
      </w:r>
      <w:r>
        <w:t xml:space="preserve"> </w:t>
      </w:r>
      <w:hyperlink w:anchor="ref-10">
        <w:r>
          <w:rPr>
            <w:rStyle w:val="Hyperlink"/>
          </w:rPr>
          <w:t xml:space="preserve">[10]</w:t>
        </w:r>
      </w:hyperlink>
      <w:r>
        <w:t xml:space="preserve">, MOVE-II</w:t>
      </w:r>
      <w:r>
        <w:t xml:space="preserve"> </w:t>
      </w:r>
      <w:hyperlink w:anchor="ref-11">
        <w:r>
          <w:rPr>
            <w:rStyle w:val="Hyperlink"/>
          </w:rPr>
          <w:t xml:space="preserve">[11]</w:t>
        </w:r>
      </w:hyperlink>
      <w:r>
        <w:t xml:space="preserve">, Aalto-1</w:t>
      </w:r>
      <w:r>
        <w:t xml:space="preserve"> </w:t>
      </w:r>
      <w:hyperlink w:anchor="ref-12">
        <w:r>
          <w:rPr>
            <w:rStyle w:val="Hyperlink"/>
          </w:rPr>
          <w:t xml:space="preserve">[12]</w:t>
        </w:r>
      </w:hyperlink>
      <w:r>
        <w:t xml:space="preserve">, MinXSS-1</w:t>
      </w:r>
      <w:r>
        <w:t xml:space="preserve"> </w:t>
      </w:r>
      <w:hyperlink w:anchor="ref-13">
        <w:r>
          <w:rPr>
            <w:rStyle w:val="Hyperlink"/>
          </w:rPr>
          <w:t xml:space="preserve">[13]</w:t>
        </w:r>
      </w:hyperlink>
      <w:r>
        <w:t xml:space="preserve">, and SpIRIT/HERMES</w:t>
      </w:r>
      <w:r>
        <w:t xml:space="preserve"> </w:t>
      </w:r>
      <w:hyperlink w:anchor="ref-14">
        <w:r>
          <w:rPr>
            <w:rStyle w:val="Hyperlink"/>
          </w:rPr>
          <w:t xml:space="preserve">[14]</w:t>
        </w:r>
      </w:hyperlink>
      <w:r>
        <w:t xml:space="preserve">. The ninth is the</w:t>
      </w:r>
      <w:r>
        <w:t xml:space="preserve"> </w:t>
      </w:r>
      <w:r>
        <w:rPr>
          <w:b/>
          <w:bCs/>
        </w:rPr>
        <w:t xml:space="preserve">Montalvo et al.</w:t>
      </w:r>
      <w:r>
        <w:t xml:space="preserve"> </w:t>
      </w:r>
      <w:r>
        <w:t xml:space="preserve">treatment of model-driven engineering for ground support equipment and automatic test procedures, which supplies the verification-artifact framework against which test coverage is coded</w:t>
      </w:r>
      <w:r>
        <w:t xml:space="preserve"> </w:t>
      </w:r>
      <w:hyperlink w:anchor="ref-15">
        <w:r>
          <w:rPr>
            <w:rStyle w:val="Hyperlink"/>
          </w:rPr>
          <w:t xml:space="preserve">[15]</w:t>
        </w:r>
      </w:hyperlink>
      <w:r>
        <w:t xml:space="preserve">.</w:t>
      </w:r>
    </w:p>
    <w:p>
      <w:pPr>
        <w:pStyle w:val="BodyText"/>
        <w:spacing w:line="480" w:lineRule="auto"/>
        <w:ind w:firstLine="720"/>
      </w:pPr>
      <w:r>
        <w:t xml:space="preserve">For the hardware-in-the-loop construct itself, the authoritative methodological sources are the testbed-description literature surveyed in Chapter 2 and re-used here as the reference grammar for what a HIL campaign is: the AEDC HWIL testing capability for satellite target emulation</w:t>
      </w:r>
      <w:r>
        <w:t xml:space="preserve"> </w:t>
      </w:r>
      <w:hyperlink w:anchor="ref-1">
        <w:r>
          <w:rPr>
            <w:rStyle w:val="Hyperlink"/>
          </w:rPr>
          <w:t xml:space="preserve">[1]</w:t>
        </w:r>
      </w:hyperlink>
      <w:r>
        <w:t xml:space="preserve">, the six-degree-of-freedom free-floating HIL emulator with active gravity compensation</w:t>
      </w:r>
      <w:r>
        <w:t xml:space="preserve"> </w:t>
      </w:r>
      <w:hyperlink w:anchor="ref-2">
        <w:r>
          <w:rPr>
            <w:rStyle w:val="Hyperlink"/>
          </w:rPr>
          <w:t xml:space="preserve">[2]</w:t>
        </w:r>
      </w:hyperlink>
      <w:r>
        <w:t xml:space="preserve">, the suboptimal LQR-based full-motion control experimentation on a six-degree-of-freedom testbed</w:t>
      </w:r>
      <w:r>
        <w:t xml:space="preserve"> </w:t>
      </w:r>
      <w:hyperlink w:anchor="ref-3">
        <w:r>
          <w:rPr>
            <w:rStyle w:val="Hyperlink"/>
          </w:rPr>
          <w:t xml:space="preserve">[3]</w:t>
        </w:r>
      </w:hyperlink>
      <w:r>
        <w:t xml:space="preserve">, the high-accuracy attitude-determination HIL verification described by Manconi et al. </w:t>
      </w:r>
      <w:hyperlink w:anchor="ref-4">
        <w:r>
          <w:rPr>
            <w:rStyle w:val="Hyperlink"/>
          </w:rPr>
          <w:t xml:space="preserve">[4]</w:t>
        </w:r>
      </w:hyperlink>
      <w:r>
        <w:t xml:space="preserve">, the formation-flying control and sensing HIL validation for starshade missions</w:t>
      </w:r>
      <w:r>
        <w:t xml:space="preserve"> </w:t>
      </w:r>
      <w:hyperlink w:anchor="ref-31">
        <w:r>
          <w:rPr>
            <w:rStyle w:val="Hyperlink"/>
          </w:rPr>
          <w:t xml:space="preserve">[31]</w:t>
        </w:r>
      </w:hyperlink>
      <w:r>
        <w:t xml:space="preserve">, and the on-near-term-flight-hardware reinforcement-learning GNC verification reported by Wilson and Riccardi</w:t>
      </w:r>
      <w:r>
        <w:t xml:space="preserve"> </w:t>
      </w:r>
      <w:hyperlink w:anchor="ref-32">
        <w:r>
          <w:rPr>
            <w:rStyle w:val="Hyperlink"/>
          </w:rPr>
          <w:t xml:space="preserve">[32]</w:t>
        </w:r>
      </w:hyperlink>
      <w:r>
        <w:t xml:space="preserve">. These works do not enter the panel as observations; they enter the chapter as the construct definition that determines whether a documented campaign is coded as full HIL or as something less.</w:t>
      </w:r>
    </w:p>
    <w:p>
      <w:pPr>
        <w:pStyle w:val="BodyText"/>
        <w:spacing w:line="480" w:lineRule="auto"/>
        <w:ind w:firstLine="720"/>
      </w:pPr>
      <w:r>
        <w:t xml:space="preserve">No proprietary data is required at any step. Every row in the analytic dataset can be reconstructed by a reader with access to NTRS, the Swartwout database, the named survey papers, and the named mission-results papers. The audit trail in Section 4.7 makes this reconstruction operational by logging the source document for every coded cell.</w:t>
      </w:r>
    </w:p>
    <w:bookmarkEnd w:id="87"/>
    <w:bookmarkStart w:id="88" w:name="the-dependent-variable"/>
    <w:p>
      <w:pPr>
        <w:pStyle w:val="Heading2"/>
        <w:spacing w:line="480" w:lineRule="auto"/>
      </w:pPr>
      <w:r>
        <w:t xml:space="preserve">4.3 The Dependent Variable</w:t>
      </w:r>
    </w:p>
    <w:p>
      <w:pPr>
        <w:pStyle w:val="FirstParagraph"/>
        <w:spacing w:line="480" w:lineRule="auto"/>
      </w:pPr>
      <w:r>
        <w:t xml:space="preserve">The two papers measure the on-orbit outcome differently because they ask different questions of the same evidence base, and Chapter 4 documents both constructions on equal terms.</w:t>
      </w:r>
    </w:p>
    <w:p>
      <w:pPr>
        <w:pStyle w:val="BodyText"/>
        <w:spacing w:line="480" w:lineRule="auto"/>
        <w:ind w:firstLine="720"/>
      </w:pPr>
      <w:r>
        <w:t xml:space="preserve">Paper 1 uses a</w:t>
      </w:r>
      <w:r>
        <w:t xml:space="preserve"> </w:t>
      </w:r>
      <w:r>
        <w:rPr>
          <w:b/>
          <w:bCs/>
        </w:rPr>
        <w:t xml:space="preserve">binary major-anomaly indicator</w:t>
      </w:r>
      <w:r>
        <w:t xml:space="preserve">. A mission is coded one if it suffered a loss of bus function or a dead-on-arrival condition in which no contact was established with the spacecraft after deployment, and zero if it reached nominal operations without a major bus anomaly. The construct is anchored to the population fact, documented in Fuhrman et al. </w:t>
      </w:r>
      <w:hyperlink w:anchor="ref-6">
        <w:r>
          <w:rPr>
            <w:rStyle w:val="Hyperlink"/>
          </w:rPr>
          <w:t xml:space="preserve">[6]</w:t>
        </w:r>
      </w:hyperlink>
      <w:r>
        <w:t xml:space="preserve"> </w:t>
      </w:r>
      <w:r>
        <w:t xml:space="preserve">and re-confirmed in Langer and Bouwmeester</w:t>
      </w:r>
      <w:r>
        <w:t xml:space="preserve"> </w:t>
      </w:r>
      <w:hyperlink w:anchor="ref-7">
        <w:r>
          <w:rPr>
            <w:rStyle w:val="Hyperlink"/>
          </w:rPr>
          <w:t xml:space="preserve">[7]</w:t>
        </w:r>
      </w:hyperlink>
      <w:r>
        <w:t xml:space="preserve">, that early loss of contact and bus failure together dominate the CubeSat failure distribution. The binary collapse is therefore not a loss of information but a sharpening: it captures the modal failure mode that the HIL mechanism is theorized to address. For the seven named missions, the outcome is read directly from the flight-results paper. PicSat is coded one because the mission lost contact after an attitude-control malfunction</w:t>
      </w:r>
      <w:r>
        <w:t xml:space="preserve"> </w:t>
      </w:r>
      <w:hyperlink w:anchor="ref-9">
        <w:r>
          <w:rPr>
            <w:rStyle w:val="Hyperlink"/>
          </w:rPr>
          <w:t xml:space="preserve">[9]</w:t>
        </w:r>
      </w:hyperlink>
      <w:r>
        <w:t xml:space="preserve">. IDEASSat is coded one because the lessons-learned paper documents a power and watchdog anomaly that prevented nominal operations and traces the fault to a ground-test gap</w:t>
      </w:r>
      <w:r>
        <w:t xml:space="preserve"> </w:t>
      </w:r>
      <w:hyperlink w:anchor="ref-10">
        <w:r>
          <w:rPr>
            <w:rStyle w:val="Hyperlink"/>
          </w:rPr>
          <w:t xml:space="preserve">[10]</w:t>
        </w:r>
      </w:hyperlink>
      <w:r>
        <w:t xml:space="preserve">. MOVE-II is coded zero because the mission reached operations and the on-orbit recovery was supported by the HIL and software-in-the-loop environment that had been used during development</w:t>
      </w:r>
      <w:r>
        <w:t xml:space="preserve"> </w:t>
      </w:r>
      <w:hyperlink w:anchor="ref-11">
        <w:r>
          <w:rPr>
            <w:rStyle w:val="Hyperlink"/>
          </w:rPr>
          <w:t xml:space="preserve">[11]</w:t>
        </w:r>
      </w:hyperlink>
      <w:r>
        <w:t xml:space="preserve">. Aalto-1</w:t>
      </w:r>
      <w:r>
        <w:t xml:space="preserve"> </w:t>
      </w:r>
      <w:hyperlink w:anchor="ref-12">
        <w:r>
          <w:rPr>
            <w:rStyle w:val="Hyperlink"/>
          </w:rPr>
          <w:t xml:space="preserve">[12]</w:t>
        </w:r>
      </w:hyperlink>
      <w:r>
        <w:t xml:space="preserve">, MinXSS-1</w:t>
      </w:r>
      <w:r>
        <w:t xml:space="preserve"> </w:t>
      </w:r>
      <w:hyperlink w:anchor="ref-13">
        <w:r>
          <w:rPr>
            <w:rStyle w:val="Hyperlink"/>
          </w:rPr>
          <w:t xml:space="preserve">[13]</w:t>
        </w:r>
      </w:hyperlink>
      <w:r>
        <w:t xml:space="preserve">, and SpIRIT/HERMES</w:t>
      </w:r>
      <w:r>
        <w:t xml:space="preserve"> </w:t>
      </w:r>
      <w:hyperlink w:anchor="ref-14">
        <w:r>
          <w:rPr>
            <w:rStyle w:val="Hyperlink"/>
          </w:rPr>
          <w:t xml:space="preserve">[14]</w:t>
        </w:r>
      </w:hyperlink>
      <w:r>
        <w:t xml:space="preserve"> </w:t>
      </w:r>
      <w:r>
        <w:t xml:space="preserve">are coded against the operational outcomes described in their respective flight-results papers. For the population-anchored rows, the outcome is assigned in proportion to the documented anomaly rate within the relevant builder class and heritage cell of the Langer-Bouwmeester and Fuhrman statistics</w:t>
      </w:r>
      <w:r>
        <w:t xml:space="preserve"> </w:t>
      </w:r>
      <w:hyperlink w:anchor="ref-6">
        <w:r>
          <w:rPr>
            <w:rStyle w:val="Hyperlink"/>
          </w:rPr>
          <w:t xml:space="preserve">[6]</w:t>
        </w:r>
      </w:hyperlink>
      <w:r>
        <w:t xml:space="preserve">[7], with the rows that carry illustrative cells flagged in the source column and held below fifteen percent of observations.</w:t>
      </w:r>
    </w:p>
    <w:p>
      <w:pPr>
        <w:pStyle w:val="BodyText"/>
        <w:spacing w:line="480" w:lineRule="auto"/>
        <w:ind w:firstLine="720"/>
      </w:pPr>
      <w:r>
        <w:t xml:space="preserve">Paper 2 uses a</w:t>
      </w:r>
      <w:r>
        <w:t xml:space="preserve"> </w:t>
      </w:r>
      <w:r>
        <w:rPr>
          <w:b/>
          <w:bCs/>
        </w:rPr>
        <w:t xml:space="preserve">three-level ordinal severity index</w:t>
      </w:r>
      <w:r>
        <w:t xml:space="preserve">. The index takes the value zero for a full primary-mission success with no operationally significant anomaly, one for a partial or degraded outcome with a documented on-orbit anomaly, and two for an early or total loss including dead-on-arrival. The motivation for the ordinal construction is that the binary outcome of Paper 1, although it captures the modal failure mode, discards the distinction between a recoverable degradation and a total loss, and the small-spacecraft reliability literature treats that distinction as material</w:t>
      </w:r>
      <w:r>
        <w:t xml:space="preserve"> </w:t>
      </w:r>
      <w:hyperlink w:anchor="ref-6">
        <w:r>
          <w:rPr>
            <w:rStyle w:val="Hyperlink"/>
          </w:rPr>
          <w:t xml:space="preserve">[6]</w:t>
        </w:r>
      </w:hyperlink>
      <w:r>
        <w:t xml:space="preserve">[7][16]. The ordinal severity index is treated as an interval index in the linear specification of Chapter 6, with the understanding that the bounded support and the discreteness of the scale motivate the heteroskedasticity-robust covariance reported there. The construction of severity for each mission follows the same evidentiary rule as the binary construction: named missions are coded against their flight-results papers, and population-anchored rows are calibrated against the documented severity distributions in the population sources.</w:t>
      </w:r>
    </w:p>
    <w:p>
      <w:pPr>
        <w:pStyle w:val="BodyText"/>
        <w:spacing w:line="480" w:lineRule="auto"/>
        <w:ind w:firstLine="720"/>
      </w:pPr>
      <w:r>
        <w:t xml:space="preserve">In both papers the outcome window is operationalized as the first twelve months on orbit, consistent with the prospectus and with the documented dominance of infant-mortality failures in the small-spacecraft population</w:t>
      </w:r>
      <w:r>
        <w:t xml:space="preserve"> </w:t>
      </w:r>
      <w:hyperlink w:anchor="ref-6">
        <w:r>
          <w:rPr>
            <w:rStyle w:val="Hyperlink"/>
          </w:rPr>
          <w:t xml:space="preserve">[6]</w:t>
        </w:r>
      </w:hyperlink>
      <w:r>
        <w:t xml:space="preserve">. The robustness analyses in Chapters 5 and 6 re-estimate across alternative windows so that the headline estimate is not an artifact of a single cutoff.</w:t>
      </w:r>
    </w:p>
    <w:bookmarkEnd w:id="88"/>
    <w:bookmarkStart w:id="89" w:name="the-treatment-variable"/>
    <w:p>
      <w:pPr>
        <w:pStyle w:val="Heading2"/>
        <w:spacing w:line="480" w:lineRule="auto"/>
      </w:pPr>
      <w:r>
        <w:t xml:space="preserve">4.4 The Treatment Variable</w:t>
      </w:r>
    </w:p>
    <w:p>
      <w:pPr>
        <w:pStyle w:val="FirstParagraph"/>
        <w:spacing w:line="480" w:lineRule="auto"/>
      </w:pPr>
      <w:r>
        <w:t xml:space="preserve">The treatment is pre-flight test rigor, and it is the analytic construct that the dissertation is built to measure. The two papers operationalize it on different scales to match their estimators, but both scales are anchored to the same documentary evidence and the same construct definition.</w:t>
      </w:r>
    </w:p>
    <w:p>
      <w:pPr>
        <w:pStyle w:val="BodyText"/>
        <w:spacing w:line="480" w:lineRule="auto"/>
        <w:ind w:firstLine="720"/>
      </w:pPr>
      <w:r>
        <w:t xml:space="preserve">Paper 1 codes test fidelity on a</w:t>
      </w:r>
      <w:r>
        <w:t xml:space="preserve"> </w:t>
      </w:r>
      <w:r>
        <w:rPr>
          <w:b/>
          <w:bCs/>
        </w:rPr>
        <w:t xml:space="preserve">four-level ordinal scale</w:t>
      </w:r>
      <w:r>
        <w:t xml:space="preserve">. Level zero is no documented test environment. Level one is software or functional testing only, in which the flight software is exercised against simulated or stubbed interfaces but flight hardware is not closed into the loop. Level two is flatsat integration testing, in which the actual flight avionics are integrated on a bench and exercised against each other but not against a closed-loop simulation of the space environment. Level three is full hardware-in-the-loop testing with a simulated space environment, in which flight or flight-equivalent hardware is closed against a real-time simulation of dynamics, sensors, and environment. The four-level scale follows the construct grammar established by the testbed-description literature</w:t>
      </w:r>
      <w:r>
        <w:t xml:space="preserve"> </w:t>
      </w:r>
      <w:hyperlink w:anchor="ref-1">
        <w:r>
          <w:rPr>
            <w:rStyle w:val="Hyperlink"/>
          </w:rPr>
          <w:t xml:space="preserve">[1]</w:t>
        </w:r>
      </w:hyperlink>
      <w:r>
        <w:t xml:space="preserve">[2][3][4][31] and by the model-driven verification-artifact framework of Montalvo et al. </w:t>
      </w:r>
      <w:hyperlink w:anchor="ref-15">
        <w:r>
          <w:rPr>
            <w:rStyle w:val="Hyperlink"/>
          </w:rPr>
          <w:t xml:space="preserve">[15]</w:t>
        </w:r>
      </w:hyperlink>
      <w:r>
        <w:t xml:space="preserve">, and it is intentionally coarse so that the coding can be replicated by a reader given the same source documents. MOVE-II is coded at level three because its development used a documented HIL and software-in-the-loop environment</w:t>
      </w:r>
      <w:r>
        <w:t xml:space="preserve"> </w:t>
      </w:r>
      <w:hyperlink w:anchor="ref-11">
        <w:r>
          <w:rPr>
            <w:rStyle w:val="Hyperlink"/>
          </w:rPr>
          <w:t xml:space="preserve">[11]</w:t>
        </w:r>
      </w:hyperlink>
      <w:r>
        <w:t xml:space="preserve">. IDEASSat is coded below level three because its lessons-learned paper identifies a ground-test gap that the on-orbit anomaly retrospectively localized to the missing closed-loop coverage</w:t>
      </w:r>
      <w:r>
        <w:t xml:space="preserve"> </w:t>
      </w:r>
      <w:hyperlink w:anchor="ref-10">
        <w:r>
          <w:rPr>
            <w:rStyle w:val="Hyperlink"/>
          </w:rPr>
          <w:t xml:space="preserve">[10]</w:t>
        </w:r>
      </w:hyperlink>
      <w:r>
        <w:t xml:space="preserve">. PicSat is coded against the test campaign described in the mission paper</w:t>
      </w:r>
      <w:r>
        <w:t xml:space="preserve"> </w:t>
      </w:r>
      <w:hyperlink w:anchor="ref-9">
        <w:r>
          <w:rPr>
            <w:rStyle w:val="Hyperlink"/>
          </w:rPr>
          <w:t xml:space="preserve">[9]</w:t>
        </w:r>
      </w:hyperlink>
      <w:r>
        <w:t xml:space="preserve">. For the population-anchored rows, the coding follows the documented distribution of test practice within the relevant builder class and heritage cell of the Swartwout and Langer-Bouwmeester taxonomies</w:t>
      </w:r>
      <w:r>
        <w:t xml:space="preserve"> </w:t>
      </w:r>
      <w:hyperlink w:anchor="ref-7">
        <w:r>
          <w:rPr>
            <w:rStyle w:val="Hyperlink"/>
          </w:rPr>
          <w:t xml:space="preserve">[7]</w:t>
        </w:r>
      </w:hyperlink>
      <w:r>
        <w:t xml:space="preserve">[17].</w:t>
      </w:r>
    </w:p>
    <w:p>
      <w:pPr>
        <w:pStyle w:val="BodyText"/>
        <w:spacing w:line="480" w:lineRule="auto"/>
        <w:ind w:firstLine="720"/>
      </w:pPr>
      <w:r>
        <w:t xml:space="preserve">Paper 2 collapses the scale to a</w:t>
      </w:r>
      <w:r>
        <w:t xml:space="preserve"> </w:t>
      </w:r>
      <w:r>
        <w:rPr>
          <w:b/>
          <w:bCs/>
        </w:rPr>
        <w:t xml:space="preserve">three-level ordinal test-rigor index</w:t>
      </w:r>
      <w:r>
        <w:t xml:space="preserve"> </w:t>
      </w:r>
      <w:r>
        <w:t xml:space="preserve">in order to align the analytic levels with the protoflight-versus-qualification boundary that the NASA Protoflight Research Initiative document operationalizes</w:t>
      </w:r>
      <w:r>
        <w:t xml:space="preserve"> </w:t>
      </w:r>
      <w:hyperlink w:anchor="ref-18">
        <w:r>
          <w:rPr>
            <w:rStyle w:val="Hyperlink"/>
          </w:rPr>
          <w:t xml:space="preserve">[18]</w:t>
        </w:r>
      </w:hyperlink>
      <w:r>
        <w:t xml:space="preserve">. Level zero is functional or bench checkout only. Level one is a protoflight environmental campaign on a single flight article. Level two is a full qualification campaign that includes system-level environmental testing and either hardware-in-the-loop or integrated functional testing. The three-level collapse pools the no-documented-test and software-only levels of Paper 1 because the difference between them is not reliably recoverable from documentation older than the late 2000s, and it preserves the protoflight-versus-full-qualification distinction because that boundary is institutionally well defined and consistently described across the NASA verification standards literature</w:t>
      </w:r>
      <w:r>
        <w:t xml:space="preserve"> </w:t>
      </w:r>
      <w:hyperlink w:anchor="ref-18">
        <w:r>
          <w:rPr>
            <w:rStyle w:val="Hyperlink"/>
          </w:rPr>
          <w:t xml:space="preserve">[18]</w:t>
        </w:r>
      </w:hyperlink>
      <w:r>
        <w:t xml:space="preserve">. The continuous-versus-ordinal sensitivity analysis in Chapter 6 re-estimates the model with test rigor entered as a coarse ordinal and as a continuous index to confirm that the estimated coefficient is not an artifact of the coding scheme.</w:t>
      </w:r>
    </w:p>
    <w:p>
      <w:pPr>
        <w:pStyle w:val="BodyText"/>
        <w:spacing w:line="480" w:lineRule="auto"/>
        <w:ind w:firstLine="720"/>
      </w:pPr>
      <w:r>
        <w:t xml:space="preserve">In both papers, the construct definition is</w:t>
      </w:r>
      <w:r>
        <w:t xml:space="preserve"> </w:t>
      </w:r>
      <w:r>
        <w:rPr>
          <w:b/>
          <w:bCs/>
        </w:rPr>
        <w:t xml:space="preserve">closed-loop coverage of the integration-level interfaces that the failure literature identifies as the modal anomaly site</w:t>
      </w:r>
      <w:r>
        <w:t xml:space="preserve">. A campaign that exercises subsystems in isolation, however thoroughly, does not satisfy the HIL construct; a campaign that closes the loop between flight or flight-equivalent hardware and a real-time simulation of the space environment does. This definition is operationalized through the testbed grammar of the HIL methodology literature</w:t>
      </w:r>
      <w:r>
        <w:t xml:space="preserve"> </w:t>
      </w:r>
      <w:hyperlink w:anchor="ref-1">
        <w:r>
          <w:rPr>
            <w:rStyle w:val="Hyperlink"/>
          </w:rPr>
          <w:t xml:space="preserve">[1]</w:t>
        </w:r>
      </w:hyperlink>
      <w:r>
        <w:t xml:space="preserve">[2][3][4][31][32] and through the verification-artifact discipline of Montalvo et al. </w:t>
      </w:r>
      <w:hyperlink w:anchor="ref-15">
        <w:r>
          <w:rPr>
            <w:rStyle w:val="Hyperlink"/>
          </w:rPr>
          <w:t xml:space="preserve">[15]</w:t>
        </w:r>
      </w:hyperlink>
      <w:r>
        <w:t xml:space="preserve">, and it is the same definition that the prospectus identifies as the treatment of interest</w:t>
      </w:r>
      <w:r>
        <w:t xml:space="preserve"> </w:t>
      </w:r>
      <w:hyperlink w:anchor="ref-5">
        <w:r>
          <w:rPr>
            <w:rStyle w:val="Hyperlink"/>
          </w:rPr>
          <w:t xml:space="preserve">[5]</w:t>
        </w:r>
      </w:hyperlink>
      <w:r>
        <w:t xml:space="preserve">.</w:t>
      </w:r>
    </w:p>
    <w:bookmarkEnd w:id="89"/>
    <w:bookmarkStart w:id="90" w:name="covariates"/>
    <w:p>
      <w:pPr>
        <w:pStyle w:val="Heading2"/>
        <w:spacing w:line="480" w:lineRule="auto"/>
      </w:pPr>
      <w:r>
        <w:t xml:space="preserve">4.5 Covariates</w:t>
      </w:r>
    </w:p>
    <w:p>
      <w:pPr>
        <w:pStyle w:val="FirstParagraph"/>
        <w:spacing w:line="480" w:lineRule="auto"/>
      </w:pPr>
      <w:r>
        <w:t xml:space="preserve">Three covariates enter both specifications because the prospectus and the reliability literature identify them as the dominant confounders of the test-outcome relationship.</w:t>
      </w:r>
    </w:p>
    <w:p>
      <w:pPr>
        <w:pStyle w:val="BodyText"/>
        <w:spacing w:line="480" w:lineRule="auto"/>
        <w:ind w:firstLine="720"/>
      </w:pPr>
      <w:r>
        <w:t xml:space="preserve">The first is</w:t>
      </w:r>
      <w:r>
        <w:t xml:space="preserve"> </w:t>
      </w:r>
      <w:r>
        <w:rPr>
          <w:b/>
          <w:bCs/>
        </w:rPr>
        <w:t xml:space="preserve">mission complexity</w:t>
      </w:r>
      <w:r>
        <w:t xml:space="preserve">, which is proxied in Paper 2 by the natural logarithm of wet mass in kilograms. Mass is read from the mission-results paper for named missions and from the population distributional facts in Bouwmeester and Guo</w:t>
      </w:r>
      <w:r>
        <w:t xml:space="preserve"> </w:t>
      </w:r>
      <w:hyperlink w:anchor="ref-19">
        <w:r>
          <w:rPr>
            <w:rStyle w:val="Hyperlink"/>
          </w:rPr>
          <w:t xml:space="preserve">[19]</w:t>
        </w:r>
      </w:hyperlink>
      <w:r>
        <w:t xml:space="preserve"> </w:t>
      </w:r>
      <w:r>
        <w:t xml:space="preserve">for population-anchored rows. The logarithmic transformation reflects the diminishing marginal effect of mass on failure-mode count documented in the survey literature</w:t>
      </w:r>
      <w:r>
        <w:t xml:space="preserve"> </w:t>
      </w:r>
      <w:hyperlink w:anchor="ref-19">
        <w:r>
          <w:rPr>
            <w:rStyle w:val="Hyperlink"/>
          </w:rPr>
          <w:t xml:space="preserve">[19]</w:t>
        </w:r>
      </w:hyperlink>
      <w:r>
        <w:t xml:space="preserve">. In Paper 1, mission complexity enters implicitly through the builder-class and heritage covariates, because the binary outcome and the smaller sample do not support an additional continuous regressor without sacrificing degrees of freedom.</w:t>
      </w:r>
    </w:p>
    <w:p>
      <w:pPr>
        <w:pStyle w:val="BodyText"/>
        <w:spacing w:line="480" w:lineRule="auto"/>
        <w:ind w:firstLine="720"/>
      </w:pPr>
      <w:r>
        <w:t xml:space="preserve">The second is</w:t>
      </w:r>
      <w:r>
        <w:t xml:space="preserve"> </w:t>
      </w:r>
      <w:r>
        <w:rPr>
          <w:b/>
          <w:bCs/>
        </w:rPr>
        <w:t xml:space="preserve">organizational maturity</w:t>
      </w:r>
      <w:r>
        <w:t xml:space="preserve">, which is captured by two indicators in Paper 2 and one in Paper 1. The first-mission indicator takes the value one if the mission is the first launched vehicle from its builder organization and zero otherwise, with first-mission status read from the Swartwout database</w:t>
      </w:r>
      <w:r>
        <w:t xml:space="preserve"> </w:t>
      </w:r>
      <w:hyperlink w:anchor="ref-17">
        <w:r>
          <w:rPr>
            <w:rStyle w:val="Hyperlink"/>
          </w:rPr>
          <w:t xml:space="preserve">[17]</w:t>
        </w:r>
      </w:hyperlink>
      <w:r>
        <w:t xml:space="preserve"> </w:t>
      </w:r>
      <w:r>
        <w:t xml:space="preserve">and from the named flight-results papers for the seven individually documented missions. The professional-class indicator takes the value one if the mission is built by a professional builder, in the sense of the Swartwout taxonomy, and zero if it is a university-class build</w:t>
      </w:r>
      <w:r>
        <w:t xml:space="preserve"> </w:t>
      </w:r>
      <w:hyperlink w:anchor="ref-17">
        <w:r>
          <w:rPr>
            <w:rStyle w:val="Hyperlink"/>
          </w:rPr>
          <w:t xml:space="preserve">[17]</w:t>
        </w:r>
      </w:hyperlink>
      <w:r>
        <w:t xml:space="preserve">. In Paper 1, the two indicators are collapsed into the single professional-class indicator because the binary outcome does not support the additional first-mission term without overfitting.</w:t>
      </w:r>
    </w:p>
    <w:p>
      <w:pPr>
        <w:pStyle w:val="BodyText"/>
        <w:spacing w:line="480" w:lineRule="auto"/>
        <w:ind w:firstLine="720"/>
      </w:pPr>
      <w:r>
        <w:t xml:space="preserve">The third is</w:t>
      </w:r>
      <w:r>
        <w:t xml:space="preserve"> </w:t>
      </w:r>
      <w:r>
        <w:rPr>
          <w:b/>
          <w:bCs/>
        </w:rPr>
        <w:t xml:space="preserve">fly-learn-refly heritage</w:t>
      </w:r>
      <w:r>
        <w:t xml:space="preserve">, which is operationalized as the count of prior flight cycles experienced by the builder organization on the same or a directly comparable bus. Heritage is read from the Richardson et al. small-satellite trends study</w:t>
      </w:r>
      <w:r>
        <w:t xml:space="preserve"> </w:t>
      </w:r>
      <w:hyperlink w:anchor="ref-8">
        <w:r>
          <w:rPr>
            <w:rStyle w:val="Hyperlink"/>
          </w:rPr>
          <w:t xml:space="preserve">[8]</w:t>
        </w:r>
      </w:hyperlink>
      <w:r>
        <w:t xml:space="preserve"> </w:t>
      </w:r>
      <w:r>
        <w:t xml:space="preserve">for population-anchored rows and from the mission-results papers for the named missions. Heritage is correlated with both the professional-class indicator and the test-rigor variable, and the discussion in Chapters 5 and 6 returns to the implications of this correlation for the precision of the heritage coefficient.</w:t>
      </w:r>
    </w:p>
    <w:p>
      <w:pPr>
        <w:pStyle w:val="BodyText"/>
        <w:spacing w:line="480" w:lineRule="auto"/>
        <w:ind w:firstLine="720"/>
      </w:pPr>
      <w:r>
        <w:t xml:space="preserve">These three covariates are the minimum sufficient set that the prospectus identifies for the within-stratum interpretation of the test-rigor coefficient</w:t>
      </w:r>
      <w:r>
        <w:t xml:space="preserve"> </w:t>
      </w:r>
      <w:hyperlink w:anchor="ref-5">
        <w:r>
          <w:rPr>
            <w:rStyle w:val="Hyperlink"/>
          </w:rPr>
          <w:t xml:space="preserve">[5]</w:t>
        </w:r>
      </w:hyperlink>
      <w:r>
        <w:t xml:space="preserve">. Additional covariates such as orbit regime and launch-vehicle class are reported in the robustness analyses of Chapter 6 but do not enter the headline specification because they are either nearly collinear with mass or insufficiently documented across the sample to support inclusion without inflating the held-out fraction.</w:t>
      </w:r>
    </w:p>
    <w:bookmarkEnd w:id="90"/>
    <w:bookmarkStart w:id="91" w:name="coding-protocol"/>
    <w:p>
      <w:pPr>
        <w:pStyle w:val="Heading2"/>
        <w:spacing w:line="480" w:lineRule="auto"/>
      </w:pPr>
      <w:r>
        <w:t xml:space="preserve">4.6 Coding Protocol</w:t>
      </w:r>
    </w:p>
    <w:p>
      <w:pPr>
        <w:pStyle w:val="FirstParagraph"/>
        <w:spacing w:line="480" w:lineRule="auto"/>
      </w:pPr>
      <w:r>
        <w:t xml:space="preserve">The coding protocol is the procedure by which a documented mission is translated into a row of the analytic dataset. It is described here in sufficient detail that a second coder could replicate the panel.</w:t>
      </w:r>
    </w:p>
    <w:p>
      <w:pPr>
        <w:pStyle w:val="BodyText"/>
        <w:spacing w:line="480" w:lineRule="auto"/>
        <w:ind w:firstLine="720"/>
      </w:pPr>
      <w:r>
        <w:t xml:space="preserve">The protocol proceeds in five steps for each mission. First, the named flight-results paper or the population source is identified and read, and the unit of observation is fixed at the vehicle level. Second, the outcome is coded against the construct definition of Section 4.3, with the source document and the specific passage logged in the source column. Third, the treatment is coded against the construct definition of Section 4.4, with the testbed grammar of the HIL methodology literature</w:t>
      </w:r>
      <w:r>
        <w:t xml:space="preserve"> </w:t>
      </w:r>
      <w:hyperlink w:anchor="ref-1">
        <w:r>
          <w:rPr>
            <w:rStyle w:val="Hyperlink"/>
          </w:rPr>
          <w:t xml:space="preserve">[1]</w:t>
        </w:r>
      </w:hyperlink>
      <w:r>
        <w:t xml:space="preserve">[2][3][4][31] used as the reference for whether a documented campaign satisfies the full-HIL construct. Fourth, the covariates of Section 4.5 are coded against the named source documents, with population-anchored cells flagged in the source column and held below fifteen percent of observations in Paper 1 and below ten percent in Paper 2. Fifth, the coded row is reviewed against the population distributional facts in Langer-Bouwmeester</w:t>
      </w:r>
      <w:r>
        <w:t xml:space="preserve"> </w:t>
      </w:r>
      <w:hyperlink w:anchor="ref-7">
        <w:r>
          <w:rPr>
            <w:rStyle w:val="Hyperlink"/>
          </w:rPr>
          <w:t xml:space="preserve">[7]</w:t>
        </w:r>
      </w:hyperlink>
      <w:r>
        <w:t xml:space="preserve"> </w:t>
      </w:r>
      <w:r>
        <w:t xml:space="preserve">and Bouwmeester-Guo</w:t>
      </w:r>
      <w:r>
        <w:t xml:space="preserve"> </w:t>
      </w:r>
      <w:hyperlink w:anchor="ref-19">
        <w:r>
          <w:rPr>
            <w:rStyle w:val="Hyperlink"/>
          </w:rPr>
          <w:t xml:space="preserve">[19]</w:t>
        </w:r>
      </w:hyperlink>
      <w:r>
        <w:t xml:space="preserve"> </w:t>
      </w:r>
      <w:r>
        <w:t xml:space="preserve">to confirm that no individual cell is implausible relative to the documented population.</w:t>
      </w:r>
    </w:p>
    <w:p>
      <w:pPr>
        <w:pStyle w:val="BodyText"/>
        <w:spacing w:line="480" w:lineRule="auto"/>
        <w:ind w:firstLine="720"/>
      </w:pPr>
      <w:r>
        <w:t xml:space="preserve">A double-coding subsample is reserved for inter-coder reliability assessment. Roughly fifteen percent of the rows in each paper are independently coded by a second reader against the same source documents and the same construct definitions, and the agreement rate on the treatment variable is reported in Chapter 6 as a measurement-quality statistic. Disagreements are adjudicated by re-reading the source document and, where the disagreement persists, by demoting the cell to the next-lower level of the ordinal scale; this conservative resolution biases the estimated effect toward zero and is therefore preferred to a coin-flip resolution that would not.</w:t>
      </w:r>
    </w:p>
    <w:p>
      <w:pPr>
        <w:pStyle w:val="BodyText"/>
        <w:spacing w:line="480" w:lineRule="auto"/>
        <w:ind w:firstLine="720"/>
      </w:pPr>
      <w:r>
        <w:t xml:space="preserve">The coding protocol explicitly excludes imputation. Where a field cannot be established from the named source documents, the row is held out of the analytic dataset and the held-out fraction is reported as a coverage-completeness statistic. This rule is inherited directly from the prospectus and is enforced uniformly across the two papers</w:t>
      </w:r>
      <w:r>
        <w:t xml:space="preserve"> </w:t>
      </w:r>
      <w:hyperlink w:anchor="ref-5">
        <w:r>
          <w:rPr>
            <w:rStyle w:val="Hyperlink"/>
          </w:rPr>
          <w:t xml:space="preserve">[5]</w:t>
        </w:r>
      </w:hyperlink>
      <w:r>
        <w:t xml:space="preserve">.</w:t>
      </w:r>
    </w:p>
    <w:bookmarkEnd w:id="91"/>
    <w:bookmarkStart w:id="92" w:name="provenance-and-audit-trail"/>
    <w:p>
      <w:pPr>
        <w:pStyle w:val="Heading2"/>
        <w:spacing w:line="480" w:lineRule="auto"/>
      </w:pPr>
      <w:r>
        <w:t xml:space="preserve">4.7 Provenance and Audit Trail</w:t>
      </w:r>
    </w:p>
    <w:p>
      <w:pPr>
        <w:pStyle w:val="FirstParagraph"/>
        <w:spacing w:line="480" w:lineRule="auto"/>
      </w:pPr>
      <w:r>
        <w:t xml:space="preserve">Every coded cell in the analytic dataset is logged to its source document in the final column of the dataset. The provenance column records, for each cell, the named source from the enumeration of Section 4.2, the specific passage or table from which the value is read, and a flag indicating whether the cell is read directly from a named mission paper, coded against a population distribution, or marked as illustrative. The provenance column is the operational instrument by which the prospectus commitment to a public, reproducible panel is enforced</w:t>
      </w:r>
      <w:r>
        <w:t xml:space="preserve"> </w:t>
      </w:r>
      <w:hyperlink w:anchor="ref-5">
        <w:r>
          <w:rPr>
            <w:rStyle w:val="Hyperlink"/>
          </w:rPr>
          <w:t xml:space="preserve">[5]</w:t>
        </w:r>
      </w:hyperlink>
      <w:r>
        <w:t xml:space="preserve">.</w:t>
      </w:r>
    </w:p>
    <w:p>
      <w:pPr>
        <w:pStyle w:val="BodyText"/>
        <w:spacing w:line="480" w:lineRule="auto"/>
        <w:ind w:firstLine="720"/>
      </w:pPr>
      <w:r>
        <w:t xml:space="preserve">The audit trail extends to the testbed grammar used to code the treatment. For each row coded at the full-HIL level, the provenance column records which construct features of the HIL methodology literature</w:t>
      </w:r>
      <w:r>
        <w:t xml:space="preserve"> </w:t>
      </w:r>
      <w:hyperlink w:anchor="ref-1">
        <w:r>
          <w:rPr>
            <w:rStyle w:val="Hyperlink"/>
          </w:rPr>
          <w:t xml:space="preserve">[1]</w:t>
        </w:r>
      </w:hyperlink>
      <w:r>
        <w:t xml:space="preserve">[2][3][4][31] the documented campaign satisfies, so that a reader can verify the construct match without re-reading the entire methodological corpus. For each row coded below the full-HIL level, the provenance column records which construct features are documented as absent. This symmetric documentation of presence and absence is intended to make the construct boundary auditable rather than asserted.</w:t>
      </w:r>
    </w:p>
    <w:bookmarkEnd w:id="92"/>
    <w:bookmarkStart w:id="93" w:name="measurement-limitations"/>
    <w:p>
      <w:pPr>
        <w:pStyle w:val="Heading2"/>
        <w:spacing w:line="480" w:lineRule="auto"/>
      </w:pPr>
      <w:r>
        <w:t xml:space="preserve">4.8 Measurement Limitations</w:t>
      </w:r>
    </w:p>
    <w:p>
      <w:pPr>
        <w:pStyle w:val="FirstParagraph"/>
        <w:spacing w:line="480" w:lineRule="auto"/>
      </w:pPr>
      <w:r>
        <w:t xml:space="preserve">Four limitations of measurement are tolerated by the design and reported here rather than concealed.</w:t>
      </w:r>
    </w:p>
    <w:p>
      <w:pPr>
        <w:pStyle w:val="BodyText"/>
        <w:spacing w:line="480" w:lineRule="auto"/>
        <w:ind w:firstLine="720"/>
      </w:pPr>
      <w:r>
        <w:t xml:space="preserve">First,</w:t>
      </w:r>
      <w:r>
        <w:t xml:space="preserve"> </w:t>
      </w:r>
      <w:r>
        <w:rPr>
          <w:b/>
          <w:bCs/>
        </w:rPr>
        <w:t xml:space="preserve">classification error in the treatment variable</w:t>
      </w:r>
      <w:r>
        <w:t xml:space="preserve"> </w:t>
      </w:r>
      <w:r>
        <w:t xml:space="preserve">is inevitable because the documentation of pre-flight test campaigns varies in completeness across missions and eras. The conservative adjudication rule, the inter-coder reliability statistic, and the sensitivity analysis with test rigor entered both ordinally and continuously are the three instruments used to bound this error. The systematic-review evidence on radiation-hardness assurance approaches in commercial space avionics</w:t>
      </w:r>
      <w:r>
        <w:t xml:space="preserve"> </w:t>
      </w:r>
      <w:hyperlink w:anchor="ref-35">
        <w:r>
          <w:rPr>
            <w:rStyle w:val="Hyperlink"/>
          </w:rPr>
          <w:t xml:space="preserve">[35]</w:t>
        </w:r>
      </w:hyperlink>
      <w:r>
        <w:t xml:space="preserve"> </w:t>
      </w:r>
      <w:r>
        <w:t xml:space="preserve">confirms that verification-discipline reporting is heterogeneous even within recent and well-resourced programs, and the design tolerates this heterogeneity rather than pretending to eliminate it.</w:t>
      </w:r>
    </w:p>
    <w:p>
      <w:pPr>
        <w:pStyle w:val="BodyText"/>
        <w:spacing w:line="480" w:lineRule="auto"/>
        <w:ind w:firstLine="720"/>
      </w:pPr>
      <w:r>
        <w:t xml:space="preserve">Second,</w:t>
      </w:r>
      <w:r>
        <w:t xml:space="preserve"> </w:t>
      </w:r>
      <w:r>
        <w:rPr>
          <w:b/>
          <w:bCs/>
        </w:rPr>
        <w:t xml:space="preserve">outcome ascertainment bias</w:t>
      </w:r>
      <w:r>
        <w:t xml:space="preserve"> </w:t>
      </w:r>
      <w:r>
        <w:t xml:space="preserve">is present because anomaly reporting completeness varies by program and era. Better-documented programs may show more anomalies purely through reporting, and the placebo analysis in Chapter 6, which examines anomaly classes that the HIL mechanism cannot plausibly affect, is the principal instrument used to bound this bias.</w:t>
      </w:r>
    </w:p>
    <w:p>
      <w:pPr>
        <w:pStyle w:val="BodyText"/>
        <w:spacing w:line="480" w:lineRule="auto"/>
        <w:ind w:firstLine="720"/>
      </w:pPr>
      <w:r>
        <w:t xml:space="preserve">Third,</w:t>
      </w:r>
      <w:r>
        <w:t xml:space="preserve"> </w:t>
      </w:r>
      <w:r>
        <w:rPr>
          <w:b/>
          <w:bCs/>
        </w:rPr>
        <w:t xml:space="preserve">construct compression</w:t>
      </w:r>
      <w:r>
        <w:t xml:space="preserve"> </w:t>
      </w:r>
      <w:r>
        <w:t xml:space="preserve">is unavoidable in any ordinal scale. The four-level scale of Paper 1 and the three-level scale of Paper 2 each pool campaigns that differ in real but undocumented ways, and the dissertation does not claim that the ordinal coding recovers the full heterogeneity of pre-flight verification practice. The robustness analyses re-estimate across alternative codings to demonstrate that the headline coefficient is not an artifact of the scale.</w:t>
      </w:r>
    </w:p>
    <w:p>
      <w:pPr>
        <w:pStyle w:val="BodyText"/>
        <w:spacing w:line="480" w:lineRule="auto"/>
        <w:ind w:firstLine="720"/>
      </w:pPr>
      <w:r>
        <w:t xml:space="preserve">Fourth,</w:t>
      </w:r>
      <w:r>
        <w:t xml:space="preserve"> </w:t>
      </w:r>
      <w:r>
        <w:rPr>
          <w:b/>
          <w:bCs/>
        </w:rPr>
        <w:t xml:space="preserve">population anchoring</w:t>
      </w:r>
      <w:r>
        <w:t xml:space="preserve"> </w:t>
      </w:r>
      <w:r>
        <w:t xml:space="preserve">is used for the rows that cannot be individually documented, and those rows are flagged in the provenance column. Their inclusion is defensible because the population sources from which they are anchored are themselves authoritative</w:t>
      </w:r>
      <w:r>
        <w:t xml:space="preserve"> </w:t>
      </w:r>
      <w:hyperlink w:anchor="ref-6">
        <w:r>
          <w:rPr>
            <w:rStyle w:val="Hyperlink"/>
          </w:rPr>
          <w:t xml:space="preserve">[6]</w:t>
        </w:r>
      </w:hyperlink>
      <w:r>
        <w:t xml:space="preserve">[7][8][17][19], but their inclusion is also a measurement compromise, and the dissertation does not conceal that compromise.</w:t>
      </w:r>
    </w:p>
    <w:p>
      <w:pPr>
        <w:pStyle w:val="BodyText"/>
        <w:spacing w:line="480" w:lineRule="auto"/>
        <w:ind w:firstLine="720"/>
      </w:pPr>
      <w:r>
        <w:t xml:space="preserve">The measurement design described in this chapter is the one against which the estimators of Chapters 5 and 6 are run, and the audit trail of Section 4.7 is the one against which a reader may reconstruct the analytic dataset. The chapter has fixed the unit of analysis, named the authoritative sources, constructed the dependent and treatment variables from primary records, enumerated the covariates, specified the coding protocol, and reported the measurement limitations that the design tolerates. The estimation that follows rests on this foundation.</w:t>
      </w:r>
    </w:p>
    <w:bookmarkEnd w:id="93"/>
    <w:bookmarkEnd w:id="94"/>
    <w:bookmarkStart w:id="117" w:name="chapter-5.-methods-and-identification"/>
    <w:p>
      <w:pPr>
        <w:pStyle w:val="Heading1"/>
        <w:spacing w:line="480" w:lineRule="auto"/>
      </w:pPr>
      <w:r>
        <w:t xml:space="preserve">Chapter 5. Methods and Identification</w:t>
      </w:r>
    </w:p>
    <w:bookmarkStart w:id="95" w:name="overview-and-estimand"/>
    <w:p>
      <w:pPr>
        <w:pStyle w:val="Heading2"/>
        <w:spacing w:line="480" w:lineRule="auto"/>
      </w:pPr>
      <w:r>
        <w:t xml:space="preserve">5.1 Overview and Estimand</w:t>
      </w:r>
    </w:p>
    <w:p>
      <w:pPr>
        <w:pStyle w:val="FirstParagraph"/>
        <w:spacing w:line="480" w:lineRule="auto"/>
      </w:pPr>
      <w:r>
        <w:t xml:space="preserve">This chapter specifies the estimators, the identification strategy, and the threats to validity that bound the causal claim advanced in the prospectus. The estimand is unambiguous and singular: the average effect, on the first-year on-orbit anomaly outcome of a spacecraft, of moving one step up an ordered ladder of hardware-in-the-loop (HIL) test coverage, conditional on bus class, program, mission complexity, and organizational maturity. The two preparatory studies reported in Chapters 3 and 4 demonstrated that the relationship is recoverable in both binary</w:t>
      </w:r>
      <w:r>
        <w:t xml:space="preserve"> </w:t>
      </w:r>
      <w:hyperlink w:anchor="ref-7">
        <w:r>
          <w:rPr>
            <w:rStyle w:val="Hyperlink"/>
          </w:rPr>
          <w:t xml:space="preserve">[7]</w:t>
        </w:r>
      </w:hyperlink>
      <w:r>
        <w:t xml:space="preserve"> </w:t>
      </w:r>
      <w:r>
        <w:t xml:space="preserve">and ordinal severity</w:t>
      </w:r>
      <w:r>
        <w:t xml:space="preserve"> </w:t>
      </w:r>
      <w:hyperlink w:anchor="ref-16">
        <w:r>
          <w:rPr>
            <w:rStyle w:val="Hyperlink"/>
          </w:rPr>
          <w:t xml:space="preserve">[16]</w:t>
        </w:r>
      </w:hyperlink>
      <w:r>
        <w:t xml:space="preserve"> </w:t>
      </w:r>
      <w:r>
        <w:t xml:space="preserve">specifications across the small-satellite population, but with a magnitude that is sensitive to functional form, sample frame, and coding scheme. The dissertation now hardens those preparatory estimates into a single confirmatory result on a panel of NASA missions whose integration-and-test (I&amp;T) campaigns and post-launch anomaly histories are jointly observable through public documentation.</w:t>
      </w:r>
    </w:p>
    <w:p>
      <w:pPr>
        <w:pStyle w:val="BodyText"/>
        <w:spacing w:line="480" w:lineRule="auto"/>
        <w:ind w:firstLine="720"/>
      </w:pPr>
      <w:r>
        <w:t xml:space="preserve">The chapter is organized around four decisions. First, the choice of estimator must respect the count or ordinal nature of the outcome while remaining interpretable to a program-management audience. Second, the identification strategy must address the fact that HIL coverage is a chosen investment rather than an assigned treatment, and that the selection mechanism is correlated with the very mission characteristics that drive anomaly risk. Third, the measurement model must convert heterogeneous documentary evidence about test campaigns into a defensible coverage variable. Fourth, every named threat to validity must be paired with a specific empirical move that bounds, rather than waves away, the residual bias. The chapter closes with the pre-registered specification, the minimum detectable effect, and the falsification criterion that will govern the headline estimate.</w:t>
      </w:r>
    </w:p>
    <w:bookmarkEnd w:id="95"/>
    <w:bookmarkStart w:id="101" w:name="estimators"/>
    <w:p>
      <w:pPr>
        <w:pStyle w:val="Heading2"/>
        <w:spacing w:line="480" w:lineRule="auto"/>
      </w:pPr>
      <w:r>
        <w:t xml:space="preserve">5.2 Estimators</w:t>
      </w:r>
    </w:p>
    <w:bookmarkStart w:id="96" w:name="primary-count-specification"/>
    <w:p>
      <w:pPr>
        <w:pStyle w:val="Heading3"/>
        <w:spacing w:line="480" w:lineRule="auto"/>
      </w:pPr>
      <w:r>
        <w:t xml:space="preserve">5.2.1 Primary count specification</w:t>
      </w:r>
    </w:p>
    <w:p>
      <w:pPr>
        <w:pStyle w:val="FirstParagraph"/>
        <w:spacing w:line="480" w:lineRule="auto"/>
      </w:pPr>
      <w:r>
        <w:t xml:space="preserve">The primary outcome is the count of distinct on-orbit anomalies in the first 12 months of operations, attributed to the spacecraft rather than to its launch vehicle. Anomaly counts in spacecraft populations are well known to be overdispersed: a small fraction of vehicles contribute a disproportionate share of events, and the variance materially exceeds the mean. A Poisson model would therefore understate standard errors. I estimate a negative binomial regression with a log link, where the conditional mean of the anomaly count is a log-linear function of HIL coverage and the covariate vector, and the dispersion parameter is estimated freely from the data. This specification was foreshadowed in the prospectus and is retained here because it accommodates overdispersion without imposing the strong distributional restrictions of a zero-inflated alternative.</w:t>
      </w:r>
    </w:p>
    <w:p>
      <w:pPr>
        <w:pStyle w:val="BodyText"/>
        <w:spacing w:line="480" w:lineRule="auto"/>
        <w:ind w:firstLine="720"/>
      </w:pPr>
      <w:r>
        <w:t xml:space="preserve">The negative binomial is estimated by maximum likelihood with cluster-robust standard errors at the program level, which is the level at which I&amp;T campaign decisions and reporting conventions are jointly determined. Reporting includes the incidence rate ratio (IRR) on the HIL coverage coefficient, its 95 percent confidence interval, and the implied change in expected anomaly count per one-step move up the coverage ladder evaluated at sample means.</w:t>
      </w:r>
    </w:p>
    <w:bookmarkEnd w:id="96"/>
    <w:bookmarkStart w:id="97" w:name="secondary-ordinal-specification"/>
    <w:p>
      <w:pPr>
        <w:pStyle w:val="Heading3"/>
        <w:spacing w:line="480" w:lineRule="auto"/>
      </w:pPr>
      <w:r>
        <w:t xml:space="preserve">5.2.2 Secondary ordinal specification</w:t>
      </w:r>
    </w:p>
    <w:p>
      <w:pPr>
        <w:pStyle w:val="FirstParagraph"/>
        <w:spacing w:line="480" w:lineRule="auto"/>
      </w:pPr>
      <w:r>
        <w:t xml:space="preserve">A parallel specification preserves the analytical bridge to the second preparatory paper, which treated anomaly severity as a three-level ordinal index</w:t>
      </w:r>
      <w:r>
        <w:t xml:space="preserve"> </w:t>
      </w:r>
      <w:hyperlink w:anchor="ref-16">
        <w:r>
          <w:rPr>
            <w:rStyle w:val="Hyperlink"/>
          </w:rPr>
          <w:t xml:space="preserve">[16]</w:t>
        </w:r>
      </w:hyperlink>
      <w:r>
        <w:t xml:space="preserve">. I re-estimate the central relationship as an ordered logit on the same severity coding, with the same covariates, and report both the test-rigor coefficient and the implied marginal effects on the probability of each severity tier. The ordered logit and the negative binomial answer related but non-identical questions: the count model targets the rate of events, while the ordered model targets the severity of the worst event. Agreement across the two specifications strengthens the substantive claim; disagreement is itself diagnostic and would direct the discussion toward whether HIL coverage shortens the tail of the severity distribution without changing the modal outcome, or vice versa.</w:t>
      </w:r>
    </w:p>
    <w:bookmarkEnd w:id="97"/>
    <w:bookmarkStart w:id="98" w:name="fixed-effects-panel-estimator"/>
    <w:p>
      <w:pPr>
        <w:pStyle w:val="Heading3"/>
        <w:spacing w:line="480" w:lineRule="auto"/>
      </w:pPr>
      <w:r>
        <w:t xml:space="preserve">5.2.3 Fixed-effects panel estimator</w:t>
      </w:r>
    </w:p>
    <w:p>
      <w:pPr>
        <w:pStyle w:val="FirstParagraph"/>
        <w:spacing w:line="480" w:lineRule="auto"/>
      </w:pPr>
      <w:r>
        <w:t xml:space="preserve">Selection on stable program-level and bus-level characteristics is the dominant identification threat. The negative binomial is therefore augmented to a fixed-effects panel specification in which program-level intercepts absorb any time-invariant confounder that operates at the program level, and bus-class intercepts absorb the systematic differences in baseline reliability across, for example, a SMEX-class bus and a flagship-class bus. Within-program and within-bus variation in HIL coverage is the identifying variation. This restricts the effective sample to programs and buses that exhibit non-zero variation in HIL coverage across their member vehicles, which is documented to exist in the NASA small-spacecraft population and was the operative variation in the cross-section estimate of Chapter 4</w:t>
      </w:r>
      <w:r>
        <w:t xml:space="preserve"> </w:t>
      </w:r>
      <w:hyperlink w:anchor="ref-16">
        <w:r>
          <w:rPr>
            <w:rStyle w:val="Hyperlink"/>
          </w:rPr>
          <w:t xml:space="preserve">[16]</w:t>
        </w:r>
      </w:hyperlink>
      <w:r>
        <w:t xml:space="preserve">. The panel is unbalanced, and missions for which only one observation is available within a program-bus cell are retained for the pooled negative binomial specification but contribute no identifying variation to the fixed-effects estimator.</w:t>
      </w:r>
    </w:p>
    <w:bookmarkEnd w:id="98"/>
    <w:bookmarkStart w:id="99" w:name="Xf02285ca140a1b87b9d6ea1120c55068110e0c2"/>
    <w:p>
      <w:pPr>
        <w:pStyle w:val="Heading3"/>
        <w:spacing w:line="480" w:lineRule="auto"/>
      </w:pPr>
      <w:r>
        <w:t xml:space="preserve">5.2.4 Difference-in-differences adoption design</w:t>
      </w:r>
    </w:p>
    <w:p>
      <w:pPr>
        <w:pStyle w:val="FirstParagraph"/>
        <w:spacing w:line="480" w:lineRule="auto"/>
      </w:pPr>
      <w:r>
        <w:t xml:space="preserve">The fixed-effects panel removes time-invariant confounders. It does not remove within-program drift in mission ambition correlated with the decision to invest in a HIL bench. The third estimator addresses that drift directly. A difference-in-differences (DiD) specification is keyed to discrete adoption events, defined as the first build of a given bus class within a program to undergo HIL testing of its GNC and avionics interfaces. The treatment indicator is the interaction of a post-adoption dummy with a treated-program dummy. The comparison group is contemporaneous builds of the same bus class, in programs that had not yet adopted HIL, launched within a defined event window. The DiD coefficient is the average change in anomaly outcomes across the adoption boundary, net of the contemporaneous change in non-adopting builds. The identifying assumption is parallel pre-trends in anomaly outcomes between the two groups, which is examined by inspection and tested on the pre-adoption sub-sample using a placebo lead specification.</w:t>
      </w:r>
    </w:p>
    <w:p>
      <w:pPr>
        <w:pStyle w:val="BodyText"/>
        <w:spacing w:line="480" w:lineRule="auto"/>
        <w:ind w:firstLine="720"/>
      </w:pPr>
      <w:r>
        <w:t xml:space="preserve">The DiD design is the closest the available record permits to an event-study estimate of HIL effectiveness. Its identifying variation is qualitatively different from the panel estimator’s: the panel exploits cross-vehicle variation within a stable I&amp;T regime, while the DiD exploits a discrete regime change. Concordance between the two strengthens external as well as internal validity.</w:t>
      </w:r>
    </w:p>
    <w:bookmarkEnd w:id="99"/>
    <w:bookmarkStart w:id="100" w:name="robustness-estimators-and-placebo"/>
    <w:p>
      <w:pPr>
        <w:pStyle w:val="Heading3"/>
        <w:spacing w:line="480" w:lineRule="auto"/>
      </w:pPr>
      <w:r>
        <w:t xml:space="preserve">5.2.5 Robustness estimators and placebo</w:t>
      </w:r>
    </w:p>
    <w:p>
      <w:pPr>
        <w:pStyle w:val="FirstParagraph"/>
        <w:spacing w:line="480" w:lineRule="auto"/>
      </w:pPr>
      <w:r>
        <w:t xml:space="preserve">Three additional specifications are estimated as standard robustness moves rather than as competing primaries. First, a zero-inflated negative binomial accommodates the possibility that some vehicles face a structurally zero anomaly rate, for example because of a short on-orbit lifespan that truncates the observation window. Second, the outcome window is widened to 24 months and narrowed to 6 months to check that the headline estimate is not an artifact of the 12-month convention. Third, the outcome is restricted to GNC-attributable anomalies, the failure class to which the HIL benches in the descriptive literature are most directly addressed</w:t>
      </w:r>
      <w:r>
        <w:t xml:space="preserve"> </w:t>
      </w:r>
      <w:hyperlink w:anchor="ref-1">
        <w:r>
          <w:rPr>
            <w:rStyle w:val="Hyperlink"/>
          </w:rPr>
          <w:t xml:space="preserve">[1]</w:t>
        </w:r>
      </w:hyperlink>
      <w:r>
        <w:t xml:space="preserve">[2][3][4][31]; the restricted-outcome estimate should be at least as negative as the all-cause estimate if the proposed mechanism is operative.</w:t>
      </w:r>
    </w:p>
    <w:p>
      <w:pPr>
        <w:pStyle w:val="BodyText"/>
        <w:spacing w:line="480" w:lineRule="auto"/>
        <w:ind w:firstLine="720"/>
      </w:pPr>
      <w:r>
        <w:t xml:space="preserve">The placebo specification re-estimates the headline regression with the outcome replaced by the count of launch-vehicle-induced damage events, which HIL ground testing of the spacecraft cannot plausibly affect. A statistically distinguishable negative effect of HIL coverage on this placebo outcome would falsify a causal reading of the headline estimate and would suggest residual confounding by a program-quality variable that influences both ground test investment and the placebo outcome.</w:t>
      </w:r>
    </w:p>
    <w:bookmarkEnd w:id="100"/>
    <w:bookmarkEnd w:id="101"/>
    <w:bookmarkStart w:id="107" w:name="identification-strategy"/>
    <w:p>
      <w:pPr>
        <w:pStyle w:val="Heading2"/>
        <w:spacing w:line="480" w:lineRule="auto"/>
      </w:pPr>
      <w:r>
        <w:t xml:space="preserve">5.3 Identification Strategy</w:t>
      </w:r>
    </w:p>
    <w:bookmarkStart w:id="102" w:name="the-selection-problem"/>
    <w:p>
      <w:pPr>
        <w:pStyle w:val="Heading3"/>
        <w:spacing w:line="480" w:lineRule="auto"/>
      </w:pPr>
      <w:r>
        <w:t xml:space="preserve">5.3.1 The selection problem</w:t>
      </w:r>
    </w:p>
    <w:p>
      <w:pPr>
        <w:pStyle w:val="FirstParagraph"/>
        <w:spacing w:line="480" w:lineRule="auto"/>
      </w:pPr>
      <w:r>
        <w:t xml:space="preserve">The central identification problem is that HIL coverage is chosen by the program, not assigned. The same factors that raise a program’s willingness to invest in a HIL bench, novel GNC, proximity operations, demanding pointing requirements, or first-of-a-kind avionics, also raise the unconditional anomaly risk of the vehicle. A naive cross-sectional regression therefore biases the HIL coefficient toward zero or even toward positive territory. This selection mechanism was visible in both preparatory studies: the cross-section in Chapter 3</w:t>
      </w:r>
      <w:r>
        <w:t xml:space="preserve"> </w:t>
      </w:r>
      <w:hyperlink w:anchor="ref-7">
        <w:r>
          <w:rPr>
            <w:rStyle w:val="Hyperlink"/>
          </w:rPr>
          <w:t xml:space="preserve">[7]</w:t>
        </w:r>
      </w:hyperlink>
      <w:r>
        <w:t xml:space="preserve"> </w:t>
      </w:r>
      <w:r>
        <w:t xml:space="preserve">required conditioning on builder class and heritage to reveal the negative association, and the fixed-effects specification in Chapter 4</w:t>
      </w:r>
      <w:r>
        <w:t xml:space="preserve"> </w:t>
      </w:r>
      <w:hyperlink w:anchor="ref-16">
        <w:r>
          <w:rPr>
            <w:rStyle w:val="Hyperlink"/>
          </w:rPr>
          <w:t xml:space="preserve">[16]</w:t>
        </w:r>
      </w:hyperlink>
      <w:r>
        <w:t xml:space="preserve"> </w:t>
      </w:r>
      <w:r>
        <w:t xml:space="preserve">required mass and maturity controls before the test-rigor coefficient stabilized in the hypothesized direction. The dissertation therefore inherits the lesson and addresses selection at three layers.</w:t>
      </w:r>
    </w:p>
    <w:bookmarkEnd w:id="102"/>
    <w:bookmarkStart w:id="103" w:name="conditioning-on-observables"/>
    <w:p>
      <w:pPr>
        <w:pStyle w:val="Heading3"/>
        <w:spacing w:line="480" w:lineRule="auto"/>
      </w:pPr>
      <w:r>
        <w:t xml:space="preserve">5.3.2 Conditioning on observables</w:t>
      </w:r>
    </w:p>
    <w:p>
      <w:pPr>
        <w:pStyle w:val="FirstParagraph"/>
        <w:spacing w:line="480" w:lineRule="auto"/>
      </w:pPr>
      <w:r>
        <w:t xml:space="preserve">The first layer conditions on observable covariates that proxy for the mission characteristics likely to drive both HIL adoption and anomaly risk. The covariate set comprises subsystem count, GNC novelty (coded as a binary for the introduction of a star tracker, IMU, or estimator architecture not previously flown by the program), orbit regime, the natural log of wet mass, a first-mission-for-the-program indicator, and a professional-class indicator. The mass and class controls are inherited directly from the Chapter 4 specification</w:t>
      </w:r>
      <w:r>
        <w:t xml:space="preserve"> </w:t>
      </w:r>
      <w:hyperlink w:anchor="ref-16">
        <w:r>
          <w:rPr>
            <w:rStyle w:val="Hyperlink"/>
          </w:rPr>
          <w:t xml:space="preserve">[16]</w:t>
        </w:r>
      </w:hyperlink>
      <w:r>
        <w:t xml:space="preserve">; the GNC novelty term is added because the descriptive HIL literature is dominated by GNC validation testbeds and because GNC novelty is the most likely unobserved driver of HIL adoption</w:t>
      </w:r>
      <w:r>
        <w:t xml:space="preserve"> </w:t>
      </w:r>
      <w:hyperlink w:anchor="ref-3">
        <w:r>
          <w:rPr>
            <w:rStyle w:val="Hyperlink"/>
          </w:rPr>
          <w:t xml:space="preserve">[3]</w:t>
        </w:r>
      </w:hyperlink>
      <w:r>
        <w:t xml:space="preserve">[4][31]. The complexity vector is treated as proxies, not as exhaustive controls, and the residual selection problem is addressed by the fixed effects and the DiD design rather than by a forlorn search for additional covariates.</w:t>
      </w:r>
    </w:p>
    <w:bookmarkEnd w:id="103"/>
    <w:bookmarkStart w:id="104" w:name="X1445392a97cd8880d81f519241ae36e381fbb59"/>
    <w:p>
      <w:pPr>
        <w:pStyle w:val="Heading3"/>
        <w:spacing w:line="480" w:lineRule="auto"/>
      </w:pPr>
      <w:r>
        <w:t xml:space="preserve">5.3.3 Within-unit variation as identifying variation</w:t>
      </w:r>
    </w:p>
    <w:p>
      <w:pPr>
        <w:pStyle w:val="FirstParagraph"/>
        <w:spacing w:line="480" w:lineRule="auto"/>
      </w:pPr>
      <w:r>
        <w:t xml:space="preserve">A second layer follows: the fixed-effects panel estimator described in 5.2.3. By absorbing program-level and bus-class intercepts, it forces the identifying variation in HIL coverage to come from within rather than between programs. Two empirical features of the NASA small-spacecraft record make this feasible. First, programs that fly multiple vehicles on the same bus exhibit non-zero variation in HIL adoption across builds, often because a bench was constructed for a later mission and was not retroactively applied to the earlier one</w:t>
      </w:r>
      <w:r>
        <w:t xml:space="preserve"> </w:t>
      </w:r>
      <w:hyperlink w:anchor="ref-16">
        <w:r>
          <w:rPr>
            <w:rStyle w:val="Hyperlink"/>
          </w:rPr>
          <w:t xml:space="preserve">[16]</w:t>
        </w:r>
      </w:hyperlink>
      <w:r>
        <w:t xml:space="preserve">. Second, the protoflight tradition, which has been a stable feature of NASA practice since the 1960s</w:t>
      </w:r>
      <w:r>
        <w:t xml:space="preserve"> </w:t>
      </w:r>
      <w:hyperlink w:anchor="ref-18">
        <w:r>
          <w:rPr>
            <w:rStyle w:val="Hyperlink"/>
          </w:rPr>
          <w:t xml:space="preserve">[18]</w:t>
        </w:r>
      </w:hyperlink>
      <w:r>
        <w:t xml:space="preserve">, generates within-program comparisons in which test rigor varies across otherwise similar vehicles. The within-program comparison is the identifying contrast the dissertation exploits.</w:t>
      </w:r>
    </w:p>
    <w:bookmarkEnd w:id="104"/>
    <w:bookmarkStart w:id="105" w:name="X02747a50304585c5cf1f517b575eae7731dea9a"/>
    <w:p>
      <w:pPr>
        <w:pStyle w:val="Heading3"/>
        <w:spacing w:line="480" w:lineRule="auto"/>
      </w:pPr>
      <w:r>
        <w:t xml:space="preserve">5.3.4 Discrete regime change as quasi-experiment</w:t>
      </w:r>
    </w:p>
    <w:p>
      <w:pPr>
        <w:pStyle w:val="FirstParagraph"/>
        <w:spacing w:line="480" w:lineRule="auto"/>
      </w:pPr>
      <w:r>
        <w:t xml:space="preserve">A third layer closes the strategy: the DiD adoption design described in 5.2.4. The identifying variation is the discrete moment at which a program transitions from non-HIL to HIL coverage for a given bus class. This regime change is, in the spacecraft population available, the closest available analog to random assignment of treatment. It is not random: programs that adopt HIL do so for reasons. But the regime change is local in time, the comparison group is observable, and the parallel-trends assumption can be examined directly on pre-adoption anomaly rates. The DiD design is therefore the principal robustness check on the panel estimator, and concordance between the two estimators is the empirical signature that the negative coefficient on HIL coverage reflects something more than residual selection.</w:t>
      </w:r>
    </w:p>
    <w:bookmarkEnd w:id="105"/>
    <w:bookmarkStart w:id="106" w:name="measurement-of-hil-coverage"/>
    <w:p>
      <w:pPr>
        <w:pStyle w:val="Heading3"/>
        <w:spacing w:line="480" w:lineRule="auto"/>
      </w:pPr>
      <w:r>
        <w:t xml:space="preserve">5.3.5 Measurement of HIL coverage</w:t>
      </w:r>
    </w:p>
    <w:p>
      <w:pPr>
        <w:pStyle w:val="FirstParagraph"/>
        <w:spacing w:line="480" w:lineRule="auto"/>
      </w:pPr>
      <w:r>
        <w:t xml:space="preserve">Identification depends on the integrity of the treatment variable as much as on the design. HIL coverage is coded from primary I&amp;T documentation in the NTRS corpus and the NASA Engineering Network Lessons Learned Information System. The coding follows the ordinal ladder validated in Chapter 4</w:t>
      </w:r>
      <w:r>
        <w:t xml:space="preserve"> </w:t>
      </w:r>
      <w:hyperlink w:anchor="ref-16">
        <w:r>
          <w:rPr>
            <w:rStyle w:val="Hyperlink"/>
          </w:rPr>
          <w:t xml:space="preserve">[16]</w:t>
        </w:r>
      </w:hyperlink>
      <w:r>
        <w:t xml:space="preserve">: bench checkout only; protoflight environmental campaign; full qualification with system-level environmental testing and integrated HIL of GNC and avionics interfaces. A continuous coverage variable, defined as the fraction of GNC and avionics interfaces exercised in closed loop against flight or flight-equivalent hardware</w:t>
      </w:r>
      <w:r>
        <w:t xml:space="preserve"> </w:t>
      </w:r>
      <w:hyperlink w:anchor="ref-11">
        <w:r>
          <w:rPr>
            <w:rStyle w:val="Hyperlink"/>
          </w:rPr>
          <w:t xml:space="preserve">[11]</w:t>
        </w:r>
      </w:hyperlink>
      <w:r>
        <w:t xml:space="preserve">[31], is constructed in parallel and used in the secondary specifications. Inter-coder reliability is reported on a double-coded subsample of at least 20 percent of vehicles. Where primary documentation is insufficient to establish coverage, the vehicle is held out rather than imputed, and the held-out fraction is reported as a coverage-completeness statistic. No HIL coverage value is imputed from program-level descriptive statistics; this discipline is the methodological correction to the illustrative-cell problem flagged in Chapters 3 and 4.</w:t>
      </w:r>
    </w:p>
    <w:bookmarkEnd w:id="106"/>
    <w:bookmarkEnd w:id="107"/>
    <w:bookmarkStart w:id="114" w:name="threats-to-validity-and-their-bounds"/>
    <w:p>
      <w:pPr>
        <w:pStyle w:val="Heading2"/>
        <w:spacing w:line="480" w:lineRule="auto"/>
      </w:pPr>
      <w:r>
        <w:t xml:space="preserve">5.4 Threats to Validity and Their Bounds</w:t>
      </w:r>
    </w:p>
    <w:p>
      <w:pPr>
        <w:pStyle w:val="FirstParagraph"/>
        <w:spacing w:line="480" w:lineRule="auto"/>
      </w:pPr>
      <w:r>
        <w:t xml:space="preserve">The validity discussion follows the prospectus inventory but tightens each threat with the specific empirical move that bounds it.</w:t>
      </w:r>
    </w:p>
    <w:bookmarkStart w:id="108" w:name="selection-on-unobserved-complexity"/>
    <w:p>
      <w:pPr>
        <w:pStyle w:val="Heading3"/>
        <w:spacing w:line="480" w:lineRule="auto"/>
      </w:pPr>
      <w:r>
        <w:t xml:space="preserve">5.4.1 Selection on unobserved complexity</w:t>
      </w:r>
    </w:p>
    <w:p>
      <w:pPr>
        <w:pStyle w:val="FirstParagraph"/>
        <w:spacing w:line="480" w:lineRule="auto"/>
      </w:pPr>
      <w:r>
        <w:t xml:space="preserve">The most consequential residual threat is selection on unobserved within-program shifts in mission ambition. The fixed-effects panel absorbs the time-invariant component; the DiD design absorbs the regime-change component; the GNC novelty covariate proxies for the most likely remaining channel. The residual bias is signed: if more ambitious missions are both more likely to adopt HIL and more likely to suffer anomalies, residual selection attenuates a true negative effect of HIL toward zero. Any rejection of H0 in the negative direction is therefore a conservative inference. This is the same signed-bias argument articulated in the prospectus, now operationalized by reporting both the unconditional and the fully conditioned estimate and treating the gap between them as a quantification of the selection channel.</w:t>
      </w:r>
    </w:p>
    <w:bookmarkEnd w:id="108"/>
    <w:bookmarkStart w:id="109" w:name="measurement-of-hil-coverage-1"/>
    <w:p>
      <w:pPr>
        <w:pStyle w:val="Heading3"/>
        <w:spacing w:line="480" w:lineRule="auto"/>
      </w:pPr>
      <w:r>
        <w:t xml:space="preserve">5.4.2 Measurement of HIL coverage</w:t>
      </w:r>
    </w:p>
    <w:p>
      <w:pPr>
        <w:pStyle w:val="FirstParagraph"/>
        <w:spacing w:line="480" w:lineRule="auto"/>
      </w:pPr>
      <w:r>
        <w:t xml:space="preserve">Coverage coded from documentation of variable completeness introduces classification error. Two empirical moves bound the threat. First, inter-coder reliability on the double-coded subsample is reported as Cohen’s kappa, and the headline specification is re-estimated on the subsample of unanimously coded vehicles; concordance of the coefficient across the full and unanimous samples bounds the role of disagreement. Second, the ordinal coding and the continuous fraction-of-interfaces coding are estimated in parallel; concordance across the two metrics bounds the role of any single coding convention. Both moves were absent from the preparatory studies and are introduced here as part of the confirmatory discipline.</w:t>
      </w:r>
    </w:p>
    <w:bookmarkEnd w:id="109"/>
    <w:bookmarkStart w:id="110" w:name="outcome-ascertainment-bias"/>
    <w:p>
      <w:pPr>
        <w:pStyle w:val="Heading3"/>
        <w:spacing w:line="480" w:lineRule="auto"/>
      </w:pPr>
      <w:r>
        <w:t xml:space="preserve">5.4.3 Outcome ascertainment bias</w:t>
      </w:r>
    </w:p>
    <w:p>
      <w:pPr>
        <w:pStyle w:val="FirstParagraph"/>
        <w:spacing w:line="480" w:lineRule="auto"/>
      </w:pPr>
      <w:r>
        <w:t xml:space="preserve">Anomaly reporting completeness varies across programs and eras. Program fixed effects absorb the level component, and an era dummy absorbs the secular component associated with the migration to standardized NTRS reporting after the mid-2000s. The placebo specification on launch-vehicle-induced damage events provides a check that any estimated negative effect of HIL coverage is not an artifact of differential reporting: differential reporting would in general also affect the placebo outcome, and a null on the placebo combined with a negative coefficient on the headline is incompatible with reporting bias as the sole driver. The model-driven engineering literature on automated test-procedure frameworks</w:t>
      </w:r>
      <w:r>
        <w:t xml:space="preserve"> </w:t>
      </w:r>
      <w:hyperlink w:anchor="ref-15">
        <w:r>
          <w:rPr>
            <w:rStyle w:val="Hyperlink"/>
          </w:rPr>
          <w:t xml:space="preserve">[15]</w:t>
        </w:r>
      </w:hyperlink>
      <w:r>
        <w:t xml:space="preserve"> </w:t>
      </w:r>
      <w:r>
        <w:t xml:space="preserve">also supports the interpretation that more rigorous I&amp;T programs generate more, not fewer, documented anomalies on the ground, which means any residual reporting bias in flight anomalies should, if anything, attenuate the HIL coefficient.</w:t>
      </w:r>
    </w:p>
    <w:bookmarkEnd w:id="110"/>
    <w:bookmarkStart w:id="111" w:name="external-validity"/>
    <w:p>
      <w:pPr>
        <w:pStyle w:val="Heading3"/>
        <w:spacing w:line="480" w:lineRule="auto"/>
      </w:pPr>
      <w:r>
        <w:t xml:space="preserve">5.4.4 External validity</w:t>
      </w:r>
    </w:p>
    <w:p>
      <w:pPr>
        <w:pStyle w:val="FirstParagraph"/>
        <w:spacing w:line="480" w:lineRule="auto"/>
      </w:pPr>
      <w:r>
        <w:t xml:space="preserve">The panel is NASA-centric. The estimate generalizes to civil-space integration practice and not necessarily to commercial or defense buses, where the I&amp;T regime and the reporting conventions both differ. The scope limit is stated as a limit and not concealed. The cross-validation of the central direction against the descriptive CubeSat literature</w:t>
      </w:r>
      <w:r>
        <w:t xml:space="preserve"> </w:t>
      </w:r>
      <w:hyperlink w:anchor="ref-6">
        <w:r>
          <w:rPr>
            <w:rStyle w:val="Hyperlink"/>
          </w:rPr>
          <w:t xml:space="preserve">[6]</w:t>
        </w:r>
      </w:hyperlink>
      <w:r>
        <w:t xml:space="preserve">[7][8][17][19] and the protoflight tradition</w:t>
      </w:r>
      <w:r>
        <w:t xml:space="preserve"> </w:t>
      </w:r>
      <w:hyperlink w:anchor="ref-18">
        <w:r>
          <w:rPr>
            <w:rStyle w:val="Hyperlink"/>
          </w:rPr>
          <w:t xml:space="preserve">[18]</w:t>
        </w:r>
      </w:hyperlink>
      <w:r>
        <w:t xml:space="preserve"> </w:t>
      </w:r>
      <w:r>
        <w:t xml:space="preserve">provides indirect support for transportability of the sign of the effect; the magnitude is not transported.</w:t>
      </w:r>
    </w:p>
    <w:bookmarkEnd w:id="111"/>
    <w:bookmarkStart w:id="112" w:name="construct-validity-of-the-outcome-window"/>
    <w:p>
      <w:pPr>
        <w:pStyle w:val="Heading3"/>
        <w:spacing w:line="480" w:lineRule="auto"/>
      </w:pPr>
      <w:r>
        <w:t xml:space="preserve">5.4.5 Construct validity of the outcome window</w:t>
      </w:r>
    </w:p>
    <w:p>
      <w:pPr>
        <w:pStyle w:val="FirstParagraph"/>
        <w:spacing w:line="480" w:lineRule="auto"/>
      </w:pPr>
      <w:r>
        <w:t xml:space="preserve">A 12-month window may miss latent faults that surface later and may capture infant-mortality failures unrelated to integration practice. The robustness analysis re-estimates the headline regression with 6-month and 24-month windows. Stability of the sign and order of magnitude of the coefficient across the three windows bounds the threat that the headline result is an artifact of the convention. If the coefficient is sensitive to the window, the discussion will report the window-by-window pattern and let the substantive interpretation follow the data rather than the convention.</w:t>
      </w:r>
    </w:p>
    <w:bookmarkEnd w:id="112"/>
    <w:bookmarkStart w:id="113" w:name="treatment-heterogeneity"/>
    <w:p>
      <w:pPr>
        <w:pStyle w:val="Heading3"/>
        <w:spacing w:line="480" w:lineRule="auto"/>
      </w:pPr>
      <w:r>
        <w:t xml:space="preserve">5.4.6 Treatment heterogeneity</w:t>
      </w:r>
    </w:p>
    <w:p>
      <w:pPr>
        <w:pStyle w:val="FirstParagraph"/>
        <w:spacing w:line="480" w:lineRule="auto"/>
      </w:pPr>
      <w:r>
        <w:t xml:space="preserve">A final threat, not flagged in the prospectus but elevated by the preparatory studies, is treatment-effect heterogeneity. HIL coverage may matter more for novel GNC architectures</w:t>
      </w:r>
      <w:r>
        <w:t xml:space="preserve"> </w:t>
      </w:r>
      <w:hyperlink w:anchor="ref-2">
        <w:r>
          <w:rPr>
            <w:rStyle w:val="Hyperlink"/>
          </w:rPr>
          <w:t xml:space="preserve">[2]</w:t>
        </w:r>
      </w:hyperlink>
      <w:r>
        <w:t xml:space="preserve">[3][4][31][32], more for vehicles with autonomous fault-detection demands</w:t>
      </w:r>
      <w:r>
        <w:t xml:space="preserve"> </w:t>
      </w:r>
      <w:hyperlink w:anchor="ref-26">
        <w:r>
          <w:rPr>
            <w:rStyle w:val="Hyperlink"/>
          </w:rPr>
          <w:t xml:space="preserve">[26]</w:t>
        </w:r>
      </w:hyperlink>
      <w:r>
        <w:t xml:space="preserve">, and less for vehicles whose flight envelope has been thoroughly exercised by prior heritage</w:t>
      </w:r>
      <w:r>
        <w:t xml:space="preserve"> </w:t>
      </w:r>
      <w:hyperlink w:anchor="ref-8">
        <w:r>
          <w:rPr>
            <w:rStyle w:val="Hyperlink"/>
          </w:rPr>
          <w:t xml:space="preserve">[8]</w:t>
        </w:r>
      </w:hyperlink>
      <w:r>
        <w:t xml:space="preserve">[17]. I therefore report the headline estimate alongside subgroup estimates on the GNC-novelty, first-mission, and professional-class subsamples. The subgroup analysis is descriptive rather than confirmatory, and its purpose is to characterize the conditions under which HIL coverage is most consequential rather than to substitute additional estimates for the headline.</w:t>
      </w:r>
    </w:p>
    <w:bookmarkEnd w:id="113"/>
    <w:bookmarkEnd w:id="114"/>
    <w:bookmarkStart w:id="115" w:name="X97e8932b3e72b4a2bf0797abfe73536edbccce5"/>
    <w:p>
      <w:pPr>
        <w:pStyle w:val="Heading2"/>
        <w:spacing w:line="480" w:lineRule="auto"/>
      </w:pPr>
      <w:r>
        <w:t xml:space="preserve">5.5 Pre-Registration, Minimum Detectable Effect, and Falsification</w:t>
      </w:r>
    </w:p>
    <w:p>
      <w:pPr>
        <w:pStyle w:val="FirstParagraph"/>
        <w:spacing w:line="480" w:lineRule="auto"/>
      </w:pPr>
      <w:r>
        <w:t xml:space="preserve">The specification described in Sections 5.2 and 5.3 is pre-registered before the panel is closed. The pre-registered headline is the negative binomial estimate of the IRR on HIL coverage, with program and bus-class fixed effects, the covariate vector described in 5.3.2, and cluster-robust standard errors at the program level. The pre-registered alternative hypothesis H1 is that the IRR is strictly less than one and that its 95 percent confidence interval excludes one. The pre-registered null H0 is that the IRR is indistinguishable from one or, weakly, that its confidence interval contains one and does not exclude an effect of less than a 10 percent reduction in expected anomaly count per coverage step.</w:t>
      </w:r>
    </w:p>
    <w:p>
      <w:pPr>
        <w:pStyle w:val="BodyText"/>
        <w:spacing w:line="480" w:lineRule="auto"/>
        <w:ind w:firstLine="720"/>
      </w:pPr>
      <w:r>
        <w:t xml:space="preserve">The minimum detectable effect is calibrated against the preparatory results. The Chapter 3 cross-section estimated an odds ratio of approximately 0.10 per coverage step</w:t>
      </w:r>
      <w:r>
        <w:t xml:space="preserve"> </w:t>
      </w:r>
      <w:hyperlink w:anchor="ref-7">
        <w:r>
          <w:rPr>
            <w:rStyle w:val="Hyperlink"/>
          </w:rPr>
          <w:t xml:space="preserve">[7]</w:t>
        </w:r>
      </w:hyperlink>
      <w:r>
        <w:t xml:space="preserve">; the Chapter 4 fixed-effects estimate translated to roughly a one-point shift on a three-point severity scale per step</w:t>
      </w:r>
      <w:r>
        <w:t xml:space="preserve"> </w:t>
      </w:r>
      <w:hyperlink w:anchor="ref-16">
        <w:r>
          <w:rPr>
            <w:rStyle w:val="Hyperlink"/>
          </w:rPr>
          <w:t xml:space="preserve">[16]</w:t>
        </w:r>
      </w:hyperlink>
      <w:r>
        <w:t xml:space="preserve">. Both magnitudes correspond, in the count specification on a NASA panel, to an IRR substantially below 0.50. The dissertation pre-registers a minimum detectable IRR of 0.70, that is, a 30 percent reduction in expected anomaly count per coverage step, as the threshold below which H1 is supported. This threshold is materially less aggressive than the preparatory effects and is selected to be defensible if the confirmatory panel reveals attenuation through more rigorous identification, which the literature on test-effectiveness measurement gives reason to anticipate</w:t>
      </w:r>
      <w:r>
        <w:t xml:space="preserve"> </w:t>
      </w:r>
      <w:hyperlink w:anchor="ref-3">
        <w:r>
          <w:rPr>
            <w:rStyle w:val="Hyperlink"/>
          </w:rPr>
          <w:t xml:space="preserve">[3]</w:t>
        </w:r>
      </w:hyperlink>
      <w:r>
        <w:t xml:space="preserve">[16].</w:t>
      </w:r>
    </w:p>
    <w:p>
      <w:pPr>
        <w:pStyle w:val="BodyText"/>
        <w:spacing w:line="480" w:lineRule="auto"/>
        <w:ind w:firstLine="720"/>
      </w:pPr>
      <w:r>
        <w:t xml:space="preserve">Falsification is symmetric. If the IRR’s 95 percent confidence interval contains one, or if it lies entirely above 0.70, H1 is rejected and the prevailing mission-assurance justification for HIL is not supported at the magnitude the field assumes. If the placebo estimate on launch-vehicle-induced damage is negative and distinguishable from zero, the headline estimate is treated as confounded and the causal interpretation is withdrawn. The architectural framing in which mission assurance is a program-specific system property</w:t>
      </w:r>
      <w:r>
        <w:t xml:space="preserve"> </w:t>
      </w:r>
      <w:hyperlink w:anchor="ref-5">
        <w:r>
          <w:rPr>
            <w:rStyle w:val="Hyperlink"/>
          </w:rPr>
          <w:t xml:space="preserve">[5]</w:t>
        </w:r>
      </w:hyperlink>
      <w:r>
        <w:t xml:space="preserve"> </w:t>
      </w:r>
      <w:r>
        <w:t xml:space="preserve">sets the stakes for either outcome: a confirmed negative effect at the pre-registered magnitude is a quantitative warrant for protecting the HIL line in I&amp;T budgets, while a null or attenuated effect is a quantitative warrant for redirecting marginal investment toward the verification activities, fault detection</w:t>
      </w:r>
      <w:r>
        <w:t xml:space="preserve"> </w:t>
      </w:r>
      <w:hyperlink w:anchor="ref-26">
        <w:r>
          <w:rPr>
            <w:rStyle w:val="Hyperlink"/>
          </w:rPr>
          <w:t xml:space="preserve">[26]</w:t>
        </w:r>
      </w:hyperlink>
      <w:r>
        <w:t xml:space="preserve">, radiation hardness assurance</w:t>
      </w:r>
      <w:r>
        <w:t xml:space="preserve"> </w:t>
      </w:r>
      <w:hyperlink w:anchor="ref-35">
        <w:r>
          <w:rPr>
            <w:rStyle w:val="Hyperlink"/>
          </w:rPr>
          <w:t xml:space="preserve">[35]</w:t>
        </w:r>
      </w:hyperlink>
      <w:r>
        <w:t xml:space="preserve">, and automated test-procedure coverage</w:t>
      </w:r>
      <w:r>
        <w:t xml:space="preserve"> </w:t>
      </w:r>
      <w:hyperlink w:anchor="ref-15">
        <w:r>
          <w:rPr>
            <w:rStyle w:val="Hyperlink"/>
          </w:rPr>
          <w:t xml:space="preserve">[15]</w:t>
        </w:r>
      </w:hyperlink>
      <w:r>
        <w:t xml:space="preserve">, whose marginal contribution to anomaly reduction the data identify more cleanly.</w:t>
      </w:r>
    </w:p>
    <w:bookmarkEnd w:id="115"/>
    <w:bookmarkStart w:id="116" w:name="summary"/>
    <w:p>
      <w:pPr>
        <w:pStyle w:val="Heading2"/>
        <w:spacing w:line="480" w:lineRule="auto"/>
      </w:pPr>
      <w:r>
        <w:t xml:space="preserve">5.6 Summary</w:t>
      </w:r>
    </w:p>
    <w:p>
      <w:pPr>
        <w:pStyle w:val="FirstParagraph"/>
        <w:spacing w:line="480" w:lineRule="auto"/>
      </w:pPr>
      <w:r>
        <w:t xml:space="preserve">The estimator stack is a primary negative binomial, a parallel ordered logit, a fixed-effects panel, and a difference-in-differences adoption design, with zero-inflated, window-varying, GNC-restricted, and placebo specifications as robustness checks. The identification strategy combines conditioning on observed mission characteristics, absorption of program-level and bus-level intercepts, and exploitation of discrete adoption events. Each named threat to validity is paired with a specific empirical move that bounds it: signed-bias arguments for residual selection, kappa and dual-coding for measurement error, era controls and a placebo for reporting bias, scope limits for external validity, window sensitivity for construct validity, and subgroup analysis for treatment heterogeneity. The pre-registered minimum detectable effect is an IRR of 0.70 per coverage step, which is materially less aggressive than the preparatory effects and is the threshold against which H1 will be evaluated. The result will be a single, pre-registered, falsifiable causal estimate, with a stated bound on each threat that the estimate must survive.</w:t>
      </w:r>
    </w:p>
    <w:bookmarkEnd w:id="116"/>
    <w:bookmarkEnd w:id="117"/>
    <w:bookmarkStart w:id="133" w:name="chapter-6.-results"/>
    <w:p>
      <w:pPr>
        <w:pStyle w:val="Heading1"/>
        <w:spacing w:line="480" w:lineRule="auto"/>
      </w:pPr>
      <w:r>
        <w:t xml:space="preserve">Chapter 6. Results</w:t>
      </w:r>
    </w:p>
    <w:p>
      <w:pPr>
        <w:pStyle w:val="FirstParagraph"/>
        <w:spacing w:line="480" w:lineRule="auto"/>
      </w:pPr>
      <w:r>
        <w:t xml:space="preserve">This chapter presents the empirical findings of the two estimators that operationalize the dissertation’s central causal question: whether hardware-in-the-loop (HIL) and broader system-level test environments reduce on-orbit anomalies once the confounding influence of mission complexity, organizational maturity, and flight heritage is removed. Paper 1 estimates a binary logit on a thirty-mission cross-section in which the outcome is the occurrence of a major flight anomaly. Paper 2 estimates a linear fixed-effects specification with heteroskedasticity-robust standard errors on a thirty-two mission cross-section in which the outcome is an ordinal anomaly-severity index. The two estimators address the same underlying mechanism through different outcome formulations and different control structures, and the convergence of their treatment-coefficient signs, magnitudes, and significance levels is the principal interpretive claim of the chapter. Tables, formulas, dataset extracts, and graphical exhibits are reserved for Appendix A; the discussion below refers only to coefficients, standard errors, p-values, fit statistics, and effect-size interpretations that emerge directly from the estimator output.</w:t>
      </w:r>
    </w:p>
    <w:bookmarkStart w:id="123" w:name="Xea44d81141ca245dd2ea9a6026a3030351c00e9"/>
    <w:p>
      <w:pPr>
        <w:pStyle w:val="Heading2"/>
        <w:spacing w:line="480" w:lineRule="auto"/>
      </w:pPr>
      <w:r>
        <w:t xml:space="preserve">6.1 Paper 1 Results: Binary Logit on Major Flight Anomaly</w:t>
      </w:r>
    </w:p>
    <w:p>
      <w:pPr>
        <w:pStyle w:val="FirstParagraph"/>
        <w:spacing w:line="480" w:lineRule="auto"/>
      </w:pPr>
      <w:r>
        <w:t xml:space="preserve">The Paper 1 logit was estimated by maximum likelihood over thirty complete cases. The dependent variable takes the value one when a mission suffered a major flight anomaly, defined as either a loss of bus function or a dead-on-arrival condition in which no contact was established with the ground, and zero when the mission achieved nominal operations without a major bus anomaly. The three right-hand-side variables are the ordinal HIL fidelity index (</w:t>
      </w:r>
      <w:r>
        <w:rPr>
          <w:rStyle w:val="VerbatimChar"/>
        </w:rPr>
        <w:t xml:space="preserve">hil_fidelity</w:t>
      </w:r>
      <w:r>
        <w:t xml:space="preserve">), the professional-class builder indicator (</w:t>
      </w:r>
      <w:r>
        <w:rPr>
          <w:rStyle w:val="VerbatimChar"/>
        </w:rPr>
        <w:t xml:space="preserve">prof_class</w:t>
      </w:r>
      <w:r>
        <w:t xml:space="preserve">), and the count of prior fly-learn-refly cycles (</w:t>
      </w:r>
      <w:r>
        <w:rPr>
          <w:rStyle w:val="VerbatimChar"/>
        </w:rPr>
        <w:t xml:space="preserve">heritage</w:t>
      </w:r>
      <w:r>
        <w:t xml:space="preserve">). The estimator returns four terms: a constant and the three covariates.</w:t>
      </w:r>
    </w:p>
    <w:bookmarkStart w:id="118" w:name="model-fit"/>
    <w:p>
      <w:pPr>
        <w:pStyle w:val="Heading3"/>
        <w:spacing w:line="480" w:lineRule="auto"/>
      </w:pPr>
      <w:r>
        <w:t xml:space="preserve">6.1.1 Model Fit</w:t>
      </w:r>
    </w:p>
    <w:p>
      <w:pPr>
        <w:pStyle w:val="FirstParagraph"/>
        <w:spacing w:line="480" w:lineRule="auto"/>
      </w:pPr>
      <w:r>
        <w:t xml:space="preserve">The model exhibits strong in-sample fit. The McFadden pseudo R-squared is 0.6165, and the maximized log-likelihood is -7.8718 over the thirty observations. A McFadden statistic of this magnitude is substantially above the 0.2 to 0.4 band conventionally regarded as indicating a well-fitting logit, and it indicates that the three covariates together absorb the great majority of the systematic variation in the binary anomaly outcome. The implied null log-likelihood, recovered from the pseudo R-squared and the maximized log-likelihood, is consistent with the sample’s unconditional anomaly rate of forty-three percent reported in the data section of the paper</w:t>
      </w:r>
      <w:r>
        <w:t xml:space="preserve"> </w:t>
      </w:r>
      <w:hyperlink w:anchor="ref-7">
        <w:r>
          <w:rPr>
            <w:rStyle w:val="Hyperlink"/>
          </w:rPr>
          <w:t xml:space="preserve">[7]</w:t>
        </w:r>
      </w:hyperlink>
      <w:r>
        <w:t xml:space="preserve">[17]. The model is not over-parameterized given the sample: with three covariates and a constant on thirty observations, the ratio of observations to estimated parameters is 7.5, which is within the range conventionally regarded as adequate for logit estimation when fit is strong and signs are stable, as they are here.</w:t>
      </w:r>
    </w:p>
    <w:bookmarkEnd w:id="118"/>
    <w:bookmarkStart w:id="119" w:name="the-hil-fidelity-coefficient"/>
    <w:p>
      <w:pPr>
        <w:pStyle w:val="Heading3"/>
        <w:spacing w:line="480" w:lineRule="auto"/>
      </w:pPr>
      <w:r>
        <w:t xml:space="preserve">6.1.2 The HIL Fidelity Coefficient</w:t>
      </w:r>
    </w:p>
    <w:p>
      <w:pPr>
        <w:pStyle w:val="FirstParagraph"/>
        <w:spacing w:line="480" w:lineRule="auto"/>
      </w:pPr>
      <w:r>
        <w:t xml:space="preserve">The principal estimand of Paper 1 is the coefficient on the ordinal HIL fidelity index. The point estimate is -2.2705 with a standard error of 1.1040, yielding a z statistic of approximately -2.06 and a p-value of 0.0397. The coefficient is negative, consistent with the prediction of H1 in the paper’s theory section, and statistically distinguishable from zero at the five percent level. The implied ninety-five percent Wald confidence interval, constructed as the point estimate plus and minus 1.96 standard errors, runs from -4.43 to -0.11 on the log-odds scale and therefore excludes zero throughout.</w:t>
      </w:r>
    </w:p>
    <w:p>
      <w:pPr>
        <w:pStyle w:val="BodyText"/>
        <w:spacing w:line="480" w:lineRule="auto"/>
        <w:ind w:firstLine="720"/>
      </w:pPr>
      <w:r>
        <w:t xml:space="preserve">Interpreting the coefficient on its native scale, each one-step increase along the four-level fidelity ladder lowers the log-odds of a major flight anomaly by 2.27, conditional on builder class and flight heritage. The four ordinal levels run from no documented test environment, through software or functional testing only, to flatsat integration testing, to a full HIL closed-loop campaign against a simulated space environment. Exponentiating the coefficient converts the log-odds change into an odds ratio of approximately 0.103. Each step up the ladder is therefore associated with multiplying the odds of a major anomaly by roughly one tenth, holding professional-class status and heritage fixed. A mission that moves from functional testing only to a full HIL campaign traverses two ordinal steps, which compounds the effect to an odds ratio of approximately 0.011, an order-of-magnitude-squared reduction across the fidelity range observed in the sample.</w:t>
      </w:r>
    </w:p>
    <w:p>
      <w:pPr>
        <w:pStyle w:val="BodyText"/>
        <w:spacing w:line="480" w:lineRule="auto"/>
        <w:ind w:firstLine="720"/>
      </w:pPr>
      <w:r>
        <w:t xml:space="preserve">The conditional log-odds reduction can be translated into approximate probability changes evaluated at sample-typical covariate values. At the unconditional baseline anomaly probability of 0.43, a single-step gain of 2.27 in the log-odds shifts the probability downward by a magnitude that depends on where on the logistic curve the mission begins. A mission whose untreated baseline probability of a major anomaly sits near 0.50 is moved to approximately 0.09 by a single fidelity step; a mission whose baseline sits near 0.30 is moved to approximately 0.04. The treatment effect is therefore both statistically and substantively large within the observed range of CubeSat outcomes, and it is consistent with the descriptive monotone pattern reported in the data section, in which the anomaly rate falls from one hundred percent among missions with no documented test environment, to twenty percent among flatsat-tested missions, to ten percent among full-HIL missions</w:t>
      </w:r>
      <w:r>
        <w:t xml:space="preserve"> </w:t>
      </w:r>
      <w:hyperlink w:anchor="ref-6">
        <w:r>
          <w:rPr>
            <w:rStyle w:val="Hyperlink"/>
          </w:rPr>
          <w:t xml:space="preserve">[6]</w:t>
        </w:r>
      </w:hyperlink>
      <w:r>
        <w:t xml:space="preserve">[7].</w:t>
      </w:r>
    </w:p>
    <w:bookmarkEnd w:id="119"/>
    <w:bookmarkStart w:id="120" w:name="the-professional-class-coefficient"/>
    <w:p>
      <w:pPr>
        <w:pStyle w:val="Heading3"/>
        <w:spacing w:line="480" w:lineRule="auto"/>
      </w:pPr>
      <w:r>
        <w:t xml:space="preserve">6.1.3 The Professional-Class Coefficient</w:t>
      </w:r>
    </w:p>
    <w:p>
      <w:pPr>
        <w:pStyle w:val="FirstParagraph"/>
        <w:spacing w:line="480" w:lineRule="auto"/>
      </w:pPr>
      <w:r>
        <w:t xml:space="preserve">The professional-class builder indicator carries a coefficient of -0.1811 with a standard error of 1.3885, a z statistic of approximately -0.13, and a p-value of 0.8962. The point estimate is small in absolute magnitude, the standard error is large relative to the point estimate, and the implied ninety-five percent confidence interval, running from approximately -2.90 to 2.54 on the log-odds scale, comfortably straddles zero. There is no evidence in this sample that, conditional on test fidelity and flight heritage, professional-class builders enjoy a residual reliability advantage over university and NewSpace builders.</w:t>
      </w:r>
    </w:p>
    <w:p>
      <w:pPr>
        <w:pStyle w:val="BodyText"/>
        <w:spacing w:line="480" w:lineRule="auto"/>
        <w:ind w:firstLine="720"/>
      </w:pPr>
      <w:r>
        <w:t xml:space="preserve">This null result is itself a substantive finding rather than a statistical inconvenience. The descriptive literature on CubeSat reliability consistently reports that university-class missions fail at materially higher rates than professional-class missions</w:t>
      </w:r>
      <w:r>
        <w:t xml:space="preserve"> </w:t>
      </w:r>
      <w:hyperlink w:anchor="ref-6">
        <w:r>
          <w:rPr>
            <w:rStyle w:val="Hyperlink"/>
          </w:rPr>
          <w:t xml:space="preserve">[6]</w:t>
        </w:r>
      </w:hyperlink>
      <w:r>
        <w:t xml:space="preserve">[7][17]. The collapse of that class coefficient to essentially zero once HIL fidelity and heritage are entered into the model is consistent with the interpretation that the well-known builder-class gap operates through the testing and heritage channels rather than through any residual property of organizational identity. A program manager reading this estimate could reasonably conclude that the reliability of a university-class mission is not fixed by its institutional setting and can be raised toward professional-class levels by investments in test fidelity and in the accumulation of fly-learn-refly cycles, both of which are policy-actionable. The opposite reading, that the absence of a class effect reflects insufficient statistical power, is harder to sustain given the strong overall fit and the precise estimation of the test-fidelity coefficient within the same specification.</w:t>
      </w:r>
    </w:p>
    <w:bookmarkEnd w:id="120"/>
    <w:bookmarkStart w:id="121" w:name="the-heritage-coefficient"/>
    <w:p>
      <w:pPr>
        <w:pStyle w:val="Heading3"/>
        <w:spacing w:line="480" w:lineRule="auto"/>
      </w:pPr>
      <w:r>
        <w:t xml:space="preserve">6.1.4 The Heritage Coefficient</w:t>
      </w:r>
    </w:p>
    <w:p>
      <w:pPr>
        <w:pStyle w:val="FirstParagraph"/>
        <w:spacing w:line="480" w:lineRule="auto"/>
      </w:pPr>
      <w:r>
        <w:t xml:space="preserve">The flight-heritage coefficient is -1.9413 with a standard error of 1.2154, a z statistic of approximately -1.60, and a p-value of 0.1102. The point estimate is large and negative, implying an odds ratio of approximately 0.144 per prior fly-learn-refly cycle, and is directionally consistent with the population literature documenting the fly-learn-refly effect</w:t>
      </w:r>
      <w:r>
        <w:t xml:space="preserve"> </w:t>
      </w:r>
      <w:hyperlink w:anchor="ref-8">
        <w:r>
          <w:rPr>
            <w:rStyle w:val="Hyperlink"/>
          </w:rPr>
          <w:t xml:space="preserve">[8]</w:t>
        </w:r>
      </w:hyperlink>
      <w:r>
        <w:t xml:space="preserve">[17]. The ninety-five percent confidence interval runs from approximately -4.32 to 0.44 on the log-odds scale, narrowly admitting zero, so the coefficient is not statistically distinguishable from zero at the conventional five percent threshold.</w:t>
      </w:r>
    </w:p>
    <w:p>
      <w:pPr>
        <w:pStyle w:val="BodyText"/>
        <w:spacing w:line="480" w:lineRule="auto"/>
        <w:ind w:firstLine="720"/>
      </w:pPr>
      <w:r>
        <w:t xml:space="preserve">The non-rejection of the null on the heritage coefficient should be read in light of three considerations. First, the point estimate is comparable in magnitude to the test-fidelity coefficient, so the substantive direction of heritage is preserved even where its sampling distribution overlaps zero. Second, in a sample of thirty missions in which professional-class builders are systematically the more experienced builders and are also more likely to operate full HIL benches, the partial correlation between heritage and test fidelity is non-trivial, and the standard error on heritage is inflated by that correlation. Third, the qualitative pattern is consistent with the mechanism that ground-based HIL testing partially substitutes for the in-flight learning that flight heritage represents</w:t>
      </w:r>
      <w:r>
        <w:t xml:space="preserve"> </w:t>
      </w:r>
      <w:hyperlink w:anchor="ref-8">
        <w:r>
          <w:rPr>
            <w:rStyle w:val="Hyperlink"/>
          </w:rPr>
          <w:t xml:space="preserve">[8]</w:t>
        </w:r>
      </w:hyperlink>
      <w:r>
        <w:t xml:space="preserve">; where both substitutes are present and correlated, their separate estimation is necessarily imprecise. The chapter does not treat the heritage coefficient as supporting H1, but it does treat the magnitude and sign as corroborating the broader pattern of evidence consistent with the defect-detection mechanism that motivates the test environment in the first place.</w:t>
      </w:r>
    </w:p>
    <w:bookmarkEnd w:id="121"/>
    <w:bookmarkStart w:id="122" w:name="the-constant"/>
    <w:p>
      <w:pPr>
        <w:pStyle w:val="Heading3"/>
        <w:spacing w:line="480" w:lineRule="auto"/>
      </w:pPr>
      <w:r>
        <w:t xml:space="preserve">6.1.5 The Constant</w:t>
      </w:r>
    </w:p>
    <w:p>
      <w:pPr>
        <w:pStyle w:val="FirstParagraph"/>
        <w:spacing w:line="480" w:lineRule="auto"/>
      </w:pPr>
      <w:r>
        <w:t xml:space="preserve">The constant in the Paper 1 logit is 5.4165 with a standard error of 2.3565 and a p-value of 0.0215. Substantively, the constant gives the log-odds of a major anomaly for a hypothetical mission with HIL fidelity at the lowest ordinal level, no professional-class status, and no heritage. Exponentiated and transformed through the logistic function, that baseline probability is approximately 0.995. This calibrated baseline is consistent with the descriptive observation in the paper that every mission in the sample with no documented test environment, and every mission with functional testing only, suffered a major anomaly. The statistically significant constant is therefore not an artifact of the estimator’s parameterization; it is the appropriate anchor against which the protective effect of test fidelity is measured.</w:t>
      </w:r>
    </w:p>
    <w:bookmarkEnd w:id="122"/>
    <w:bookmarkEnd w:id="123"/>
    <w:bookmarkStart w:id="130" w:name="Xc545d9f8411f7bea9e562c52f038c4095e48a2f"/>
    <w:p>
      <w:pPr>
        <w:pStyle w:val="Heading2"/>
        <w:spacing w:line="480" w:lineRule="auto"/>
      </w:pPr>
      <w:r>
        <w:t xml:space="preserve">6.2 Paper 2 Results: OLS with Robust Standard Errors on Anomaly Severity</w:t>
      </w:r>
    </w:p>
    <w:p>
      <w:pPr>
        <w:pStyle w:val="FirstParagraph"/>
        <w:spacing w:line="480" w:lineRule="auto"/>
      </w:pPr>
      <w:r>
        <w:t xml:space="preserve">The Paper 2 estimator is a linear fixed-effects regression by ordinary least squares, with heteroskedasticity-robust HC1 standard errors, on a cross-section of thirty-two small-spacecraft missions launched between 2003 and 2019. The dependent variable is an ordinal anomaly-severity index taking the value zero for full primary-mission success without an operationally significant anomaly, one for a partial or degraded outcome with a documented on-orbit anomaly, and two for an early or total loss including dead-on-arrival. The four right-hand-side variables are the ordinal test-rigor index (</w:t>
      </w:r>
      <w:r>
        <w:rPr>
          <w:rStyle w:val="VerbatimChar"/>
        </w:rPr>
        <w:t xml:space="preserve">test_rigor</w:t>
      </w:r>
      <w:r>
        <w:t xml:space="preserve">), the natural log of wet mass in kilograms (</w:t>
      </w:r>
      <w:r>
        <w:rPr>
          <w:rStyle w:val="VerbatimChar"/>
        </w:rPr>
        <w:t xml:space="preserve">log_mass_kg</w:t>
      </w:r>
      <w:r>
        <w:t xml:space="preserve">), the first-mission indicator (</w:t>
      </w:r>
      <w:r>
        <w:rPr>
          <w:rStyle w:val="VerbatimChar"/>
        </w:rPr>
        <w:t xml:space="preserve">first_mission</w:t>
      </w:r>
      <w:r>
        <w:t xml:space="preserve">), and the professional-class indicator (</w:t>
      </w:r>
      <w:r>
        <w:rPr>
          <w:rStyle w:val="VerbatimChar"/>
        </w:rPr>
        <w:t xml:space="preserve">class_pro</w:t>
      </w:r>
      <w:r>
        <w:t xml:space="preserve">).</w:t>
      </w:r>
    </w:p>
    <w:bookmarkStart w:id="124" w:name="model-fit-1"/>
    <w:p>
      <w:pPr>
        <w:pStyle w:val="Heading3"/>
        <w:spacing w:line="480" w:lineRule="auto"/>
      </w:pPr>
      <w:r>
        <w:t xml:space="preserve">6.2.1 Model Fit</w:t>
      </w:r>
    </w:p>
    <w:p>
      <w:pPr>
        <w:pStyle w:val="FirstParagraph"/>
        <w:spacing w:line="480" w:lineRule="auto"/>
      </w:pPr>
      <w:r>
        <w:t xml:space="preserve">The model explains a substantial share of the cross-mission variance in anomaly severity. The unadjusted R-squared is 0.7483 and the adjusted R-squared is 0.7110, both computed over the thirty-two observations. The model F statistic is 36.36 with a corresponding p-value of approximately 1.67 times ten to the negative tenth, which is well below any conventional significance threshold and rejects the joint null that the slope coefficients on all four covariates are zero. The four-covariate-plus-constant specification estimates five parameters from thirty-two observations, a ratio of 6.4 observations per parameter, which is comparable to the Paper 1 logit and adequate for the OLS specification given the strong overall fit.</w:t>
      </w:r>
    </w:p>
    <w:p>
      <w:pPr>
        <w:pStyle w:val="BodyText"/>
        <w:spacing w:line="480" w:lineRule="auto"/>
        <w:ind w:firstLine="720"/>
      </w:pPr>
      <w:r>
        <w:t xml:space="preserve">The high R-squared in conjunction with the robust covariance estimator indicates that the model captures most of the systematic variation in anomaly severity through observable test-rigor, complexity, and maturity channels, and that what remains in the residual is heteroskedastic noise of the kind expected when an ordinal severity score is treated as an interval index. The HC1 covariance matrix is appropriate in this setting because the conditional variance of a discrete severity outcome is mechanically heteroskedastic across the support of the predicted values</w:t>
      </w:r>
      <w:r>
        <w:t xml:space="preserve"> </w:t>
      </w:r>
      <w:hyperlink w:anchor="ref-15">
        <w:r>
          <w:rPr>
            <w:rStyle w:val="Hyperlink"/>
          </w:rPr>
          <w:t xml:space="preserve">[15]</w:t>
        </w:r>
      </w:hyperlink>
      <w:r>
        <w:t xml:space="preserve">.</w:t>
      </w:r>
    </w:p>
    <w:bookmarkEnd w:id="124"/>
    <w:bookmarkStart w:id="125" w:name="the-test-rigor-coefficient"/>
    <w:p>
      <w:pPr>
        <w:pStyle w:val="Heading3"/>
        <w:spacing w:line="480" w:lineRule="auto"/>
      </w:pPr>
      <w:r>
        <w:t xml:space="preserve">6.2.2 The Test-Rigor Coefficient</w:t>
      </w:r>
    </w:p>
    <w:p>
      <w:pPr>
        <w:pStyle w:val="FirstParagraph"/>
        <w:spacing w:line="480" w:lineRule="auto"/>
      </w:pPr>
      <w:r>
        <w:t xml:space="preserve">The principal estimand of Paper 2 is the coefficient on the ordinal test-rigor index. The point estimate is -1.0366 with a robust standard error of 0.4518, a t statistic of approximately -2.29, and a p-value of 0.0218. The coefficient is negative, consistent with the prediction of the paper’s central hypothesis, and statistically distinguishable from zero at the five percent level. The implied ninety-five percent Wald confidence interval, constructed as the point estimate plus and minus 1.96 robust standard errors, runs from approximately -1.92 to -0.15 and excludes zero throughout.</w:t>
      </w:r>
    </w:p>
    <w:p>
      <w:pPr>
        <w:pStyle w:val="BodyText"/>
        <w:spacing w:line="480" w:lineRule="auto"/>
        <w:ind w:firstLine="720"/>
      </w:pPr>
      <w:r>
        <w:t xml:space="preserve">Interpreted on its native scale, the coefficient says that each one-step increase along the three-level test-rigor ladder lowers expected anomaly severity by approximately 1.04 points, conditional on log mass, first-mission status, and professional-class status. The test-rigor ladder runs from functional or bench checkout only, through a protoflight environmental campaign on a single article, to a full qualification campaign with system-level environmental testing and integrated HIL or closed-loop functional testing</w:t>
      </w:r>
      <w:r>
        <w:t xml:space="preserve"> </w:t>
      </w:r>
      <w:hyperlink w:anchor="ref-18">
        <w:r>
          <w:rPr>
            <w:rStyle w:val="Hyperlink"/>
          </w:rPr>
          <w:t xml:space="preserve">[18]</w:t>
        </w:r>
      </w:hyperlink>
      <w:r>
        <w:t xml:space="preserve">. Because the dependent variable is bounded between zero and two, a coefficient of -1.04 is large in absolute terms relative to the support of the outcome: the marginal step up the verification ladder, all else equal, is roughly the difference between a full success and a partial or degraded outcome, or between a partial outcome and an early or total loss.</w:t>
      </w:r>
    </w:p>
    <w:p>
      <w:pPr>
        <w:pStyle w:val="BodyText"/>
        <w:spacing w:line="480" w:lineRule="auto"/>
        <w:ind w:firstLine="720"/>
      </w:pPr>
      <w:r>
        <w:t xml:space="preserve">A complementary effect-size interpretation can be constructed by comparing the test-rigor coefficient to the sample standard deviation of the severity outcome and to the residual standard error implied by the fit statistics. The strong R-squared of 0.748 implies that residual variation is small relative to total variation, which means that the standardized effect size of the test-rigor coefficient is also large. In substantive terms, the estimate supports the program-management claim that protecting the system-level test campaign through to integrated HIL qualification is among the highest-leverage decisions available within the small-spacecraft cost envelope.</w:t>
      </w:r>
    </w:p>
    <w:bookmarkEnd w:id="125"/>
    <w:bookmarkStart w:id="126" w:name="the-log-mass-coefficient"/>
    <w:p>
      <w:pPr>
        <w:pStyle w:val="Heading3"/>
        <w:spacing w:line="480" w:lineRule="auto"/>
      </w:pPr>
      <w:r>
        <w:t xml:space="preserve">6.2.3 The Log Mass Coefficient</w:t>
      </w:r>
    </w:p>
    <w:p>
      <w:pPr>
        <w:pStyle w:val="FirstParagraph"/>
        <w:spacing w:line="480" w:lineRule="auto"/>
      </w:pPr>
      <w:r>
        <w:t xml:space="preserve">The log-mass coefficient is -0.3261 with a robust standard error of 0.1459, a t statistic of approximately -2.24, and a p-value of 0.0253. The coefficient is negative and statistically distinguishable from zero at the five percent level, with an implied ninety-five percent confidence interval running from approximately -0.61 to -0.04. Interpreted on its native scale, a doubling of wet mass, which corresponds to an increase of about 0.69 in log mass, lowers expected anomaly severity by approximately 0.23 points, conditional on test rigor and on the two maturity indicators.</w:t>
      </w:r>
    </w:p>
    <w:p>
      <w:pPr>
        <w:pStyle w:val="BodyText"/>
        <w:spacing w:line="480" w:lineRule="auto"/>
        <w:ind w:firstLine="720"/>
      </w:pPr>
      <w:r>
        <w:t xml:space="preserve">The substantive interpretation requires care because mass is acting as a proxy for several latent attributes. Within the small-spacecraft sample, heavier missions tend to carry more flight heritage at the subsystem level, more mature avionics, and larger contingency budgets, all of which would push observed severity downward. The negative log-mass coefficient therefore does not contradict the broader systems-engineering intuition that more complex missions are intrinsically harder to verify; it instead reflects the within-sample fact that the lightest CubeSats in the panel tend to be the most novel and least heritage-rich. This pattern is consistent with the descriptive small-spacecraft reliability literature</w:t>
      </w:r>
      <w:r>
        <w:t xml:space="preserve"> </w:t>
      </w:r>
      <w:hyperlink w:anchor="ref-16">
        <w:r>
          <w:rPr>
            <w:rStyle w:val="Hyperlink"/>
          </w:rPr>
          <w:t xml:space="preserve">[16]</w:t>
        </w:r>
      </w:hyperlink>
      <w:r>
        <w:t xml:space="preserve">[19] and reinforces, rather than competes with, the test-rigor effect, because both heavier mass and higher test rigor are absorbing dimensions of program maturity that protect on-orbit outcomes.</w:t>
      </w:r>
    </w:p>
    <w:bookmarkEnd w:id="126"/>
    <w:bookmarkStart w:id="127" w:name="the-first-mission-coefficient"/>
    <w:p>
      <w:pPr>
        <w:pStyle w:val="Heading3"/>
        <w:spacing w:line="480" w:lineRule="auto"/>
      </w:pPr>
      <w:r>
        <w:t xml:space="preserve">6.2.4 The First-Mission Coefficient</w:t>
      </w:r>
    </w:p>
    <w:p>
      <w:pPr>
        <w:pStyle w:val="FirstParagraph"/>
        <w:spacing w:line="480" w:lineRule="auto"/>
      </w:pPr>
      <w:r>
        <w:t xml:space="preserve">The first-mission indicator coefficient is 0.4685 with a robust standard error of 0.4298, a t statistic of approximately 1.09, and a p-value of 0.2757. The point estimate is positive, indicating that debut missions are expected to exhibit higher anomaly severity than non-debut missions by approximately 0.47 points on the three-point scale, conditional on the other covariates. The direction is consistent with the fly-learn-refly mechanism and with the documented infant-mortality concentration in debut programs</w:t>
      </w:r>
      <w:r>
        <w:t xml:space="preserve"> </w:t>
      </w:r>
      <w:hyperlink w:anchor="ref-16">
        <w:r>
          <w:rPr>
            <w:rStyle w:val="Hyperlink"/>
          </w:rPr>
          <w:t xml:space="preserve">[16]</w:t>
        </w:r>
      </w:hyperlink>
      <w:r>
        <w:t xml:space="preserve">, but the implied ninety-five percent confidence interval, running from approximately -0.37 to 1.31, comfortably straddles zero. The first-mission effect is therefore not statistically distinguishable from zero in this sample at conventional thresholds.</w:t>
      </w:r>
    </w:p>
    <w:bookmarkEnd w:id="127"/>
    <w:bookmarkStart w:id="128" w:name="the-professional-class-coefficient-1"/>
    <w:p>
      <w:pPr>
        <w:pStyle w:val="Heading3"/>
        <w:spacing w:line="480" w:lineRule="auto"/>
      </w:pPr>
      <w:r>
        <w:t xml:space="preserve">6.2.5 The Professional-Class Coefficient</w:t>
      </w:r>
    </w:p>
    <w:p>
      <w:pPr>
        <w:pStyle w:val="FirstParagraph"/>
        <w:spacing w:line="480" w:lineRule="auto"/>
      </w:pPr>
      <w:r>
        <w:t xml:space="preserve">The professional-class indicator coefficient is 0.2895 with a robust standard error of 0.2553, a t statistic of approximately 1.13, and a p-value of 0.2568. The point estimate is positive, which on its face appears inconsistent with the population observation that professional-class builders fare better than university-class builders</w:t>
      </w:r>
      <w:r>
        <w:t xml:space="preserve"> </w:t>
      </w:r>
      <w:hyperlink w:anchor="ref-17">
        <w:r>
          <w:rPr>
            <w:rStyle w:val="Hyperlink"/>
          </w:rPr>
          <w:t xml:space="preserve">[17]</w:t>
        </w:r>
      </w:hyperlink>
      <w:r>
        <w:t xml:space="preserve">. The interpretation is resolved by considering which variation the coefficient is identifying within the multivariate specification. Once test rigor, log mass, and first-mission status are conditioned on, the residual variation in the professional-class indicator captures whatever is left of organizational identity after the testing and complexity channels have been absorbed. The implied ninety-five percent confidence interval, running from approximately -0.21 to 0.79, includes zero throughout and includes substantively meaningful positive and negative values, so the small positive point estimate is best read as a null result rather than as a reversal of the population pattern.</w:t>
      </w:r>
    </w:p>
    <w:p>
      <w:pPr>
        <w:pStyle w:val="BodyText"/>
        <w:spacing w:line="480" w:lineRule="auto"/>
        <w:ind w:firstLine="720"/>
      </w:pPr>
      <w:r>
        <w:t xml:space="preserve">The null on the professional-class indicator in Paper 2 reinforces the analogous null in Paper 1. Across both estimators, on overlapping but not identical samples and with different outcome formulations, the conditional contribution of professional-class identity to anomaly outcomes collapses once test fidelity and the complexity proxies are in the model. The convergent reading is that the verification channel, not the institutional one, is doing the work that the descriptive literature has attributed to the builder-class distinction.</w:t>
      </w:r>
    </w:p>
    <w:bookmarkEnd w:id="128"/>
    <w:bookmarkStart w:id="129" w:name="the-constant-1"/>
    <w:p>
      <w:pPr>
        <w:pStyle w:val="Heading3"/>
        <w:spacing w:line="480" w:lineRule="auto"/>
      </w:pPr>
      <w:r>
        <w:t xml:space="preserve">6.2.6 The Constant</w:t>
      </w:r>
    </w:p>
    <w:p>
      <w:pPr>
        <w:pStyle w:val="FirstParagraph"/>
        <w:spacing w:line="480" w:lineRule="auto"/>
      </w:pPr>
      <w:r>
        <w:t xml:space="preserve">The constant in the Paper 2 OLS is 2.4170 with a robust standard error of 0.8858 and a p-value of 0.0064. Substantively, it gives the predicted anomaly severity for a hypothetical mission at zero test rigor, zero log mass, no first-mission status, and no professional-class status. The predicted severity of approximately 2.42 exceeds the upper bound of the observed scale, which is expected when the linear model is evaluated outside the observed support of the covariates and when the constant absorbs the level shift required by the negative slopes on test rigor and log mass. The statistical significance of the constant indicates only that the level of the linear predictor is well determined, not that the extrapolated baseline is operationally meaningful; the substantive content of the model lies in the slopes.</w:t>
      </w:r>
    </w:p>
    <w:bookmarkEnd w:id="129"/>
    <w:bookmarkEnd w:id="130"/>
    <w:bookmarkStart w:id="131" w:name="Xdb4a78fbd0792620f0679d50d880cdafef87efd"/>
    <w:p>
      <w:pPr>
        <w:pStyle w:val="Heading2"/>
        <w:spacing w:line="480" w:lineRule="auto"/>
      </w:pPr>
      <w:r>
        <w:t xml:space="preserve">6.3 Joint Interpretation of the Two Estimators</w:t>
      </w:r>
    </w:p>
    <w:p>
      <w:pPr>
        <w:pStyle w:val="FirstParagraph"/>
        <w:spacing w:line="480" w:lineRule="auto"/>
      </w:pPr>
      <w:r>
        <w:t xml:space="preserve">The two estimators converge on the same substantive conclusion through two structurally different specifications. Paper 1 reports a binary-outcome log-odds reduction of 2.27 per fidelity step with a p-value of 0.0397; Paper 2 reports a continuous-severity reduction of 1.04 per rigor step with a p-value of 0.0218. Both treatment coefficients are negative, both reject the null at the five percent level, and both confidence intervals exclude zero on their respective scales. The two specifications also concur on the null findings for organizational identity: the professional-class indicator is statistically indistinguishable from zero in both estimators after conditioning on test fidelity, and the first-mission indicator in Paper 2, like the heritage coefficient in Paper 1, is directionally consistent with the maturity mechanism but imprecisely estimated.</w:t>
      </w:r>
    </w:p>
    <w:p>
      <w:pPr>
        <w:pStyle w:val="BodyText"/>
        <w:spacing w:line="480" w:lineRule="auto"/>
        <w:ind w:firstLine="720"/>
      </w:pPr>
      <w:r>
        <w:t xml:space="preserve">The strength of fit is comparable across the two specifications. The Paper 1 logit’s McFadden pseudo R-squared of 0.6165 and the Paper 2 OLS’s R-squared of 0.7483 both indicate that the modeled covariates absorb the great majority of systematic variation in their respective outcomes, and both estimators produce stable signs on the treatment coefficient across the sensitivity decisions documented in the methods sections of the papers. The convergence is not a mechanical artifact of overlapping data: the two samples differ in size (thirty versus thirty-two missions), in inclusion criteria, in outcome definition (binary major anomaly versus three-level severity index), and in the structure of the maturity controls (heritage count versus first-mission indicator). That two estimators built on different data, different outcomes, and different control structures recover the same negative treatment-coefficient sign with comparable statistical strength is, on its face, the cleanest signal the present data can provide that the effect is not specification-driven.</w:t>
      </w:r>
    </w:p>
    <w:p>
      <w:pPr>
        <w:pStyle w:val="BodyText"/>
        <w:spacing w:line="480" w:lineRule="auto"/>
        <w:ind w:firstLine="720"/>
      </w:pPr>
      <w:r>
        <w:t xml:space="preserve">The null findings on organizational identity in both estimators also matter for the larger program of work motivating this dissertation. The descriptive literature has long documented a reliability gap between professional-class and university-class small spacecraft</w:t>
      </w:r>
      <w:r>
        <w:t xml:space="preserve"> </w:t>
      </w:r>
      <w:hyperlink w:anchor="ref-6">
        <w:r>
          <w:rPr>
            <w:rStyle w:val="Hyperlink"/>
          </w:rPr>
          <w:t xml:space="preserve">[6]</w:t>
        </w:r>
      </w:hyperlink>
      <w:r>
        <w:t xml:space="preserve">[7][17]; both estimators presented here suggest that the gap is, to a first approximation, a verification-discipline gap that can be closed by investing in the test environment rather than an intrinsic property of the institution. That finding is policy-actionable where an irreducible institutional effect would not be, and it supplies the empirical warrant for the dissertation’s broader argument that mission assurance is best understood as a system-level property</w:t>
      </w:r>
      <w:r>
        <w:t xml:space="preserve"> </w:t>
      </w:r>
      <w:hyperlink w:anchor="ref-5">
        <w:r>
          <w:rPr>
            <w:rStyle w:val="Hyperlink"/>
          </w:rPr>
          <w:t xml:space="preserve">[5]</w:t>
        </w:r>
      </w:hyperlink>
      <w:r>
        <w:t xml:space="preserve"> </w:t>
      </w:r>
      <w:r>
        <w:t xml:space="preserve">that scales with the rigor of the ground verification campaign rather than with the identity of the program office.</w:t>
      </w:r>
    </w:p>
    <w:bookmarkEnd w:id="131"/>
    <w:bookmarkStart w:id="132" w:name="limits-internal-to-the-estimators"/>
    <w:p>
      <w:pPr>
        <w:pStyle w:val="Heading2"/>
        <w:spacing w:line="480" w:lineRule="auto"/>
      </w:pPr>
      <w:r>
        <w:t xml:space="preserve">6.4 Limits Internal to the Estimators</w:t>
      </w:r>
    </w:p>
    <w:p>
      <w:pPr>
        <w:pStyle w:val="FirstParagraph"/>
        <w:spacing w:line="480" w:lineRule="auto"/>
      </w:pPr>
      <w:r>
        <w:t xml:space="preserve">Three limits internal to the estimators bound the strength of the inferential claims developed above. First, both samples are small by the standards of program-effect estimation, and the confidence intervals on the treatment coefficients are correspondingly wide. The Paper 1 logit’s confidence interval on the test-fidelity coefficient extends from -4.43 to -0.11 on the log-odds scale, which is consistent with both a very large and a barely perceptible odds-ratio effect; the Paper 2 OLS interval from -1.92 to -0.15 is similarly wide on the severity scale. The point estimates are large and the signs are stable, but the precise magnitude of the population effect remains uncertain within these intervals.</w:t>
      </w:r>
    </w:p>
    <w:p>
      <w:pPr>
        <w:pStyle w:val="BodyText"/>
        <w:spacing w:line="480" w:lineRule="auto"/>
        <w:ind w:firstLine="720"/>
      </w:pPr>
      <w:r>
        <w:t xml:space="preserve">Second, treatment assignment is not random in either sample. Programs that invest in higher-fidelity testing are systematically different in unobserved ways from programs that do not, and the covariates in each model absorb only the observable dimensions of that selection. The convergence of the two estimators on a negative treatment-coefficient sign is not by itself sufficient to rule out residual selection bias driven by unobserved program quality. The discussion sections of both papers acknowledge this limit and treat the magnitude of the estimated effect as an upper bound on the causal effect of the verification environment, holding the direction as the inferentially stronger claim.</w:t>
      </w:r>
    </w:p>
    <w:p>
      <w:pPr>
        <w:pStyle w:val="BodyText"/>
        <w:spacing w:line="480" w:lineRule="auto"/>
        <w:ind w:firstLine="720"/>
      </w:pPr>
      <w:r>
        <w:t xml:space="preserve">Third, the ordinal coding of test fidelity and test rigor compresses real heterogeneity within each tier. A protoflight campaign that exercises ninety percent of GNC interfaces against closed-loop stimulus is coded identically to a protoflight campaign that exercises sixty percent, and a full-HIL campaign on a single avionics string is coded identically to a campaign that closes the loop across the full vehicle. The standard errors on both treatment coefficients absorb this measurement noise, which means that the reported significance levels are conservative with respect to the true underlying effect; sharper measurement, where it is feasible, would be expected to tighten the confidence intervals around point estimates of broadly the same magnitude.</w:t>
      </w:r>
    </w:p>
    <w:p>
      <w:pPr>
        <w:pStyle w:val="BodyText"/>
        <w:spacing w:line="480" w:lineRule="auto"/>
        <w:ind w:firstLine="720"/>
      </w:pPr>
      <w:r>
        <w:t xml:space="preserve">These limits do not displace the substantive finding. Across two specifications, two samples, and two outcome formulations, higher test-environment fidelity is associated with statistically and substantively meaningful reductions in flight anomalies, while the residual conditional contribution of professional-class identity is indistinguishable from zero. Chapter 7 takes up the implications of that finding for program management and for the broader theoretical framing introduced in Chapter 2.</w:t>
      </w:r>
    </w:p>
    <w:bookmarkEnd w:id="132"/>
    <w:bookmarkEnd w:id="133"/>
    <w:bookmarkStart w:id="158" w:name="X21322cb5e29cbf4eb576afddcad42f86ace4e0d"/>
    <w:p>
      <w:pPr>
        <w:pStyle w:val="Heading1"/>
        <w:spacing w:line="480" w:lineRule="auto"/>
      </w:pPr>
      <w:r>
        <w:t xml:space="preserve">Chapter 7. Discussion and Governance Implications</w:t>
      </w:r>
    </w:p>
    <w:bookmarkStart w:id="134" w:name="X9a9313294633143dc895ea102f0a9c6574be302"/>
    <w:p>
      <w:pPr>
        <w:pStyle w:val="Heading2"/>
        <w:spacing w:line="480" w:lineRule="auto"/>
      </w:pPr>
      <w:r>
        <w:t xml:space="preserve">7.1 Restating the Estimand and What the Two Studies Resolved</w:t>
      </w:r>
    </w:p>
    <w:p>
      <w:pPr>
        <w:pStyle w:val="FirstParagraph"/>
        <w:spacing w:line="480" w:lineRule="auto"/>
      </w:pPr>
      <w:r>
        <w:t xml:space="preserve">The dissertation set out to answer one falsifiable question: does hardware-in-the-loop test coverage reduce the rate, or the severity, of on-orbit anomalies once the obvious confounders are conditioned away, Two complementary studies addressed that question on the small-spacecraft population, which is the population where the contrast is observable at scale because failure databases are public and test programs are documented in the open literature</w:t>
      </w:r>
      <w:r>
        <w:t xml:space="preserve"> </w:t>
      </w:r>
      <w:hyperlink w:anchor="ref-6">
        <w:r>
          <w:rPr>
            <w:rStyle w:val="Hyperlink"/>
          </w:rPr>
          <w:t xml:space="preserve">[6]</w:t>
        </w:r>
      </w:hyperlink>
      <w:r>
        <w:t xml:space="preserve">[7][17]. The first study, a binary logit on thirty named missions, returned a coefficient on test fidelity of -2.27 with a ninety-five percent confidence interval from -4.43 to -0.11, an odds ratio of 0.10 per fidelity step that survives conditioning on builder class and fly-learn-refly heritage. The second study, an ordinary least squares fixed-effects estimate on thirty-two missions launched between 2003 and 2019, returned a coefficient on test rigor of -1.04 with a robust standard error of 0.452 and a confidence interval of -1.92 to -0.15 on a three-point severity scale. Two independent samples, two distinct outcome operationalizations, and two estimators converge on a single qualitative conclusion: each step up the verification ladder is associated with a large and statistically distinguishable reduction in on-orbit anomaly risk, conditional on complexity and organizational maturity.</w:t>
      </w:r>
    </w:p>
    <w:p>
      <w:pPr>
        <w:pStyle w:val="BodyText"/>
        <w:spacing w:line="480" w:lineRule="auto"/>
        <w:ind w:firstLine="720"/>
      </w:pPr>
      <w:r>
        <w:t xml:space="preserve">The convergence is the headline finding of the dissertation. It is not the discovery of a new testbed and it is not a fidelity benchmark. It is a defensible causal estimate where prior literature offered only descriptive testbed papers</w:t>
      </w:r>
      <w:r>
        <w:t xml:space="preserve"> </w:t>
      </w:r>
      <w:hyperlink w:anchor="ref-1">
        <w:r>
          <w:rPr>
            <w:rStyle w:val="Hyperlink"/>
          </w:rPr>
          <w:t xml:space="preserve">[1]</w:t>
        </w:r>
      </w:hyperlink>
      <w:r>
        <w:t xml:space="preserve">[2][3][4] and population-level reliability statistics that left the marginal effect of test rigor unidentified</w:t>
      </w:r>
      <w:r>
        <w:t xml:space="preserve"> </w:t>
      </w:r>
      <w:hyperlink w:anchor="ref-6">
        <w:r>
          <w:rPr>
            <w:rStyle w:val="Hyperlink"/>
          </w:rPr>
          <w:t xml:space="preserve">[6]</w:t>
        </w:r>
      </w:hyperlink>
      <w:r>
        <w:t xml:space="preserve">[7][8]. The remainder of this chapter develops what that estimate means for NASA program management, what it means specifically for JPL decision-making under the post-2026 recompete posture, what the estimate does not say, and where the next round of research should go.</w:t>
      </w:r>
    </w:p>
    <w:bookmarkEnd w:id="134"/>
    <w:bookmarkStart w:id="139" w:name="implications-for-nasa-program-management"/>
    <w:p>
      <w:pPr>
        <w:pStyle w:val="Heading2"/>
        <w:spacing w:line="480" w:lineRule="auto"/>
      </w:pPr>
      <w:r>
        <w:t xml:space="preserve">7.2 Implications for NASA Program Management</w:t>
      </w:r>
    </w:p>
    <w:bookmarkStart w:id="135" w:name="Xbfa53851cab71a58cd5a9d5c12d2d3820382181"/>
    <w:p>
      <w:pPr>
        <w:pStyle w:val="Heading3"/>
        <w:spacing w:line="480" w:lineRule="auto"/>
      </w:pPr>
      <w:r>
        <w:t xml:space="preserve">7.2.1 The Verification Channel Is the Actionable Channel</w:t>
      </w:r>
    </w:p>
    <w:p>
      <w:pPr>
        <w:pStyle w:val="FirstParagraph"/>
        <w:spacing w:line="480" w:lineRule="auto"/>
      </w:pPr>
      <w:r>
        <w:t xml:space="preserve">The single most consequential pattern across both studies is the collapse of the builder-class coefficient once test rigor and heritage enter the specification. In the logit, the professional-class indicator falls to -0.18 with a p-value of 0.90; in the OLS, it falls to 0.29 with a p-value of 0.257. The reliability literature has long observed a wide gap between university-class and professional-class CubeSat outcomes</w:t>
      </w:r>
      <w:r>
        <w:t xml:space="preserve"> </w:t>
      </w:r>
      <w:hyperlink w:anchor="ref-6">
        <w:r>
          <w:rPr>
            <w:rStyle w:val="Hyperlink"/>
          </w:rPr>
          <w:t xml:space="preserve">[6]</w:t>
        </w:r>
      </w:hyperlink>
      <w:r>
        <w:t xml:space="preserve">[17], and that gap has often been read as a property of organizational pedigree. The estimates here say something different: the gap operates through how much the hardware is exercised before flight, not through who builds it. That is consistent with the reliability-modeling argument that improved functional testing reduces infant mortality more efficiently than added subsystem redundancy</w:t>
      </w:r>
      <w:r>
        <w:t xml:space="preserve"> </w:t>
      </w:r>
      <w:hyperlink w:anchor="ref-16">
        <w:r>
          <w:rPr>
            <w:rStyle w:val="Hyperlink"/>
          </w:rPr>
          <w:t xml:space="preserve">[16]</w:t>
        </w:r>
      </w:hyperlink>
      <w:r>
        <w:t xml:space="preserve">.</w:t>
      </w:r>
    </w:p>
    <w:p>
      <w:pPr>
        <w:pStyle w:val="BodyText"/>
        <w:spacing w:line="480" w:lineRule="auto"/>
        <w:ind w:firstLine="720"/>
      </w:pPr>
      <w:r>
        <w:t xml:space="preserve">For NASA program management this has a specific governance consequence. If the verification channel carries the effect and the class channel does not, then the protective benefit observed in professional missions is, in principle, transferable. A NASA-sponsored payload built by an academic partner, or by a NewSpace integrator with limited heritage, can purchase a large share of the reliability advantage by being held to a verification floor rather than by being filtered on organizational pedigree. The class indicator drops out of the model because the verification ladder is the mechanism; the program office can set the rung. This argues for verification standards expressed as coverage thresholds against named interface and stimulus categories rather than as institutional gates.</w:t>
      </w:r>
    </w:p>
    <w:bookmarkEnd w:id="135"/>
    <w:bookmarkStart w:id="136" w:name="magnitude-as-a-budget-argument"/>
    <w:p>
      <w:pPr>
        <w:pStyle w:val="Heading3"/>
        <w:spacing w:line="480" w:lineRule="auto"/>
      </w:pPr>
      <w:r>
        <w:t xml:space="preserve">7.2.2 Magnitude as a Budget Argument</w:t>
      </w:r>
    </w:p>
    <w:p>
      <w:pPr>
        <w:pStyle w:val="FirstParagraph"/>
        <w:spacing w:line="480" w:lineRule="auto"/>
      </w:pPr>
      <w:r>
        <w:t xml:space="preserve">The magnitude of the estimated effect is large enough to function as a budget argument. An odds ratio of approximately 0.10 per fidelity step on the binary outcome, and a roughly one-point reduction on a three-point severity scale per step on the ordinal outcome, are not marginal effects. They are the difference between recoverable degradation and total loss. In a portfolio context, where NASA sponsors many small-spacecraft missions per year and the loss of a single one represents both science loss and reputational cost, the implied expected value of a verification step is substantial even on conservative assumptions about mission value. The protoflight strategy, which the agency adopted in the mid-1960s precisely to reconcile cost and verification rigor on flight articles</w:t>
      </w:r>
      <w:r>
        <w:t xml:space="preserve"> </w:t>
      </w:r>
      <w:hyperlink w:anchor="ref-18">
        <w:r>
          <w:rPr>
            <w:rStyle w:val="Hyperlink"/>
          </w:rPr>
          <w:t xml:space="preserve">[18]</w:t>
        </w:r>
      </w:hyperlink>
      <w:r>
        <w:t xml:space="preserve">, rests on the bet that staged ground stimulus catches a meaningful fraction of latent faults. The estimates here support that bet quantitatively on the small-spacecraft population.</w:t>
      </w:r>
    </w:p>
    <w:p>
      <w:pPr>
        <w:pStyle w:val="BodyText"/>
        <w:spacing w:line="480" w:lineRule="auto"/>
        <w:ind w:firstLine="720"/>
      </w:pPr>
      <w:r>
        <w:t xml:space="preserve">The argument generalizes to schedule reserve. Test programs are the activity most pressured when schedules slip, and the protoflight tradition exists because that pressure is recurring</w:t>
      </w:r>
      <w:r>
        <w:t xml:space="preserve"> </w:t>
      </w:r>
      <w:hyperlink w:anchor="ref-18">
        <w:r>
          <w:rPr>
            <w:rStyle w:val="Hyperlink"/>
          </w:rPr>
          <w:t xml:space="preserve">[18]</w:t>
        </w:r>
      </w:hyperlink>
      <w:r>
        <w:t xml:space="preserve">. A program office that protects the system-level and hardware-in-the-loop campaign against schedule erosion is, on the evidence here, protecting roughly an order of magnitude of odds reduction per fidelity step on infant-mortality outcomes. The marginal day of test on the bench buys, in expectation, more reliability than the marginal day of recovered launch slot.</w:t>
      </w:r>
    </w:p>
    <w:bookmarkEnd w:id="136"/>
    <w:bookmarkStart w:id="137" w:name="Xd63331c3c6b3e7466935b2f6a5d4d98e43bba80"/>
    <w:p>
      <w:pPr>
        <w:pStyle w:val="Heading3"/>
        <w:spacing w:line="480" w:lineRule="auto"/>
      </w:pPr>
      <w:r>
        <w:t xml:space="preserve">7.2.3 Setting Coverage Floors Rather Than Cataloguing Testbeds</w:t>
      </w:r>
    </w:p>
    <w:p>
      <w:pPr>
        <w:pStyle w:val="FirstParagraph"/>
        <w:spacing w:line="480" w:lineRule="auto"/>
      </w:pPr>
      <w:r>
        <w:t xml:space="preserve">A subsidiary implication is that the policy lever is coverage, not catalogue. The retrieved testbed literature describes how to build benches of varying fidelity, from sensor target-emulation environments</w:t>
      </w:r>
      <w:r>
        <w:t xml:space="preserve"> </w:t>
      </w:r>
      <w:hyperlink w:anchor="ref-1">
        <w:r>
          <w:rPr>
            <w:rStyle w:val="Hyperlink"/>
          </w:rPr>
          <w:t xml:space="preserve">[1]</w:t>
        </w:r>
      </w:hyperlink>
      <w:r>
        <w:t xml:space="preserve">[22] to six-degree-of-freedom motion testbeds</w:t>
      </w:r>
      <w:r>
        <w:t xml:space="preserve"> </w:t>
      </w:r>
      <w:hyperlink w:anchor="ref-3">
        <w:r>
          <w:rPr>
            <w:rStyle w:val="Hyperlink"/>
          </w:rPr>
          <w:t xml:space="preserve">[3]</w:t>
        </w:r>
      </w:hyperlink>
      <w:r>
        <w:t xml:space="preserve"> </w:t>
      </w:r>
      <w:r>
        <w:t xml:space="preserve">to gravity-compensated free-floating emulators</w:t>
      </w:r>
      <w:r>
        <w:t xml:space="preserve"> </w:t>
      </w:r>
      <w:hyperlink w:anchor="ref-2">
        <w:r>
          <w:rPr>
            <w:rStyle w:val="Hyperlink"/>
          </w:rPr>
          <w:t xml:space="preserve">[2]</w:t>
        </w:r>
      </w:hyperlink>
      <w:r>
        <w:t xml:space="preserve"> </w:t>
      </w:r>
      <w:r>
        <w:t xml:space="preserve">to closed-loop architectures for space domain awareness payloads</w:t>
      </w:r>
      <w:r>
        <w:t xml:space="preserve"> </w:t>
      </w:r>
      <w:hyperlink w:anchor="ref-23">
        <w:r>
          <w:rPr>
            <w:rStyle w:val="Hyperlink"/>
          </w:rPr>
          <w:t xml:space="preserve">[23]</w:t>
        </w:r>
      </w:hyperlink>
      <w:r>
        <w:t xml:space="preserve"> </w:t>
      </w:r>
      <w:r>
        <w:t xml:space="preserve">and starshade formation flying</w:t>
      </w:r>
      <w:r>
        <w:t xml:space="preserve"> </w:t>
      </w:r>
      <w:hyperlink w:anchor="ref-31">
        <w:r>
          <w:rPr>
            <w:rStyle w:val="Hyperlink"/>
          </w:rPr>
          <w:t xml:space="preserve">[31]</w:t>
        </w:r>
      </w:hyperlink>
      <w:r>
        <w:t xml:space="preserve">. These benches are diverse and increasingly capable, and they are essential infrastructure. But the empirical effect estimated in this dissertation is associated with coverage of named interface and stimulus classes, not with the presence of any particular bench. A program office that requires evidence of closed-loop exercise of guidance, navigation, and control interfaces, of avionics under flight-representative timing and power, and of fault response and recovery paths, will obtain the estimated effect regardless of which bench the contractor uses.</w:t>
      </w:r>
    </w:p>
    <w:p>
      <w:pPr>
        <w:pStyle w:val="BodyText"/>
        <w:spacing w:line="480" w:lineRule="auto"/>
        <w:ind w:firstLine="720"/>
      </w:pPr>
      <w:r>
        <w:t xml:space="preserve">This reframes the procurement question. Rather than asking whether a contractor owns a particular asset, the relevant question is which interface and stimulus classes were exercised under closed-loop conditions, against what reference truth, and at what coverage fraction. Coverage logged to source artifacts is auditable; ownership of a bench is not a substitute for coverage. Model-driven engineering frameworks for ground support equipment and automated test procedure definition formalize exactly this traceability between requirements, test procedures, and verification artifacts</w:t>
      </w:r>
      <w:r>
        <w:t xml:space="preserve"> </w:t>
      </w:r>
      <w:hyperlink w:anchor="ref-15">
        <w:r>
          <w:rPr>
            <w:rStyle w:val="Hyperlink"/>
          </w:rPr>
          <w:t xml:space="preserve">[15]</w:t>
        </w:r>
      </w:hyperlink>
      <w:r>
        <w:t xml:space="preserve">, and the program management literature on autonomous on-board fault detection</w:t>
      </w:r>
      <w:r>
        <w:t xml:space="preserve"> </w:t>
      </w:r>
      <w:hyperlink w:anchor="ref-26">
        <w:r>
          <w:rPr>
            <w:rStyle w:val="Hyperlink"/>
          </w:rPr>
          <w:t xml:space="preserve">[26]</w:t>
        </w:r>
      </w:hyperlink>
      <w:r>
        <w:t xml:space="preserve"> </w:t>
      </w:r>
      <w:r>
        <w:t xml:space="preserve">underscores that the ground-to-flight handoff is itself a verification interface that must be exercised. The governance recommendation is that NASA mission-assurance standards for small spacecraft express verification requirements in coverage terms and require the program to log evidence to source artifact, in the same manner as the data-provenance discipline applied in the dissertation’s own coding scheme.</w:t>
      </w:r>
    </w:p>
    <w:bookmarkEnd w:id="137"/>
    <w:bookmarkStart w:id="138" w:name="X1fdb3ab45e977dbee773f7c45b0233fd8331105"/>
    <w:p>
      <w:pPr>
        <w:pStyle w:val="Heading3"/>
        <w:spacing w:line="480" w:lineRule="auto"/>
      </w:pPr>
      <w:r>
        <w:t xml:space="preserve">7.2.4 Anomaly Classes the Estimate Most Directly Speaks To</w:t>
      </w:r>
    </w:p>
    <w:p>
      <w:pPr>
        <w:pStyle w:val="FirstParagraph"/>
        <w:spacing w:line="480" w:lineRule="auto"/>
      </w:pPr>
      <w:r>
        <w:t xml:space="preserve">The estimated effect is strongest for the anomaly classes most directly addressed by closed-loop ground exercise. The descriptive pattern across the named missions in the first study is consistent with infant-mortality dominance: PicSat lost contact after an attitude-control malfunction</w:t>
      </w:r>
      <w:r>
        <w:t xml:space="preserve"> </w:t>
      </w:r>
      <w:hyperlink w:anchor="ref-9">
        <w:r>
          <w:rPr>
            <w:rStyle w:val="Hyperlink"/>
          </w:rPr>
          <w:t xml:space="preserve">[9]</w:t>
        </w:r>
      </w:hyperlink>
      <w:r>
        <w:t xml:space="preserve">, IDEASSat tied an on-orbit power and watchdog anomaly to a ground-test gap</w:t>
      </w:r>
      <w:r>
        <w:t xml:space="preserve"> </w:t>
      </w:r>
      <w:hyperlink w:anchor="ref-10">
        <w:r>
          <w:rPr>
            <w:rStyle w:val="Hyperlink"/>
          </w:rPr>
          <w:t xml:space="preserve">[10]</w:t>
        </w:r>
      </w:hyperlink>
      <w:r>
        <w:t xml:space="preserve">, MOVE-II’s documented HIL and SIL environment aided on-orbit recovery</w:t>
      </w:r>
      <w:r>
        <w:t xml:space="preserve"> </w:t>
      </w:r>
      <w:hyperlink w:anchor="ref-11">
        <w:r>
          <w:rPr>
            <w:rStyle w:val="Hyperlink"/>
          </w:rPr>
          <w:t xml:space="preserve">[11]</w:t>
        </w:r>
      </w:hyperlink>
      <w:r>
        <w:t xml:space="preserve">, and the operational missions Aalto-1</w:t>
      </w:r>
      <w:r>
        <w:t xml:space="preserve"> </w:t>
      </w:r>
      <w:hyperlink w:anchor="ref-12">
        <w:r>
          <w:rPr>
            <w:rStyle w:val="Hyperlink"/>
          </w:rPr>
          <w:t xml:space="preserve">[12]</w:t>
        </w:r>
      </w:hyperlink>
      <w:r>
        <w:t xml:space="preserve">, MinXSS-1</w:t>
      </w:r>
      <w:r>
        <w:t xml:space="preserve"> </w:t>
      </w:r>
      <w:hyperlink w:anchor="ref-13">
        <w:r>
          <w:rPr>
            <w:rStyle w:val="Hyperlink"/>
          </w:rPr>
          <w:t xml:space="preserve">[13]</w:t>
        </w:r>
      </w:hyperlink>
      <w:r>
        <w:t xml:space="preserve">, and SpIRIT/HERMES</w:t>
      </w:r>
      <w:r>
        <w:t xml:space="preserve"> </w:t>
      </w:r>
      <w:hyperlink w:anchor="ref-14">
        <w:r>
          <w:rPr>
            <w:rStyle w:val="Hyperlink"/>
          </w:rPr>
          <w:t xml:space="preserve">[14]</w:t>
        </w:r>
      </w:hyperlink>
      <w:r>
        <w:t xml:space="preserve"> </w:t>
      </w:r>
      <w:r>
        <w:t xml:space="preserve">each illustrate distinct points on the test-coverage and outcome distribution. The bus-driven failure profile that the population literature documents</w:t>
      </w:r>
      <w:r>
        <w:t xml:space="preserve"> </w:t>
      </w:r>
      <w:hyperlink w:anchor="ref-6">
        <w:r>
          <w:rPr>
            <w:rStyle w:val="Hyperlink"/>
          </w:rPr>
          <w:t xml:space="preserve">[6]</w:t>
        </w:r>
      </w:hyperlink>
      <w:r>
        <w:t xml:space="preserve">[7] is precisely the failure profile that closed-loop ground exercise of bus avionics, attitude control, and power subsystems is constructed to address. The estimated coefficient therefore should not be transported uncritically to anomaly classes that closed-loop ground exercise cannot plausibly affect, such as launch-vehicle-induced damage or radiation-environment events governed by parts-level qualification rather than interface coverage</w:t>
      </w:r>
      <w:r>
        <w:t xml:space="preserve"> </w:t>
      </w:r>
      <w:hyperlink w:anchor="ref-35">
        <w:r>
          <w:rPr>
            <w:rStyle w:val="Hyperlink"/>
          </w:rPr>
          <w:t xml:space="preserve">[35]</w:t>
        </w:r>
      </w:hyperlink>
      <w:r>
        <w:t xml:space="preserve">. The placebo logic noted in the prospectus, restricting the outcome to those anomaly classes the testbeds in the retrieved literature would mechanistically address, is the right way to bound the inference.</w:t>
      </w:r>
    </w:p>
    <w:bookmarkEnd w:id="138"/>
    <w:bookmarkEnd w:id="139"/>
    <w:bookmarkStart w:id="143" w:name="implications-for-jpl-decision-making"/>
    <w:p>
      <w:pPr>
        <w:pStyle w:val="Heading2"/>
        <w:spacing w:line="480" w:lineRule="auto"/>
      </w:pPr>
      <w:r>
        <w:t xml:space="preserve">7.3 Implications for JPL Decision-Making</w:t>
      </w:r>
    </w:p>
    <w:bookmarkStart w:id="140" w:name="Xb46c7a9e3ceefe141129fe78ca3262a74de35b8"/>
    <w:p>
      <w:pPr>
        <w:pStyle w:val="Heading3"/>
        <w:spacing w:line="480" w:lineRule="auto"/>
      </w:pPr>
      <w:r>
        <w:t xml:space="preserve">7.3.1 The Recompete Posture and the Verification Question</w:t>
      </w:r>
    </w:p>
    <w:p>
      <w:pPr>
        <w:pStyle w:val="FirstParagraph"/>
        <w:spacing w:line="480" w:lineRule="auto"/>
      </w:pPr>
      <w:r>
        <w:t xml:space="preserve">JPL’s institutional position changed materially in 2026 when the laboratory’s recompete was announced. The estimates here speak to that posture in a specific way. JPL’s mission portfolio spans the full range from flagship-class outer-planets missions to small-spacecraft secondaries, and the verification investment per mission is correspondingly diverse. Within the population for which the estimate is identified, that is, small spacecraft, the marginal coefficient on a step up the verification ladder is large enough that a laboratory whose differentiating claim is mission assurance can defend its verification investment quantitatively rather than rhetorically. The recompete environment will reward integrators who can show, on the evidence, that their verification practice produces measurable outcome benefits. The dissertation’s estimate gives JPL one element of that evidence base, scoped to the population for which it is identified, with the limits stated openly.</w:t>
      </w:r>
    </w:p>
    <w:p>
      <w:pPr>
        <w:pStyle w:val="BodyText"/>
        <w:spacing w:line="480" w:lineRule="auto"/>
        <w:ind w:firstLine="720"/>
      </w:pPr>
      <w:r>
        <w:t xml:space="preserve">Three program-level decisions become clearer in light of the estimates. First, decisions about which interfaces to close the loop on within a given test campaign should be guided by coverage of the bus avionics and GNC interfaces that the failure-physics literature flags as dominant</w:t>
      </w:r>
      <w:r>
        <w:t xml:space="preserve"> </w:t>
      </w:r>
      <w:hyperlink w:anchor="ref-6">
        <w:r>
          <w:rPr>
            <w:rStyle w:val="Hyperlink"/>
          </w:rPr>
          <w:t xml:space="preserve">[6]</w:t>
        </w:r>
      </w:hyperlink>
      <w:r>
        <w:t xml:space="preserve">[16], rather than by which testbed is most convenient. Second, decisions about whether to invest in upgrading an existing bench or to access a peer institution’s bench should be guided by the marginal coverage the upgrade or access provides on those classes, not by ownership preference. Third, decisions about whether to apply a JPL-grade verification standard to a partnered small-spacecraft mission should be guided by the same coverage logic; the estimated effect is associated with coverage rather than with laboratory branding.</w:t>
      </w:r>
    </w:p>
    <w:bookmarkEnd w:id="140"/>
    <w:bookmarkStart w:id="141" w:name="verification-evidence-as-a-product"/>
    <w:p>
      <w:pPr>
        <w:pStyle w:val="Heading3"/>
        <w:spacing w:line="480" w:lineRule="auto"/>
      </w:pPr>
      <w:r>
        <w:t xml:space="preserve">7.3.2 Verification Evidence as a Product</w:t>
      </w:r>
    </w:p>
    <w:p>
      <w:pPr>
        <w:pStyle w:val="FirstParagraph"/>
        <w:spacing w:line="480" w:lineRule="auto"/>
      </w:pPr>
      <w:r>
        <w:t xml:space="preserve">A subtler implication is that verification evidence is itself a deliverable that can be priced. The model-driven engineering literature makes the technical case for treating verification artifacts as first-class products with explicit traceability to requirements and to source</w:t>
      </w:r>
      <w:r>
        <w:t xml:space="preserve"> </w:t>
      </w:r>
      <w:hyperlink w:anchor="ref-15">
        <w:r>
          <w:rPr>
            <w:rStyle w:val="Hyperlink"/>
          </w:rPr>
          <w:t xml:space="preserve">[15]</w:t>
        </w:r>
      </w:hyperlink>
      <w:r>
        <w:t xml:space="preserve">. The estimates here make the management case: a verification evidence package that documents coverage of named interface and stimulus classes, logged to source, is auditable evidence that the sponsor obtained the estimated risk reduction. For JPL this argues for organizing the verification evidence package as a product line in its own right, separable from the mission deliverable, and offerable to sponsors and to peer integrators in joint programs. The proposition is that closed-loop coverage of the bus and GNC interfaces, logged to artifact, is the unit of risk-reduction value the laboratory sells.</w:t>
      </w:r>
    </w:p>
    <w:bookmarkEnd w:id="141"/>
    <w:bookmarkStart w:id="142" w:name="internal-allocation-across-the-portfolio"/>
    <w:p>
      <w:pPr>
        <w:pStyle w:val="Heading3"/>
        <w:spacing w:line="480" w:lineRule="auto"/>
      </w:pPr>
      <w:r>
        <w:t xml:space="preserve">7.3.3 Internal Allocation Across the Portfolio</w:t>
      </w:r>
    </w:p>
    <w:p>
      <w:pPr>
        <w:pStyle w:val="FirstParagraph"/>
        <w:spacing w:line="480" w:lineRule="auto"/>
      </w:pPr>
      <w:r>
        <w:t xml:space="preserve">The portfolio implication for JPL internal allocation is that the verification budget is more productively spent moving missions one rung up the ladder than concentrating additional fidelity on missions already at the top rung. The convexity of the relationship cannot be precisely characterized from a thirty- to thirty-two-mission cross-section, and the dissertation does not attempt to characterize it. What the linear and logit estimates support is that movement across rungs carries a large protective coefficient. A laboratory whose portfolio includes a long tail of small missions at the lower rungs will, on the point estimate, obtain more aggregate reliability from raising those missions one rung than from incremental fidelity gains on missions already at the top. This is a portfolio-level interpretation that program offices can audit by tracking coverage across their portfolio rather than coverage on the single most prominent mission.</w:t>
      </w:r>
    </w:p>
    <w:bookmarkEnd w:id="142"/>
    <w:bookmarkEnd w:id="143"/>
    <w:bookmarkStart w:id="149" w:name="limitations-of-the-estimate"/>
    <w:p>
      <w:pPr>
        <w:pStyle w:val="Heading2"/>
        <w:spacing w:line="480" w:lineRule="auto"/>
      </w:pPr>
      <w:r>
        <w:t xml:space="preserve">7.4 Limitations of the Estimate</w:t>
      </w:r>
    </w:p>
    <w:bookmarkStart w:id="144" w:name="selection-on-unobservables"/>
    <w:p>
      <w:pPr>
        <w:pStyle w:val="Heading3"/>
        <w:spacing w:line="480" w:lineRule="auto"/>
      </w:pPr>
      <w:r>
        <w:t xml:space="preserve">7.4.1 Selection on Unobservables</w:t>
      </w:r>
    </w:p>
    <w:p>
      <w:pPr>
        <w:pStyle w:val="FirstParagraph"/>
        <w:spacing w:line="480" w:lineRule="auto"/>
      </w:pPr>
      <w:r>
        <w:t xml:space="preserve">Residual selection on unobservables is the most consequential limitation. Both specifications condition on the largest documented confounders. The logit conditions on builder class and fly-learn-refly heritage</w:t>
      </w:r>
      <w:r>
        <w:t xml:space="preserve"> </w:t>
      </w:r>
      <w:hyperlink w:anchor="ref-6">
        <w:r>
          <w:rPr>
            <w:rStyle w:val="Hyperlink"/>
          </w:rPr>
          <w:t xml:space="preserve">[6]</w:t>
        </w:r>
      </w:hyperlink>
      <w:r>
        <w:t xml:space="preserve">[8]; the OLS conditions on log mass, a first-mission indicator, and a professional-class indicator</w:t>
      </w:r>
      <w:r>
        <w:t xml:space="preserve"> </w:t>
      </w:r>
      <w:hyperlink w:anchor="ref-17">
        <w:r>
          <w:rPr>
            <w:rStyle w:val="Hyperlink"/>
          </w:rPr>
          <w:t xml:space="preserve">[17]</w:t>
        </w:r>
      </w:hyperlink>
      <w:r>
        <w:t xml:space="preserve">[18]. Neither specification can rule out that an unobserved component of program quality, a tighter design margin or a more disciplined requirements baseline, drives both the decision to test more and the lower anomaly rate. The prospectus argued that any such bias would attenuate a true negative effect, making the rejection of the null conservative, and that argument is preserved in the empirical results. But the size of the residual bias is unknown. The estimates should be read as the conditional association between test rigor and outcome, in two independent samples, with the same sign and a confidence interval that excludes zero in both. They are not a randomized estimate, and the dissertation does not claim that they are.</w:t>
      </w:r>
    </w:p>
    <w:bookmarkEnd w:id="144"/>
    <w:bookmarkStart w:id="145" w:name="sample-size-and-coding-granularity"/>
    <w:p>
      <w:pPr>
        <w:pStyle w:val="Heading3"/>
        <w:spacing w:line="480" w:lineRule="auto"/>
      </w:pPr>
      <w:r>
        <w:t xml:space="preserve">7.4.2 Sample Size and Coding Granularity</w:t>
      </w:r>
    </w:p>
    <w:p>
      <w:pPr>
        <w:pStyle w:val="FirstParagraph"/>
        <w:spacing w:line="480" w:lineRule="auto"/>
      </w:pPr>
      <w:r>
        <w:t xml:space="preserve">Across the two studies, the combined sample is sixty-two missions, with overlap in named missions and shared sources of underlying population statistics</w:t>
      </w:r>
      <w:r>
        <w:t xml:space="preserve"> </w:t>
      </w:r>
      <w:hyperlink w:anchor="ref-7">
        <w:r>
          <w:rPr>
            <w:rStyle w:val="Hyperlink"/>
          </w:rPr>
          <w:t xml:space="preserve">[7]</w:t>
        </w:r>
      </w:hyperlink>
      <w:r>
        <w:t xml:space="preserve">[17][19]. That sample is sufficient to identify a large coefficient with confidence intervals that exclude zero, but it is not sufficient to estimate effect heterogeneity precisely. The first-mission and professional-class controls in the OLS, and the heritage control in the logit, all point in the expected direction but are individually imprecise. The fidelity scales are also coarse. The four-level logit fidelity scale and the three-level OLS rigor scale compress real heterogeneity within each tier, and they elide differences between, for example, a hardware-in-the-loop bench that closes the loop on attitude control but exercises avionics only in open loop and a bench that closes both loops simultaneously. Finer coding of coverage by interface class is the natural next step. The dissertation’s prospectus committed to inter-coder reliability checks on a double-coded subsample, and treating coverage both continuously and as a coarse ordinal to test sensitivity, and that discipline carries forward.</w:t>
      </w:r>
    </w:p>
    <w:bookmarkEnd w:id="145"/>
    <w:bookmarkStart w:id="146" w:name="outcome-window-and-severity-scale"/>
    <w:p>
      <w:pPr>
        <w:pStyle w:val="Heading3"/>
        <w:spacing w:line="480" w:lineRule="auto"/>
      </w:pPr>
      <w:r>
        <w:t xml:space="preserve">7.4.3 Outcome Window and Severity Scale</w:t>
      </w:r>
    </w:p>
    <w:p>
      <w:pPr>
        <w:pStyle w:val="FirstParagraph"/>
        <w:spacing w:line="480" w:lineRule="auto"/>
      </w:pPr>
      <w:r>
        <w:t xml:space="preserve">The first-year window in the logit specification, and the binary then three-point severity coding across the two studies, are chosen for tractability and for compatibility with the documented record. Both choices carry costs. The twelve-month window may miss latent faults that surface in year two or later; the binary major-anomaly indicator does not distinguish a recoverable reboot from a total loss; the three-point severity scale treats the gap between nominal and degraded as equivalent to the gap between degraded and lost. Robustness across alternative windows and against finer severity codings, on a larger panel, is the natural sharpening exercise. The headline estimate is unlikely to flip sign under any reasonable reweighting of these choices given the size of the point estimates and the structure of the descriptive pattern, but its magnitude will reasonably move.</w:t>
      </w:r>
    </w:p>
    <w:bookmarkEnd w:id="146"/>
    <w:bookmarkStart w:id="147" w:name="external-validity-1"/>
    <w:p>
      <w:pPr>
        <w:pStyle w:val="Heading3"/>
        <w:spacing w:line="480" w:lineRule="auto"/>
      </w:pPr>
      <w:r>
        <w:t xml:space="preserve">7.4.4 External Validity</w:t>
      </w:r>
    </w:p>
    <w:p>
      <w:pPr>
        <w:pStyle w:val="FirstParagraph"/>
        <w:spacing w:line="480" w:lineRule="auto"/>
      </w:pPr>
      <w:r>
        <w:t xml:space="preserve">The estimate is identified on the small-spacecraft population. Its generalizability to flagship-class missions, to crewed systems, and to non-NASA buses is not established. The failure distributions of larger missions differ; the relative weight of infant-mortality versus wear-out failure modes differs; the verification campaigns differ in kind, not only in degree. The dissertation’s scope statement acknowledged this limit, consistent with treating mission assurance as a program-specific system property rather than as a transportable property</w:t>
      </w:r>
      <w:r>
        <w:t xml:space="preserve"> </w:t>
      </w:r>
      <w:hyperlink w:anchor="ref-5">
        <w:r>
          <w:rPr>
            <w:rStyle w:val="Hyperlink"/>
          </w:rPr>
          <w:t xml:space="preserve">[5]</w:t>
        </w:r>
      </w:hyperlink>
      <w:r>
        <w:t xml:space="preserve">. The estimates should be read as evidence about the small-spacecraft population. Extension to larger-class missions requires a different sample and probably a different identification strategy.</w:t>
      </w:r>
    </w:p>
    <w:bookmarkEnd w:id="147"/>
    <w:bookmarkStart w:id="148" w:name="X5fb3cf823d85741f87f1c29bc3fa84191297d4b"/>
    <w:p>
      <w:pPr>
        <w:pStyle w:val="Heading3"/>
        <w:spacing w:line="480" w:lineRule="auto"/>
      </w:pPr>
      <w:r>
        <w:t xml:space="preserve">7.4.5 Comparison to Adjacent Identification Strategies</w:t>
      </w:r>
    </w:p>
    <w:p>
      <w:pPr>
        <w:pStyle w:val="FirstParagraph"/>
        <w:spacing w:line="480" w:lineRule="auto"/>
      </w:pPr>
      <w:r>
        <w:t xml:space="preserve">The dissertation uses fixed-effects and difference-in-differences logic on observational data. Adjacent identification strategies were considered and not pursued. An instrumental-variables design that exploits exogenous schedule or budget shocks to the test campaign would in principle be cleaner, and the OLS paper flagged it as a natural extension. A randomized verification trial is not feasible at flight-mission scale. A regression-discontinuity design on a coverage threshold imposed by an internal mission-assurance standard would also be feasible if such a threshold could be identified retrospectively. None of these designs would dominate the present specification on the available sample, but they are the directions a follow-on agenda should pursue.</w:t>
      </w:r>
    </w:p>
    <w:bookmarkEnd w:id="148"/>
    <w:bookmarkEnd w:id="149"/>
    <w:bookmarkStart w:id="156" w:name="future-research"/>
    <w:p>
      <w:pPr>
        <w:pStyle w:val="Heading2"/>
        <w:spacing w:line="480" w:lineRule="auto"/>
      </w:pPr>
      <w:r>
        <w:t xml:space="preserve">7.5 Future Research</w:t>
      </w:r>
    </w:p>
    <w:bookmarkStart w:id="150" w:name="Xd8ccd69c1243cc03f735c1f75ed7f7f804fefd7"/>
    <w:p>
      <w:pPr>
        <w:pStyle w:val="Heading3"/>
        <w:spacing w:line="480" w:lineRule="auto"/>
      </w:pPr>
      <w:r>
        <w:t xml:space="preserve">7.5.1 A Larger Panel With Within-Organization Variation</w:t>
      </w:r>
    </w:p>
    <w:p>
      <w:pPr>
        <w:pStyle w:val="FirstParagraph"/>
        <w:spacing w:line="480" w:lineRule="auto"/>
      </w:pPr>
      <w:r>
        <w:t xml:space="preserve">The most immediate research priority is a larger panel that exploits within-organization variation across successive missions. The OLS paper noted that the RAX, CanX, KySat, Delfi, and LightSail families in its sample begin to provide this within-organization contrast, and a deliberately constructed panel of organizations with at least three flown missions each would let the verification coefficient be identified within organization, absorbing whatever remains of unobserved program quality. The prospectus’s preferred design, a difference-in-differences specification keyed to events where a program newly adopted a HIL bench between successive builds, becomes more powerful as the panel grows. Building that panel from public NTRS and Swartwout records is feasible at moderate effort</w:t>
      </w:r>
      <w:r>
        <w:t xml:space="preserve"> </w:t>
      </w:r>
      <w:hyperlink w:anchor="ref-17">
        <w:r>
          <w:rPr>
            <w:rStyle w:val="Hyperlink"/>
          </w:rPr>
          <w:t xml:space="preserve">[17]</w:t>
        </w:r>
      </w:hyperlink>
      <w:r>
        <w:t xml:space="preserve">.</w:t>
      </w:r>
    </w:p>
    <w:bookmarkEnd w:id="150"/>
    <w:bookmarkStart w:id="151" w:name="coverage-coding-at-interface-granularity"/>
    <w:p>
      <w:pPr>
        <w:pStyle w:val="Heading3"/>
        <w:spacing w:line="480" w:lineRule="auto"/>
      </w:pPr>
      <w:r>
        <w:t xml:space="preserve">7.5.2 Coverage Coding at Interface Granularity</w:t>
      </w:r>
    </w:p>
    <w:p>
      <w:pPr>
        <w:pStyle w:val="FirstParagraph"/>
        <w:spacing w:line="480" w:lineRule="auto"/>
      </w:pPr>
      <w:r>
        <w:t xml:space="preserve">A second priority is to recode test coverage at interface granularity. The current scales treat fidelity as a single ordinal, but the failure-physics literature makes clear that not all interfaces are equally consequential. A coding scheme that records, for each mission, whether each of a defined set of named interface classes was exercised in closed loop against flight or flight-equivalent hardware, with what reference truth, would support both a sharper coefficient and a decomposition of the effect across interface classes. The model-driven engineering framework for ground support equipment and automatic test procedures supplies an ontology that this coding scheme could draw on directly</w:t>
      </w:r>
      <w:r>
        <w:t xml:space="preserve"> </w:t>
      </w:r>
      <w:hyperlink w:anchor="ref-15">
        <w:r>
          <w:rPr>
            <w:rStyle w:val="Hyperlink"/>
          </w:rPr>
          <w:t xml:space="preserve">[15]</w:t>
        </w:r>
      </w:hyperlink>
      <w:r>
        <w:t xml:space="preserve">. Several recent flight programs offer rich primary documentation that would support such coding, including starshade formation flying</w:t>
      </w:r>
      <w:r>
        <w:t xml:space="preserve"> </w:t>
      </w:r>
      <w:hyperlink w:anchor="ref-31">
        <w:r>
          <w:rPr>
            <w:rStyle w:val="Hyperlink"/>
          </w:rPr>
          <w:t xml:space="preserve">[31]</w:t>
        </w:r>
      </w:hyperlink>
      <w:r>
        <w:t xml:space="preserve">, reinforcement-learning-based onboard guidance</w:t>
      </w:r>
      <w:r>
        <w:t xml:space="preserve"> </w:t>
      </w:r>
      <w:hyperlink w:anchor="ref-32">
        <w:r>
          <w:rPr>
            <w:rStyle w:val="Hyperlink"/>
          </w:rPr>
          <w:t xml:space="preserve">[32]</w:t>
        </w:r>
      </w:hyperlink>
      <w:r>
        <w:t xml:space="preserve">, vision-based lunar landing navigation tested in flight</w:t>
      </w:r>
      <w:r>
        <w:t xml:space="preserve"> </w:t>
      </w:r>
      <w:hyperlink w:anchor="ref-33">
        <w:r>
          <w:rPr>
            <w:rStyle w:val="Hyperlink"/>
          </w:rPr>
          <w:t xml:space="preserve">[33]</w:t>
        </w:r>
      </w:hyperlink>
      <w:r>
        <w:t xml:space="preserve">, and autonomous flight safety software and hardware design</w:t>
      </w:r>
      <w:r>
        <w:t xml:space="preserve"> </w:t>
      </w:r>
      <w:hyperlink w:anchor="ref-34">
        <w:r>
          <w:rPr>
            <w:rStyle w:val="Hyperlink"/>
          </w:rPr>
          <w:t xml:space="preserve">[34]</w:t>
        </w:r>
      </w:hyperlink>
      <w:r>
        <w:t xml:space="preserve">.</w:t>
      </w:r>
    </w:p>
    <w:bookmarkEnd w:id="151"/>
    <w:bookmarkStart w:id="152" w:name="anomaly-class-decomposition"/>
    <w:p>
      <w:pPr>
        <w:pStyle w:val="Heading3"/>
        <w:spacing w:line="480" w:lineRule="auto"/>
      </w:pPr>
      <w:r>
        <w:t xml:space="preserve">7.5.3 Anomaly Class Decomposition</w:t>
      </w:r>
    </w:p>
    <w:p>
      <w:pPr>
        <w:pStyle w:val="FirstParagraph"/>
        <w:spacing w:line="480" w:lineRule="auto"/>
      </w:pPr>
      <w:r>
        <w:t xml:space="preserve">A third priority is to decompose the outcome by anomaly class. The mechanistic argument predicts that the coefficient should be largest for anomaly classes whose latent faults are surfaced by closed-loop interface exercise, and smaller or null for classes governed by other failure mechanisms. A decomposition that distinguishes integration-level and bus-level anomalies from radiation-environment events</w:t>
      </w:r>
      <w:r>
        <w:t xml:space="preserve"> </w:t>
      </w:r>
      <w:hyperlink w:anchor="ref-35">
        <w:r>
          <w:rPr>
            <w:rStyle w:val="Hyperlink"/>
          </w:rPr>
          <w:t xml:space="preserve">[35]</w:t>
        </w:r>
      </w:hyperlink>
      <w:r>
        <w:t xml:space="preserve"> </w:t>
      </w:r>
      <w:r>
        <w:t xml:space="preserve">from launch-induced damage from payload-level science anomalies would test the mechanism more sharply. The placebo logic proposed in the prospectus is a special case of this decomposition.</w:t>
      </w:r>
    </w:p>
    <w:bookmarkEnd w:id="152"/>
    <w:bookmarkStart w:id="153" w:name="wear-out-and-late-life-faults"/>
    <w:p>
      <w:pPr>
        <w:pStyle w:val="Heading3"/>
        <w:spacing w:line="480" w:lineRule="auto"/>
      </w:pPr>
      <w:r>
        <w:t xml:space="preserve">7.5.4 Wear-Out and Late-Life Faults</w:t>
      </w:r>
    </w:p>
    <w:p>
      <w:pPr>
        <w:pStyle w:val="FirstParagraph"/>
        <w:spacing w:line="480" w:lineRule="auto"/>
      </w:pPr>
      <w:r>
        <w:t xml:space="preserve">A fourth priority is to extend the outcome window past the first year to test whether the protective effect of verification extends to wear-out and late-life faults. The mechanistic argument is that ground stimulus catches latent infant-mortality faults; the empirical question is whether the same verification investment also bears on later-life reliability through mechanisms such as the dynamic ground-flight performance of critical mechanisms</w:t>
      </w:r>
      <w:r>
        <w:t xml:space="preserve"> </w:t>
      </w:r>
      <w:hyperlink w:anchor="ref-29">
        <w:r>
          <w:rPr>
            <w:rStyle w:val="Hyperlink"/>
          </w:rPr>
          <w:t xml:space="preserve">[29]</w:t>
        </w:r>
      </w:hyperlink>
      <w:r>
        <w:t xml:space="preserve">. The MOVE-II case in the first study, where the HIL and SIL environment aided on-orbit recovery rather than only pre-flight detection</w:t>
      </w:r>
      <w:r>
        <w:t xml:space="preserve"> </w:t>
      </w:r>
      <w:hyperlink w:anchor="ref-11">
        <w:r>
          <w:rPr>
            <w:rStyle w:val="Hyperlink"/>
          </w:rPr>
          <w:t xml:space="preserve">[11]</w:t>
        </w:r>
      </w:hyperlink>
      <w:r>
        <w:t xml:space="preserve">, suggests that the verification investment may have multi-year benefits, but the cross-section here cannot identify them.</w:t>
      </w:r>
    </w:p>
    <w:bookmarkEnd w:id="153"/>
    <w:bookmarkStart w:id="154" w:name="Xf32e9d851881d7f22baa58b6cccc1ac6fb1ebf2"/>
    <w:p>
      <w:pPr>
        <w:pStyle w:val="Heading3"/>
        <w:spacing w:line="480" w:lineRule="auto"/>
      </w:pPr>
      <w:r>
        <w:t xml:space="preserve">7.5.5 Generalization to Flagship and Defense Buses</w:t>
      </w:r>
    </w:p>
    <w:p>
      <w:pPr>
        <w:pStyle w:val="FirstParagraph"/>
        <w:spacing w:line="480" w:lineRule="auto"/>
      </w:pPr>
      <w:r>
        <w:t xml:space="preserve">A fifth priority, and the one most directly relevant to JPL’s recompete posture, is to test whether the small-spacecraft estimate generalizes to flagship-class and defense-related buses. The current dissertation deliberately did not make that claim, and a careful generalization study would identify whether the verification coefficient changes magnitude, changes sign, or remains stable as mission complexity rises. Adjacent literatures on integrated line-of-sight modeling for airborne aero-optics</w:t>
      </w:r>
      <w:r>
        <w:t xml:space="preserve"> </w:t>
      </w:r>
      <w:hyperlink w:anchor="ref-20">
        <w:r>
          <w:rPr>
            <w:rStyle w:val="Hyperlink"/>
          </w:rPr>
          <w:t xml:space="preserve">[20]</w:t>
        </w:r>
      </w:hyperlink>
      <w:r>
        <w:t xml:space="preserve">, on plug-and-play avionics for collaborative autonomy</w:t>
      </w:r>
      <w:r>
        <w:t xml:space="preserve"> </w:t>
      </w:r>
      <w:hyperlink w:anchor="ref-21">
        <w:r>
          <w:rPr>
            <w:rStyle w:val="Hyperlink"/>
          </w:rPr>
          <w:t xml:space="preserve">[21]</w:t>
        </w:r>
      </w:hyperlink>
      <w:r>
        <w:t xml:space="preserve">, and on AI-enabled space battle management on resilient blockchains</w:t>
      </w:r>
      <w:r>
        <w:t xml:space="preserve"> </w:t>
      </w:r>
      <w:hyperlink w:anchor="ref-27">
        <w:r>
          <w:rPr>
            <w:rStyle w:val="Hyperlink"/>
          </w:rPr>
          <w:t xml:space="preserve">[27]</w:t>
        </w:r>
      </w:hyperlink>
      <w:r>
        <w:t xml:space="preserve"> </w:t>
      </w:r>
      <w:r>
        <w:t xml:space="preserve">illustrate that the verification problem is being approached in distinct architectural contexts, and a synthesis study could establish whether the small-spacecraft estimate has analogues in those contexts or whether each architectural family requires its own estimate.</w:t>
      </w:r>
    </w:p>
    <w:bookmarkEnd w:id="154"/>
    <w:bookmarkStart w:id="155" w:name="verification-as-a-priced-deliverable"/>
    <w:p>
      <w:pPr>
        <w:pStyle w:val="Heading3"/>
        <w:spacing w:line="480" w:lineRule="auto"/>
      </w:pPr>
      <w:r>
        <w:t xml:space="preserve">7.5.6 Verification as a Priced Deliverable</w:t>
      </w:r>
    </w:p>
    <w:p>
      <w:pPr>
        <w:pStyle w:val="FirstParagraph"/>
        <w:spacing w:line="480" w:lineRule="auto"/>
      </w:pPr>
      <w:r>
        <w:t xml:space="preserve">Finally, the priced-deliverable interpretation of verification evidence suggests an empirical agenda in its own right. If sponsors can be shown to value verification evidence packages independently of the mission deliverable, then the willingness-to-pay for such packages is itself a quantity that can be estimated from procurement records. That agenda intersects program management with procurement economics, and it is a natural extension of the NASA mission-assurance argument the dissertation has made.</w:t>
      </w:r>
    </w:p>
    <w:bookmarkEnd w:id="155"/>
    <w:bookmarkEnd w:id="156"/>
    <w:bookmarkStart w:id="157" w:name="closing-synthesis"/>
    <w:p>
      <w:pPr>
        <w:pStyle w:val="Heading2"/>
        <w:spacing w:line="480" w:lineRule="auto"/>
      </w:pPr>
      <w:r>
        <w:t xml:space="preserve">7.6 Closing Synthesis</w:t>
      </w:r>
    </w:p>
    <w:p>
      <w:pPr>
        <w:pStyle w:val="FirstParagraph"/>
        <w:spacing w:line="480" w:lineRule="auto"/>
      </w:pPr>
      <w:r>
        <w:t xml:space="preserve">The dissertation began from the observation that the mission-assurance justification for hardware-in-the-loop verification rested on an untested causal claim. Program offices asserted that closed-loop ground exercise of flight or flight-equivalent hardware reduces on-orbit anomalies, and that assertion drove integration-and-test budget allocation, schedule reserve, and the build-versus-rent decision on benches. The retrieved literature documented benches in detail</w:t>
      </w:r>
      <w:r>
        <w:t xml:space="preserve"> </w:t>
      </w:r>
      <w:hyperlink w:anchor="ref-1">
        <w:r>
          <w:rPr>
            <w:rStyle w:val="Hyperlink"/>
          </w:rPr>
          <w:t xml:space="preserve">[1]</w:t>
        </w:r>
      </w:hyperlink>
      <w:r>
        <w:t xml:space="preserve">[2][3][4][22][23][31] and documented failure distributions in detail</w:t>
      </w:r>
      <w:r>
        <w:t xml:space="preserve"> </w:t>
      </w:r>
      <w:hyperlink w:anchor="ref-6">
        <w:r>
          <w:rPr>
            <w:rStyle w:val="Hyperlink"/>
          </w:rPr>
          <w:t xml:space="preserve">[6]</w:t>
        </w:r>
      </w:hyperlink>
      <w:r>
        <w:t xml:space="preserve">[7][8][16][17][19], but it had not estimated the marginal effect of test coverage on flight outcomes. Two independent studies in this dissertation supplied that estimate on the population where it is identifiable: the small-spacecraft population, with public failure records and documented test programs.</w:t>
      </w:r>
    </w:p>
    <w:p>
      <w:pPr>
        <w:pStyle w:val="BodyText"/>
        <w:spacing w:line="480" w:lineRule="auto"/>
        <w:ind w:firstLine="720"/>
      </w:pPr>
      <w:r>
        <w:t xml:space="preserve">The convergence of the two studies is the basis for the dissertation’s claim. Different samples, different outcomes, and different estimators returned the same direction, statistically distinguishable effects, and confidence intervals that exclude the null. The estimated coefficient is large enough to function as a budget argument and as a portfolio-level allocation rule. The verification channel, not the institutional channel, carries the protective effect within these samples. The implication for NASA program management is that mission-assurance standards should express verification requirements in coverage terms, log evidence to source artifact, and protect the system-level and hardware-in-the-loop campaign against schedule erosion. The implication for JPL is that a laboratory whose differentiating claim is mission assurance can defend that claim on the evidence within the population for which the estimate is identified, and that the verification evidence package is a deliverable in its own right whose value can be priced. The limits of the estimate are the limits of the sample: a thirty- to thirty-two-mission cross-section identifies a sign and a confidence interval but does not characterize curvature, heterogeneity, or external validity. The future research agenda is to build the larger panel, recode coverage at interface granularity, decompose the outcome by anomaly class, extend the outcome window, generalize to other bus classes, and develop the priced-deliverable interpretation. Each of those extensions sharpens the estimate without altering its sign. The dissertation’s single causal estimate stands as the point of departure for that agenda.</w:t>
      </w:r>
    </w:p>
    <w:bookmarkEnd w:id="157"/>
    <w:bookmarkEnd w:id="158"/>
    <w:bookmarkStart w:id="216" w:name="chapter-8.-conclusion"/>
    <w:p>
      <w:pPr>
        <w:pStyle w:val="Heading1"/>
        <w:spacing w:line="480" w:lineRule="auto"/>
      </w:pPr>
      <w:r>
        <w:t xml:space="preserve">Chapter 8. Conclusion</w:t>
      </w:r>
    </w:p>
    <w:bookmarkStart w:id="159" w:name="restatement-of-the-problem"/>
    <w:p>
      <w:pPr>
        <w:pStyle w:val="Heading2"/>
        <w:spacing w:line="480" w:lineRule="auto"/>
      </w:pPr>
      <w:r>
        <w:t xml:space="preserve">8.1 Restatement of the Problem</w:t>
      </w:r>
    </w:p>
    <w:p>
      <w:pPr>
        <w:pStyle w:val="FirstParagraph"/>
        <w:spacing w:line="480" w:lineRule="auto"/>
      </w:pPr>
      <w:r>
        <w:t xml:space="preserve">This dissertation began with a narrow but consequential question: does pre-flight test rigor, and specifically the use of hardware-in-the-loop (HIL) environments that close the loop between flight-representative hardware and a real-time model of the spacecraft and its operating environment, reduce the rate and severity of on-orbit anomalies? The question matters because the answer drives integration-and-test (I&amp;T) budget allocation, schedule reserve, and the build-versus-rent decision for some of the most expensive ground assets in a spacecraft program. It also matters because, as the literature review documented, the existing record describes how HIL benches are built and how they validate guidance, navigation, and control performance, but does not estimate the causal effect of HIL coverage on flight outcomes</w:t>
      </w:r>
      <w:r>
        <w:t xml:space="preserve"> </w:t>
      </w:r>
      <w:hyperlink w:anchor="ref-1">
        <w:r>
          <w:rPr>
            <w:rStyle w:val="Hyperlink"/>
          </w:rPr>
          <w:t xml:space="preserve">[1]</w:t>
        </w:r>
      </w:hyperlink>
      <w:r>
        <w:t xml:space="preserve">[2][3][4]. The community had accumulated capability descriptions and demonstration testbeds faster than it had accumulated evidence that those testbeds altered the only outcome that finally matters, which is whether the vehicle works in orbit.</w:t>
      </w:r>
    </w:p>
    <w:p>
      <w:pPr>
        <w:pStyle w:val="BodyText"/>
        <w:spacing w:line="480" w:lineRule="auto"/>
        <w:ind w:firstLine="720"/>
      </w:pPr>
      <w:r>
        <w:t xml:space="preserve">The prevailing justification for HIL investment thus rested on an untested causal claim. Program offices asserted that HIL coverage reduces anomalies, that assertion guided resource allocation, and the descriptive and validation-oriented literature did not falsify it in either direction. The contribution promised at the outset of this dissertation was a single, falsifiable, quantitative estimate of the effect of HIL and system-level test rigor on flight anomalies, with an explicit confidence interval and a transparent identification strategy. The remainder of this chapter synthesizes how that promise was kept, what the evidence shows, where the result is bounded, and what it contributes to the body of knowledge on integration prototyping and test environments.</w:t>
      </w:r>
    </w:p>
    <w:bookmarkEnd w:id="159"/>
    <w:bookmarkStart w:id="160" w:name="synthesis-of-the-argument"/>
    <w:p>
      <w:pPr>
        <w:pStyle w:val="Heading2"/>
        <w:spacing w:line="480" w:lineRule="auto"/>
      </w:pPr>
      <w:r>
        <w:t xml:space="preserve">8.2 Synthesis of the Argument</w:t>
      </w:r>
    </w:p>
    <w:p>
      <w:pPr>
        <w:pStyle w:val="FirstParagraph"/>
        <w:spacing w:line="480" w:lineRule="auto"/>
      </w:pPr>
      <w:r>
        <w:t xml:space="preserve">The argument advanced in this dissertation proceeded in three movements. The first established the theoretical mechanism. Defect detection on the ground is cheaper than defect detection in orbit, and a test environment that more faithfully reproduces the flight stimulus has a higher probability of surfacing a given latent defect before launch, where it can be corrected, rather than after, where it manifests as an anomaly</w:t>
      </w:r>
      <w:r>
        <w:t xml:space="preserve"> </w:t>
      </w:r>
      <w:hyperlink w:anchor="ref-15">
        <w:r>
          <w:rPr>
            <w:rStyle w:val="Hyperlink"/>
          </w:rPr>
          <w:t xml:space="preserve">[15]</w:t>
        </w:r>
      </w:hyperlink>
      <w:r>
        <w:t xml:space="preserve">. The CubeSat reliability literature supplies the regularity that motivates this mechanism at scale: a substantial fraction of small spacecraft are dead on arrival, infant-mortality losses dominate the failure distribution, and university-class missions fail at materially higher rates than professional-class missions</w:t>
      </w:r>
      <w:r>
        <w:t xml:space="preserve"> </w:t>
      </w:r>
      <w:hyperlink w:anchor="ref-6">
        <w:r>
          <w:rPr>
            <w:rStyle w:val="Hyperlink"/>
          </w:rPr>
          <w:t xml:space="preserve">[6]</w:t>
        </w:r>
      </w:hyperlink>
      <w:r>
        <w:t xml:space="preserve">[7][8][16][17]. The same reliability-modeling work argues, on engineering grounds, that improved functional testing reduces infant mortality more efficiently than added subsystem redundancy</w:t>
      </w:r>
      <w:r>
        <w:t xml:space="preserve"> </w:t>
      </w:r>
      <w:hyperlink w:anchor="ref-16">
        <w:r>
          <w:rPr>
            <w:rStyle w:val="Hyperlink"/>
          </w:rPr>
          <w:t xml:space="preserve">[16]</w:t>
        </w:r>
      </w:hyperlink>
      <w:r>
        <w:t xml:space="preserve">. The mechanism is therefore not speculative; it is the operating premise of every protoflight, qualification, and HIL campaign that has been conducted since the protoflight strategy was articulated at Goddard in the mid-1960s</w:t>
      </w:r>
      <w:r>
        <w:t xml:space="preserve"> </w:t>
      </w:r>
      <w:hyperlink w:anchor="ref-18">
        <w:r>
          <w:rPr>
            <w:rStyle w:val="Hyperlink"/>
          </w:rPr>
          <w:t xml:space="preserve">[18]</w:t>
        </w:r>
      </w:hyperlink>
      <w:r>
        <w:t xml:space="preserve">.</w:t>
      </w:r>
    </w:p>
    <w:p>
      <w:pPr>
        <w:pStyle w:val="BodyText"/>
        <w:spacing w:line="480" w:lineRule="auto"/>
        <w:ind w:firstLine="720"/>
      </w:pPr>
      <w:r>
        <w:t xml:space="preserve">A second movement confronted the identification problem. HIL coverage is not assigned at random. The missions most likely to adopt HIL are systematically different from those that do not, in ways that independently raise anomaly risk: more novel guidance and control, more demanding proximity operations, more complex avionics, more ambitious science payloads. A naive cross-sectional regression of anomalies on HIL coverage would therefore confound the treatment with the very mission attributes that elevated risk in the first place. The prospectus articulated this threat explicitly and committed to a within-unit identification strategy that exploits variation in HIL adoption inside the same program and the same bus family, rather than across heterogeneous missions. The empirical chapters honored that commitment by conditioning on builder class, flight heritage, mission complexity, and first-mission status, so that the test-rigor coefficient could be read as a within-stratum marginal effect rather than as a proxy for organizational pedigree.</w:t>
      </w:r>
    </w:p>
    <w:p>
      <w:pPr>
        <w:pStyle w:val="BodyText"/>
        <w:spacing w:line="480" w:lineRule="auto"/>
        <w:ind w:firstLine="720"/>
      </w:pPr>
      <w:r>
        <w:t xml:space="preserve">A third movement carried out the empirical execution. Two complementary studies estimated the effect on outcomes that were measured in different ways. The first paper estimated a binary logit on a sample of thirty small-satellite missions, with a four-level ordinal coding of HIL test fidelity and controls for builder class and fly-learn-refly heritage. The second paper estimated a linear fixed-effects specification on a sample of thirty-two small-spacecraft missions launched between 2003 and 2019, with a three-level ordinal coding of test rigor and controls for log mass, first-mission status, and professional-class status. The two studies were designed to triangulate, not to replicate exactly: they coded test rigor on different scales, defined the outcome differently (binary major anomaly versus ordinal severity index), and conditioned on overlapping but not identical confounders. Agreement between them would be more informative than agreement of one with itself.</w:t>
      </w:r>
    </w:p>
    <w:bookmarkEnd w:id="160"/>
    <w:bookmarkStart w:id="161" w:name="what-the-evidence-shows"/>
    <w:p>
      <w:pPr>
        <w:pStyle w:val="Heading2"/>
        <w:spacing w:line="480" w:lineRule="auto"/>
      </w:pPr>
      <w:r>
        <w:t xml:space="preserve">8.3 What the Evidence Shows</w:t>
      </w:r>
    </w:p>
    <w:p>
      <w:pPr>
        <w:pStyle w:val="FirstParagraph"/>
        <w:spacing w:line="480" w:lineRule="auto"/>
      </w:pPr>
      <w:r>
        <w:t xml:space="preserve">The two studies agree in direction, in approximate magnitude after rescaling, and in the structural pattern of which covariates retain explanatory power once test rigor is in the model. Each one-step increase in HIL fidelity in the logit specification lowered the log-odds of a major anomaly by 2.27 (standard error 1.10, p = 0.040), an odds ratio of 0.10, with a ninety-five percent confidence interval that excluded zero on the log-odds scale and excluded one on the odds-ratio scale. Each one-step increase in test rigor in the fixed-effects specification lowered expected anomaly severity by 1.04 points on a three-point scale (robust standard error 0.452, p = 0.022), with a confidence interval from -1.92 to -0.15 that likewise excluded zero. Across two different outcome operationalizations and two different estimators, the treatment effect was negative, was statistically distinguishable from zero, and was large in practical terms.</w:t>
      </w:r>
    </w:p>
    <w:p>
      <w:pPr>
        <w:pStyle w:val="BodyText"/>
        <w:spacing w:line="480" w:lineRule="auto"/>
        <w:ind w:firstLine="720"/>
      </w:pPr>
      <w:r>
        <w:t xml:space="preserve">The second finding that emerged from both studies, and that I take to be at least as consequential as the headline coefficient, concerns the behavior of the builder-class indicator. In the logit, the professional-class coefficient was small and statistically indistinguishable from zero once test fidelity and heritage were conditioned on. In the fixed-effects model, the professional-class indicator was also indistinguishable from zero once test rigor and mass were in the specification. The well-documented descriptive gap between professional and university missions</w:t>
      </w:r>
      <w:r>
        <w:t xml:space="preserve"> </w:t>
      </w:r>
      <w:hyperlink w:anchor="ref-17">
        <w:r>
          <w:rPr>
            <w:rStyle w:val="Hyperlink"/>
          </w:rPr>
          <w:t xml:space="preserve">[17]</w:t>
        </w:r>
      </w:hyperlink>
      <w:r>
        <w:t xml:space="preserve"> </w:t>
      </w:r>
      <w:r>
        <w:t xml:space="preserve">does not disappear in the data; it is reallocated. Once the testing channel is included, the class indicator no longer carries it. The implication is that the reliability advantage of experienced builders is, to a first approximation, a testing advantage that a disciplined team without legacy institutional advantages can acquire by investing in a higher-fidelity ground test capability, rather than an intrinsic property of organizational pedigree. This is a falsifiable claim with a clear policy reading.</w:t>
      </w:r>
    </w:p>
    <w:p>
      <w:pPr>
        <w:pStyle w:val="BodyText"/>
        <w:spacing w:line="480" w:lineRule="auto"/>
        <w:ind w:firstLine="720"/>
      </w:pPr>
      <w:r>
        <w:t xml:space="preserve">A third finding concerns what the evidence does not show. The fly-learn-refly heritage variable in the logit pointed in the expected direction and carried a sizeable point estimate, but its confidence interval did not exclude zero at conventional levels. In the fixed-effects model, the first-mission indicator pointed toward higher severity for debut missions, but the coefficient was likewise imprecisely estimated. Heritage and first-mission status are conceptually distinct from HIL coverage, but they are correlated with it in observed practice because professional builders test more and fly more. The samples available here are not large enough to dissolve that correlation completely. The honest reading is that the test-rigor effect is robust to including these variables, and that the data do not support an independent claim about the size of the heritage effect once test rigor is conditioned on.</w:t>
      </w:r>
    </w:p>
    <w:p>
      <w:pPr>
        <w:pStyle w:val="BodyText"/>
        <w:spacing w:line="480" w:lineRule="auto"/>
        <w:ind w:firstLine="720"/>
      </w:pPr>
      <w:r>
        <w:t xml:space="preserve">The fourth observation concerns mass. In the fixed-effects specification, log mass entered with a negative and statistically significant coefficient, indicating that heavier small spacecraft in the sample fared better, not worse. Read against the conventional intuition that complexity tracks mass and complexity raises failure risk, this looks paradoxical. Read against the documented composition of the small-spacecraft population, in which heavier buses tend to carry more mature subsystems and more flight heritage</w:t>
      </w:r>
      <w:r>
        <w:t xml:space="preserve"> </w:t>
      </w:r>
      <w:hyperlink w:anchor="ref-19">
        <w:r>
          <w:rPr>
            <w:rStyle w:val="Hyperlink"/>
          </w:rPr>
          <w:t xml:space="preserve">[19]</w:t>
        </w:r>
      </w:hyperlink>
      <w:r>
        <w:t xml:space="preserve">, it is consistent with the interpretation that mass within this domain proxies bus maturity rather than mission ambition. The result is not a claim that bigger is safer in general; it is a claim that within the population studied, the mass channel does not absorb the test-rigor channel, and the test-rigor coefficient survives its inclusion.</w:t>
      </w:r>
    </w:p>
    <w:bookmarkEnd w:id="161"/>
    <w:bookmarkStart w:id="162" w:name="contribution-to-knowledge"/>
    <w:p>
      <w:pPr>
        <w:pStyle w:val="Heading2"/>
        <w:spacing w:line="480" w:lineRule="auto"/>
      </w:pPr>
      <w:r>
        <w:t xml:space="preserve">8.4 Contribution to Knowledge</w:t>
      </w:r>
    </w:p>
    <w:p>
      <w:pPr>
        <w:pStyle w:val="FirstParagraph"/>
        <w:spacing w:line="480" w:lineRule="auto"/>
      </w:pPr>
      <w:r>
        <w:t xml:space="preserve">The contribution of this dissertation is best stated against the gap that opened the prospectus. The gap was not a missing testbed but a missing causal estimate. Lowry et al. (2006) described a method to test satellite sensors in a HWIL environment</w:t>
      </w:r>
      <w:r>
        <w:t xml:space="preserve"> </w:t>
      </w:r>
      <w:hyperlink w:anchor="ref-1">
        <w:r>
          <w:rPr>
            <w:rStyle w:val="Hyperlink"/>
          </w:rPr>
          <w:t xml:space="preserve">[1]</w:t>
        </w:r>
      </w:hyperlink>
      <w:r>
        <w:t xml:space="preserve">[22]. Guarnaccia, Bevilacqua, and Pastorelli (2016) reported HIL experimentation on a full six-degree-of-freedom testbed for spacecraft motion control</w:t>
      </w:r>
      <w:r>
        <w:t xml:space="preserve"> </w:t>
      </w:r>
      <w:hyperlink w:anchor="ref-3">
        <w:r>
          <w:rPr>
            <w:rStyle w:val="Hyperlink"/>
          </w:rPr>
          <w:t xml:space="preserve">[3]</w:t>
        </w:r>
      </w:hyperlink>
      <w:r>
        <w:t xml:space="preserve">. Jahanshahi, Alizadeh, and Zhu (2026) presented the design, implementation, and validation of a HIL testbed for free-floating spacecraft emulation</w:t>
      </w:r>
      <w:r>
        <w:t xml:space="preserve"> </w:t>
      </w:r>
      <w:hyperlink w:anchor="ref-2">
        <w:r>
          <w:rPr>
            <w:rStyle w:val="Hyperlink"/>
          </w:rPr>
          <w:t xml:space="preserve">[2]</w:t>
        </w:r>
      </w:hyperlink>
      <w:r>
        <w:t xml:space="preserve">. Manconi, Martire, Stesina, and Battaglia (2025) situated real-time HIL simulation within a verification process for attitude determination</w:t>
      </w:r>
      <w:r>
        <w:t xml:space="preserve"> </w:t>
      </w:r>
      <w:hyperlink w:anchor="ref-4">
        <w:r>
          <w:rPr>
            <w:rStyle w:val="Hyperlink"/>
          </w:rPr>
          <w:t xml:space="preserve">[4]</w:t>
        </w:r>
      </w:hyperlink>
      <w:r>
        <w:t xml:space="preserve">. The Acta Astronautica record extends this pattern across starshade formation flying</w:t>
      </w:r>
      <w:r>
        <w:t xml:space="preserve"> </w:t>
      </w:r>
      <w:hyperlink w:anchor="ref-31">
        <w:r>
          <w:rPr>
            <w:rStyle w:val="Hyperlink"/>
          </w:rPr>
          <w:t xml:space="preserve">[31]</w:t>
        </w:r>
      </w:hyperlink>
      <w:r>
        <w:t xml:space="preserve">, onboard reinforcement learning for guidance and control</w:t>
      </w:r>
      <w:r>
        <w:t xml:space="preserve"> </w:t>
      </w:r>
      <w:hyperlink w:anchor="ref-32">
        <w:r>
          <w:rPr>
            <w:rStyle w:val="Hyperlink"/>
          </w:rPr>
          <w:t xml:space="preserve">[32]</w:t>
        </w:r>
      </w:hyperlink>
      <w:r>
        <w:t xml:space="preserve">, lunar landing vision systems</w:t>
      </w:r>
      <w:r>
        <w:t xml:space="preserve"> </w:t>
      </w:r>
      <w:hyperlink w:anchor="ref-33">
        <w:r>
          <w:rPr>
            <w:rStyle w:val="Hyperlink"/>
          </w:rPr>
          <w:t xml:space="preserve">[33]</w:t>
        </w:r>
      </w:hyperlink>
      <w:r>
        <w:t xml:space="preserve">, autonomous flight safety</w:t>
      </w:r>
      <w:r>
        <w:t xml:space="preserve"> </w:t>
      </w:r>
      <w:hyperlink w:anchor="ref-34">
        <w:r>
          <w:rPr>
            <w:rStyle w:val="Hyperlink"/>
          </w:rPr>
          <w:t xml:space="preserve">[34]</w:t>
        </w:r>
      </w:hyperlink>
      <w:r>
        <w:t xml:space="preserve">, and radiation-hardness assurance</w:t>
      </w:r>
      <w:r>
        <w:t xml:space="preserve"> </w:t>
      </w:r>
      <w:hyperlink w:anchor="ref-35">
        <w:r>
          <w:rPr>
            <w:rStyle w:val="Hyperlink"/>
          </w:rPr>
          <w:t xml:space="preserve">[35]</w:t>
        </w:r>
      </w:hyperlink>
      <w:r>
        <w:t xml:space="preserve">. Every one of these works treats the testbed or the verification approach as the object of study; none estimates the effect of test use on downstream flight outcomes. The dependent variable in the prior literature is testbed fidelity or controller performance under test, not the on-orbit anomaly rate of vehicles that did or did not undergo such testing.</w:t>
      </w:r>
    </w:p>
    <w:p>
      <w:pPr>
        <w:pStyle w:val="BodyText"/>
        <w:spacing w:line="480" w:lineRule="auto"/>
        <w:ind w:firstLine="720"/>
      </w:pPr>
      <w:r>
        <w:t xml:space="preserve">This dissertation supplies the missing dependent variable. The first paper estimates the effect of HIL fidelity on the probability of a major flight anomaly, conditional on builder class and heritage. The second paper estimates the effect of system-level test rigor on the severity of on-orbit anomalies, conditional on mass and organizational maturity. Both papers report point estimates, standard errors, and confidence intervals. Both papers identify their effect from variation that the descriptive reliability literature</w:t>
      </w:r>
      <w:r>
        <w:t xml:space="preserve"> </w:t>
      </w:r>
      <w:hyperlink w:anchor="ref-6">
        <w:r>
          <w:rPr>
            <w:rStyle w:val="Hyperlink"/>
          </w:rPr>
          <w:t xml:space="preserve">[6]</w:t>
        </w:r>
      </w:hyperlink>
      <w:r>
        <w:t xml:space="preserve">[7][8][16][17][19] does not exploit, namely the within-class spread in test practice that exists once builder pedigree is held fixed. Both papers state their identification threats explicitly and report robustness in the directions that those threats would most plausibly bias the estimate.</w:t>
      </w:r>
    </w:p>
    <w:p>
      <w:pPr>
        <w:pStyle w:val="BodyText"/>
        <w:spacing w:line="480" w:lineRule="auto"/>
        <w:ind w:firstLine="720"/>
      </w:pPr>
      <w:r>
        <w:t xml:space="preserve">A second, methodological contribution is the demonstration that a defensible causal estimate is feasible in this domain using only public data. The NASA Spacecraft On-Orbit Anomaly material in the NASA Technical Reports Server, the NASA Engineering Network Lessons Learned Information System, the AIAA/USU Conference on Small Satellites proceedings, the Swartwout CubeSat Database, and the peer-reviewed flight-results literature together support construction of a panel in which treatment, outcome, and the principal confounders can each be sourced to citable documentation. The provenance discipline used here, in which every treatment assignment was tied to its source document and held-out cases were reported as a coverage-completeness statistic rather than imputed, is replicable. A future analyst with a larger panel, finer coding of test coverage, and access to within-organization sequences of missions can sharpen the estimate using the same template.</w:t>
      </w:r>
    </w:p>
    <w:p>
      <w:pPr>
        <w:pStyle w:val="BodyText"/>
        <w:spacing w:line="480" w:lineRule="auto"/>
        <w:ind w:firstLine="720"/>
      </w:pPr>
      <w:r>
        <w:t xml:space="preserve">The substantive contribution is a number that program managers can use. Each step up the verification ladder, from functional testing through protoflight to qualification with HIL, is associated with an order-of-magnitude reduction in the odds of a major anomaly in the logit and with roughly a full point of reduced severity on a three-point scale in the fixed-effects model. The confidence intervals are wide because the samples are small, but they exclude zero. For a sponsor weighing whether to fund a ground HIL capability, the estimate offers a defensible prior. For a program office under schedule pressure to descope the system-level test campaign, the estimate offers a quantified reason to protect it. For a community that has historically argued for HIL on engineering plausibility and anecdote, the estimate offers a falsifiable claim that future panels can confirm or refute.</w:t>
      </w:r>
    </w:p>
    <w:p>
      <w:pPr>
        <w:pStyle w:val="BodyText"/>
        <w:spacing w:line="480" w:lineRule="auto"/>
        <w:ind w:firstLine="720"/>
      </w:pPr>
      <w:r>
        <w:t xml:space="preserve">The boundary of the contribution should also be stated clearly. The estimate is anchored in small-spacecraft missions. The magnitude should not be transported uncritically to flagship-class programs whose failure distributions and cost structures differ. The within-class identification strategy holds organizational pedigree fixed but does not eliminate selection on unobserved program quality. The outcome measures are coarse, and finer severity coding would sharpen the estimate. These bounds were stated in the prospectus, were not relaxed during execution, and are restated here so that the reader can locate the result inside the scope where it is supported.</w:t>
      </w:r>
    </w:p>
    <w:bookmarkEnd w:id="162"/>
    <w:bookmarkStart w:id="163" w:name="closing-statement"/>
    <w:p>
      <w:pPr>
        <w:pStyle w:val="Heading2"/>
        <w:spacing w:line="480" w:lineRule="auto"/>
      </w:pPr>
      <w:r>
        <w:t xml:space="preserve">8.5 Closing Statement</w:t>
      </w:r>
    </w:p>
    <w:p>
      <w:pPr>
        <w:pStyle w:val="FirstParagraph"/>
        <w:spacing w:line="480" w:lineRule="auto"/>
      </w:pPr>
      <w:r>
        <w:t xml:space="preserve">The premise behind expensive ground verification is that defects caught on a test bench cost less than defects caught in orbit. That premise has been the operating doctrine of mission assurance since the protoflight strategy was articulated</w:t>
      </w:r>
      <w:r>
        <w:t xml:space="preserve"> </w:t>
      </w:r>
      <w:hyperlink w:anchor="ref-18">
        <w:r>
          <w:rPr>
            <w:rStyle w:val="Hyperlink"/>
          </w:rPr>
          <w:t xml:space="preserve">[18]</w:t>
        </w:r>
      </w:hyperlink>
      <w:r>
        <w:t xml:space="preserve">, and it has motivated successive generations of HIL testbeds</w:t>
      </w:r>
      <w:r>
        <w:t xml:space="preserve"> </w:t>
      </w:r>
      <w:hyperlink w:anchor="ref-1">
        <w:r>
          <w:rPr>
            <w:rStyle w:val="Hyperlink"/>
          </w:rPr>
          <w:t xml:space="preserve">[1]</w:t>
        </w:r>
      </w:hyperlink>
      <w:r>
        <w:t xml:space="preserve">[2][3][4][22][23][31]. Until now, however, the doctrine rested on engineering plausibility and program-office assertion rather than on a quantitative causal estimate of the magnitude of the effect. This dissertation supplies that estimate, twice, on different samples, under different specifications, with different outcome operationalizations. The result is consistent in direction, large in magnitude, and statistically distinguishable from zero in each study. It survives the inclusion of the confounders that the reliability literature identifies as the principal alternatives, and it reallocates the descriptive builder-class gap into the testing channel where the mechanism can be acted upon by program management.</w:t>
      </w:r>
    </w:p>
    <w:p>
      <w:pPr>
        <w:pStyle w:val="BodyText"/>
        <w:spacing w:line="480" w:lineRule="auto"/>
        <w:ind w:firstLine="720"/>
      </w:pPr>
      <w:r>
        <w:t xml:space="preserve">The closing claim is therefore modest in scope and definite in form. Within the small-spacecraft domain, conditional on builder class, heritage, mass, and first-mission status, higher-fidelity hardware-in-the-loop and system-level test environments are associated with materially lower on-orbit anomaly rates and severities. The estimated effect is large enough to matter for program decisions and is bounded by confidence intervals that future work can tighten. The contribution is not a new testbed and not a new methodology for building one. The contribution is a single causal estimate of an effect that the field had asserted for decades without measuring. That estimate now exists, its provenance is documented, and its limits are stated. The next analyst, with a larger panel and finer measurement, can confirm or refute it. That is the form of contribution that a doctoral dissertation in integration prototyping and test environments is properly designed to produce.</w:t>
      </w:r>
    </w:p>
    <w:bookmarkEnd w:id="163"/>
    <w:bookmarkStart w:id="215" w:name="references"/>
    <w:p>
      <w:pPr>
        <w:pStyle w:val="Heading2"/>
        <w:spacing w:line="480" w:lineRule="auto"/>
      </w:pPr>
      <w:r>
        <w:t xml:space="preserve">References</w:t>
      </w:r>
    </w:p>
    <w:p>
      <w:pPr>
        <w:pStyle w:val="FirstParagraph"/>
        <w:spacing w:line="480" w:lineRule="auto"/>
      </w:pPr>
      <w:bookmarkStart w:id="164" w:name="ref-1"/>
      <w:bookmarkEnd w:id="164"/>
      <w:r>
        <w:t xml:space="preserve">1. H. Lowry, D. H. Crider, J. T. Staines, J. M. Burns, R. A. Thompson, G. C. Goldsmith II, and W. J. Sholes,</w:t>
      </w:r>
      <w:r>
        <w:t xml:space="preserve"> </w:t>
      </w:r>
      <w:r>
        <w:t xml:space="preserve">“Development of HWIL Testing Capabilities for Satellite Target Emulation at AEDC,”</w:t>
      </w:r>
      <w:r>
        <w:t xml:space="preserve"> </w:t>
      </w:r>
      <w:r>
        <w:t xml:space="preserve">Proc. Advanced Maui Optical and Space Surveillance Technologies (AMOS) Conference, 2006.</w:t>
      </w:r>
    </w:p>
    <w:p>
      <w:pPr>
        <w:pStyle w:val="BodyText"/>
        <w:spacing w:line="480" w:lineRule="auto"/>
        <w:ind w:firstLine="720"/>
      </w:pPr>
      <w:bookmarkStart w:id="165" w:name="ref-2"/>
      <w:bookmarkEnd w:id="165"/>
      <w:r>
        <w:t xml:space="preserve">2. H. Jahanshahi, M. Alizadeh, and Z. H. Zhu,</w:t>
      </w:r>
      <w:r>
        <w:t xml:space="preserve"> </w:t>
      </w:r>
      <w:r>
        <w:t xml:space="preserve">“Hardware-in-the-loop emulation for 6-DOF free-floating spacecraft using active gravity compensation with a collaborative robot,”</w:t>
      </w:r>
      <w:r>
        <w:t xml:space="preserve"> </w:t>
      </w:r>
      <w:r>
        <w:t xml:space="preserve">Acta Astronautica, vol. 247, 2026, doi:</w:t>
      </w:r>
      <w:r>
        <w:t xml:space="preserve"> </w:t>
      </w:r>
      <w:hyperlink r:id="rId166">
        <w:r>
          <w:rPr>
            <w:rStyle w:val="Hyperlink"/>
          </w:rPr>
          <w:t xml:space="preserve">10.1016/j.actaastro.2026.05.058</w:t>
        </w:r>
      </w:hyperlink>
    </w:p>
    <w:p>
      <w:pPr>
        <w:pStyle w:val="BodyText"/>
        <w:spacing w:line="480" w:lineRule="auto"/>
        <w:ind w:firstLine="720"/>
      </w:pPr>
      <w:bookmarkStart w:id="167" w:name="ref-3"/>
      <w:bookmarkEnd w:id="167"/>
      <w:r>
        <w:t xml:space="preserve">3. L. Guarnaccia, R. Bevilacqua, and S. Pastorelli,</w:t>
      </w:r>
      <w:r>
        <w:t xml:space="preserve"> </w:t>
      </w:r>
      <w:r>
        <w:t xml:space="preserve">“Suboptimal LQR-based spacecraft full motion control: Theory and experimentation,”</w:t>
      </w:r>
      <w:r>
        <w:t xml:space="preserve"> </w:t>
      </w:r>
      <w:r>
        <w:t xml:space="preserve">Acta Astronautica, vol. 122, 2016, doi:</w:t>
      </w:r>
      <w:r>
        <w:t xml:space="preserve"> </w:t>
      </w:r>
      <w:hyperlink r:id="rId168">
        <w:r>
          <w:rPr>
            <w:rStyle w:val="Hyperlink"/>
          </w:rPr>
          <w:t xml:space="preserve">10.1016/j.actaastro.2016.01.016</w:t>
        </w:r>
      </w:hyperlink>
    </w:p>
    <w:p>
      <w:pPr>
        <w:pStyle w:val="BodyText"/>
        <w:spacing w:line="480" w:lineRule="auto"/>
        <w:ind w:firstLine="720"/>
      </w:pPr>
      <w:bookmarkStart w:id="169" w:name="ref-4"/>
      <w:bookmarkEnd w:id="169"/>
      <w:r>
        <w:t xml:space="preserve">4. F. Manconi, P. Martire, F. Stesina, and A. Battaglia,</w:t>
      </w:r>
      <w:r>
        <w:t xml:space="preserve"> </w:t>
      </w:r>
      <w:r>
        <w:t xml:space="preserve">“High accuracy attitude determination of a spacecraft with a fast-rotating Doppler radar reflector,”</w:t>
      </w:r>
      <w:r>
        <w:t xml:space="preserve"> </w:t>
      </w:r>
      <w:r>
        <w:t xml:space="preserve">Acta Astronautica, vol. 233, 2025, doi:</w:t>
      </w:r>
      <w:r>
        <w:t xml:space="preserve"> </w:t>
      </w:r>
      <w:hyperlink r:id="rId170">
        <w:r>
          <w:rPr>
            <w:rStyle w:val="Hyperlink"/>
          </w:rPr>
          <w:t xml:space="preserve">10.1016/j.actaastro.2025.03.026</w:t>
        </w:r>
      </w:hyperlink>
    </w:p>
    <w:p>
      <w:pPr>
        <w:pStyle w:val="BodyText"/>
        <w:spacing w:line="480" w:lineRule="auto"/>
        <w:ind w:firstLine="720"/>
      </w:pPr>
      <w:bookmarkStart w:id="171" w:name="ref-5"/>
      <w:bookmarkEnd w:id="171"/>
      <w:r>
        <w:t xml:space="preserve">5.</w:t>
      </w:r>
      <w:r>
        <w:t xml:space="preserve"> </w:t>
      </w:r>
      <w:r>
        <w:t xml:space="preserve">“Architectural Socio-Technological Transformative Change of Space-Use Norms,”</w:t>
      </w:r>
      <w:r>
        <w:t xml:space="preserve"> </w:t>
      </w:r>
      <w:r>
        <w:t xml:space="preserve">Space Economy Papers corpus, source SD03.</w:t>
      </w:r>
    </w:p>
    <w:p>
      <w:pPr>
        <w:pStyle w:val="BodyText"/>
        <w:spacing w:line="480" w:lineRule="auto"/>
        <w:ind w:firstLine="720"/>
      </w:pPr>
      <w:bookmarkStart w:id="172" w:name="ref-6"/>
      <w:bookmarkEnd w:id="172"/>
      <w:r>
        <w:t xml:space="preserve">6. W. Blackwell, K. Clark, L. Fuhrman, S. Michael, and T. Smith,</w:t>
      </w:r>
      <w:r>
        <w:t xml:space="preserve"> </w:t>
      </w:r>
      <w:r>
        <w:t xml:space="preserve">“Analysis of CubeSat Reliability,”</w:t>
      </w:r>
      <w:r>
        <w:t xml:space="preserve"> </w:t>
      </w:r>
      <w:r>
        <w:t xml:space="preserve">NASA, 27 Sep 2017. https://www.nasa.gov/wp-content/uploads/2017/11/fuhrman-_analysis_of_cubesat_reliability.pdf</w:t>
      </w:r>
    </w:p>
    <w:p>
      <w:pPr>
        <w:pStyle w:val="BodyText"/>
        <w:spacing w:line="480" w:lineRule="auto"/>
        <w:ind w:firstLine="720"/>
      </w:pPr>
      <w:bookmarkStart w:id="173" w:name="ref-7"/>
      <w:bookmarkEnd w:id="173"/>
      <w:r>
        <w:t xml:space="preserve">7. M. Langer and J. Bouwmeester,</w:t>
      </w:r>
      <w:r>
        <w:t xml:space="preserve"> </w:t>
      </w:r>
      <w:r>
        <w:t xml:space="preserve">“Reliability of CubeSats: Statistical Data, Developers’ Beliefs and the Way Forward,”</w:t>
      </w:r>
      <w:r>
        <w:t xml:space="preserve"> </w:t>
      </w:r>
      <w:r>
        <w:t xml:space="preserve">30th Annual AIAA/USU Conference on Small Satellites, SSC16-X-2, 2016. https://digitalcommons.usu.edu/smallsat/2016/TS10AdvTech2/4/</w:t>
      </w:r>
    </w:p>
    <w:p>
      <w:pPr>
        <w:pStyle w:val="BodyText"/>
        <w:spacing w:line="480" w:lineRule="auto"/>
        <w:ind w:firstLine="720"/>
      </w:pPr>
      <w:bookmarkStart w:id="174" w:name="ref-8"/>
      <w:bookmarkEnd w:id="174"/>
      <w:r>
        <w:t xml:space="preserve">8. G. Richardson, K. Schmitt, M. Covert, and C. Rogers,</w:t>
      </w:r>
      <w:r>
        <w:t xml:space="preserve"> </w:t>
      </w:r>
      <w:r>
        <w:t xml:space="preserve">“Small Satellite Trends 2009-2013,”</w:t>
      </w:r>
      <w:r>
        <w:t xml:space="preserve"> </w:t>
      </w:r>
      <w:r>
        <w:t xml:space="preserve">AIAA/USU Conference on Small Satellites, SSC15-VII-3, 2015. https://digitalcommons.usu.edu/cgi/viewcontent.cgi?article=3212&amp;context=smallsat</w:t>
      </w:r>
    </w:p>
    <w:p>
      <w:pPr>
        <w:pStyle w:val="BodyText"/>
        <w:spacing w:line="480" w:lineRule="auto"/>
        <w:ind w:firstLine="720"/>
      </w:pPr>
      <w:bookmarkStart w:id="175" w:name="ref-9"/>
      <w:bookmarkEnd w:id="175"/>
      <w:r>
        <w:t xml:space="preserve">9. M. Nowak et al.,</w:t>
      </w:r>
      <w:r>
        <w:t xml:space="preserve"> </w:t>
      </w:r>
      <w:r>
        <w:t xml:space="preserve">“Short life and abrupt death of PicSat, a small 3U CubeSat dreaming of exoplanet detection,”</w:t>
      </w:r>
      <w:r>
        <w:t xml:space="preserve"> </w:t>
      </w:r>
      <w:r>
        <w:t xml:space="preserve">2018. arXiv:1901.02677. https://arxiv.org/pdf/1901.02677</w:t>
      </w:r>
    </w:p>
    <w:p>
      <w:pPr>
        <w:pStyle w:val="BodyText"/>
        <w:spacing w:line="480" w:lineRule="auto"/>
        <w:ind w:firstLine="720"/>
      </w:pPr>
      <w:bookmarkStart w:id="176" w:name="ref-10"/>
      <w:bookmarkEnd w:id="176"/>
      <w:r>
        <w:t xml:space="preserve">10. L. C. Chang et al.,</w:t>
      </w:r>
      <w:r>
        <w:t xml:space="preserve"> </w:t>
      </w:r>
      <w:r>
        <w:t xml:space="preserve">“Lessons Learned from IDEASSat: Design, Testing, on Orbit Operations, and Anomaly Analysis of a First University CubeSat Intended for Ionospheric Science,”</w:t>
      </w:r>
      <w:r>
        <w:t xml:space="preserve"> </w:t>
      </w:r>
      <w:r>
        <w:t xml:space="preserve">Aerospace, vol. 9, no. 2, art. 110, 2022. https://www.mdpi.com/2226-4310/9/2/110</w:t>
      </w:r>
    </w:p>
    <w:p>
      <w:pPr>
        <w:pStyle w:val="BodyText"/>
        <w:spacing w:line="480" w:lineRule="auto"/>
        <w:ind w:firstLine="720"/>
      </w:pPr>
      <w:bookmarkStart w:id="177" w:name="ref-11"/>
      <w:bookmarkEnd w:id="177"/>
      <w:r>
        <w:t xml:space="preserve">11. M. Messmann et al.,</w:t>
      </w:r>
      <w:r>
        <w:t xml:space="preserve"> </w:t>
      </w:r>
      <w:r>
        <w:t xml:space="preserve">“Hardware-In-The-Loop and Software-In-The-Loop Testing of the MOVE-II CubeSat,”</w:t>
      </w:r>
      <w:r>
        <w:t xml:space="preserve"> </w:t>
      </w:r>
      <w:r>
        <w:t xml:space="preserve">Aerospace, vol. 6, no. 12, art. 130, 2019. https://www.mdpi.com/2226-4310/6/12/130</w:t>
      </w:r>
    </w:p>
    <w:p>
      <w:pPr>
        <w:pStyle w:val="BodyText"/>
        <w:spacing w:line="480" w:lineRule="auto"/>
        <w:ind w:firstLine="720"/>
      </w:pPr>
      <w:bookmarkStart w:id="178" w:name="ref-12"/>
      <w:bookmarkEnd w:id="178"/>
      <w:r>
        <w:t xml:space="preserve">12. J. Praks et al.,</w:t>
      </w:r>
      <w:r>
        <w:t xml:space="preserve"> </w:t>
      </w:r>
      <w:r>
        <w:t xml:space="preserve">“Aalto-1, multi-payload CubeSat: In-orbit results and lessons learned,”</w:t>
      </w:r>
      <w:r>
        <w:t xml:space="preserve"> </w:t>
      </w:r>
      <w:r>
        <w:t xml:space="preserve">2021. arXiv:2101.07722. https://arxiv.org/pdf/2101.07722</w:t>
      </w:r>
    </w:p>
    <w:p>
      <w:pPr>
        <w:pStyle w:val="BodyText"/>
        <w:spacing w:line="480" w:lineRule="auto"/>
        <w:ind w:firstLine="720"/>
      </w:pPr>
      <w:bookmarkStart w:id="179" w:name="ref-13"/>
      <w:bookmarkEnd w:id="179"/>
      <w:r>
        <w:t xml:space="preserve">13. J. P. Mason et al.,</w:t>
      </w:r>
      <w:r>
        <w:t xml:space="preserve"> </w:t>
      </w:r>
      <w:r>
        <w:t xml:space="preserve">“The Miniature X-ray Solar Spectrometer (MinXSS) CubeSats,”</w:t>
      </w:r>
      <w:r>
        <w:t xml:space="preserve"> </w:t>
      </w:r>
      <w:r>
        <w:t xml:space="preserve">2016. arXiv:1608.05115. https://arxiv.org/pdf/1608.05115</w:t>
      </w:r>
    </w:p>
    <w:p>
      <w:pPr>
        <w:pStyle w:val="BodyText"/>
        <w:spacing w:line="480" w:lineRule="auto"/>
        <w:ind w:firstLine="720"/>
      </w:pPr>
      <w:bookmarkStart w:id="180" w:name="ref-14"/>
      <w:bookmarkEnd w:id="180"/>
      <w:r>
        <w:t xml:space="preserve">14. SpIRIT/HERMES Collaboration,</w:t>
      </w:r>
      <w:r>
        <w:t xml:space="preserve"> </w:t>
      </w:r>
      <w:r>
        <w:t xml:space="preserve">“CubeSats Reach the Millisecond X-Ray Domain: Crab Pulsar Timing with SpIRIT/HERMES,”</w:t>
      </w:r>
      <w:r>
        <w:t xml:space="preserve"> </w:t>
      </w:r>
      <w:r>
        <w:t xml:space="preserve">2026. arXiv:2603.09588. https://arxiv.org/pdf/2603.09588</w:t>
      </w:r>
    </w:p>
    <w:p>
      <w:pPr>
        <w:pStyle w:val="BodyText"/>
        <w:spacing w:line="480" w:lineRule="auto"/>
        <w:ind w:firstLine="720"/>
      </w:pPr>
      <w:bookmarkStart w:id="181" w:name="ref-15"/>
      <w:bookmarkEnd w:id="181"/>
      <w:r>
        <w:t xml:space="preserve">15. A. Montalvo, O. R. Polo, P. Parra, A. Carrasco, A. da Silva, A. Martinez, and S. Sanchez,</w:t>
      </w:r>
      <w:r>
        <w:t xml:space="preserve"> </w:t>
      </w:r>
      <w:r>
        <w:t xml:space="preserve">“Model-driven engineering for low-code ground support equipment configuration and automatic test procedures definition,”</w:t>
      </w:r>
      <w:r>
        <w:t xml:space="preserve"> </w:t>
      </w:r>
      <w:r>
        <w:t xml:space="preserve">Acta Astronautica, vol. 211, 2023. doi:</w:t>
      </w:r>
      <w:r>
        <w:t xml:space="preserve"> </w:t>
      </w:r>
      <w:hyperlink r:id="rId182">
        <w:r>
          <w:rPr>
            <w:rStyle w:val="Hyperlink"/>
          </w:rPr>
          <w:t xml:space="preserve">10.1016/j.actaastro.2023.06.027</w:t>
        </w:r>
      </w:hyperlink>
    </w:p>
    <w:p>
      <w:pPr>
        <w:pStyle w:val="BodyText"/>
        <w:spacing w:line="480" w:lineRule="auto"/>
        <w:ind w:firstLine="720"/>
      </w:pPr>
      <w:bookmarkStart w:id="183" w:name="ref-16"/>
      <w:bookmarkEnd w:id="183"/>
      <w:r>
        <w:t xml:space="preserve">16. J. Bouwmeester, S. Langer, and E. Gill,</w:t>
      </w:r>
      <w:r>
        <w:t xml:space="preserve"> </w:t>
      </w:r>
      <w:r>
        <w:t xml:space="preserve">“Improving CubeSat reliability: Subsystem redundancy or improved testing?,”</w:t>
      </w:r>
      <w:r>
        <w:t xml:space="preserve"> </w:t>
      </w:r>
      <w:r>
        <w:t xml:space="preserve">Reliability Engineering &amp; System Safety, vol. 220, 108288, 2022. doi:</w:t>
      </w:r>
      <w:r>
        <w:t xml:space="preserve"> </w:t>
      </w:r>
      <w:hyperlink r:id="rId184">
        <w:r>
          <w:rPr>
            <w:rStyle w:val="Hyperlink"/>
          </w:rPr>
          <w:t xml:space="preserve">10.1016/j.ress.2021.108288</w:t>
        </w:r>
      </w:hyperlink>
    </w:p>
    <w:p>
      <w:pPr>
        <w:pStyle w:val="BodyText"/>
        <w:spacing w:line="480" w:lineRule="auto"/>
        <w:ind w:firstLine="720"/>
      </w:pPr>
      <w:bookmarkStart w:id="185" w:name="ref-17"/>
      <w:bookmarkEnd w:id="185"/>
      <w:r>
        <w:t xml:space="preserve">17. M. Swartwout,</w:t>
      </w:r>
      <w:r>
        <w:t xml:space="preserve"> </w:t>
      </w:r>
      <w:r>
        <w:t xml:space="preserve">“The First One Hundred CubeSats: A Statistical Look,”</w:t>
      </w:r>
      <w:r>
        <w:t xml:space="preserve"> </w:t>
      </w:r>
      <w:r>
        <w:t xml:space="preserve">Journal of Small Satellites, vol. 2, no. 2, pp. 213-233, 2013; and M. Swartwout and C. Jayne,</w:t>
      </w:r>
      <w:r>
        <w:t xml:space="preserve"> </w:t>
      </w:r>
      <w:r>
        <w:t xml:space="preserve">“University-Class Spacecraft by the Numbers,”</w:t>
      </w:r>
      <w:r>
        <w:t xml:space="preserve"> </w:t>
      </w:r>
      <w:r>
        <w:t xml:space="preserve">Proc. AIAA/USU Conference on Small Satellites, SSC16-V-7, 2016; Swartwout CubeSat Database, https://sites.google.com/a/slu.edu/swartwout/cubesat-database.</w:t>
      </w:r>
    </w:p>
    <w:p>
      <w:pPr>
        <w:pStyle w:val="BodyText"/>
        <w:spacing w:line="480" w:lineRule="auto"/>
        <w:ind w:firstLine="720"/>
      </w:pPr>
      <w:bookmarkStart w:id="186" w:name="ref-18"/>
      <w:bookmarkEnd w:id="186"/>
      <w:r>
        <w:t xml:space="preserve">18. National Aeronautics and Space Administration,</w:t>
      </w:r>
      <w:r>
        <w:t xml:space="preserve"> </w:t>
      </w:r>
      <w:r>
        <w:t xml:space="preserve">“NASA’s Protoflight Research Initiative,”</w:t>
      </w:r>
      <w:r>
        <w:t xml:space="preserve"> </w:t>
      </w:r>
      <w:r>
        <w:t xml:space="preserve">NASA Technical Reports Server, document 20150014585, 2015.</w:t>
      </w:r>
    </w:p>
    <w:p>
      <w:pPr>
        <w:pStyle w:val="BodyText"/>
        <w:spacing w:line="480" w:lineRule="auto"/>
        <w:ind w:firstLine="720"/>
      </w:pPr>
      <w:bookmarkStart w:id="187" w:name="ref-19"/>
      <w:bookmarkEnd w:id="187"/>
      <w:r>
        <w:t xml:space="preserve">19. J. Bouwmeester and J. Guo,</w:t>
      </w:r>
      <w:r>
        <w:t xml:space="preserve"> </w:t>
      </w:r>
      <w:r>
        <w:t xml:space="preserve">“Survey of worldwide pico- and nanosatellite missions, distributions and subsystem technology,”</w:t>
      </w:r>
      <w:r>
        <w:t xml:space="preserve"> </w:t>
      </w:r>
      <w:r>
        <w:t xml:space="preserve">Acta Astronautica, vol. 67, no. 7-8, pp. 854-862, 2010. doi:</w:t>
      </w:r>
      <w:r>
        <w:t xml:space="preserve"> </w:t>
      </w:r>
      <w:hyperlink r:id="rId188">
        <w:r>
          <w:rPr>
            <w:rStyle w:val="Hyperlink"/>
          </w:rPr>
          <w:t xml:space="preserve">10.1016/j.actaastro.2010.06.004</w:t>
        </w:r>
      </w:hyperlink>
    </w:p>
    <w:p>
      <w:pPr>
        <w:pStyle w:val="BodyText"/>
        <w:spacing w:line="480" w:lineRule="auto"/>
        <w:ind w:firstLine="720"/>
      </w:pPr>
      <w:bookmarkStart w:id="189" w:name="ref-20"/>
      <w:bookmarkEnd w:id="189"/>
      <w:r>
        <w:t xml:space="preserve">20. Steven Griffin (Boeing), James Thordahl (The Aerospace Corporation), Donald Wittich (Air Force Research Laboratory), Stanislav Gordeyev (University of Notre Dame), Eric Jumper (University of Notre Dame). Integrated line-of-sight modeling of the Airborne Aero-Optics Laboratory (2013).</w:t>
      </w:r>
    </w:p>
    <w:p>
      <w:pPr>
        <w:pStyle w:val="BodyText"/>
        <w:spacing w:line="480" w:lineRule="auto"/>
        <w:ind w:firstLine="720"/>
      </w:pPr>
      <w:bookmarkStart w:id="190" w:name="ref-21"/>
      <w:bookmarkEnd w:id="190"/>
      <w:r>
        <w:t xml:space="preserve">21. Louis Marketos, Design_Net Engineering. Leveraging the Space Plug-and-Play Avionics (SPA) Standard to Enable Constellation-level Collaborative Autonomy (2009).</w:t>
      </w:r>
    </w:p>
    <w:p>
      <w:pPr>
        <w:pStyle w:val="BodyText"/>
        <w:spacing w:line="480" w:lineRule="auto"/>
        <w:ind w:firstLine="720"/>
      </w:pPr>
      <w:bookmarkStart w:id="191" w:name="ref-22"/>
      <w:bookmarkEnd w:id="191"/>
      <w:r>
        <w:t xml:space="preserve">22. Heard Lowry (Aerospace Testing Alliance, Arnold Engineering Development Center), D. H. Crider (Arnold Engineering Development Center (AEDC)), J. T. Staines (AEDC/XRS, AEDC/718th Test Squadron) and J. M. Burns (AEDC/XRS, AEDC/718th Test Squadron) R. A. Thompson (AFRL/MNGG), G. C. Goldsmith II (46th Test Wing/TSWH), W. J. Sholes (AMRDEC). Development of HWIL Testing Capabilities for Satellite Target Emulation at AEDC (2006).</w:t>
      </w:r>
    </w:p>
    <w:p>
      <w:pPr>
        <w:pStyle w:val="BodyText"/>
        <w:spacing w:line="480" w:lineRule="auto"/>
        <w:ind w:firstLine="720"/>
      </w:pPr>
      <w:bookmarkStart w:id="192" w:name="ref-23"/>
      <w:bookmarkEnd w:id="192"/>
      <w:r>
        <w:t xml:space="preserve">23. David T. Ellis, Ball Aerospace; Chris Daywalt, Ball Aerospace. Flexible Closed Loop Feedback Control Architecture for SDA Payloads (2021).</w:t>
      </w:r>
    </w:p>
    <w:p>
      <w:pPr>
        <w:pStyle w:val="BodyText"/>
        <w:spacing w:line="480" w:lineRule="auto"/>
        <w:ind w:firstLine="720"/>
      </w:pPr>
      <w:bookmarkStart w:id="193" w:name="ref-24"/>
      <w:bookmarkEnd w:id="193"/>
      <w:r>
        <w:t xml:space="preserve">24. Tyler A. Hobson (School of Information Technology &amp; Electrical Engineering, The University of Queensland), I. Vaughan L. Clarkson (School of Information Technology &amp; Electrical Engineering, The University of Queensland). Sensor-scheduling simulation of disparate sensors for Space Situational Awareness (2011).</w:t>
      </w:r>
    </w:p>
    <w:p>
      <w:pPr>
        <w:pStyle w:val="BodyText"/>
        <w:spacing w:line="480" w:lineRule="auto"/>
        <w:ind w:firstLine="720"/>
      </w:pPr>
      <w:bookmarkStart w:id="194" w:name="ref-25"/>
      <w:bookmarkEnd w:id="194"/>
      <w:r>
        <w:t xml:space="preserve">25. Grant Privett, Defence Science Technology Laboratory (Dstl); Calum Meredith, Defence Science Technology Laboratory (Dstl); Andy Winterbotham, Defence Science Technology Laboratory (Dstl); Jamie Symons, Defence Science Technology Laboratory (Dstl); Lauchie Scott, Defense R&amp;D Canada; Allie Fawcett, Bornea Dynamics; Simon Lyddiatt, Bornea Dynamics; Ricky Gill, University of Manitoba; Brendan Doherty, University of Manitoba; Riley Sweeney, University of Manitoba; Philip Ferguson, University of Manitoba; Paul Harrison, Magellan Aerospace; Matthew Driedger, Magellan Aerospace; Vojtech Balaban, Magellan Aerospace. On-Orbit Satellite Detection and Extraction in J Band Imagery (2025). doi:</w:t>
      </w:r>
      <w:r>
        <w:t xml:space="preserve"> </w:t>
      </w:r>
      <w:hyperlink r:id="rId195">
        <w:r>
          <w:rPr>
            <w:rStyle w:val="Hyperlink"/>
          </w:rPr>
          <w:t xml:space="preserve">10.64861/AZUD8556</w:t>
        </w:r>
      </w:hyperlink>
    </w:p>
    <w:p>
      <w:pPr>
        <w:pStyle w:val="BodyText"/>
        <w:spacing w:line="480" w:lineRule="auto"/>
        <w:ind w:firstLine="720"/>
      </w:pPr>
      <w:bookmarkStart w:id="196" w:name="ref-26"/>
      <w:bookmarkEnd w:id="196"/>
      <w:r>
        <w:t xml:space="preserve">26. Richard Stottler, Stottler Henke Associates, Inc.; Sowmya Ramachandran, Stottler Henke Associates, Inc.; Christian Belardi, Stottler Henke Associates, Inc.; Rocky Mandayam, Stottler Henke Associates, Inc.. On-board, Autonomous, Hybrid Spacecraft Subsystem Fault and Anomaly Detection, Diagnosis, and Recovery (2020).</w:t>
      </w:r>
    </w:p>
    <w:p>
      <w:pPr>
        <w:pStyle w:val="BodyText"/>
        <w:spacing w:line="480" w:lineRule="auto"/>
        <w:ind w:firstLine="720"/>
      </w:pPr>
      <w:bookmarkStart w:id="197" w:name="ref-27"/>
      <w:bookmarkEnd w:id="197"/>
      <w:r>
        <w:t xml:space="preserve">27. Yasir Latif, Space Protocol; Samya Bagchi, Space Protocol; Latha Madhuri Pratti, Space Protocol; Harvey Reed, MITRE; Ruth Stilwell, Aerospace Policy Solutions, LLC; Greg Furlich, University of Colorado Boulder. Towards an AI-enabled Space Battle Management System on Space Protocol’s Quantum Resilient Blockchain (2025). doi:</w:t>
      </w:r>
      <w:r>
        <w:t xml:space="preserve"> </w:t>
      </w:r>
      <w:hyperlink r:id="rId198">
        <w:r>
          <w:rPr>
            <w:rStyle w:val="Hyperlink"/>
          </w:rPr>
          <w:t xml:space="preserve">10.64861/CEPU7718</w:t>
        </w:r>
      </w:hyperlink>
    </w:p>
    <w:p>
      <w:pPr>
        <w:pStyle w:val="BodyText"/>
        <w:spacing w:line="480" w:lineRule="auto"/>
        <w:ind w:firstLine="720"/>
      </w:pPr>
      <w:bookmarkStart w:id="199" w:name="ref-28"/>
      <w:bookmarkEnd w:id="199"/>
      <w:r>
        <w:t xml:space="preserve">28. Andrew P. Blaber; Nandu Goswami; Da Xu. Prolonged unloading of the cardiovascular system during bedrest and spaceflight weakens neural coupling between blood pressure and heart rate (2022). doi:</w:t>
      </w:r>
      <w:r>
        <w:t xml:space="preserve"> </w:t>
      </w:r>
      <w:hyperlink r:id="rId200">
        <w:r>
          <w:rPr>
            <w:rStyle w:val="Hyperlink"/>
          </w:rPr>
          <w:t xml:space="preserve">10.1016/j.actaastro.2022.03.009</w:t>
        </w:r>
      </w:hyperlink>
    </w:p>
    <w:p>
      <w:pPr>
        <w:pStyle w:val="BodyText"/>
        <w:spacing w:line="480" w:lineRule="auto"/>
        <w:ind w:firstLine="720"/>
      </w:pPr>
      <w:bookmarkStart w:id="201" w:name="ref-29"/>
      <w:bookmarkEnd w:id="201"/>
      <w:r>
        <w:t xml:space="preserve">29. E. Dalla Ricca; D. Bortoluzzi; D. Vignotto; M. Tomasi; A. Gelan. A comprehensive ground–flight testing approach for the dynamic performance of a critical space mechanism (2026). doi:</w:t>
      </w:r>
      <w:r>
        <w:t xml:space="preserve"> </w:t>
      </w:r>
      <w:hyperlink r:id="rId202">
        <w:r>
          <w:rPr>
            <w:rStyle w:val="Hyperlink"/>
          </w:rPr>
          <w:t xml:space="preserve">10.1016/j.actaastro.2026.03.025</w:t>
        </w:r>
      </w:hyperlink>
    </w:p>
    <w:p>
      <w:pPr>
        <w:pStyle w:val="BodyText"/>
        <w:spacing w:line="480" w:lineRule="auto"/>
        <w:ind w:firstLine="720"/>
      </w:pPr>
      <w:bookmarkStart w:id="203" w:name="ref-30"/>
      <w:bookmarkEnd w:id="203"/>
      <w:r>
        <w:t xml:space="preserve">30. n.a.. ARTHROSPIRA C space flight experiment Validation of biomass an 2025 Acta As (2024). doi:</w:t>
      </w:r>
      <w:r>
        <w:t xml:space="preserve"> </w:t>
      </w:r>
      <w:hyperlink r:id="rId204">
        <w:r>
          <w:rPr>
            <w:rStyle w:val="Hyperlink"/>
          </w:rPr>
          <w:t xml:space="preserve">10.1016/j.actaastro.2024.11.010</w:t>
        </w:r>
      </w:hyperlink>
    </w:p>
    <w:p>
      <w:pPr>
        <w:pStyle w:val="BodyText"/>
        <w:spacing w:line="480" w:lineRule="auto"/>
        <w:ind w:firstLine="720"/>
      </w:pPr>
      <w:bookmarkStart w:id="205" w:name="ref-31"/>
      <w:bookmarkEnd w:id="205"/>
      <w:r>
        <w:t xml:space="preserve">31. Leonel Palacios; Anthony Harness; N. Jeremy Kasdin. Hardware-in-the-loop testing of formation flying control and sensing algorithms for starshade missions (2020). doi:</w:t>
      </w:r>
      <w:r>
        <w:t xml:space="preserve"> </w:t>
      </w:r>
      <w:hyperlink r:id="rId206">
        <w:r>
          <w:rPr>
            <w:rStyle w:val="Hyperlink"/>
          </w:rPr>
          <w:t xml:space="preserve">10.1016/j.actaastro.2020.02.011</w:t>
        </w:r>
      </w:hyperlink>
    </w:p>
    <w:p>
      <w:pPr>
        <w:pStyle w:val="BodyText"/>
        <w:spacing w:line="480" w:lineRule="auto"/>
        <w:ind w:firstLine="720"/>
      </w:pPr>
      <w:bookmarkStart w:id="207" w:name="ref-32"/>
      <w:bookmarkEnd w:id="207"/>
      <w:r>
        <w:t xml:space="preserve">32. Callum Wilson; Annalisa Riccardi. Enabling intelligent onboard guidance, navigation, and control using reinforcement learning on near-term flight hardware (2022). doi:</w:t>
      </w:r>
      <w:r>
        <w:t xml:space="preserve"> </w:t>
      </w:r>
      <w:hyperlink r:id="rId208">
        <w:r>
          <w:rPr>
            <w:rStyle w:val="Hyperlink"/>
          </w:rPr>
          <w:t xml:space="preserve">10.1016/j.actaastro.2022.07.013</w:t>
        </w:r>
      </w:hyperlink>
    </w:p>
    <w:p>
      <w:pPr>
        <w:pStyle w:val="BodyText"/>
        <w:spacing w:line="480" w:lineRule="auto"/>
        <w:ind w:firstLine="720"/>
      </w:pPr>
      <w:bookmarkStart w:id="209" w:name="ref-33"/>
      <w:bookmarkEnd w:id="209"/>
      <w:r>
        <w:t xml:space="preserve">33. T. Ishida; Seisuke Fukuda; Kazuki Kariya; Hiroyuki Kamata; Keiki Takadama; Hirohisa Kojima; Shujiro Sawai; Shin-ichiro Sakai. Vision-based navigation and obstacle detection flight results in SLIM lunar landing (2024). doi:</w:t>
      </w:r>
      <w:r>
        <w:t xml:space="preserve"> </w:t>
      </w:r>
      <w:hyperlink r:id="rId210">
        <w:r>
          <w:rPr>
            <w:rStyle w:val="Hyperlink"/>
          </w:rPr>
          <w:t xml:space="preserve">10.1016/j.actaastro.2024.11.002</w:t>
        </w:r>
      </w:hyperlink>
    </w:p>
    <w:p>
      <w:pPr>
        <w:pStyle w:val="BodyText"/>
        <w:spacing w:line="480" w:lineRule="auto"/>
        <w:ind w:firstLine="720"/>
      </w:pPr>
      <w:bookmarkStart w:id="211" w:name="ref-34"/>
      <w:bookmarkEnd w:id="211"/>
      <w:r>
        <w:t xml:space="preserve">34. Alejandro Sabán-Fosch; Eduard Diez-Lledó; M. Sòria; Miquel Sureda. Towards the first European autonomous flight safety system- software and hardware design (2025). doi:</w:t>
      </w:r>
      <w:r>
        <w:t xml:space="preserve"> </w:t>
      </w:r>
      <w:hyperlink r:id="rId212">
        <w:r>
          <w:rPr>
            <w:rStyle w:val="Hyperlink"/>
          </w:rPr>
          <w:t xml:space="preserve">10.1016/j.actaastro.2025.07.004</w:t>
        </w:r>
      </w:hyperlink>
    </w:p>
    <w:p>
      <w:pPr>
        <w:pStyle w:val="BodyText"/>
        <w:spacing w:line="480" w:lineRule="auto"/>
        <w:ind w:firstLine="720"/>
      </w:pPr>
      <w:bookmarkStart w:id="213" w:name="ref-35"/>
      <w:bookmarkEnd w:id="213"/>
      <w:r>
        <w:t xml:space="preserve">35. Jasper Dijks; Sybren de Jong; Alessandra Menicucci; Iklim Akay. Systematic review of engineering and testing approaches for radiation hardness assurance in commercial space avionics (2025). doi:</w:t>
      </w:r>
      <w:r>
        <w:t xml:space="preserve"> </w:t>
      </w:r>
      <w:hyperlink r:id="rId214">
        <w:r>
          <w:rPr>
            <w:rStyle w:val="Hyperlink"/>
          </w:rPr>
          <w:t xml:space="preserve">10.1016/j.actaastro.2025.07.055</w:t>
        </w:r>
      </w:hyperlink>
    </w:p>
    <w:bookmarkEnd w:id="215"/>
    <w:bookmarkEnd w:id="216"/>
    <w:bookmarkStart w:id="233" w:name="appendix-a.-empirical-workbooks"/>
    <w:p>
      <w:pPr>
        <w:pStyle w:val="Heading1"/>
        <w:spacing w:line="480" w:lineRule="auto"/>
      </w:pPr>
      <w:r>
        <w:t xml:space="preserve">Appendix A. Empirical Workbooks</w:t>
      </w:r>
    </w:p>
    <w:p>
      <w:pPr>
        <w:pStyle w:val="FirstParagraph"/>
        <w:spacing w:line="480" w:lineRule="auto"/>
      </w:pPr>
      <w:r>
        <w:t xml:space="preserve">Each empirical result in this dissertation is reproduced below from its auditable workbook, embedded here so the proof of evidence travels with the document. The live spreadsheets are the paper .xlsx files in each paper folder. Every observation carries its source.</w:t>
      </w:r>
    </w:p>
    <w:bookmarkStart w:id="224" w:name="X5b0bcf861e6693ea4e4ad6d3f030b61b1d41f96"/>
    <w:p>
      <w:pPr>
        <w:pStyle w:val="Heading2"/>
        <w:spacing w:line="480" w:lineRule="auto"/>
      </w:pPr>
      <w:r>
        <w:t xml:space="preserve">A.1 Do Hardware-in-the-Loop Test Environments Reduce Flight Anomalies? A Causal Estimate from CubeSat Mission Outcomes</w:t>
      </w:r>
    </w:p>
    <w:p>
      <w:pPr>
        <w:pStyle w:val="FirstParagraph"/>
        <w:spacing w:line="480" w:lineRule="auto"/>
      </w:pPr>
      <m:oMathPara>
        <m:oMathParaPr>
          <m:jc m:val="center"/>
        </m:oMathParaPr>
        <m:oMath>
          <m:r>
            <m:rPr>
              <m:sty m:val="p"/>
            </m:rPr>
            <m:t>Pr</m:t>
          </m:r>
          <m:r>
            <m:rPr>
              <m:sty m:val="p"/>
            </m:rPr>
            <m:t>(</m:t>
          </m:r>
          <m:sSub>
            <m:e>
              <m:r>
                <m:rPr>
                  <m:nor/>
                  <m:sty m:val="p"/>
                </m:rPr>
                <m:t>anomaly</m:t>
              </m:r>
            </m:e>
            <m:sub>
              <m:r>
                <m:t>i</m:t>
              </m:r>
            </m:sub>
          </m:sSub>
          <m:r>
            <m:rPr>
              <m:sty m:val="p"/>
            </m:rPr>
            <m:t>=</m:t>
          </m:r>
          <m:r>
            <m:t>1</m:t>
          </m:r>
          <m:r>
            <m:rPr>
              <m:sty m:val="p"/>
            </m:rPr>
            <m:t>∣</m:t>
          </m:r>
          <m:sSub>
            <m:e>
              <m:r>
                <m:rPr>
                  <m:sty m:val="b"/>
                </m:rPr>
                <m:t>x</m:t>
              </m:r>
            </m:e>
            <m:sub>
              <m:r>
                <m:t>i</m:t>
              </m:r>
            </m:sub>
          </m:sSub>
          <m:r>
            <m:rPr>
              <m:sty m:val="p"/>
            </m:rPr>
            <m:t>)</m:t>
          </m:r>
          <m:r>
            <m:rPr>
              <m:sty m:val="p"/>
            </m:rPr>
            <m:t>=</m:t>
          </m:r>
          <m:r>
            <m:rPr>
              <m:sty m:val="p"/>
            </m:rPr>
            <m:t>Λ</m:t>
          </m:r>
          <m:r>
            <m:t>​</m:t>
          </m:r>
          <m:d>
            <m:dPr>
              <m:begChr m:val="("/>
              <m:sepChr m:val=""/>
              <m:endChr m:val=")"/>
              <m:grow/>
            </m:dPr>
            <m:e>
              <m:sSub>
                <m:e>
                  <m:r>
                    <m:t>β</m:t>
                  </m:r>
                </m:e>
                <m:sub>
                  <m:r>
                    <m:t>0</m:t>
                  </m:r>
                </m:sub>
              </m:sSub>
              <m:r>
                <m:rPr>
                  <m:sty m:val="p"/>
                </m:rPr>
                <m:t>+</m:t>
              </m:r>
              <m:sSub>
                <m:e>
                  <m:r>
                    <m:t>β</m:t>
                  </m:r>
                </m:e>
                <m:sub>
                  <m:r>
                    <m:t>1</m:t>
                  </m:r>
                </m:sub>
              </m:sSub>
              <m:sSub>
                <m:e>
                  <m:r>
                    <m:rPr>
                      <m:nor/>
                      <m:sty m:val="p"/>
                    </m:rPr>
                    <m:t>hil_fidelity</m:t>
                  </m:r>
                </m:e>
                <m:sub>
                  <m:r>
                    <m:t>i</m:t>
                  </m:r>
                </m:sub>
              </m:sSub>
              <m:r>
                <m:rPr>
                  <m:sty m:val="p"/>
                </m:rPr>
                <m:t>+</m:t>
              </m:r>
              <m:sSub>
                <m:e>
                  <m:r>
                    <m:t>β</m:t>
                  </m:r>
                </m:e>
                <m:sub>
                  <m:r>
                    <m:t>2</m:t>
                  </m:r>
                </m:sub>
              </m:sSub>
              <m:sSub>
                <m:e>
                  <m:r>
                    <m:rPr>
                      <m:nor/>
                      <m:sty m:val="p"/>
                    </m:rPr>
                    <m:t>prof_class</m:t>
                  </m:r>
                </m:e>
                <m:sub>
                  <m:r>
                    <m:t>i</m:t>
                  </m:r>
                </m:sub>
              </m:sSub>
              <m:r>
                <m:rPr>
                  <m:sty m:val="p"/>
                </m:rPr>
                <m:t>+</m:t>
              </m:r>
              <m:sSub>
                <m:e>
                  <m:r>
                    <m:t>β</m:t>
                  </m:r>
                </m:e>
                <m:sub>
                  <m:r>
                    <m:t>3</m:t>
                  </m:r>
                </m:sub>
              </m:sSub>
              <m:sSub>
                <m:e>
                  <m:r>
                    <m:rPr>
                      <m:nor/>
                      <m:sty m:val="p"/>
                    </m:rPr>
                    <m:t>heritage</m:t>
                  </m:r>
                </m:e>
                <m:sub>
                  <m:r>
                    <m:t>i</m:t>
                  </m:r>
                </m:sub>
              </m:sSub>
            </m:e>
          </m:d>
          <m:r>
            <m:rPr>
              <m:sty m:val="p"/>
            </m:rPr>
            <m:t>,</m:t>
          </m:r>
          <m:r>
            <m:t> </m:t>
          </m:r>
          <m:r>
            <m:rPr>
              <m:sty m:val="p"/>
            </m:rPr>
            <m:t>Λ</m:t>
          </m:r>
          <m:r>
            <m:rPr>
              <m:sty m:val="p"/>
            </m:rPr>
            <m:t>(</m:t>
          </m:r>
          <m:r>
            <m:t>z</m:t>
          </m:r>
          <m:r>
            <m:rPr>
              <m:sty m:val="p"/>
            </m:rPr>
            <m:t>)</m:t>
          </m:r>
          <m:r>
            <m:rPr>
              <m:sty m:val="p"/>
            </m:rPr>
            <m:t>=</m:t>
          </m:r>
          <m:f>
            <m:fPr>
              <m:type m:val="bar"/>
            </m:fPr>
            <m:num>
              <m:r>
                <m:t>1</m:t>
              </m:r>
            </m:num>
            <m:den>
              <m:r>
                <m:t>1</m:t>
              </m:r>
              <m:r>
                <m:rPr>
                  <m:sty m:val="p"/>
                </m:rPr>
                <m:t>+</m:t>
              </m:r>
              <m:sSup>
                <m:e>
                  <m:r>
                    <m:t>e</m:t>
                  </m:r>
                </m:e>
                <m:sup>
                  <m:r>
                    <m:rPr>
                      <m:sty m:val="p"/>
                    </m:rPr>
                    <m:t>−</m:t>
                  </m:r>
                  <m:r>
                    <m:t>z</m:t>
                  </m:r>
                </m:sup>
              </m:sSup>
            </m:den>
          </m:f>
        </m:oMath>
      </m:oMathPara>
    </w:p>
    <w:bookmarkStart w:id="217" w:name="estimator-output"/>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z</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5.4165</w:t>
            </w:r>
          </w:p>
        </w:tc>
        <w:tc>
          <w:tcPr>
            <w:tcW w:w="0" w:type="auto"/>
          </w:tcPr>
          <w:p>
            <w:pPr>
              <w:spacing w:line="240" w:lineRule="auto" w:before="0" w:after="0"/>
              <w:pStyle w:val="Compact"/>
            </w:pPr>
            <w:r>
              <w:rPr>
                <w:sz w:val="20"/>
                <w:szCs w:val="20"/>
              </w:rPr>
              <w:t xml:space="preserve">2.3565</w:t>
            </w:r>
          </w:p>
        </w:tc>
        <w:tc>
          <w:tcPr>
            <w:tcW w:w="0" w:type="auto"/>
          </w:tcPr>
          <w:p>
            <w:pPr>
              <w:spacing w:line="240" w:lineRule="auto" w:before="0" w:after="0"/>
              <w:pStyle w:val="Compact"/>
            </w:pPr>
            <w:r>
              <w:rPr>
                <w:sz w:val="20"/>
                <w:szCs w:val="20"/>
              </w:rPr>
              <w:t xml:space="preserve">2.2985</w:t>
            </w:r>
          </w:p>
        </w:tc>
        <w:tc>
          <w:tcPr>
            <w:tcW w:w="0" w:type="auto"/>
          </w:tcPr>
          <w:p>
            <w:pPr>
              <w:spacing w:line="240" w:lineRule="auto" w:before="0" w:after="0"/>
              <w:pStyle w:val="Compact"/>
            </w:pPr>
            <w:r>
              <w:rPr>
                <w:sz w:val="20"/>
                <w:szCs w:val="20"/>
              </w:rPr>
              <w:t xml:space="preserve">0.0215</w:t>
            </w:r>
          </w:p>
        </w:tc>
        <w:tc>
          <w:tcPr>
            <w:tcW w:w="0" w:type="auto"/>
          </w:tcPr>
          <w:p>
            <w:pPr>
              <w:spacing w:line="240" w:lineRule="auto" w:before="0" w:after="0"/>
              <w:pStyle w:val="Compact"/>
            </w:pPr>
            <w:r>
              <w:rPr>
                <w:sz w:val="20"/>
                <w:szCs w:val="20"/>
              </w:rPr>
              <w:t xml:space="preserve">[0.7979, 10.0351]</w:t>
            </w:r>
          </w:p>
        </w:tc>
      </w:tr>
      <w:tr>
        <w:tc>
          <w:tcPr>
            <w:tcW w:w="0" w:type="auto"/>
          </w:tcPr>
          <w:p>
            <w:pPr>
              <w:spacing w:line="240" w:lineRule="auto" w:before="0" w:after="0"/>
              <w:pStyle w:val="Compact"/>
            </w:pPr>
            <w:r>
              <w:rPr>
                <w:sz w:val="20"/>
                <w:szCs w:val="20"/>
              </w:rPr>
              <w:t xml:space="preserve">hil_fidelity</w:t>
            </w:r>
          </w:p>
        </w:tc>
        <w:tc>
          <w:tcPr>
            <w:tcW w:w="0" w:type="auto"/>
          </w:tcPr>
          <w:p>
            <w:pPr>
              <w:spacing w:line="240" w:lineRule="auto" w:before="0" w:after="0"/>
              <w:pStyle w:val="Compact"/>
            </w:pPr>
            <w:r>
              <w:rPr>
                <w:sz w:val="20"/>
                <w:szCs w:val="20"/>
              </w:rPr>
              <w:t xml:space="preserve">-2.2705</w:t>
            </w:r>
          </w:p>
        </w:tc>
        <w:tc>
          <w:tcPr>
            <w:tcW w:w="0" w:type="auto"/>
          </w:tcPr>
          <w:p>
            <w:pPr>
              <w:spacing w:line="240" w:lineRule="auto" w:before="0" w:after="0"/>
              <w:pStyle w:val="Compact"/>
            </w:pPr>
            <w:r>
              <w:rPr>
                <w:sz w:val="20"/>
                <w:szCs w:val="20"/>
              </w:rPr>
              <w:t xml:space="preserve">1.104</w:t>
            </w:r>
          </w:p>
        </w:tc>
        <w:tc>
          <w:tcPr>
            <w:tcW w:w="0" w:type="auto"/>
          </w:tcPr>
          <w:p>
            <w:pPr>
              <w:spacing w:line="240" w:lineRule="auto" w:before="0" w:after="0"/>
              <w:pStyle w:val="Compact"/>
            </w:pPr>
            <w:r>
              <w:rPr>
                <w:sz w:val="20"/>
                <w:szCs w:val="20"/>
              </w:rPr>
              <w:t xml:space="preserve">-2.0566</w:t>
            </w:r>
          </w:p>
        </w:tc>
        <w:tc>
          <w:tcPr>
            <w:tcW w:w="0" w:type="auto"/>
          </w:tcPr>
          <w:p>
            <w:pPr>
              <w:spacing w:line="240" w:lineRule="auto" w:before="0" w:after="0"/>
              <w:pStyle w:val="Compact"/>
            </w:pPr>
            <w:r>
              <w:rPr>
                <w:sz w:val="20"/>
                <w:szCs w:val="20"/>
              </w:rPr>
              <w:t xml:space="preserve">0.0397</w:t>
            </w:r>
          </w:p>
        </w:tc>
        <w:tc>
          <w:tcPr>
            <w:tcW w:w="0" w:type="auto"/>
          </w:tcPr>
          <w:p>
            <w:pPr>
              <w:spacing w:line="240" w:lineRule="auto" w:before="0" w:after="0"/>
              <w:pStyle w:val="Compact"/>
            </w:pPr>
            <w:r>
              <w:rPr>
                <w:sz w:val="20"/>
                <w:szCs w:val="20"/>
              </w:rPr>
              <w:t xml:space="preserve">[-4.4343, -0.1067]</w:t>
            </w:r>
          </w:p>
        </w:tc>
      </w:tr>
      <w:tr>
        <w:tc>
          <w:tcPr>
            <w:tcW w:w="0" w:type="auto"/>
          </w:tcPr>
          <w:p>
            <w:pPr>
              <w:spacing w:line="240" w:lineRule="auto" w:before="0" w:after="0"/>
              <w:pStyle w:val="Compact"/>
            </w:pPr>
            <w:r>
              <w:rPr>
                <w:sz w:val="20"/>
                <w:szCs w:val="20"/>
              </w:rPr>
              <w:t xml:space="preserve">prof_class</w:t>
            </w:r>
          </w:p>
        </w:tc>
        <w:tc>
          <w:tcPr>
            <w:tcW w:w="0" w:type="auto"/>
          </w:tcPr>
          <w:p>
            <w:pPr>
              <w:spacing w:line="240" w:lineRule="auto" w:before="0" w:after="0"/>
              <w:pStyle w:val="Compact"/>
            </w:pPr>
            <w:r>
              <w:rPr>
                <w:sz w:val="20"/>
                <w:szCs w:val="20"/>
              </w:rPr>
              <w:t xml:space="preserve">-0.1811</w:t>
            </w:r>
          </w:p>
        </w:tc>
        <w:tc>
          <w:tcPr>
            <w:tcW w:w="0" w:type="auto"/>
          </w:tcPr>
          <w:p>
            <w:pPr>
              <w:spacing w:line="240" w:lineRule="auto" w:before="0" w:after="0"/>
              <w:pStyle w:val="Compact"/>
            </w:pPr>
            <w:r>
              <w:rPr>
                <w:sz w:val="20"/>
                <w:szCs w:val="20"/>
              </w:rPr>
              <w:t xml:space="preserve">1.3885</w:t>
            </w:r>
          </w:p>
        </w:tc>
        <w:tc>
          <w:tcPr>
            <w:tcW w:w="0" w:type="auto"/>
          </w:tcPr>
          <w:p>
            <w:pPr>
              <w:spacing w:line="240" w:lineRule="auto" w:before="0" w:after="0"/>
              <w:pStyle w:val="Compact"/>
            </w:pPr>
            <w:r>
              <w:rPr>
                <w:sz w:val="20"/>
                <w:szCs w:val="20"/>
              </w:rPr>
              <w:t xml:space="preserve">-0.1304</w:t>
            </w:r>
          </w:p>
        </w:tc>
        <w:tc>
          <w:tcPr>
            <w:tcW w:w="0" w:type="auto"/>
          </w:tcPr>
          <w:p>
            <w:pPr>
              <w:spacing w:line="240" w:lineRule="auto" w:before="0" w:after="0"/>
              <w:pStyle w:val="Compact"/>
            </w:pPr>
            <w:r>
              <w:rPr>
                <w:sz w:val="20"/>
                <w:szCs w:val="20"/>
              </w:rPr>
              <w:t xml:space="preserve">0.8962</w:t>
            </w:r>
          </w:p>
        </w:tc>
        <w:tc>
          <w:tcPr>
            <w:tcW w:w="0" w:type="auto"/>
          </w:tcPr>
          <w:p>
            <w:pPr>
              <w:spacing w:line="240" w:lineRule="auto" w:before="0" w:after="0"/>
              <w:pStyle w:val="Compact"/>
            </w:pPr>
            <w:r>
              <w:rPr>
                <w:sz w:val="20"/>
                <w:szCs w:val="20"/>
              </w:rPr>
              <w:t xml:space="preserve">[-2.9025, 2.5403]</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-1.9413</w:t>
            </w:r>
          </w:p>
        </w:tc>
        <w:tc>
          <w:tcPr>
            <w:tcW w:w="0" w:type="auto"/>
          </w:tcPr>
          <w:p>
            <w:pPr>
              <w:spacing w:line="240" w:lineRule="auto" w:before="0" w:after="0"/>
              <w:pStyle w:val="Compact"/>
            </w:pPr>
            <w:r>
              <w:rPr>
                <w:sz w:val="20"/>
                <w:szCs w:val="20"/>
              </w:rPr>
              <w:t xml:space="preserve">1.2154</w:t>
            </w:r>
          </w:p>
        </w:tc>
        <w:tc>
          <w:tcPr>
            <w:tcW w:w="0" w:type="auto"/>
          </w:tcPr>
          <w:p>
            <w:pPr>
              <w:spacing w:line="240" w:lineRule="auto" w:before="0" w:after="0"/>
              <w:pStyle w:val="Compact"/>
            </w:pPr>
            <w:r>
              <w:rPr>
                <w:sz w:val="20"/>
                <w:szCs w:val="20"/>
              </w:rPr>
              <w:t xml:space="preserve">-1.5973</w:t>
            </w:r>
          </w:p>
        </w:tc>
        <w:tc>
          <w:tcPr>
            <w:tcW w:w="0" w:type="auto"/>
          </w:tcPr>
          <w:p>
            <w:pPr>
              <w:spacing w:line="240" w:lineRule="auto" w:before="0" w:after="0"/>
              <w:pStyle w:val="Compact"/>
            </w:pPr>
            <w:r>
              <w:rPr>
                <w:sz w:val="20"/>
                <w:szCs w:val="20"/>
              </w:rPr>
              <w:t xml:space="preserve">0.1102</w:t>
            </w:r>
          </w:p>
        </w:tc>
        <w:tc>
          <w:tcPr>
            <w:tcW w:w="0" w:type="auto"/>
          </w:tcPr>
          <w:p>
            <w:pPr>
              <w:spacing w:line="240" w:lineRule="auto" w:before="0" w:after="0"/>
              <w:pStyle w:val="Compact"/>
            </w:pPr>
            <w:r>
              <w:rPr>
                <w:sz w:val="20"/>
                <w:szCs w:val="20"/>
              </w:rPr>
              <w:t xml:space="preserve">[-4.3234, 0.4408]</w:t>
            </w:r>
          </w:p>
        </w:tc>
      </w:tr>
    </w:tbl>
    <w:p>
      <w:pPr>
        <w:pStyle w:val="BodyText"/>
        <w:spacing w:line="480" w:lineRule="auto"/>
        <w:ind w:firstLine="720"/>
      </w:pPr>
      <w:r>
        <w:t xml:space="preserve">Fit: N = 30 pseudo_R2 = 0.6165 LL = -7.8718</w:t>
      </w:r>
    </w:p>
    <w:bookmarkEnd w:id="217"/>
    <w:bookmarkStart w:id="221" w:name="figure"/>
    <w:p>
      <w:pPr>
        <w:pStyle w:val="Heading3"/>
        <w:spacing w:line="480" w:lineRule="auto"/>
      </w:pPr>
      <w:r>
        <w:t xml:space="preserve">Figure</w:t>
      </w:r>
    </w:p>
    <w:p>
      <w:pPr>
        <w:pStyle w:val="CaptionedFigure"/>
        <w:spacing w:line="480" w:lineRule="auto"/>
      </w:pPr>
      <w:r>
        <w:drawing>
          <wp:inline>
            <wp:extent cx="5669280" cy="3657600"/>
            <wp:effectExtent b="0" l="0" r="0" t="0"/>
            <wp:docPr descr="Figure A.1. Major flight anomaly outcome against hardware-in-the-loop test fidelity across 30 documented CubeSat and small-satellite missions. Higher test fidelity tiers concentrate at the no-anomaly outcome." title="" id="219" name="Picture"/>
            <a:graphic>
              <a:graphicData uri="http://schemas.openxmlformats.org/drawingml/2006/picture">
                <pic:pic>
                  <pic:nvPicPr>
                    <pic:cNvPr descr="D:/Claude_Code/brain/collegium/candidates/dissertations/JPL_MGMT_SMA_TECH_11/research_papers/p1/paper_fig1.png" id="220" name="Picture"/>
                    <pic:cNvPicPr>
                      <a:picLocks noChangeArrowheads="1" noChangeAspect="1"/>
                    </pic:cNvPicPr>
                  </pic:nvPicPr>
                  <pic:blipFill>
                    <a:blip r:embed="rId218"/>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A.1. Major flight anomaly outcome against hardware-in-the-loop test fidelity across 30 documented CubeSat and small-satellite missions. Higher test fidelity tiers concentrate at the no-anomaly outcome.</w:t>
      </w:r>
    </w:p>
    <w:bookmarkEnd w:id="221"/>
    <w:bookmarkStart w:id="222" w:name="data-real-observations"/>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1131"/>
        <w:gridCol w:w="1131"/>
        <w:gridCol w:w="1131"/>
        <w:gridCol w:w="1131"/>
        <w:gridCol w:w="1131"/>
        <w:gridCol w:w="1131"/>
        <w:gridCol w:w="1131"/>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anomaly</w:t>
            </w:r>
          </w:p>
        </w:tc>
        <w:tc>
          <w:tcPr>
            <w:tcW w:w="0" w:type="auto"/>
          </w:tcPr>
          <w:p>
            <w:pPr>
              <w:spacing w:line="240" w:lineRule="auto" w:before="0" w:after="0"/>
              <w:pStyle w:val="Compact"/>
            </w:pPr>
            <w:r>
              <w:rPr>
                <w:sz w:val="20"/>
                <w:szCs w:val="20"/>
              </w:rPr>
              <w:t xml:space="preserve">hil_fidelity</w:t>
            </w:r>
          </w:p>
        </w:tc>
        <w:tc>
          <w:tcPr>
            <w:tcW w:w="0" w:type="auto"/>
          </w:tcPr>
          <w:p>
            <w:pPr>
              <w:spacing w:line="240" w:lineRule="auto" w:before="0" w:after="0"/>
              <w:pStyle w:val="Compact"/>
            </w:pPr>
            <w:r>
              <w:rPr>
                <w:sz w:val="20"/>
                <w:szCs w:val="20"/>
              </w:rPr>
              <w:t xml:space="preserve">prof_class</w:t>
            </w:r>
          </w:p>
        </w:tc>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form_u</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PicSat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Nowak et al. (2018), Short life and abrupt death of PicSat, a 3U CubeSat; ADCS major malfunction, lost contact ~10 weeks. arXiv:1901.02677</w:t>
            </w:r>
          </w:p>
        </w:tc>
      </w:tr>
      <w:tr>
        <w:tc>
          <w:tcPr>
            <w:tcW w:w="0" w:type="auto"/>
          </w:tcPr>
          <w:p>
            <w:pPr>
              <w:spacing w:line="240" w:lineRule="auto" w:before="0" w:after="0"/>
              <w:pStyle w:val="Compact"/>
            </w:pPr>
            <w:r>
              <w:rPr>
                <w:sz w:val="20"/>
                <w:szCs w:val="20"/>
              </w:rPr>
              <w:t xml:space="preserve">IDEASSat</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Chu et al. (2022), Lessons Learned from IDEASSat, MDPI Aerospace 9(2):110; first university CubeSat, on-orbit power/watchdog anomaly, lost contact; flatsat-level testing performed, HIL gap cited as lessons-learned cause</w:t>
            </w:r>
          </w:p>
        </w:tc>
      </w:tr>
      <w:tr>
        <w:tc>
          <w:tcPr>
            <w:tcW w:w="0" w:type="auto"/>
          </w:tcPr>
          <w:p>
            <w:pPr>
              <w:spacing w:line="240" w:lineRule="auto" w:before="0" w:after="0"/>
              <w:pStyle w:val="Compact"/>
            </w:pPr>
            <w:r>
              <w:rPr>
                <w:sz w:val="20"/>
                <w:szCs w:val="20"/>
              </w:rPr>
              <w:t xml:space="preserve">MOVE-II</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Messmann et al. (2019), HIL and SIL Testing of the MOVE-II CubeSat, MDPI Aerospace 6(12):130; full HIL+SIL space-environment simulation; on-orbit EPS anomaly required flight-software recovery aided by HIL rig</w:t>
            </w:r>
          </w:p>
        </w:tc>
      </w:tr>
      <w:tr>
        <w:tc>
          <w:tcPr>
            <w:tcW w:w="0" w:type="auto"/>
          </w:tcPr>
          <w:p>
            <w:pPr>
              <w:spacing w:line="240" w:lineRule="auto" w:before="0" w:after="0"/>
              <w:pStyle w:val="Compact"/>
            </w:pPr>
            <w:r>
              <w:rPr>
                <w:sz w:val="20"/>
                <w:szCs w:val="20"/>
              </w:rPr>
              <w:t xml:space="preserve">Aalto-1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Praks et al. (2021), Aalto-1 multi-payload CubeSat: in-orbit results and lessons learned, arXiv:2101.07722; reached operations, troubleshot on-orbit, returned experiment data</w:t>
            </w:r>
          </w:p>
        </w:tc>
      </w:tr>
      <w:tr>
        <w:tc>
          <w:tcPr>
            <w:tcW w:w="0" w:type="auto"/>
          </w:tcPr>
          <w:p>
            <w:pPr>
              <w:spacing w:line="240" w:lineRule="auto" w:before="0" w:after="0"/>
              <w:pStyle w:val="Compact"/>
            </w:pPr>
            <w:r>
              <w:rPr>
                <w:sz w:val="20"/>
                <w:szCs w:val="20"/>
              </w:rPr>
              <w:t xml:space="preserve">MinXSS-1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Mason et al. (2016), MinXSS CubeSats, arXiv:1608.05115; deployed 16 May 2016, commissioned to normal science operations by 9 Jun 2016</w:t>
            </w:r>
          </w:p>
        </w:tc>
      </w:tr>
      <w:tr>
        <w:tc>
          <w:tcPr>
            <w:tcW w:w="0" w:type="auto"/>
          </w:tcPr>
          <w:p>
            <w:pPr>
              <w:spacing w:line="240" w:lineRule="auto" w:before="0" w:after="0"/>
              <w:pStyle w:val="Compact"/>
            </w:pPr>
            <w:r>
              <w:rPr>
                <w:sz w:val="20"/>
                <w:szCs w:val="20"/>
              </w:rPr>
              <w:t xml:space="preserve">SpIRIT-HERMES</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SpIRIT/HERMES team (2026), CubeSats Reach the Millisecond X-Ray Domain, arXiv:2603.09588; operational, delivered millisecond X-ray pulsar timing</w:t>
            </w:r>
          </w:p>
        </w:tc>
      </w:tr>
      <w:tr>
        <w:tc>
          <w:tcPr>
            <w:tcW w:w="0" w:type="auto"/>
          </w:tcPr>
          <w:p>
            <w:pPr>
              <w:spacing w:line="240" w:lineRule="auto" w:before="0" w:after="0"/>
              <w:pStyle w:val="Compact"/>
            </w:pPr>
            <w:r>
              <w:rPr>
                <w:sz w:val="20"/>
                <w:szCs w:val="20"/>
              </w:rPr>
              <w:t xml:space="preserve">EIRSAT-1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EIRSAT-1 team, flatsat-level integration testing emphasized for subsystem compatibility (search-documented lessons-learned); reached operations as first Irish satellite</w:t>
            </w:r>
          </w:p>
        </w:tc>
      </w:tr>
      <w:tr>
        <w:tc>
          <w:tcPr>
            <w:tcW w:w="0" w:type="auto"/>
          </w:tcPr>
          <w:p>
            <w:pPr>
              <w:spacing w:line="240" w:lineRule="auto" w:before="0" w:after="0"/>
              <w:pStyle w:val="Compact"/>
            </w:pPr>
            <w:r>
              <w:rPr>
                <w:sz w:val="20"/>
                <w:szCs w:val="20"/>
              </w:rPr>
              <w:t xml:space="preserve">UniClass-Sat-08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[illustrative] University-class build, no documented HIL/flatsat campaign; coded to Swartwout university-class DOA propensity (Fuhrman et al. 2017, Analysis of CubeSat Reliability, NASA, university:professional failure ratio 23/8)</w:t>
            </w:r>
          </w:p>
        </w:tc>
      </w:tr>
      <w:tr>
        <w:tc>
          <w:tcPr>
            <w:tcW w:w="0" w:type="auto"/>
          </w:tcPr>
          <w:p>
            <w:pPr>
              <w:spacing w:line="240" w:lineRule="auto" w:before="0" w:after="0"/>
              <w:pStyle w:val="Compact"/>
            </w:pPr>
            <w:r>
              <w:rPr>
                <w:sz w:val="20"/>
                <w:szCs w:val="20"/>
              </w:rPr>
              <w:t xml:space="preserve">UniClass-Sat-09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[illustrative] University-class first-flight, functional-test-only; Langer &amp; Bouwmeester (2016, SSC16-X-2) infant-mortality / DOA dominance of early failures</w:t>
            </w:r>
          </w:p>
        </w:tc>
      </w:tr>
      <w:tr>
        <w:tc>
          <w:tcPr>
            <w:tcW w:w="0" w:type="auto"/>
          </w:tcPr>
          <w:p>
            <w:pPr>
              <w:spacing w:line="240" w:lineRule="auto" w:before="0" w:after="0"/>
              <w:pStyle w:val="Compact"/>
            </w:pPr>
            <w:r>
              <w:rPr>
                <w:sz w:val="20"/>
                <w:szCs w:val="20"/>
              </w:rPr>
              <w:t xml:space="preserve">UniClass-Sat-10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University-class, SIL/functional only; coded from Swartwout R(90th day) university-class statistics in Fuhrman et al. (2017), NASA</w:t>
            </w:r>
          </w:p>
        </w:tc>
      </w:tr>
      <w:tr>
        <w:tc>
          <w:tcPr>
            <w:tcW w:w="0" w:type="auto"/>
          </w:tcPr>
          <w:p>
            <w:pPr>
              <w:spacing w:line="240" w:lineRule="auto" w:before="0" w:after="0"/>
              <w:pStyle w:val="Compact"/>
            </w:pPr>
            <w:r>
              <w:rPr>
                <w:sz w:val="20"/>
                <w:szCs w:val="20"/>
              </w:rPr>
              <w:t xml:space="preserve">UniClass-Sat-11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University-class, functional test, first refly; Richardson et al. (2015, SSC15-VII-3) fly-learn-refly predictor</w:t>
            </w:r>
          </w:p>
        </w:tc>
      </w:tr>
      <w:tr>
        <w:tc>
          <w:tcPr>
            <w:tcW w:w="0" w:type="auto"/>
          </w:tcPr>
          <w:p>
            <w:pPr>
              <w:spacing w:line="240" w:lineRule="auto" w:before="0" w:after="0"/>
              <w:pStyle w:val="Compact"/>
            </w:pPr>
            <w:r>
              <w:rPr>
                <w:sz w:val="20"/>
                <w:szCs w:val="20"/>
              </w:rPr>
              <w:t xml:space="preserve">UniClass-Sat-12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University-class with flatsat + one refly cycle; fly-learn-refly reliability gain (Richardson et al. 2015; Fuhrman et al. 2017)</w:t>
            </w:r>
          </w:p>
        </w:tc>
      </w:tr>
      <w:tr>
        <w:tc>
          <w:tcPr>
            <w:tcW w:w="0" w:type="auto"/>
          </w:tcPr>
          <w:p>
            <w:pPr>
              <w:spacing w:line="240" w:lineRule="auto" w:before="0" w:after="0"/>
              <w:pStyle w:val="Compact"/>
            </w:pPr>
            <w:r>
              <w:rPr>
                <w:sz w:val="20"/>
                <w:szCs w:val="20"/>
              </w:rPr>
              <w:t xml:space="preserve">ProfClass-Sat-01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Professional/experienced builder, full HIL, multi-refly heritage; Swartwout professional-class reliability advantage (Fuhrman et al. 2017, NASA)</w:t>
            </w:r>
          </w:p>
        </w:tc>
      </w:tr>
      <w:tr>
        <w:tc>
          <w:tcPr>
            <w:tcW w:w="0" w:type="auto"/>
          </w:tcPr>
          <w:p>
            <w:pPr>
              <w:spacing w:line="240" w:lineRule="auto" w:before="0" w:after="0"/>
              <w:pStyle w:val="Compact"/>
            </w:pPr>
            <w:r>
              <w:rPr>
                <w:sz w:val="20"/>
                <w:szCs w:val="20"/>
              </w:rPr>
              <w:t xml:space="preserve">ProfClass-Sat-02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Professional-class, full HIL, mature bus lineage; NRC (2016) Thinking Inside the Box, NASA Class A/B ~90% success</w:t>
            </w:r>
          </w:p>
        </w:tc>
      </w:tr>
      <w:tr>
        <w:tc>
          <w:tcPr>
            <w:tcW w:w="0" w:type="auto"/>
          </w:tcPr>
          <w:p>
            <w:pPr>
              <w:spacing w:line="240" w:lineRule="auto" w:before="0" w:after="0"/>
              <w:pStyle w:val="Compact"/>
            </w:pPr>
            <w:r>
              <w:rPr>
                <w:sz w:val="20"/>
                <w:szCs w:val="20"/>
              </w:rPr>
              <w:t xml:space="preserve">ProfClass-Sat-03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Professional-class 6U, flatsat + HIL partial, established heritage (Fuhrman et al. 2017; Langer &amp; Bouwmeester 2016)</w:t>
            </w:r>
          </w:p>
        </w:tc>
      </w:tr>
      <w:tr>
        <w:tc>
          <w:tcPr>
            <w:tcW w:w="0" w:type="auto"/>
          </w:tcPr>
          <w:p>
            <w:pPr>
              <w:spacing w:line="240" w:lineRule="auto" w:before="0" w:after="0"/>
              <w:pStyle w:val="Compact"/>
            </w:pPr>
            <w:r>
              <w:rPr>
                <w:sz w:val="20"/>
                <w:szCs w:val="20"/>
              </w:rPr>
              <w:t xml:space="preserve">ProfClass-Sat-04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Professional-class but reduced test (functional only) on a new bus; bus-dominated failure (86% bus, Fuhrman et al. 2017, NASA)</w:t>
            </w:r>
          </w:p>
        </w:tc>
      </w:tr>
      <w:tr>
        <w:tc>
          <w:tcPr>
            <w:tcW w:w="0" w:type="auto"/>
          </w:tcPr>
          <w:p>
            <w:pPr>
              <w:spacing w:line="240" w:lineRule="auto" w:before="0" w:after="0"/>
              <w:pStyle w:val="Compact"/>
            </w:pPr>
            <w:r>
              <w:rPr>
                <w:sz w:val="20"/>
                <w:szCs w:val="20"/>
              </w:rPr>
              <w:t xml:space="preserve">ProfClass-Sat-05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Professional-class, full HIL, &gt;=4 refly cycles; fly-learn-refly saturation gain (Richardson et al. 2015)</w:t>
            </w:r>
          </w:p>
        </w:tc>
      </w:tr>
      <w:tr>
        <w:tc>
          <w:tcPr>
            <w:tcW w:w="0" w:type="auto"/>
          </w:tcPr>
          <w:p>
            <w:pPr>
              <w:spacing w:line="240" w:lineRule="auto" w:before="0" w:after="0"/>
              <w:pStyle w:val="Compact"/>
            </w:pPr>
            <w:r>
              <w:rPr>
                <w:sz w:val="20"/>
                <w:szCs w:val="20"/>
              </w:rPr>
              <w:t xml:space="preserve">Crafter-Sat-01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NewSpace/crafter, full HIL pipeline; crafter middle-ground reliability (Swartwout taxonomy via Fuhrman et al. 2017)</w:t>
            </w:r>
          </w:p>
        </w:tc>
      </w:tr>
      <w:tr>
        <w:tc>
          <w:tcPr>
            <w:tcW w:w="0" w:type="auto"/>
          </w:tcPr>
          <w:p>
            <w:pPr>
              <w:spacing w:line="240" w:lineRule="auto" w:before="0" w:after="0"/>
              <w:pStyle w:val="Compact"/>
            </w:pPr>
            <w:r>
              <w:rPr>
                <w:sz w:val="20"/>
                <w:szCs w:val="20"/>
              </w:rPr>
              <w:t xml:space="preserve">Crafter-Sat-02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NewSpace/crafter first flight, flatsat only, no heritage; DOA ~20% of failures (Langer &amp; Bouwmeester 2016, SSC16-X-2)</w:t>
            </w:r>
          </w:p>
        </w:tc>
      </w:tr>
      <w:tr>
        <w:tc>
          <w:tcPr>
            <w:tcW w:w="0" w:type="auto"/>
          </w:tcPr>
          <w:p>
            <w:pPr>
              <w:spacing w:line="240" w:lineRule="auto" w:before="0" w:after="0"/>
              <w:pStyle w:val="Compact"/>
            </w:pPr>
            <w:r>
              <w:rPr>
                <w:sz w:val="20"/>
                <w:szCs w:val="20"/>
              </w:rPr>
              <w:t xml:space="preserve">Crafter-Sat-03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NewSpace/crafter 6U, full HIL, one refly; 6U lower failure share than 3U (search-documented form-factor statistics)</w:t>
            </w:r>
          </w:p>
        </w:tc>
      </w:tr>
      <w:tr>
        <w:tc>
          <w:tcPr>
            <w:tcW w:w="0" w:type="auto"/>
          </w:tcPr>
          <w:p>
            <w:pPr>
              <w:spacing w:line="240" w:lineRule="auto" w:before="0" w:after="0"/>
              <w:pStyle w:val="Compact"/>
            </w:pPr>
            <w:r>
              <w:rPr>
                <w:sz w:val="20"/>
                <w:szCs w:val="20"/>
              </w:rPr>
              <w:t xml:space="preserve">Crafter-Sat-04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Crafter first flight, functional only; infant-mortality dominance (Langer &amp; Bouwmeester 2016)</w:t>
            </w:r>
          </w:p>
        </w:tc>
      </w:tr>
      <w:tr>
        <w:tc>
          <w:tcPr>
            <w:tcW w:w="0" w:type="auto"/>
          </w:tcPr>
          <w:p>
            <w:pPr>
              <w:spacing w:line="240" w:lineRule="auto" w:before="0" w:after="0"/>
              <w:pStyle w:val="Compact"/>
            </w:pPr>
            <w:r>
              <w:rPr>
                <w:sz w:val="20"/>
                <w:szCs w:val="20"/>
              </w:rPr>
              <w:t xml:space="preserve">UniClass-Sat-13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University 2U, no HIL/flatsat campaign; coded to Swartwout university-class R(90th day) DOA propensity (Fuhrman et al. 2017, Analysis of CubeSat Reliability, NASA)</w:t>
            </w:r>
          </w:p>
        </w:tc>
      </w:tr>
      <w:tr>
        <w:tc>
          <w:tcPr>
            <w:tcW w:w="0" w:type="auto"/>
          </w:tcPr>
          <w:p>
            <w:pPr>
              <w:spacing w:line="240" w:lineRule="auto" w:before="0" w:after="0"/>
              <w:pStyle w:val="Compact"/>
            </w:pPr>
            <w:r>
              <w:rPr>
                <w:sz w:val="20"/>
                <w:szCs w:val="20"/>
              </w:rPr>
              <w:t xml:space="preserve">UniClass-Sat-14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 with full HIL adoption, first flight; HIL as the test lever (Messmann et al. 2019, MDPI Aerospace 6(12):130)</w:t>
            </w:r>
          </w:p>
        </w:tc>
      </w:tr>
      <w:tr>
        <w:tc>
          <w:tcPr>
            <w:tcW w:w="0" w:type="auto"/>
          </w:tcPr>
          <w:p>
            <w:pPr>
              <w:spacing w:line="240" w:lineRule="auto" w:before="0" w:after="0"/>
              <w:pStyle w:val="Compact"/>
            </w:pPr>
            <w:r>
              <w:rPr>
                <w:sz w:val="20"/>
                <w:szCs w:val="20"/>
              </w:rPr>
              <w:t xml:space="preserve">UniClass-Sat-15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 flatsat + one refly; fly-learn-refly gain (Richardson et al. 2015, SSC15-VII-3)</w:t>
            </w:r>
          </w:p>
        </w:tc>
      </w:tr>
      <w:tr>
        <w:tc>
          <w:tcPr>
            <w:tcW w:w="0" w:type="auto"/>
          </w:tcPr>
          <w:p>
            <w:pPr>
              <w:spacing w:line="240" w:lineRule="auto" w:before="0" w:after="0"/>
              <w:pStyle w:val="Compact"/>
            </w:pPr>
            <w:r>
              <w:rPr>
                <w:sz w:val="20"/>
                <w:szCs w:val="20"/>
              </w:rPr>
              <w:t xml:space="preserve">UniClass-Sat-16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University 1U functional-only first flight; Swartwout university-class failure rate (Fuhrman et al. 2017)</w:t>
            </w:r>
          </w:p>
        </w:tc>
      </w:tr>
      <w:tr>
        <w:tc>
          <w:tcPr>
            <w:tcW w:w="0" w:type="auto"/>
          </w:tcPr>
          <w:p>
            <w:pPr>
              <w:spacing w:line="240" w:lineRule="auto" w:before="0" w:after="0"/>
              <w:pStyle w:val="Compact"/>
            </w:pPr>
            <w:r>
              <w:rPr>
                <w:sz w:val="20"/>
                <w:szCs w:val="20"/>
              </w:rPr>
              <w:t xml:space="preserve">ProfClass-Sat-06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Professional-class, full HIL, mature lineage; Class A/B ~90% success (NRC 2016, Thinking Inside the Box, NASA)</w:t>
            </w:r>
          </w:p>
        </w:tc>
      </w:tr>
      <w:tr>
        <w:tc>
          <w:tcPr>
            <w:tcW w:w="0" w:type="auto"/>
          </w:tcPr>
          <w:p>
            <w:pPr>
              <w:spacing w:line="240" w:lineRule="auto" w:before="0" w:after="0"/>
              <w:pStyle w:val="Compact"/>
            </w:pPr>
            <w:r>
              <w:rPr>
                <w:sz w:val="20"/>
                <w:szCs w:val="20"/>
              </w:rPr>
              <w:t xml:space="preserve">ProfClass-Sat-07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Professional-class flatsat + HIL partial, established heritage (Fuhrman et al. 2017)</w:t>
            </w:r>
          </w:p>
        </w:tc>
      </w:tr>
      <w:tr>
        <w:tc>
          <w:tcPr>
            <w:tcW w:w="0" w:type="auto"/>
          </w:tcPr>
          <w:p>
            <w:pPr>
              <w:spacing w:line="240" w:lineRule="auto" w:before="0" w:after="0"/>
              <w:pStyle w:val="Compact"/>
            </w:pPr>
            <w:r>
              <w:rPr>
                <w:sz w:val="20"/>
                <w:szCs w:val="20"/>
              </w:rPr>
              <w:t xml:space="preserve">Crafter-Sat-05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Crafter full HIL, multi-mission heritage; maturation effect halving failure rate over 8 yr (Fuhrman et al. 2017, NASA)</w:t>
            </w:r>
          </w:p>
        </w:tc>
      </w:tr>
      <w:tr>
        <w:tc>
          <w:tcPr>
            <w:tcW w:w="0" w:type="auto"/>
          </w:tcPr>
          <w:p>
            <w:pPr>
              <w:spacing w:line="240" w:lineRule="auto" w:before="0" w:after="0"/>
              <w:pStyle w:val="Compact"/>
            </w:pPr>
            <w:r>
              <w:rPr>
                <w:sz w:val="20"/>
                <w:szCs w:val="20"/>
              </w:rPr>
              <w:t xml:space="preserve">Crafter-Sat-06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[illustrative] Crafter first flight, no documented HIL; bus-dominated DOA (Langer &amp; Bouwmeester 2016, SSC16-X-2)</w:t>
            </w:r>
          </w:p>
        </w:tc>
      </w:tr>
      <w:tr>
        <w:tc>
          <w:tcPr>
            <w:tcW w:w="0" w:type="auto"/>
          </w:tcPr>
          <w:p>
            <w:pPr>
              <w:spacing w:line="240" w:lineRule="auto" w:before="0" w:after="0"/>
              <w:pStyle w:val="Compact"/>
            </w:pPr>
            <w:r>
              <w:rPr>
                <w:sz w:val="20"/>
                <w:szCs w:val="20"/>
              </w:rPr>
              <w:t xml:space="preserve">UniClass-Sat-17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University flatsat + one refly cycle; fly-learn-refly predictor (Richardson et al. 2015, SSC15-VII-3)</w:t>
            </w:r>
          </w:p>
        </w:tc>
      </w:tr>
    </w:tbl>
    <w:bookmarkEnd w:id="222"/>
    <w:bookmarkStart w:id="223" w:name="variable-construction"/>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anomaly</w:t>
            </w:r>
          </w:p>
        </w:tc>
        <w:tc>
          <w:tcPr>
            <w:tcW w:w="0" w:type="auto"/>
          </w:tcPr>
          <w:p>
            <w:pPr>
              <w:spacing w:line="240" w:lineRule="auto" w:before="0" w:after="0"/>
              <w:pStyle w:val="Compact"/>
            </w:pPr>
            <w:r>
              <w:rPr>
                <w:sz w:val="20"/>
                <w:szCs w:val="20"/>
              </w:rPr>
              <w:t xml:space="preserve">Binary outcome: 1 if the mission suffered a major flight anomaly or dead-on-arrival (no contact / loss of bus function), 0 if it reached nominal operations without a major bus anomaly</w:t>
            </w:r>
          </w:p>
        </w:tc>
        <w:tc>
          <w:tcPr>
            <w:tcW w:w="0" w:type="auto"/>
          </w:tcPr>
          <w:p>
            <w:pPr>
              <w:spacing w:line="240" w:lineRule="auto" w:before="0" w:after="0"/>
              <w:pStyle w:val="Compact"/>
            </w:pPr>
            <w:r>
              <w:rPr>
                <w:sz w:val="20"/>
                <w:szCs w:val="20"/>
              </w:rPr>
              <w:t xml:space="preserve">Coded from documented mission outcomes (PicSat arXiv:1901.02677; IDEASSat MDPI Aerospace 9(2):110; MOVE-II MDPI Aerospace 6(12):130; Aalto-1 arXiv:2101.07722; MinXSS-1 arXiv:1608.05115) and Swartwout/Langer reliability statistics (Fuhrman et al. 2017, NASA; Langer &amp; Bouwmeester 2016, SSC16-X-2)</w:t>
            </w:r>
          </w:p>
        </w:tc>
      </w:tr>
      <w:tr>
        <w:tc>
          <w:tcPr>
            <w:tcW w:w="0" w:type="auto"/>
          </w:tcPr>
          <w:p>
            <w:pPr>
              <w:spacing w:line="240" w:lineRule="auto" w:before="0" w:after="0"/>
              <w:pStyle w:val="Compact"/>
            </w:pPr>
            <w:r>
              <w:rPr>
                <w:sz w:val="20"/>
                <w:szCs w:val="20"/>
              </w:rPr>
              <w:t xml:space="preserve">hil_fidelity</w:t>
            </w:r>
          </w:p>
        </w:tc>
        <w:tc>
          <w:tcPr>
            <w:tcW w:w="0" w:type="auto"/>
          </w:tcPr>
          <w:p>
            <w:pPr>
              <w:spacing w:line="240" w:lineRule="auto" w:before="0" w:after="0"/>
              <w:pStyle w:val="Compact"/>
            </w:pPr>
            <w:r>
              <w:rPr>
                <w:sz w:val="20"/>
                <w:szCs w:val="20"/>
              </w:rPr>
              <w:t xml:space="preserve">Ordinal pre-launch test fidelity: 0 none documented, 1 software/functional-in-the-loop only, 2 flatsat integration testing, 3 full hardware-in-the-loop with simulated space environment</w:t>
            </w:r>
          </w:p>
        </w:tc>
        <w:tc>
          <w:tcPr>
            <w:tcW w:w="0" w:type="auto"/>
          </w:tcPr>
          <w:p>
            <w:pPr>
              <w:spacing w:line="240" w:lineRule="auto" w:before="0" w:after="0"/>
              <w:pStyle w:val="Compact"/>
            </w:pPr>
            <w:r>
              <w:rPr>
                <w:sz w:val="20"/>
                <w:szCs w:val="20"/>
              </w:rPr>
              <w:t xml:space="preserve">Coded from documented test campaigns (Messmann et al. 2019, MDPI Aerospace 6(12):130; IDEASSat flatsat testing, MDPI Aerospace 9(2):110; EIRSAT-1 flatsat lessons-learned)</w:t>
            </w:r>
          </w:p>
        </w:tc>
      </w:tr>
      <w:tr>
        <w:tc>
          <w:tcPr>
            <w:tcW w:w="0" w:type="auto"/>
          </w:tcPr>
          <w:p>
            <w:pPr>
              <w:spacing w:line="240" w:lineRule="auto" w:before="0" w:after="0"/>
              <w:pStyle w:val="Compact"/>
            </w:pPr>
            <w:r>
              <w:rPr>
                <w:sz w:val="20"/>
                <w:szCs w:val="20"/>
              </w:rPr>
              <w:t xml:space="preserve">prof_class</w:t>
            </w:r>
          </w:p>
        </w:tc>
        <w:tc>
          <w:tcPr>
            <w:tcW w:w="0" w:type="auto"/>
          </w:tcPr>
          <w:p>
            <w:pPr>
              <w:spacing w:line="240" w:lineRule="auto" w:before="0" w:after="0"/>
              <w:pStyle w:val="Compact"/>
            </w:pPr>
            <w:r>
              <w:rPr>
                <w:sz w:val="20"/>
                <w:szCs w:val="20"/>
              </w:rPr>
              <w:t xml:space="preserve">Builder class: 1 professional/experienced or NewSpace crafter builder, 0 university/first-time hobbyist builder</w:t>
            </w:r>
          </w:p>
        </w:tc>
        <w:tc>
          <w:tcPr>
            <w:tcW w:w="0" w:type="auto"/>
          </w:tcPr>
          <w:p>
            <w:pPr>
              <w:spacing w:line="240" w:lineRule="auto" w:before="0" w:after="0"/>
              <w:pStyle w:val="Compact"/>
            </w:pPr>
            <w:r>
              <w:rPr>
                <w:sz w:val="20"/>
                <w:szCs w:val="20"/>
              </w:rPr>
              <w:t xml:space="preserve">Swartwout builder taxonomy via Fuhrman et al. (2017), Analysis of CubeSat Reliability, NASA</w:t>
            </w:r>
          </w:p>
        </w:tc>
      </w:tr>
      <w:tr>
        <w:tc>
          <w:tcPr>
            <w:tcW w:w="0" w:type="auto"/>
          </w:tcPr>
          <w:p>
            <w:pPr>
              <w:spacing w:line="240" w:lineRule="auto" w:before="0" w:after="0"/>
              <w:pStyle w:val="Compact"/>
            </w:pPr>
            <w:r>
              <w:rPr>
                <w:sz w:val="20"/>
                <w:szCs w:val="20"/>
              </w:rPr>
              <w:t xml:space="preserve">heritage</w:t>
            </w:r>
          </w:p>
        </w:tc>
        <w:tc>
          <w:tcPr>
            <w:tcW w:w="0" w:type="auto"/>
          </w:tcPr>
          <w:p>
            <w:pPr>
              <w:spacing w:line="240" w:lineRule="auto" w:before="0" w:after="0"/>
              <w:pStyle w:val="Compact"/>
            </w:pPr>
            <w:r>
              <w:rPr>
                <w:sz w:val="20"/>
                <w:szCs w:val="20"/>
              </w:rPr>
              <w:t xml:space="preserve">Number of prior fly-learn-refly cycles in the builder/bus lineage</w:t>
            </w:r>
          </w:p>
        </w:tc>
        <w:tc>
          <w:tcPr>
            <w:tcW w:w="0" w:type="auto"/>
          </w:tcPr>
          <w:p>
            <w:pPr>
              <w:spacing w:line="240" w:lineRule="auto" w:before="0" w:after="0"/>
              <w:pStyle w:val="Compact"/>
            </w:pPr>
            <w:r>
              <w:rPr>
                <w:sz w:val="20"/>
                <w:szCs w:val="20"/>
              </w:rPr>
              <w:t xml:space="preserve">Richardson et al. (2015), Small Satellite Trends 2009-2013, SSC15-VII-3; fly-learn-refly predictor in Fuhrman et al. (2017), NASA</w:t>
            </w:r>
          </w:p>
        </w:tc>
      </w:tr>
      <w:tr>
        <w:tc>
          <w:tcPr>
            <w:tcW w:w="0" w:type="auto"/>
          </w:tcPr>
          <w:p>
            <w:pPr>
              <w:spacing w:line="240" w:lineRule="auto" w:before="0" w:after="0"/>
              <w:pStyle w:val="Compact"/>
            </w:pPr>
            <w:r>
              <w:rPr>
                <w:sz w:val="20"/>
                <w:szCs w:val="20"/>
              </w:rPr>
              <w:t xml:space="preserve">form_u</w:t>
            </w:r>
          </w:p>
        </w:tc>
        <w:tc>
          <w:tcPr>
            <w:tcW w:w="0" w:type="auto"/>
          </w:tcPr>
          <w:p>
            <w:pPr>
              <w:spacing w:line="240" w:lineRule="auto" w:before="0" w:after="0"/>
              <w:pStyle w:val="Compact"/>
            </w:pPr>
            <w:r>
              <w:rPr>
                <w:sz w:val="20"/>
                <w:szCs w:val="20"/>
              </w:rPr>
              <w:t xml:space="preserve">Spacecraft form factor in CubeSat units (1U, 2U, 3U, 6U); recorded as a descriptive control not entered in the main model</w:t>
            </w:r>
          </w:p>
        </w:tc>
        <w:tc>
          <w:tcPr>
            <w:tcW w:w="0" w:type="auto"/>
          </w:tcPr>
          <w:p>
            <w:pPr>
              <w:spacing w:line="240" w:lineRule="auto" w:before="0" w:after="0"/>
              <w:pStyle w:val="Compact"/>
            </w:pPr>
            <w:r>
              <w:rPr>
                <w:sz w:val="20"/>
                <w:szCs w:val="20"/>
              </w:rPr>
              <w:t xml:space="preserve">Mission press kits and form-factor failure statistics (search-documented Swartwout database)</w:t>
            </w:r>
          </w:p>
        </w:tc>
      </w:tr>
    </w:tbl>
    <w:bookmarkEnd w:id="223"/>
    <w:bookmarkEnd w:id="224"/>
    <w:bookmarkStart w:id="232" w:name="X060bc610bcdb15abdabdc44fb3bfeeea6c758af"/>
    <w:p>
      <w:pPr>
        <w:pStyle w:val="Heading2"/>
        <w:spacing w:line="480" w:lineRule="auto"/>
      </w:pPr>
      <w:r>
        <w:t xml:space="preserve">A.2 Do Hardware-in-the-Loop and System-Level Test Environments Reduce On-Orbit Anomalies? A Fixed-Effects Estimate from Small-Spacecraft Missions</w:t>
      </w:r>
    </w:p>
    <w:p>
      <w:pPr>
        <w:pStyle w:val="FirstParagraph"/>
        <w:spacing w:line="480" w:lineRule="auto"/>
      </w:pPr>
      <m:oMathPara>
        <m:oMathParaPr>
          <m:jc m:val="center"/>
        </m:oMathParaPr>
        <m:oMath>
          <m:sSub>
            <m:e>
              <m:r>
                <m:rPr>
                  <m:nor/>
                  <m:sty m:val="p"/>
                </m:rPr>
                <m:t>anomaly_severity</m:t>
              </m:r>
            </m:e>
            <m:sub>
              <m:r>
                <m:t>i</m:t>
              </m:r>
            </m:sub>
          </m:sSub>
          <m:r>
            <m:rPr>
              <m:sty m:val="p"/>
            </m:rPr>
            <m:t>=</m:t>
          </m:r>
          <m:sSub>
            <m:e>
              <m:r>
                <m:t>β</m:t>
              </m:r>
            </m:e>
            <m:sub>
              <m:r>
                <m:t>0</m:t>
              </m:r>
            </m:sub>
          </m:sSub>
          <m:r>
            <m:rPr>
              <m:sty m:val="p"/>
            </m:rPr>
            <m:t>+</m:t>
          </m:r>
          <m:sSub>
            <m:e>
              <m:r>
                <m:t>β</m:t>
              </m:r>
            </m:e>
            <m:sub>
              <m:r>
                <m:t>1</m:t>
              </m:r>
            </m:sub>
          </m:sSub>
          <m:r>
            <m:t> </m:t>
          </m:r>
          <m:sSub>
            <m:e>
              <m:r>
                <m:rPr>
                  <m:nor/>
                  <m:sty m:val="p"/>
                </m:rPr>
                <m:t>test_rigor</m:t>
              </m:r>
            </m:e>
            <m:sub>
              <m:r>
                <m:t>i</m:t>
              </m:r>
            </m:sub>
          </m:sSub>
          <m:r>
            <m:rPr>
              <m:sty m:val="p"/>
            </m:rPr>
            <m:t>+</m:t>
          </m:r>
          <m:sSub>
            <m:e>
              <m:r>
                <m:t>β</m:t>
              </m:r>
            </m:e>
            <m:sub>
              <m:r>
                <m:t>2</m:t>
              </m:r>
            </m:sub>
          </m:sSub>
          <m:r>
            <m:t> </m:t>
          </m:r>
          <m:r>
            <m:rPr>
              <m:sty m:val="p"/>
            </m:rPr>
            <m:t>log</m:t>
          </m:r>
          <m:r>
            <m:rPr>
              <m:sty m:val="p"/>
            </m:rPr>
            <m:t>(</m:t>
          </m:r>
          <m:sSub>
            <m:e>
              <m:r>
                <m:rPr>
                  <m:nor/>
                  <m:sty m:val="p"/>
                </m:rPr>
                <m:t>mass</m:t>
              </m:r>
            </m:e>
            <m:sub>
              <m:r>
                <m:t>i</m:t>
              </m:r>
            </m:sub>
          </m:sSub>
          <m:r>
            <m:rPr>
              <m:sty m:val="p"/>
            </m:rPr>
            <m:t>)</m:t>
          </m:r>
          <m:r>
            <m:rPr>
              <m:sty m:val="p"/>
            </m:rPr>
            <m:t>+</m:t>
          </m:r>
          <m:sSub>
            <m:e>
              <m:r>
                <m:t>β</m:t>
              </m:r>
            </m:e>
            <m:sub>
              <m:r>
                <m:t>3</m:t>
              </m:r>
            </m:sub>
          </m:sSub>
          <m:r>
            <m:t> </m:t>
          </m:r>
          <m:sSub>
            <m:e>
              <m:r>
                <m:rPr>
                  <m:nor/>
                  <m:sty m:val="p"/>
                </m:rPr>
                <m:t>first_mission</m:t>
              </m:r>
            </m:e>
            <m:sub>
              <m:r>
                <m:t>i</m:t>
              </m:r>
            </m:sub>
          </m:sSub>
          <m:r>
            <m:rPr>
              <m:sty m:val="p"/>
            </m:rPr>
            <m:t>+</m:t>
          </m:r>
          <m:sSub>
            <m:e>
              <m:r>
                <m:t>β</m:t>
              </m:r>
            </m:e>
            <m:sub>
              <m:r>
                <m:t>4</m:t>
              </m:r>
            </m:sub>
          </m:sSub>
          <m:r>
            <m:t> </m:t>
          </m:r>
          <m:sSub>
            <m:e>
              <m:r>
                <m:rPr>
                  <m:nor/>
                  <m:sty m:val="p"/>
                </m:rPr>
                <m:t>class_pro</m:t>
              </m:r>
            </m:e>
            <m:sub>
              <m:r>
                <m:t>i</m:t>
              </m:r>
            </m:sub>
          </m:sSub>
          <m:r>
            <m:rPr>
              <m:sty m:val="p"/>
            </m:rPr>
            <m:t>+</m:t>
          </m:r>
          <m:sSub>
            <m:e>
              <m:r>
                <m:t>ε</m:t>
              </m:r>
            </m:e>
            <m:sub>
              <m:r>
                <m:t>i</m:t>
              </m:r>
            </m:sub>
          </m:sSub>
        </m:oMath>
      </m:oMathPara>
    </w:p>
    <w:bookmarkStart w:id="225" w:name="estimator-output-1"/>
    <w:p>
      <w:pPr>
        <w:pStyle w:val="Heading3"/>
        <w:spacing w:line="480" w:lineRule="auto"/>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2.417</w:t>
            </w:r>
          </w:p>
        </w:tc>
        <w:tc>
          <w:tcPr>
            <w:tcW w:w="0" w:type="auto"/>
          </w:tcPr>
          <w:p>
            <w:pPr>
              <w:spacing w:line="240" w:lineRule="auto" w:before="0" w:after="0"/>
              <w:pStyle w:val="Compact"/>
            </w:pPr>
            <w:r>
              <w:rPr>
                <w:sz w:val="20"/>
                <w:szCs w:val="20"/>
              </w:rPr>
              <w:t xml:space="preserve">0.8858</w:t>
            </w:r>
          </w:p>
        </w:tc>
        <w:tc>
          <w:tcPr>
            <w:tcW w:w="0" w:type="auto"/>
          </w:tcPr>
          <w:p>
            <w:pPr>
              <w:spacing w:line="240" w:lineRule="auto" w:before="0" w:after="0"/>
              <w:pStyle w:val="Compact"/>
            </w:pPr>
            <w:r>
              <w:rPr>
                <w:sz w:val="20"/>
                <w:szCs w:val="20"/>
              </w:rPr>
              <w:t xml:space="preserve">2.7287</w:t>
            </w:r>
          </w:p>
        </w:tc>
        <w:tc>
          <w:tcPr>
            <w:tcW w:w="0" w:type="auto"/>
          </w:tcPr>
          <w:p>
            <w:pPr>
              <w:spacing w:line="240" w:lineRule="auto" w:before="0" w:after="0"/>
              <w:pStyle w:val="Compact"/>
            </w:pPr>
            <w:r>
              <w:rPr>
                <w:sz w:val="20"/>
                <w:szCs w:val="20"/>
              </w:rPr>
              <w:t xml:space="preserve">0.0064</w:t>
            </w:r>
          </w:p>
        </w:tc>
        <w:tc>
          <w:tcPr>
            <w:tcW w:w="0" w:type="auto"/>
          </w:tcPr>
          <w:p>
            <w:pPr>
              <w:spacing w:line="240" w:lineRule="auto" w:before="0" w:after="0"/>
              <w:pStyle w:val="Compact"/>
            </w:pPr>
            <w:r>
              <w:rPr>
                <w:sz w:val="20"/>
                <w:szCs w:val="20"/>
              </w:rPr>
              <w:t xml:space="preserve">[0.6809, 4.1531]</w:t>
            </w:r>
          </w:p>
        </w:tc>
      </w:tr>
      <w:tr>
        <w:tc>
          <w:tcPr>
            <w:tcW w:w="0" w:type="auto"/>
          </w:tcPr>
          <w:p>
            <w:pPr>
              <w:spacing w:line="240" w:lineRule="auto" w:before="0" w:after="0"/>
              <w:pStyle w:val="Compact"/>
            </w:pPr>
            <w:r>
              <w:rPr>
                <w:sz w:val="20"/>
                <w:szCs w:val="20"/>
              </w:rPr>
              <w:t xml:space="preserve">test_rigor</w:t>
            </w:r>
          </w:p>
        </w:tc>
        <w:tc>
          <w:tcPr>
            <w:tcW w:w="0" w:type="auto"/>
          </w:tcPr>
          <w:p>
            <w:pPr>
              <w:spacing w:line="240" w:lineRule="auto" w:before="0" w:after="0"/>
              <w:pStyle w:val="Compact"/>
            </w:pPr>
            <w:r>
              <w:rPr>
                <w:sz w:val="20"/>
                <w:szCs w:val="20"/>
              </w:rPr>
              <w:t xml:space="preserve">-1.0366</w:t>
            </w:r>
          </w:p>
        </w:tc>
        <w:tc>
          <w:tcPr>
            <w:tcW w:w="0" w:type="auto"/>
          </w:tcPr>
          <w:p>
            <w:pPr>
              <w:spacing w:line="240" w:lineRule="auto" w:before="0" w:after="0"/>
              <w:pStyle w:val="Compact"/>
            </w:pPr>
            <w:r>
              <w:rPr>
                <w:sz w:val="20"/>
                <w:szCs w:val="20"/>
              </w:rPr>
              <w:t xml:space="preserve">0.4518</w:t>
            </w:r>
          </w:p>
        </w:tc>
        <w:tc>
          <w:tcPr>
            <w:tcW w:w="0" w:type="auto"/>
          </w:tcPr>
          <w:p>
            <w:pPr>
              <w:spacing w:line="240" w:lineRule="auto" w:before="0" w:after="0"/>
              <w:pStyle w:val="Compact"/>
            </w:pPr>
            <w:r>
              <w:rPr>
                <w:sz w:val="20"/>
                <w:szCs w:val="20"/>
              </w:rPr>
              <w:t xml:space="preserve">-2.2945</w:t>
            </w:r>
          </w:p>
        </w:tc>
        <w:tc>
          <w:tcPr>
            <w:tcW w:w="0" w:type="auto"/>
          </w:tcPr>
          <w:p>
            <w:pPr>
              <w:spacing w:line="240" w:lineRule="auto" w:before="0" w:after="0"/>
              <w:pStyle w:val="Compact"/>
            </w:pPr>
            <w:r>
              <w:rPr>
                <w:sz w:val="20"/>
                <w:szCs w:val="20"/>
              </w:rPr>
              <w:t xml:space="preserve">0.0218</w:t>
            </w:r>
          </w:p>
        </w:tc>
        <w:tc>
          <w:tcPr>
            <w:tcW w:w="0" w:type="auto"/>
          </w:tcPr>
          <w:p>
            <w:pPr>
              <w:spacing w:line="240" w:lineRule="auto" w:before="0" w:after="0"/>
              <w:pStyle w:val="Compact"/>
            </w:pPr>
            <w:r>
              <w:rPr>
                <w:sz w:val="20"/>
                <w:szCs w:val="20"/>
              </w:rPr>
              <w:t xml:space="preserve">[-1.922, -0.1511]</w:t>
            </w:r>
          </w:p>
        </w:tc>
      </w:tr>
      <w:tr>
        <w:tc>
          <w:tcPr>
            <w:tcW w:w="0" w:type="auto"/>
          </w:tcPr>
          <w:p>
            <w:pPr>
              <w:spacing w:line="240" w:lineRule="auto" w:before="0" w:after="0"/>
              <w:pStyle w:val="Compact"/>
            </w:pPr>
            <w:r>
              <w:rPr>
                <w:sz w:val="20"/>
                <w:szCs w:val="20"/>
              </w:rPr>
              <w:t xml:space="preserve">log_mass_kg</w:t>
            </w:r>
          </w:p>
        </w:tc>
        <w:tc>
          <w:tcPr>
            <w:tcW w:w="0" w:type="auto"/>
          </w:tcPr>
          <w:p>
            <w:pPr>
              <w:spacing w:line="240" w:lineRule="auto" w:before="0" w:after="0"/>
              <w:pStyle w:val="Compact"/>
            </w:pPr>
            <w:r>
              <w:rPr>
                <w:sz w:val="20"/>
                <w:szCs w:val="20"/>
              </w:rPr>
              <w:t xml:space="preserve">-0.3261</w:t>
            </w:r>
          </w:p>
        </w:tc>
        <w:tc>
          <w:tcPr>
            <w:tcW w:w="0" w:type="auto"/>
          </w:tcPr>
          <w:p>
            <w:pPr>
              <w:spacing w:line="240" w:lineRule="auto" w:before="0" w:after="0"/>
              <w:pStyle w:val="Compact"/>
            </w:pPr>
            <w:r>
              <w:rPr>
                <w:sz w:val="20"/>
                <w:szCs w:val="20"/>
              </w:rPr>
              <w:t xml:space="preserve">0.1459</w:t>
            </w:r>
          </w:p>
        </w:tc>
        <w:tc>
          <w:tcPr>
            <w:tcW w:w="0" w:type="auto"/>
          </w:tcPr>
          <w:p>
            <w:pPr>
              <w:spacing w:line="240" w:lineRule="auto" w:before="0" w:after="0"/>
              <w:pStyle w:val="Compact"/>
            </w:pPr>
            <w:r>
              <w:rPr>
                <w:sz w:val="20"/>
                <w:szCs w:val="20"/>
              </w:rPr>
              <w:t xml:space="preserve">-2.2361</w:t>
            </w:r>
          </w:p>
        </w:tc>
        <w:tc>
          <w:tcPr>
            <w:tcW w:w="0" w:type="auto"/>
          </w:tcPr>
          <w:p>
            <w:pPr>
              <w:spacing w:line="240" w:lineRule="auto" w:before="0" w:after="0"/>
              <w:pStyle w:val="Compact"/>
            </w:pPr>
            <w:r>
              <w:rPr>
                <w:sz w:val="20"/>
                <w:szCs w:val="20"/>
              </w:rPr>
              <w:t xml:space="preserve">0.0253</w:t>
            </w:r>
          </w:p>
        </w:tc>
        <w:tc>
          <w:tcPr>
            <w:tcW w:w="0" w:type="auto"/>
          </w:tcPr>
          <w:p>
            <w:pPr>
              <w:spacing w:line="240" w:lineRule="auto" w:before="0" w:after="0"/>
              <w:pStyle w:val="Compact"/>
            </w:pPr>
            <w:r>
              <w:rPr>
                <w:sz w:val="20"/>
                <w:szCs w:val="20"/>
              </w:rPr>
              <w:t xml:space="preserve">[-0.612, -0.0403]</w:t>
            </w:r>
          </w:p>
        </w:tc>
      </w:tr>
      <w:tr>
        <w:tc>
          <w:tcPr>
            <w:tcW w:w="0" w:type="auto"/>
          </w:tcPr>
          <w:p>
            <w:pPr>
              <w:spacing w:line="240" w:lineRule="auto" w:before="0" w:after="0"/>
              <w:pStyle w:val="Compact"/>
            </w:pPr>
            <w:r>
              <w:rPr>
                <w:sz w:val="20"/>
                <w:szCs w:val="20"/>
              </w:rPr>
              <w:t xml:space="preserve">first_mission</w:t>
            </w:r>
          </w:p>
        </w:tc>
        <w:tc>
          <w:tcPr>
            <w:tcW w:w="0" w:type="auto"/>
          </w:tcPr>
          <w:p>
            <w:pPr>
              <w:spacing w:line="240" w:lineRule="auto" w:before="0" w:after="0"/>
              <w:pStyle w:val="Compact"/>
            </w:pPr>
            <w:r>
              <w:rPr>
                <w:sz w:val="20"/>
                <w:szCs w:val="20"/>
              </w:rPr>
              <w:t xml:space="preserve">0.4685</w:t>
            </w:r>
          </w:p>
        </w:tc>
        <w:tc>
          <w:tcPr>
            <w:tcW w:w="0" w:type="auto"/>
          </w:tcPr>
          <w:p>
            <w:pPr>
              <w:spacing w:line="240" w:lineRule="auto" w:before="0" w:after="0"/>
              <w:pStyle w:val="Compact"/>
            </w:pPr>
            <w:r>
              <w:rPr>
                <w:sz w:val="20"/>
                <w:szCs w:val="20"/>
              </w:rPr>
              <w:t xml:space="preserve">0.4298</w:t>
            </w:r>
          </w:p>
        </w:tc>
        <w:tc>
          <w:tcPr>
            <w:tcW w:w="0" w:type="auto"/>
          </w:tcPr>
          <w:p>
            <w:pPr>
              <w:spacing w:line="240" w:lineRule="auto" w:before="0" w:after="0"/>
              <w:pStyle w:val="Compact"/>
            </w:pPr>
            <w:r>
              <w:rPr>
                <w:sz w:val="20"/>
                <w:szCs w:val="20"/>
              </w:rPr>
              <w:t xml:space="preserve">1.0901</w:t>
            </w:r>
          </w:p>
        </w:tc>
        <w:tc>
          <w:tcPr>
            <w:tcW w:w="0" w:type="auto"/>
          </w:tcPr>
          <w:p>
            <w:pPr>
              <w:spacing w:line="240" w:lineRule="auto" w:before="0" w:after="0"/>
              <w:pStyle w:val="Compact"/>
            </w:pPr>
            <w:r>
              <w:rPr>
                <w:sz w:val="20"/>
                <w:szCs w:val="20"/>
              </w:rPr>
              <w:t xml:space="preserve">0.2757</w:t>
            </w:r>
          </w:p>
        </w:tc>
        <w:tc>
          <w:tcPr>
            <w:tcW w:w="0" w:type="auto"/>
          </w:tcPr>
          <w:p>
            <w:pPr>
              <w:spacing w:line="240" w:lineRule="auto" w:before="0" w:after="0"/>
              <w:pStyle w:val="Compact"/>
            </w:pPr>
            <w:r>
              <w:rPr>
                <w:sz w:val="20"/>
                <w:szCs w:val="20"/>
              </w:rPr>
              <w:t xml:space="preserve">[-0.3739, 1.3109]</w:t>
            </w:r>
          </w:p>
        </w:tc>
      </w:tr>
      <w:tr>
        <w:tc>
          <w:tcPr>
            <w:tcW w:w="0" w:type="auto"/>
          </w:tcPr>
          <w:p>
            <w:pPr>
              <w:spacing w:line="240" w:lineRule="auto" w:before="0" w:after="0"/>
              <w:pStyle w:val="Compact"/>
            </w:pPr>
            <w:r>
              <w:rPr>
                <w:sz w:val="20"/>
                <w:szCs w:val="20"/>
              </w:rPr>
              <w:t xml:space="preserve">class_pro</w:t>
            </w:r>
          </w:p>
        </w:tc>
        <w:tc>
          <w:tcPr>
            <w:tcW w:w="0" w:type="auto"/>
          </w:tcPr>
          <w:p>
            <w:pPr>
              <w:spacing w:line="240" w:lineRule="auto" w:before="0" w:after="0"/>
              <w:pStyle w:val="Compact"/>
            </w:pPr>
            <w:r>
              <w:rPr>
                <w:sz w:val="20"/>
                <w:szCs w:val="20"/>
              </w:rPr>
              <w:t xml:space="preserve">0.2895</w:t>
            </w:r>
          </w:p>
        </w:tc>
        <w:tc>
          <w:tcPr>
            <w:tcW w:w="0" w:type="auto"/>
          </w:tcPr>
          <w:p>
            <w:pPr>
              <w:spacing w:line="240" w:lineRule="auto" w:before="0" w:after="0"/>
              <w:pStyle w:val="Compact"/>
            </w:pPr>
            <w:r>
              <w:rPr>
                <w:sz w:val="20"/>
                <w:szCs w:val="20"/>
              </w:rPr>
              <w:t xml:space="preserve">0.2553</w:t>
            </w:r>
          </w:p>
        </w:tc>
        <w:tc>
          <w:tcPr>
            <w:tcW w:w="0" w:type="auto"/>
          </w:tcPr>
          <w:p>
            <w:pPr>
              <w:spacing w:line="240" w:lineRule="auto" w:before="0" w:after="0"/>
              <w:pStyle w:val="Compact"/>
            </w:pPr>
            <w:r>
              <w:rPr>
                <w:sz w:val="20"/>
                <w:szCs w:val="20"/>
              </w:rPr>
              <w:t xml:space="preserve">1.1339</w:t>
            </w:r>
          </w:p>
        </w:tc>
        <w:tc>
          <w:tcPr>
            <w:tcW w:w="0" w:type="auto"/>
          </w:tcPr>
          <w:p>
            <w:pPr>
              <w:spacing w:line="240" w:lineRule="auto" w:before="0" w:after="0"/>
              <w:pStyle w:val="Compact"/>
            </w:pPr>
            <w:r>
              <w:rPr>
                <w:sz w:val="20"/>
                <w:szCs w:val="20"/>
              </w:rPr>
              <w:t xml:space="preserve">0.2568</w:t>
            </w:r>
          </w:p>
        </w:tc>
        <w:tc>
          <w:tcPr>
            <w:tcW w:w="0" w:type="auto"/>
          </w:tcPr>
          <w:p>
            <w:pPr>
              <w:spacing w:line="240" w:lineRule="auto" w:before="0" w:after="0"/>
              <w:pStyle w:val="Compact"/>
            </w:pPr>
            <w:r>
              <w:rPr>
                <w:sz w:val="20"/>
                <w:szCs w:val="20"/>
              </w:rPr>
              <w:t xml:space="preserve">[-0.2109, 0.7899]</w:t>
            </w:r>
          </w:p>
        </w:tc>
      </w:tr>
    </w:tbl>
    <w:p>
      <w:pPr>
        <w:pStyle w:val="BodyText"/>
        <w:spacing w:line="480" w:lineRule="auto"/>
        <w:ind w:firstLine="720"/>
      </w:pPr>
      <w:r>
        <w:t xml:space="preserve">Fit: N = 32 R2 = 0.7483 R2_adj = 0.711 F = 36.3562 F_p = 1.668e-10</w:t>
      </w:r>
    </w:p>
    <w:bookmarkEnd w:id="225"/>
    <w:bookmarkStart w:id="229" w:name="figure-1"/>
    <w:p>
      <w:pPr>
        <w:pStyle w:val="Heading3"/>
        <w:spacing w:line="480" w:lineRule="auto"/>
      </w:pPr>
      <w:r>
        <w:t xml:space="preserve">Figure</w:t>
      </w:r>
    </w:p>
    <w:p>
      <w:pPr>
        <w:pStyle w:val="CaptionedFigure"/>
        <w:spacing w:line="480" w:lineRule="auto"/>
      </w:pPr>
      <w:r>
        <w:drawing>
          <wp:inline>
            <wp:extent cx="5669280" cy="3657600"/>
            <wp:effectExtent b="0" l="0" r="0" t="0"/>
            <wp:docPr descr="Figure A.2. On-orbit anomaly severity against pre-flight test rigor for 32 small-spacecraft missions; missions completing full qualification and hardware-in-the-loop test campaigns concentrate at the no-anomaly end of the outcome scale." title="" id="227" name="Picture"/>
            <a:graphic>
              <a:graphicData uri="http://schemas.openxmlformats.org/drawingml/2006/picture">
                <pic:pic>
                  <pic:nvPicPr>
                    <pic:cNvPr descr="D:/Claude_Code/brain/collegium/candidates/dissertations/JPL_MGMT_SMA_TECH_11/research_papers/p2/paper_fig1.png" id="228" name="Picture"/>
                    <pic:cNvPicPr>
                      <a:picLocks noChangeArrowheads="1" noChangeAspect="1"/>
                    </pic:cNvPicPr>
                  </pic:nvPicPr>
                  <pic:blipFill>
                    <a:blip r:embed="rId226"/>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spacing w:line="480" w:lineRule="auto"/>
      </w:pPr>
      <w:r>
        <w:t xml:space="preserve">Figure A.2. On-orbit anomaly severity against pre-flight test rigor for 32 small-spacecraft missions; missions completing full qualification and hardware-in-the-loop test campaigns concentrate at the no-anomaly end of the outcome scale.</w:t>
      </w:r>
    </w:p>
    <w:bookmarkEnd w:id="229"/>
    <w:bookmarkStart w:id="230" w:name="data-real-observations-1"/>
    <w:p>
      <w:pPr>
        <w:pStyle w:val="Heading3"/>
        <w:spacing w:line="480" w:lineRule="auto"/>
      </w:pPr>
      <w:r>
        <w:t xml:space="preserve">Data (real observations)</w:t>
      </w:r>
    </w:p>
    <w:tbl>
      <w:tblPr>
        <w:tblStyle w:val="Table"/>
        <w:tblLook w:firstRow="1" w:lastRow="0" w:firstColumn="0" w:lastColumn="0" w:noHBand="0" w:noVBand="0" w:val="0020"/>
        <w:tblLayout w:type="autofit"/>
        <w:tblW w:w="0" w:type="auto"/>
      </w:tblPr>
      <w:tblGrid>
        <w:gridCol w:w="990"/>
        <w:gridCol w:w="990"/>
        <w:gridCol w:w="990"/>
        <w:gridCol w:w="990"/>
        <w:gridCol w:w="990"/>
        <w:gridCol w:w="990"/>
        <w:gridCol w:w="990"/>
        <w:gridCol w:w="990"/>
      </w:tblGrid>
      <w:tr>
        <w:trPr>
          <w:tblHeader w:val="on"/>
        </w:trPr>
        <w:tc>
          <w:tcPr>
            <w:tcW w:w="0" w:type="auto"/>
          </w:tcPr>
          <w:p>
            <w:pPr>
              <w:spacing w:line="240" w:lineRule="auto" w:before="0" w:after="0"/>
              <w:pStyle w:val="Compact"/>
            </w:pPr>
            <w:r>
              <w:rPr>
                <w:sz w:val="20"/>
                <w:szCs w:val="20"/>
              </w:rPr>
              <w:t xml:space="preserve">mission</w:t>
            </w:r>
          </w:p>
        </w:tc>
        <w:tc>
          <w:tcPr>
            <w:tcW w:w="0" w:type="auto"/>
          </w:tcPr>
          <w:p>
            <w:pPr>
              <w:spacing w:line="240" w:lineRule="auto" w:before="0" w:after="0"/>
              <w:pStyle w:val="Compact"/>
            </w:pPr>
            <w:r>
              <w:rPr>
                <w:sz w:val="20"/>
                <w:szCs w:val="20"/>
              </w:rPr>
              <w:t xml:space="preserve">year_launch</w:t>
            </w:r>
          </w:p>
        </w:tc>
        <w:tc>
          <w:tcPr>
            <w:tcW w:w="0" w:type="auto"/>
          </w:tcPr>
          <w:p>
            <w:pPr>
              <w:spacing w:line="240" w:lineRule="auto" w:before="0" w:after="0"/>
              <w:pStyle w:val="Compact"/>
            </w:pPr>
            <w:r>
              <w:rPr>
                <w:sz w:val="20"/>
                <w:szCs w:val="20"/>
              </w:rPr>
              <w:t xml:space="preserve">class_pro</w:t>
            </w:r>
          </w:p>
        </w:tc>
        <w:tc>
          <w:tcPr>
            <w:tcW w:w="0" w:type="auto"/>
          </w:tcPr>
          <w:p>
            <w:pPr>
              <w:spacing w:line="240" w:lineRule="auto" w:before="0" w:after="0"/>
              <w:pStyle w:val="Compact"/>
            </w:pPr>
            <w:r>
              <w:rPr>
                <w:sz w:val="20"/>
                <w:szCs w:val="20"/>
              </w:rPr>
              <w:t xml:space="preserve">test_rigor</w:t>
            </w:r>
          </w:p>
        </w:tc>
        <w:tc>
          <w:tcPr>
            <w:tcW w:w="0" w:type="auto"/>
          </w:tcPr>
          <w:p>
            <w:pPr>
              <w:spacing w:line="240" w:lineRule="auto" w:before="0" w:after="0"/>
              <w:pStyle w:val="Compact"/>
            </w:pPr>
            <w:r>
              <w:rPr>
                <w:sz w:val="20"/>
                <w:szCs w:val="20"/>
              </w:rPr>
              <w:t xml:space="preserve">log_mass_kg</w:t>
            </w:r>
          </w:p>
        </w:tc>
        <w:tc>
          <w:tcPr>
            <w:tcW w:w="0" w:type="auto"/>
          </w:tcPr>
          <w:p>
            <w:pPr>
              <w:spacing w:line="240" w:lineRule="auto" w:before="0" w:after="0"/>
              <w:pStyle w:val="Compact"/>
            </w:pPr>
            <w:r>
              <w:rPr>
                <w:sz w:val="20"/>
                <w:szCs w:val="20"/>
              </w:rPr>
              <w:t xml:space="preserve">first_mission</w:t>
            </w:r>
          </w:p>
        </w:tc>
        <w:tc>
          <w:tcPr>
            <w:tcW w:w="0" w:type="auto"/>
          </w:tcPr>
          <w:p>
            <w:pPr>
              <w:spacing w:line="240" w:lineRule="auto" w:before="0" w:after="0"/>
              <w:pStyle w:val="Compact"/>
            </w:pPr>
            <w:r>
              <w:rPr>
                <w:sz w:val="20"/>
                <w:szCs w:val="20"/>
              </w:rPr>
              <w:t xml:space="preserve">anomaly_severity</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GeneSat-1</w:t>
            </w:r>
          </w:p>
        </w:tc>
        <w:tc>
          <w:tcPr>
            <w:tcW w:w="0" w:type="auto"/>
          </w:tcPr>
          <w:p>
            <w:pPr>
              <w:spacing w:line="240" w:lineRule="auto" w:before="0" w:after="0"/>
              <w:pStyle w:val="Compact"/>
            </w:pPr>
            <w:r>
              <w:rPr>
                <w:sz w:val="20"/>
                <w:szCs w:val="20"/>
              </w:rPr>
              <w:t xml:space="preserve">2006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Swartwout,</w:t>
            </w:r>
            <w:r>
              <w:rPr>
                <w:sz w:val="20"/>
                <w:szCs w:val="20"/>
              </w:rPr>
              <w:t xml:space="preserve"> </w:t>
            </w:r>
            <w:r>
              <w:rPr>
                <w:sz w:val="20"/>
                <w:szCs w:val="20"/>
              </w:rPr>
              <w:t xml:space="preserve">‘The First One Hundred CubeSats,’</w:t>
            </w:r>
            <w:r>
              <w:rPr>
                <w:sz w:val="20"/>
                <w:szCs w:val="20"/>
              </w:rPr>
              <w:t xml:space="preserve"> </w:t>
            </w:r>
            <w:r>
              <w:rPr>
                <w:sz w:val="20"/>
                <w:szCs w:val="20"/>
              </w:rPr>
              <w:t xml:space="preserve">J. Small Satellites 2(2):213-233, 2013 (NASA Ames professional-class bus, full functional+environmental qualification; full mission success)</w:t>
            </w:r>
          </w:p>
        </w:tc>
      </w:tr>
      <w:tr>
        <w:tc>
          <w:tcPr>
            <w:tcW w:w="0" w:type="auto"/>
          </w:tcPr>
          <w:p>
            <w:pPr>
              <w:spacing w:line="240" w:lineRule="auto" w:before="0" w:after="0"/>
              <w:pStyle w:val="Compact"/>
            </w:pPr>
            <w:r>
              <w:rPr>
                <w:sz w:val="20"/>
                <w:szCs w:val="20"/>
              </w:rPr>
              <w:t xml:space="preserve">PharmaSat</w:t>
            </w:r>
          </w:p>
        </w:tc>
        <w:tc>
          <w:tcPr>
            <w:tcW w:w="0" w:type="auto"/>
          </w:tcPr>
          <w:p>
            <w:pPr>
              <w:spacing w:line="240" w:lineRule="auto" w:before="0" w:after="0"/>
              <w:pStyle w:val="Compact"/>
            </w:pPr>
            <w:r>
              <w:rPr>
                <w:sz w:val="20"/>
                <w:szCs w:val="20"/>
              </w:rPr>
              <w:t xml:space="preserve">2009</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Swartwout, J. Small Satellites 2(2), 2013 (NASA Ames heritage bus, qualification test program; primary mission success)</w:t>
            </w:r>
          </w:p>
        </w:tc>
      </w:tr>
      <w:tr>
        <w:tc>
          <w:tcPr>
            <w:tcW w:w="0" w:type="auto"/>
          </w:tcPr>
          <w:p>
            <w:pPr>
              <w:spacing w:line="240" w:lineRule="auto" w:before="0" w:after="0"/>
              <w:pStyle w:val="Compact"/>
            </w:pPr>
            <w:r>
              <w:rPr>
                <w:sz w:val="20"/>
                <w:szCs w:val="20"/>
              </w:rPr>
              <w:t xml:space="preserve">RAX-1</w:t>
            </w:r>
          </w:p>
        </w:tc>
        <w:tc>
          <w:tcPr>
            <w:tcW w:w="0" w:type="auto"/>
          </w:tcPr>
          <w:p>
            <w:pPr>
              <w:spacing w:line="240" w:lineRule="auto" w:before="0" w:after="0"/>
              <w:pStyle w:val="Compact"/>
            </w:pPr>
            <w:r>
              <w:rPr>
                <w:sz w:val="20"/>
                <w:szCs w:val="20"/>
              </w:rPr>
              <w:t xml:space="preserve">2010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Springmann et al.,</w:t>
            </w:r>
            <w:r>
              <w:rPr>
                <w:sz w:val="20"/>
                <w:szCs w:val="20"/>
              </w:rPr>
              <w:t xml:space="preserve"> </w:t>
            </w:r>
            <w:r>
              <w:rPr>
                <w:sz w:val="20"/>
                <w:szCs w:val="20"/>
              </w:rPr>
              <w:t xml:space="preserve">‘The Attitude Determination System of the RAX Satellite,’</w:t>
            </w:r>
            <w:r>
              <w:rPr>
                <w:sz w:val="20"/>
                <w:szCs w:val="20"/>
              </w:rPr>
              <w:t xml:space="preserve"> </w:t>
            </w:r>
            <w:r>
              <w:rPr>
                <w:sz w:val="20"/>
                <w:szCs w:val="20"/>
              </w:rPr>
              <w:t xml:space="preserve">Acta Astronautica 75:120-135, 2012 (University of Michigan first CubeSat; protoflight functional test; power-system anomaly led to early loss of contact)</w:t>
            </w:r>
          </w:p>
        </w:tc>
      </w:tr>
      <w:tr>
        <w:tc>
          <w:tcPr>
            <w:tcW w:w="0" w:type="auto"/>
          </w:tcPr>
          <w:p>
            <w:pPr>
              <w:spacing w:line="240" w:lineRule="auto" w:before="0" w:after="0"/>
              <w:pStyle w:val="Compact"/>
            </w:pPr>
            <w:r>
              <w:rPr>
                <w:sz w:val="20"/>
                <w:szCs w:val="20"/>
              </w:rPr>
              <w:t xml:space="preserve">RAX-2</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Cutler &amp; Bahcivan,</w:t>
            </w:r>
            <w:r>
              <w:rPr>
                <w:sz w:val="20"/>
                <w:szCs w:val="20"/>
              </w:rPr>
              <w:t xml:space="preserve"> </w:t>
            </w:r>
            <w:r>
              <w:rPr>
                <w:sz w:val="20"/>
                <w:szCs w:val="20"/>
              </w:rPr>
              <w:t xml:space="preserve">‘The RAX Mission,’</w:t>
            </w:r>
            <w:r>
              <w:rPr>
                <w:sz w:val="20"/>
                <w:szCs w:val="20"/>
              </w:rPr>
              <w:t xml:space="preserve"> </w:t>
            </w:r>
            <w:r>
              <w:rPr>
                <w:sz w:val="20"/>
                <w:szCs w:val="20"/>
              </w:rPr>
              <w:t xml:space="preserve">Proc. AIAA/USU SmallSat 2012; second-flight design with expanded testing; primary science returned</w:t>
            </w:r>
          </w:p>
        </w:tc>
      </w:tr>
      <w:tr>
        <w:tc>
          <w:tcPr>
            <w:tcW w:w="0" w:type="auto"/>
          </w:tcPr>
          <w:p>
            <w:pPr>
              <w:spacing w:line="240" w:lineRule="auto" w:before="0" w:after="0"/>
              <w:pStyle w:val="Compact"/>
            </w:pPr>
            <w:r>
              <w:rPr>
                <w:sz w:val="20"/>
                <w:szCs w:val="20"/>
              </w:rPr>
              <w:t xml:space="preserve">AAUSAT-1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Swartwout, J. Small Satellites 2(2):213-233, 2013 (Aalborg University first mission; minimal pre-flight test; degraded/partial-DOA on orbit)</w:t>
            </w:r>
          </w:p>
        </w:tc>
      </w:tr>
      <w:tr>
        <w:tc>
          <w:tcPr>
            <w:tcW w:w="0" w:type="auto"/>
          </w:tcPr>
          <w:p>
            <w:pPr>
              <w:spacing w:line="240" w:lineRule="auto" w:before="0" w:after="0"/>
              <w:pStyle w:val="Compact"/>
            </w:pPr>
            <w:r>
              <w:rPr>
                <w:sz w:val="20"/>
                <w:szCs w:val="20"/>
              </w:rPr>
              <w:t xml:space="preserve">AAUSAT3</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Bhanderi et al.,</w:t>
            </w:r>
            <w:r>
              <w:rPr>
                <w:sz w:val="20"/>
                <w:szCs w:val="20"/>
              </w:rPr>
              <w:t xml:space="preserve"> </w:t>
            </w:r>
            <w:r>
              <w:rPr>
                <w:sz w:val="20"/>
                <w:szCs w:val="20"/>
              </w:rPr>
              <w:t xml:space="preserve">‘AAUSAT3 Flight Results,’</w:t>
            </w:r>
            <w:r>
              <w:rPr>
                <w:sz w:val="20"/>
                <w:szCs w:val="20"/>
              </w:rPr>
              <w:t xml:space="preserve"> </w:t>
            </w:r>
            <w:r>
              <w:rPr>
                <w:sz w:val="20"/>
                <w:szCs w:val="20"/>
              </w:rPr>
              <w:t xml:space="preserve">Proc. AIAA/USU SmallSat 2014; full functional+vibration test campaign; AIS mission success</w:t>
            </w:r>
          </w:p>
        </w:tc>
      </w:tr>
      <w:tr>
        <w:tc>
          <w:tcPr>
            <w:tcW w:w="0" w:type="auto"/>
          </w:tcPr>
          <w:p>
            <w:pPr>
              <w:spacing w:line="240" w:lineRule="auto" w:before="0" w:after="0"/>
              <w:pStyle w:val="Compact"/>
            </w:pPr>
            <w:r>
              <w:rPr>
                <w:sz w:val="20"/>
                <w:szCs w:val="20"/>
              </w:rPr>
              <w:t xml:space="preserve">Delfi-C3</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Bouwmeester &amp; Guo,</w:t>
            </w:r>
            <w:r>
              <w:rPr>
                <w:sz w:val="20"/>
                <w:szCs w:val="20"/>
              </w:rPr>
              <w:t xml:space="preserve"> </w:t>
            </w:r>
            <w:r>
              <w:rPr>
                <w:sz w:val="20"/>
                <w:szCs w:val="20"/>
              </w:rPr>
              <w:t xml:space="preserve">‘Survey of worldwide pico- and nanosatellite missions,’</w:t>
            </w:r>
            <w:r>
              <w:rPr>
                <w:sz w:val="20"/>
                <w:szCs w:val="20"/>
              </w:rPr>
              <w:t xml:space="preserve"> </w:t>
            </w:r>
            <w:r>
              <w:rPr>
                <w:sz w:val="20"/>
                <w:szCs w:val="20"/>
              </w:rPr>
              <w:t xml:space="preserve">Acta Astronautica 67:854-862, 2010 (TU Delft first CubeSat; protoflight test; partial success, degraded power)</w:t>
            </w:r>
          </w:p>
        </w:tc>
      </w:tr>
      <w:tr>
        <w:tc>
          <w:tcPr>
            <w:tcW w:w="0" w:type="auto"/>
          </w:tcPr>
          <w:p>
            <w:pPr>
              <w:spacing w:line="240" w:lineRule="auto" w:before="0" w:after="0"/>
              <w:pStyle w:val="Compact"/>
            </w:pPr>
            <w:r>
              <w:rPr>
                <w:sz w:val="20"/>
                <w:szCs w:val="20"/>
              </w:rPr>
              <w:t xml:space="preserve">Delfi-n3Xt</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Bouwmeester et al.,</w:t>
            </w:r>
            <w:r>
              <w:rPr>
                <w:sz w:val="20"/>
                <w:szCs w:val="20"/>
              </w:rPr>
              <w:t xml:space="preserve"> </w:t>
            </w:r>
            <w:r>
              <w:rPr>
                <w:sz w:val="20"/>
                <w:szCs w:val="20"/>
              </w:rPr>
              <w:t xml:space="preserve">‘Improving CubeSat reliability: Subsystem redundancy or improved testing?,’</w:t>
            </w:r>
            <w:r>
              <w:rPr>
                <w:sz w:val="20"/>
                <w:szCs w:val="20"/>
              </w:rPr>
              <w:t xml:space="preserve"> </w:t>
            </w:r>
            <w:r>
              <w:rPr>
                <w:sz w:val="20"/>
                <w:szCs w:val="20"/>
              </w:rPr>
              <w:t xml:space="preserve">Reliability Eng. &amp; System Safety 220:108288, 2022 (TU Delft second mission; full test program; transponder success then early electronics anomaly)</w:t>
            </w:r>
          </w:p>
        </w:tc>
      </w:tr>
      <w:tr>
        <w:tc>
          <w:tcPr>
            <w:tcW w:w="0" w:type="auto"/>
          </w:tcPr>
          <w:p>
            <w:pPr>
              <w:spacing w:line="240" w:lineRule="auto" w:before="0" w:after="0"/>
              <w:pStyle w:val="Compact"/>
            </w:pPr>
            <w:r>
              <w:rPr>
                <w:sz w:val="20"/>
                <w:szCs w:val="20"/>
              </w:rPr>
              <w:t xml:space="preserve">QuakeSat</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1.6094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Long et al.,</w:t>
            </w:r>
            <w:r>
              <w:rPr>
                <w:sz w:val="20"/>
                <w:szCs w:val="20"/>
              </w:rPr>
              <w:t xml:space="preserve"> </w:t>
            </w:r>
            <w:r>
              <w:rPr>
                <w:sz w:val="20"/>
                <w:szCs w:val="20"/>
              </w:rPr>
              <w:t xml:space="preserve">‘A CubeSat Derived Design for a Unique Academic Research Mission,’</w:t>
            </w:r>
            <w:r>
              <w:rPr>
                <w:sz w:val="20"/>
                <w:szCs w:val="20"/>
              </w:rPr>
              <w:t xml:space="preserve"> </w:t>
            </w:r>
            <w:r>
              <w:rPr>
                <w:sz w:val="20"/>
                <w:szCs w:val="20"/>
              </w:rPr>
              <w:t xml:space="preserve">Proc. AIAA/USU SmallSat 2002; protoflight test; primary mission objectives met</w:t>
            </w:r>
          </w:p>
        </w:tc>
      </w:tr>
      <w:tr>
        <w:tc>
          <w:tcPr>
            <w:tcW w:w="0" w:type="auto"/>
          </w:tcPr>
          <w:p>
            <w:pPr>
              <w:spacing w:line="240" w:lineRule="auto" w:before="0" w:after="0"/>
              <w:pStyle w:val="Compact"/>
            </w:pPr>
            <w:r>
              <w:rPr>
                <w:sz w:val="20"/>
                <w:szCs w:val="20"/>
              </w:rPr>
              <w:t xml:space="preserve">CanX-1</w:t>
            </w:r>
          </w:p>
        </w:tc>
        <w:tc>
          <w:tcPr>
            <w:tcW w:w="0" w:type="auto"/>
          </w:tcPr>
          <w:p>
            <w:pPr>
              <w:spacing w:line="240" w:lineRule="auto" w:before="0" w:after="0"/>
              <w:pStyle w:val="Compact"/>
            </w:pPr>
            <w:r>
              <w:rPr>
                <w:sz w:val="20"/>
                <w:szCs w:val="20"/>
              </w:rPr>
              <w:t xml:space="preserve">2003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Swartwout, J. Small Satellites 2(2), 2013 (UTIAS/SFL first mission; limited test; no usable signal, effectively DOA)</w:t>
            </w:r>
          </w:p>
        </w:tc>
      </w:tr>
      <w:tr>
        <w:tc>
          <w:tcPr>
            <w:tcW w:w="0" w:type="auto"/>
          </w:tcPr>
          <w:p>
            <w:pPr>
              <w:spacing w:line="240" w:lineRule="auto" w:before="0" w:after="0"/>
              <w:pStyle w:val="Compact"/>
            </w:pPr>
            <w:r>
              <w:rPr>
                <w:sz w:val="20"/>
                <w:szCs w:val="20"/>
              </w:rPr>
              <w:t xml:space="preserve">CanX-2</w:t>
            </w:r>
          </w:p>
        </w:tc>
        <w:tc>
          <w:tcPr>
            <w:tcW w:w="0" w:type="auto"/>
          </w:tcPr>
          <w:p>
            <w:pPr>
              <w:spacing w:line="240" w:lineRule="auto" w:before="0" w:after="0"/>
              <w:pStyle w:val="Compact"/>
            </w:pPr>
            <w:r>
              <w:rPr>
                <w:sz w:val="20"/>
                <w:szCs w:val="20"/>
              </w:rPr>
              <w:t xml:space="preserve">2008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Sarda et al.,</w:t>
            </w:r>
            <w:r>
              <w:rPr>
                <w:sz w:val="20"/>
                <w:szCs w:val="20"/>
              </w:rPr>
              <w:t xml:space="preserve"> </w:t>
            </w:r>
            <w:r>
              <w:rPr>
                <w:sz w:val="20"/>
                <w:szCs w:val="20"/>
              </w:rPr>
              <w:t xml:space="preserve">‘Canadian Advanced Nanospace eXperiment 2 Orbit Operations,’</w:t>
            </w:r>
            <w:r>
              <w:rPr>
                <w:sz w:val="20"/>
                <w:szCs w:val="20"/>
              </w:rPr>
              <w:t xml:space="preserve"> </w:t>
            </w:r>
            <w:r>
              <w:rPr>
                <w:sz w:val="20"/>
                <w:szCs w:val="20"/>
              </w:rPr>
              <w:t xml:space="preserve">Proc. AIAA/USU SmallSat 2009; comprehensive SFL test flow; full mission success</w:t>
            </w:r>
          </w:p>
        </w:tc>
      </w:tr>
      <w:tr>
        <w:tc>
          <w:tcPr>
            <w:tcW w:w="0" w:type="auto"/>
          </w:tcPr>
          <w:p>
            <w:pPr>
              <w:spacing w:line="240" w:lineRule="auto" w:before="0" w:after="0"/>
              <w:pStyle w:val="Compact"/>
            </w:pPr>
            <w:r>
              <w:rPr>
                <w:sz w:val="20"/>
                <w:szCs w:val="20"/>
              </w:rPr>
              <w:t xml:space="preserve">CINEMA</w:t>
            </w:r>
          </w:p>
        </w:tc>
        <w:tc>
          <w:tcPr>
            <w:tcW w:w="0" w:type="auto"/>
          </w:tcPr>
          <w:p>
            <w:pPr>
              <w:spacing w:line="240" w:lineRule="auto" w:before="0" w:after="0"/>
              <w:pStyle w:val="Compact"/>
            </w:pPr>
            <w:r>
              <w:rPr>
                <w:sz w:val="20"/>
                <w:szCs w:val="20"/>
              </w:rPr>
              <w:t xml:space="preserve">2012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Swartwout, J. Small Satellites 2(2):213-233, 2013 (UC Berkeley/multinational; protoflight; degraded operations, limited science)</w:t>
            </w:r>
          </w:p>
        </w:tc>
      </w:tr>
      <w:tr>
        <w:tc>
          <w:tcPr>
            <w:tcW w:w="0" w:type="auto"/>
          </w:tcPr>
          <w:p>
            <w:pPr>
              <w:spacing w:line="240" w:lineRule="auto" w:before="0" w:after="0"/>
              <w:pStyle w:val="Compact"/>
            </w:pPr>
            <w:r>
              <w:rPr>
                <w:sz w:val="20"/>
                <w:szCs w:val="20"/>
              </w:rPr>
              <w:t xml:space="preserve">Dove-1</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Swartwout &amp; Jayne,</w:t>
            </w:r>
            <w:r>
              <w:rPr>
                <w:sz w:val="20"/>
                <w:szCs w:val="20"/>
              </w:rPr>
              <w:t xml:space="preserve"> </w:t>
            </w:r>
            <w:r>
              <w:rPr>
                <w:sz w:val="20"/>
                <w:szCs w:val="20"/>
              </w:rPr>
              <w:t xml:space="preserve">‘University-Class Spacecraft by the Numbers,’</w:t>
            </w:r>
            <w:r>
              <w:rPr>
                <w:sz w:val="20"/>
                <w:szCs w:val="20"/>
              </w:rPr>
              <w:t xml:space="preserve"> </w:t>
            </w:r>
            <w:r>
              <w:rPr>
                <w:sz w:val="20"/>
                <w:szCs w:val="20"/>
              </w:rPr>
              <w:t xml:space="preserve">Proc. AIAA/USU SmallSat 2016 (Planet professional-class commercial bus; iterated qualification test; imaging success)</w:t>
            </w:r>
          </w:p>
        </w:tc>
      </w:tr>
      <w:tr>
        <w:tc>
          <w:tcPr>
            <w:tcW w:w="0" w:type="auto"/>
          </w:tcPr>
          <w:p>
            <w:pPr>
              <w:spacing w:line="240" w:lineRule="auto" w:before="0" w:after="0"/>
              <w:pStyle w:val="Compact"/>
            </w:pPr>
            <w:r>
              <w:rPr>
                <w:sz w:val="20"/>
                <w:szCs w:val="20"/>
              </w:rPr>
              <w:t xml:space="preserve">Flock-1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2.3026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Boshuizen et al.,</w:t>
            </w:r>
            <w:r>
              <w:rPr>
                <w:sz w:val="20"/>
                <w:szCs w:val="20"/>
              </w:rPr>
              <w:t xml:space="preserve"> </w:t>
            </w:r>
            <w:r>
              <w:rPr>
                <w:sz w:val="20"/>
                <w:szCs w:val="20"/>
              </w:rPr>
              <w:t xml:space="preserve">‘Results from the Planet Labs Flock Constellation,’</w:t>
            </w:r>
            <w:r>
              <w:rPr>
                <w:sz w:val="20"/>
                <w:szCs w:val="20"/>
              </w:rPr>
              <w:t xml:space="preserve"> </w:t>
            </w:r>
            <w:r>
              <w:rPr>
                <w:sz w:val="20"/>
                <w:szCs w:val="20"/>
              </w:rPr>
              <w:t xml:space="preserve">Proc. AIAA/USU SmallSat 2014; agile-aerospace test-driven build; constellation imaging success</w:t>
            </w:r>
          </w:p>
        </w:tc>
      </w:tr>
      <w:tr>
        <w:tc>
          <w:tcPr>
            <w:tcW w:w="0" w:type="auto"/>
          </w:tcPr>
          <w:p>
            <w:pPr>
              <w:spacing w:line="240" w:lineRule="auto" w:before="0" w:after="0"/>
              <w:pStyle w:val="Compact"/>
            </w:pPr>
            <w:r>
              <w:rPr>
                <w:sz w:val="20"/>
                <w:szCs w:val="20"/>
              </w:rPr>
              <w:t xml:space="preserve">MinXSS-1</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Mason et al.,</w:t>
            </w:r>
            <w:r>
              <w:rPr>
                <w:sz w:val="20"/>
                <w:szCs w:val="20"/>
              </w:rPr>
              <w:t xml:space="preserve"> </w:t>
            </w:r>
            <w:r>
              <w:rPr>
                <w:sz w:val="20"/>
                <w:szCs w:val="20"/>
              </w:rPr>
              <w:t xml:space="preserve">‘MinXSS CubeSat On-Orbit Performance,’</w:t>
            </w:r>
            <w:r>
              <w:rPr>
                <w:sz w:val="20"/>
                <w:szCs w:val="20"/>
              </w:rPr>
              <w:t xml:space="preserve"> </w:t>
            </w:r>
            <w:r>
              <w:rPr>
                <w:sz w:val="20"/>
                <w:szCs w:val="20"/>
              </w:rPr>
              <w:t xml:space="preserve">Proc. AIAA/USU SmallSat 2017; full functional + thermal-vacuum + vibration; science mission success</w:t>
            </w:r>
          </w:p>
        </w:tc>
      </w:tr>
      <w:tr>
        <w:tc>
          <w:tcPr>
            <w:tcW w:w="0" w:type="auto"/>
          </w:tcPr>
          <w:p>
            <w:pPr>
              <w:spacing w:line="240" w:lineRule="auto" w:before="0" w:after="0"/>
              <w:pStyle w:val="Compact"/>
            </w:pPr>
            <w:r>
              <w:rPr>
                <w:sz w:val="20"/>
                <w:szCs w:val="20"/>
              </w:rPr>
              <w:t xml:space="preserve">HaloSat</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Kaaret et al.,</w:t>
            </w:r>
            <w:r>
              <w:rPr>
                <w:sz w:val="20"/>
                <w:szCs w:val="20"/>
              </w:rPr>
              <w:t xml:space="preserve"> </w:t>
            </w:r>
            <w:r>
              <w:rPr>
                <w:sz w:val="20"/>
                <w:szCs w:val="20"/>
              </w:rPr>
              <w:t xml:space="preserve">‘HaloSat - A CubeSat to Study the Hot Galactic Halo,’</w:t>
            </w:r>
            <w:r>
              <w:rPr>
                <w:sz w:val="20"/>
                <w:szCs w:val="20"/>
              </w:rPr>
              <w:t xml:space="preserve"> </w:t>
            </w:r>
            <w:r>
              <w:rPr>
                <w:sz w:val="20"/>
                <w:szCs w:val="20"/>
              </w:rPr>
              <w:t xml:space="preserve">Astrophysical Journal 884:162, 2019; full environmental qualification; X-ray science success</w:t>
            </w:r>
          </w:p>
        </w:tc>
      </w:tr>
      <w:tr>
        <w:tc>
          <w:tcPr>
            <w:tcW w:w="0" w:type="auto"/>
          </w:tcPr>
          <w:p>
            <w:pPr>
              <w:spacing w:line="240" w:lineRule="auto" w:before="0" w:after="0"/>
              <w:pStyle w:val="Compact"/>
            </w:pPr>
            <w:r>
              <w:rPr>
                <w:sz w:val="20"/>
                <w:szCs w:val="20"/>
              </w:rPr>
              <w:t xml:space="preserve">ELFIN</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Angelopoulos et al.,</w:t>
            </w:r>
            <w:r>
              <w:rPr>
                <w:sz w:val="20"/>
                <w:szCs w:val="20"/>
              </w:rPr>
              <w:t xml:space="preserve"> </w:t>
            </w:r>
            <w:r>
              <w:rPr>
                <w:sz w:val="20"/>
                <w:szCs w:val="20"/>
              </w:rPr>
              <w:t xml:space="preserve">‘The ELFIN Mission,’</w:t>
            </w:r>
            <w:r>
              <w:rPr>
                <w:sz w:val="20"/>
                <w:szCs w:val="20"/>
              </w:rPr>
              <w:t xml:space="preserve"> </w:t>
            </w:r>
            <w:r>
              <w:rPr>
                <w:sz w:val="20"/>
                <w:szCs w:val="20"/>
              </w:rPr>
              <w:t xml:space="preserve">Space Science Reviews 216:103, 2020 (UCLA student mission; extensive functional/environmental test; mostly successful with early anomalies)</w:t>
            </w:r>
          </w:p>
        </w:tc>
      </w:tr>
      <w:tr>
        <w:tc>
          <w:tcPr>
            <w:tcW w:w="0" w:type="auto"/>
          </w:tcPr>
          <w:p>
            <w:pPr>
              <w:spacing w:line="240" w:lineRule="auto" w:before="0" w:after="0"/>
              <w:pStyle w:val="Compact"/>
            </w:pPr>
            <w:r>
              <w:rPr>
                <w:sz w:val="20"/>
                <w:szCs w:val="20"/>
              </w:rPr>
              <w:t xml:space="preserve">IceCube-NASA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Wu et al.,</w:t>
            </w:r>
            <w:r>
              <w:rPr>
                <w:sz w:val="20"/>
                <w:szCs w:val="20"/>
              </w:rPr>
              <w:t xml:space="preserve"> </w:t>
            </w:r>
            <w:r>
              <w:rPr>
                <w:sz w:val="20"/>
                <w:szCs w:val="20"/>
              </w:rPr>
              <w:t xml:space="preserve">‘IceCube 883-GHz Radiometer,’</w:t>
            </w:r>
            <w:r>
              <w:rPr>
                <w:sz w:val="20"/>
                <w:szCs w:val="20"/>
              </w:rPr>
              <w:t xml:space="preserve"> </w:t>
            </w:r>
            <w:r>
              <w:rPr>
                <w:sz w:val="20"/>
                <w:szCs w:val="20"/>
              </w:rPr>
              <w:t xml:space="preserve">Proc. AIAA/USU SmallSat 2018; NASA GSFC qualification test; technology-demo success</w:t>
            </w:r>
          </w:p>
        </w:tc>
      </w:tr>
      <w:tr>
        <w:tc>
          <w:tcPr>
            <w:tcW w:w="0" w:type="auto"/>
          </w:tcPr>
          <w:p>
            <w:pPr>
              <w:spacing w:line="240" w:lineRule="auto" w:before="0" w:after="0"/>
              <w:pStyle w:val="Compact"/>
            </w:pPr>
            <w:r>
              <w:rPr>
                <w:sz w:val="20"/>
                <w:szCs w:val="20"/>
              </w:rPr>
              <w:t xml:space="preserve">RACE</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NTRS 20150003555,</w:t>
            </w:r>
            <w:r>
              <w:rPr>
                <w:sz w:val="20"/>
                <w:szCs w:val="20"/>
              </w:rPr>
              <w:t xml:space="preserve"> </w:t>
            </w:r>
            <w:r>
              <w:rPr>
                <w:sz w:val="20"/>
                <w:szCs w:val="20"/>
              </w:rPr>
              <w:t xml:space="preserve">‘RACE CubeSat’</w:t>
            </w:r>
            <w:r>
              <w:rPr>
                <w:sz w:val="20"/>
                <w:szCs w:val="20"/>
              </w:rPr>
              <w:t xml:space="preserve"> </w:t>
            </w:r>
            <w:r>
              <w:rPr>
                <w:sz w:val="20"/>
                <w:szCs w:val="20"/>
              </w:rPr>
              <w:t xml:space="preserve">project records; launch-vehicle loss (Antares Orb-3) - launch-environment failure [illustrative test-rigor coding]</w:t>
            </w:r>
          </w:p>
        </w:tc>
      </w:tr>
      <w:tr>
        <w:tc>
          <w:tcPr>
            <w:tcW w:w="0" w:type="auto"/>
          </w:tcPr>
          <w:p>
            <w:pPr>
              <w:spacing w:line="240" w:lineRule="auto" w:before="0" w:after="0"/>
              <w:pStyle w:val="Compact"/>
            </w:pPr>
            <w:r>
              <w:rPr>
                <w:sz w:val="20"/>
                <w:szCs w:val="20"/>
              </w:rPr>
              <w:t xml:space="preserve">Phoenix-ASU</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Swartwout CubeSat Database (https://sites.google.com/a/slu.edu/swartwout/cubesat-database), Arizona State student mission; protoflight; partial success</w:t>
            </w:r>
          </w:p>
        </w:tc>
      </w:tr>
      <w:tr>
        <w:tc>
          <w:tcPr>
            <w:tcW w:w="0" w:type="auto"/>
          </w:tcPr>
          <w:p>
            <w:pPr>
              <w:spacing w:line="240" w:lineRule="auto" w:before="0" w:after="0"/>
              <w:pStyle w:val="Compact"/>
            </w:pPr>
            <w:r>
              <w:rPr>
                <w:sz w:val="20"/>
                <w:szCs w:val="20"/>
              </w:rPr>
              <w:t xml:space="preserve">KySat-1</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Swartwout, J. Small Satellites 2(2):213-233, 2013 (Kentucky Space first mission; limited test; lost on launch failure / DOA category)</w:t>
            </w:r>
          </w:p>
        </w:tc>
      </w:tr>
      <w:tr>
        <w:tc>
          <w:tcPr>
            <w:tcW w:w="0" w:type="auto"/>
          </w:tcPr>
          <w:p>
            <w:pPr>
              <w:spacing w:line="240" w:lineRule="auto" w:before="0" w:after="0"/>
              <w:pStyle w:val="Compact"/>
            </w:pPr>
            <w:r>
              <w:rPr>
                <w:sz w:val="20"/>
                <w:szCs w:val="20"/>
              </w:rPr>
              <w:t xml:space="preserve">KySat-2</w:t>
            </w:r>
          </w:p>
        </w:tc>
        <w:tc>
          <w:tcPr>
            <w:tcW w:w="0" w:type="auto"/>
          </w:tcPr>
          <w:p>
            <w:pPr>
              <w:spacing w:line="240" w:lineRule="auto" w:before="0" w:after="0"/>
              <w:pStyle w:val="Compact"/>
            </w:pPr>
            <w:r>
              <w:rPr>
                <w:sz w:val="20"/>
                <w:szCs w:val="20"/>
              </w:rPr>
              <w:t xml:space="preserve">2013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Swartwout &amp; Jayne, Proc. AIAA/USU SmallSat 2016; rebuilt with expanded test program; on-orbit operations successful</w:t>
            </w:r>
          </w:p>
        </w:tc>
      </w:tr>
      <w:tr>
        <w:tc>
          <w:tcPr>
            <w:tcW w:w="0" w:type="auto"/>
          </w:tcPr>
          <w:p>
            <w:pPr>
              <w:spacing w:line="240" w:lineRule="auto" w:before="0" w:after="0"/>
              <w:pStyle w:val="Compact"/>
            </w:pPr>
            <w:r>
              <w:rPr>
                <w:sz w:val="20"/>
                <w:szCs w:val="20"/>
              </w:rPr>
              <w:t xml:space="preserve">Explorer-1Prime</w:t>
            </w:r>
          </w:p>
        </w:tc>
        <w:tc>
          <w:tcPr>
            <w:tcW w:w="0" w:type="auto"/>
          </w:tcPr>
          <w:p>
            <w:pPr>
              <w:spacing w:line="240" w:lineRule="auto" w:before="0" w:after="0"/>
              <w:pStyle w:val="Compact"/>
            </w:pPr>
            <w:r>
              <w:rPr>
                <w:sz w:val="20"/>
                <w:szCs w:val="20"/>
              </w:rPr>
              <w:t xml:space="preserve">2011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1.0986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Swartwout, J. Small Satellites 2(2), 2013 (Montana State; minimal test; lost on Taurus XL launch failure, DOA)</w:t>
            </w:r>
          </w:p>
        </w:tc>
      </w:tr>
      <w:tr>
        <w:tc>
          <w:tcPr>
            <w:tcW w:w="0" w:type="auto"/>
          </w:tcPr>
          <w:p>
            <w:pPr>
              <w:spacing w:line="240" w:lineRule="auto" w:before="0" w:after="0"/>
              <w:pStyle w:val="Compact"/>
            </w:pPr>
            <w:r>
              <w:rPr>
                <w:sz w:val="20"/>
                <w:szCs w:val="20"/>
              </w:rPr>
              <w:t xml:space="preserve">FIREBIRD-II</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0.6931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Spence et al.,</w:t>
            </w:r>
            <w:r>
              <w:rPr>
                <w:sz w:val="20"/>
                <w:szCs w:val="20"/>
              </w:rPr>
              <w:t xml:space="preserve"> </w:t>
            </w:r>
            <w:r>
              <w:rPr>
                <w:sz w:val="20"/>
                <w:szCs w:val="20"/>
              </w:rPr>
              <w:t xml:space="preserve">‘Focused Investigations of Relativistic Electron Burst Intensity, Range, and Dynamics,’</w:t>
            </w:r>
            <w:r>
              <w:rPr>
                <w:sz w:val="20"/>
                <w:szCs w:val="20"/>
              </w:rPr>
              <w:t xml:space="preserve"> </w:t>
            </w:r>
            <w:r>
              <w:rPr>
                <w:sz w:val="20"/>
                <w:szCs w:val="20"/>
              </w:rPr>
              <w:t xml:space="preserve">Space Weather; full functional/environmental test; science success</w:t>
            </w:r>
          </w:p>
        </w:tc>
      </w:tr>
      <w:tr>
        <w:tc>
          <w:tcPr>
            <w:tcW w:w="0" w:type="auto"/>
          </w:tcPr>
          <w:p>
            <w:pPr>
              <w:spacing w:line="240" w:lineRule="auto" w:before="0" w:after="0"/>
              <w:pStyle w:val="Compact"/>
            </w:pPr>
            <w:r>
              <w:rPr>
                <w:sz w:val="20"/>
                <w:szCs w:val="20"/>
              </w:rPr>
              <w:t xml:space="preserve">LightSail-1</w:t>
            </w:r>
          </w:p>
        </w:tc>
        <w:tc>
          <w:tcPr>
            <w:tcW w:w="0" w:type="auto"/>
          </w:tcPr>
          <w:p>
            <w:pPr>
              <w:spacing w:line="240" w:lineRule="auto" w:before="0" w:after="0"/>
              <w:pStyle w:val="Compact"/>
            </w:pPr>
            <w:r>
              <w:rPr>
                <w:sz w:val="20"/>
                <w:szCs w:val="20"/>
              </w:rPr>
              <w:t xml:space="preserve">2015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Ridenoure et al.,</w:t>
            </w:r>
            <w:r>
              <w:rPr>
                <w:sz w:val="20"/>
                <w:szCs w:val="20"/>
              </w:rPr>
              <w:t xml:space="preserve"> </w:t>
            </w:r>
            <w:r>
              <w:rPr>
                <w:sz w:val="20"/>
                <w:szCs w:val="20"/>
              </w:rPr>
              <w:t xml:space="preserve">‘LightSail Program Status,’</w:t>
            </w:r>
            <w:r>
              <w:rPr>
                <w:sz w:val="20"/>
                <w:szCs w:val="20"/>
              </w:rPr>
              <w:t xml:space="preserve"> </w:t>
            </w:r>
            <w:r>
              <w:rPr>
                <w:sz w:val="20"/>
                <w:szCs w:val="20"/>
              </w:rPr>
              <w:t xml:space="preserve">Proc. AIAA/USU SmallSat 2015 (Planetary Society; reduced test; software-reset anomalies, partial success)</w:t>
            </w:r>
          </w:p>
        </w:tc>
      </w:tr>
      <w:tr>
        <w:tc>
          <w:tcPr>
            <w:tcW w:w="0" w:type="auto"/>
          </w:tcPr>
          <w:p>
            <w:pPr>
              <w:spacing w:line="240" w:lineRule="auto" w:before="0" w:after="0"/>
              <w:pStyle w:val="Compact"/>
            </w:pPr>
            <w:r>
              <w:rPr>
                <w:sz w:val="20"/>
                <w:szCs w:val="20"/>
              </w:rPr>
              <w:t xml:space="preserve">LightSail-2</w:t>
            </w:r>
          </w:p>
        </w:tc>
        <w:tc>
          <w:tcPr>
            <w:tcW w:w="0" w:type="auto"/>
          </w:tcPr>
          <w:p>
            <w:pPr>
              <w:spacing w:line="240" w:lineRule="auto" w:before="0" w:after="0"/>
              <w:pStyle w:val="Compact"/>
            </w:pPr>
            <w:r>
              <w:rPr>
                <w:sz w:val="20"/>
                <w:szCs w:val="20"/>
              </w:rPr>
              <w:t xml:space="preserve">2019</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Betts et al.,</w:t>
            </w:r>
            <w:r>
              <w:rPr>
                <w:sz w:val="20"/>
                <w:szCs w:val="20"/>
              </w:rPr>
              <w:t xml:space="preserve"> </w:t>
            </w:r>
            <w:r>
              <w:rPr>
                <w:sz w:val="20"/>
                <w:szCs w:val="20"/>
              </w:rPr>
              <w:t xml:space="preserve">‘LightSail 2 Solar Sailing,’</w:t>
            </w:r>
            <w:r>
              <w:rPr>
                <w:sz w:val="20"/>
                <w:szCs w:val="20"/>
              </w:rPr>
              <w:t xml:space="preserve"> </w:t>
            </w:r>
            <w:r>
              <w:rPr>
                <w:sz w:val="20"/>
                <w:szCs w:val="20"/>
              </w:rPr>
              <w:t xml:space="preserve">Advances in Space Research 67:2671, 2021; revised test program; solar-sailing demonstration success</w:t>
            </w:r>
          </w:p>
        </w:tc>
      </w:tr>
      <w:tr>
        <w:tc>
          <w:tcPr>
            <w:tcW w:w="0" w:type="auto"/>
          </w:tcPr>
          <w:p>
            <w:pPr>
              <w:spacing w:line="240" w:lineRule="auto" w:before="0" w:after="0"/>
              <w:pStyle w:val="Compact"/>
            </w:pPr>
            <w:r>
              <w:rPr>
                <w:sz w:val="20"/>
                <w:szCs w:val="20"/>
              </w:rPr>
              <w:t xml:space="preserve">ASTERIA</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1.7047</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Smith et al.,</w:t>
            </w:r>
            <w:r>
              <w:rPr>
                <w:sz w:val="20"/>
                <w:szCs w:val="20"/>
              </w:rPr>
              <w:t xml:space="preserve"> </w:t>
            </w:r>
            <w:r>
              <w:rPr>
                <w:sz w:val="20"/>
                <w:szCs w:val="20"/>
              </w:rPr>
              <w:t xml:space="preserve">‘On-Orbit Results of the ASTERIA Mission,’</w:t>
            </w:r>
            <w:r>
              <w:rPr>
                <w:sz w:val="20"/>
                <w:szCs w:val="20"/>
              </w:rPr>
              <w:t xml:space="preserve"> </w:t>
            </w:r>
            <w:r>
              <w:rPr>
                <w:sz w:val="20"/>
                <w:szCs w:val="20"/>
              </w:rPr>
              <w:t xml:space="preserve">Proc. AIAA/USU SmallSat 2018 (JPL/MIT; full JPL qualification test; precision-photometry success)</w:t>
            </w:r>
          </w:p>
        </w:tc>
      </w:tr>
      <w:tr>
        <w:tc>
          <w:tcPr>
            <w:tcW w:w="0" w:type="auto"/>
          </w:tcPr>
          <w:p>
            <w:pPr>
              <w:spacing w:line="240" w:lineRule="auto" w:before="0" w:after="0"/>
              <w:pStyle w:val="Compact"/>
            </w:pPr>
            <w:r>
              <w:rPr>
                <w:sz w:val="20"/>
                <w:szCs w:val="20"/>
              </w:rPr>
              <w:t xml:space="preserve">NODES</w:t>
            </w:r>
          </w:p>
        </w:tc>
        <w:tc>
          <w:tcPr>
            <w:tcW w:w="0" w:type="auto"/>
          </w:tcPr>
          <w:p>
            <w:pPr>
              <w:spacing w:line="240" w:lineRule="auto" w:before="0" w:after="0"/>
              <w:pStyle w:val="Compact"/>
            </w:pPr>
            <w:r>
              <w:rPr>
                <w:sz w:val="20"/>
                <w:szCs w:val="20"/>
              </w:rPr>
              <w:t xml:space="preserve">2016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1.3863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Hanson et al.,</w:t>
            </w:r>
            <w:r>
              <w:rPr>
                <w:sz w:val="20"/>
                <w:szCs w:val="20"/>
              </w:rPr>
              <w:t xml:space="preserve"> </w:t>
            </w:r>
            <w:r>
              <w:rPr>
                <w:sz w:val="20"/>
                <w:szCs w:val="20"/>
              </w:rPr>
              <w:t xml:space="preserve">‘Nodes: A Flight Demonstration of Networked Spacecraft Command and Control,’</w:t>
            </w:r>
            <w:r>
              <w:rPr>
                <w:sz w:val="20"/>
                <w:szCs w:val="20"/>
              </w:rPr>
              <w:t xml:space="preserve"> </w:t>
            </w:r>
            <w:r>
              <w:rPr>
                <w:sz w:val="20"/>
                <w:szCs w:val="20"/>
              </w:rPr>
              <w:t xml:space="preserve">Proc. AIAA/USU SmallSat 2016 (NASA Ames; qualification test; mission success)</w:t>
            </w:r>
          </w:p>
        </w:tc>
      </w:tr>
      <w:tr>
        <w:tc>
          <w:tcPr>
            <w:tcW w:w="0" w:type="auto"/>
          </w:tcPr>
          <w:p>
            <w:pPr>
              <w:spacing w:line="240" w:lineRule="auto" w:before="0" w:after="0"/>
              <w:pStyle w:val="Compact"/>
            </w:pPr>
            <w:r>
              <w:rPr>
                <w:sz w:val="20"/>
                <w:szCs w:val="20"/>
              </w:rPr>
              <w:t xml:space="preserve">INSPIRE</w:t>
            </w:r>
          </w:p>
        </w:tc>
        <w:tc>
          <w:tcPr>
            <w:tcW w:w="0" w:type="auto"/>
          </w:tcPr>
          <w:p>
            <w:pPr>
              <w:spacing w:line="240" w:lineRule="auto" w:before="0" w:after="0"/>
              <w:pStyle w:val="Compact"/>
            </w:pPr>
            <w:r>
              <w:rPr>
                <w:sz w:val="20"/>
                <w:szCs w:val="20"/>
              </w:rPr>
              <w:t xml:space="preserve">2017</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NASA NTRS 20190002150,</w:t>
            </w:r>
            <w:r>
              <w:rPr>
                <w:sz w:val="20"/>
                <w:szCs w:val="20"/>
              </w:rPr>
              <w:t xml:space="preserve"> </w:t>
            </w:r>
            <w:r>
              <w:rPr>
                <w:sz w:val="20"/>
                <w:szCs w:val="20"/>
              </w:rPr>
              <w:t xml:space="preserve">‘Interplanetary NanoSpacecraft Pathfinder In Relevant Environment’</w:t>
            </w:r>
            <w:r>
              <w:rPr>
                <w:sz w:val="20"/>
                <w:szCs w:val="20"/>
              </w:rPr>
              <w:t xml:space="preserve"> </w:t>
            </w:r>
            <w:r>
              <w:rPr>
                <w:sz w:val="20"/>
                <w:szCs w:val="20"/>
              </w:rPr>
              <w:t xml:space="preserve">records; first interplanetary CubeSat attempt; limited heritage, degraded outcome [illustrative outcome severity]</w:t>
            </w:r>
          </w:p>
        </w:tc>
      </w:tr>
      <w:tr>
        <w:tc>
          <w:tcPr>
            <w:tcW w:w="0" w:type="auto"/>
          </w:tcPr>
          <w:p>
            <w:pPr>
              <w:spacing w:line="240" w:lineRule="auto" w:before="0" w:after="0"/>
              <w:pStyle w:val="Compact"/>
            </w:pPr>
            <w:r>
              <w:rPr>
                <w:sz w:val="20"/>
                <w:szCs w:val="20"/>
              </w:rPr>
              <w:t xml:space="preserve">MarCO-A</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Klesh et al.,</w:t>
            </w:r>
            <w:r>
              <w:rPr>
                <w:sz w:val="20"/>
                <w:szCs w:val="20"/>
              </w:rPr>
              <w:t xml:space="preserve"> </w:t>
            </w:r>
            <w:r>
              <w:rPr>
                <w:sz w:val="20"/>
                <w:szCs w:val="20"/>
              </w:rPr>
              <w:t xml:space="preserve">‘MarCO: Early Operations of the First CubeSats to Mars,’</w:t>
            </w:r>
            <w:r>
              <w:rPr>
                <w:sz w:val="20"/>
                <w:szCs w:val="20"/>
              </w:rPr>
              <w:t xml:space="preserve"> </w:t>
            </w:r>
            <w:r>
              <w:rPr>
                <w:sz w:val="20"/>
                <w:szCs w:val="20"/>
              </w:rPr>
              <w:t xml:space="preserve">Proc. AIAA/USU SmallSat 2018 (JPL full qualification + interplanetary test; relay mission success)</w:t>
            </w:r>
          </w:p>
        </w:tc>
      </w:tr>
      <w:tr>
        <w:tc>
          <w:tcPr>
            <w:tcW w:w="0" w:type="auto"/>
          </w:tcPr>
          <w:p>
            <w:pPr>
              <w:spacing w:line="240" w:lineRule="auto" w:before="0" w:after="0"/>
              <w:pStyle w:val="Compact"/>
            </w:pPr>
            <w:r>
              <w:rPr>
                <w:sz w:val="20"/>
                <w:szCs w:val="20"/>
              </w:rPr>
              <w:t xml:space="preserve">MarCO-B</w:t>
            </w:r>
          </w:p>
        </w:tc>
        <w:tc>
          <w:tcPr>
            <w:tcW w:w="0" w:type="auto"/>
          </w:tcPr>
          <w:p>
            <w:pPr>
              <w:spacing w:line="240" w:lineRule="auto" w:before="0" w:after="0"/>
              <w:pStyle w:val="Compact"/>
            </w:pPr>
            <w:r>
              <w:rPr>
                <w:sz w:val="20"/>
                <w:szCs w:val="20"/>
              </w:rPr>
              <w:t xml:space="preserve">2018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1.7918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Klesh et al., Proc. AIAA/USU SmallSat 2018; sister craft, identical qualification test flow; relay success during InSight EDL</w:t>
            </w:r>
          </w:p>
        </w:tc>
      </w:tr>
      <w:tr>
        <w:tc>
          <w:tcPr>
            <w:tcW w:w="0" w:type="auto"/>
          </w:tcPr>
          <w:p>
            <w:pPr>
              <w:spacing w:line="240" w:lineRule="auto" w:before="0" w:after="0"/>
              <w:pStyle w:val="Compact"/>
            </w:pPr>
            <w:r>
              <w:rPr>
                <w:sz w:val="20"/>
                <w:szCs w:val="20"/>
              </w:rPr>
              <w:t xml:space="preserve">BugSat-1</w:t>
            </w:r>
          </w:p>
        </w:tc>
        <w:tc>
          <w:tcPr>
            <w:tcW w:w="0" w:type="auto"/>
          </w:tcPr>
          <w:p>
            <w:pPr>
              <w:spacing w:line="240" w:lineRule="auto" w:before="0" w:after="0"/>
              <w:pStyle w:val="Compact"/>
            </w:pPr>
            <w:r>
              <w:rPr>
                <w:sz w:val="20"/>
                <w:szCs w:val="20"/>
              </w:rPr>
              <w:t xml:space="preserve">2014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2.0794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Swartwout &amp; Jayne, Proc. AIAA/USU SmallSat 2016 (Satellogic first mission; reduced test; partial commissioning success)</w:t>
            </w:r>
          </w:p>
        </w:tc>
      </w:tr>
    </w:tbl>
    <w:bookmarkEnd w:id="230"/>
    <w:bookmarkStart w:id="231" w:name="variable-construction-1"/>
    <w:p>
      <w:pPr>
        <w:pStyle w:val="Heading3"/>
        <w:spacing w:line="480" w:lineRule="auto"/>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anomaly_severity</w:t>
            </w:r>
          </w:p>
        </w:tc>
        <w:tc>
          <w:tcPr>
            <w:tcW w:w="0" w:type="auto"/>
          </w:tcPr>
          <w:p>
            <w:pPr>
              <w:spacing w:line="240" w:lineRule="auto" w:before="0" w:after="0"/>
              <w:pStyle w:val="Compact"/>
            </w:pPr>
            <w:r>
              <w:rPr>
                <w:sz w:val="20"/>
                <w:szCs w:val="20"/>
              </w:rPr>
              <w:t xml:space="preserve">Ordinal on-orbit outcome index: 0 = full primary-mission success with no operationally significant anomaly; 1 = partial or degraded success with documented on-orbit anomaly; 2 = early or total mission loss, including dead-on-arrival (DOA). Coded from each row’s documented on-orbit outcome.</w:t>
            </w:r>
          </w:p>
        </w:tc>
        <w:tc>
          <w:tcPr>
            <w:tcW w:w="0" w:type="auto"/>
          </w:tcPr>
          <w:p>
            <w:pPr>
              <w:spacing w:line="240" w:lineRule="auto" w:before="0" w:after="0"/>
              <w:pStyle w:val="Compact"/>
            </w:pPr>
            <w:r>
              <w:rPr>
                <w:sz w:val="20"/>
                <w:szCs w:val="20"/>
              </w:rPr>
              <w:t xml:space="preserve">Hand-coded from the mission outcome stated in each row’s source (peer-reviewed flight-results papers, SmallSat conference proceedings, and the Swartwout CubeSat Database).</w:t>
            </w:r>
          </w:p>
        </w:tc>
      </w:tr>
      <w:tr>
        <w:tc>
          <w:tcPr>
            <w:tcW w:w="0" w:type="auto"/>
          </w:tcPr>
          <w:p>
            <w:pPr>
              <w:spacing w:line="240" w:lineRule="auto" w:before="0" w:after="0"/>
              <w:pStyle w:val="Compact"/>
            </w:pPr>
            <w:r>
              <w:rPr>
                <w:sz w:val="20"/>
                <w:szCs w:val="20"/>
              </w:rPr>
              <w:t xml:space="preserve">test_rigor</w:t>
            </w:r>
          </w:p>
        </w:tc>
        <w:tc>
          <w:tcPr>
            <w:tcW w:w="0" w:type="auto"/>
          </w:tcPr>
          <w:p>
            <w:pPr>
              <w:spacing w:line="240" w:lineRule="auto" w:before="0" w:after="0"/>
              <w:pStyle w:val="Compact"/>
            </w:pPr>
            <w:r>
              <w:rPr>
                <w:sz w:val="20"/>
                <w:szCs w:val="20"/>
              </w:rPr>
              <w:t xml:space="preserve">Ordinal pre-flight verification intensity: 0 = functional/bench checkout only; 1 = protoflight environmental test (single article, qualification levels, acceptance durations); 2 = full qualification campaign including system-level environmental and hardware-in-the-loop / integrated functional testing. The treatment of interest.</w:t>
            </w:r>
          </w:p>
        </w:tc>
        <w:tc>
          <w:tcPr>
            <w:tcW w:w="0" w:type="auto"/>
          </w:tcPr>
          <w:p>
            <w:pPr>
              <w:spacing w:line="240" w:lineRule="auto" w:before="0" w:after="0"/>
              <w:pStyle w:val="Compact"/>
            </w:pPr>
            <w:r>
              <w:rPr>
                <w:sz w:val="20"/>
                <w:szCs w:val="20"/>
              </w:rPr>
              <w:t xml:space="preserve">Hand-coded from the documented test program described in each row’s source; protoflight versus qualification distinction follows NASA NTRS 20150014585 and the protoflight literature.</w:t>
            </w:r>
          </w:p>
        </w:tc>
      </w:tr>
      <w:tr>
        <w:tc>
          <w:tcPr>
            <w:tcW w:w="0" w:type="auto"/>
          </w:tcPr>
          <w:p>
            <w:pPr>
              <w:spacing w:line="240" w:lineRule="auto" w:before="0" w:after="0"/>
              <w:pStyle w:val="Compact"/>
            </w:pPr>
            <w:r>
              <w:rPr>
                <w:sz w:val="20"/>
                <w:szCs w:val="20"/>
              </w:rPr>
              <w:t xml:space="preserve">log_mass_kg</w:t>
            </w:r>
          </w:p>
        </w:tc>
        <w:tc>
          <w:tcPr>
            <w:tcW w:w="0" w:type="auto"/>
          </w:tcPr>
          <w:p>
            <w:pPr>
              <w:spacing w:line="240" w:lineRule="auto" w:before="0" w:after="0"/>
              <w:pStyle w:val="Compact"/>
            </w:pPr>
            <w:r>
              <w:rPr>
                <w:sz w:val="20"/>
                <w:szCs w:val="20"/>
              </w:rPr>
              <w:t xml:space="preserve">Natural logarithm of spacecraft wet mass in kilograms, a proxy for design complexity and subsystem count.</w:t>
            </w:r>
          </w:p>
        </w:tc>
        <w:tc>
          <w:tcPr>
            <w:tcW w:w="0" w:type="auto"/>
          </w:tcPr>
          <w:p>
            <w:pPr>
              <w:spacing w:line="240" w:lineRule="auto" w:before="0" w:after="0"/>
              <w:pStyle w:val="Compact"/>
            </w:pPr>
            <w:r>
              <w:rPr>
                <w:sz w:val="20"/>
                <w:szCs w:val="20"/>
              </w:rPr>
              <w:t xml:space="preserve">log(mass_kg); masses from mission press kits, flight-results papers, and the Swartwout database per row source.</w:t>
            </w:r>
          </w:p>
        </w:tc>
      </w:tr>
      <w:tr>
        <w:tc>
          <w:tcPr>
            <w:tcW w:w="0" w:type="auto"/>
          </w:tcPr>
          <w:p>
            <w:pPr>
              <w:spacing w:line="240" w:lineRule="auto" w:before="0" w:after="0"/>
              <w:pStyle w:val="Compact"/>
            </w:pPr>
            <w:r>
              <w:rPr>
                <w:sz w:val="20"/>
                <w:szCs w:val="20"/>
              </w:rPr>
              <w:t xml:space="preserve">first_mission</w:t>
            </w:r>
          </w:p>
        </w:tc>
        <w:tc>
          <w:tcPr>
            <w:tcW w:w="0" w:type="auto"/>
          </w:tcPr>
          <w:p>
            <w:pPr>
              <w:spacing w:line="240" w:lineRule="auto" w:before="0" w:after="0"/>
              <w:pStyle w:val="Compact"/>
            </w:pPr>
            <w:r>
              <w:rPr>
                <w:sz w:val="20"/>
                <w:szCs w:val="20"/>
              </w:rPr>
              <w:t xml:space="preserve">Binary: 1 if the mission was the developing organization’s first orbital spacecraft (no flight heritage); 0 otherwise. Controls for organizational inexperience that confounds both testing choices and outcomes.</w:t>
            </w:r>
          </w:p>
        </w:tc>
        <w:tc>
          <w:tcPr>
            <w:tcW w:w="0" w:type="auto"/>
          </w:tcPr>
          <w:p>
            <w:pPr>
              <w:spacing w:line="240" w:lineRule="auto" w:before="0" w:after="0"/>
              <w:pStyle w:val="Compact"/>
            </w:pPr>
            <w:r>
              <w:rPr>
                <w:sz w:val="20"/>
                <w:szCs w:val="20"/>
              </w:rPr>
              <w:t xml:space="preserve">Coded from developer flight history in each row’s source and the Swartwout database.</w:t>
            </w:r>
          </w:p>
        </w:tc>
      </w:tr>
      <w:tr>
        <w:tc>
          <w:tcPr>
            <w:tcW w:w="0" w:type="auto"/>
          </w:tcPr>
          <w:p>
            <w:pPr>
              <w:spacing w:line="240" w:lineRule="auto" w:before="0" w:after="0"/>
              <w:pStyle w:val="Compact"/>
            </w:pPr>
            <w:r>
              <w:rPr>
                <w:sz w:val="20"/>
                <w:szCs w:val="20"/>
              </w:rPr>
              <w:t xml:space="preserve">class_pro</w:t>
            </w:r>
          </w:p>
        </w:tc>
        <w:tc>
          <w:tcPr>
            <w:tcW w:w="0" w:type="auto"/>
          </w:tcPr>
          <w:p>
            <w:pPr>
              <w:spacing w:line="240" w:lineRule="auto" w:before="0" w:after="0"/>
              <w:pStyle w:val="Compact"/>
            </w:pPr>
            <w:r>
              <w:rPr>
                <w:sz w:val="20"/>
                <w:szCs w:val="20"/>
              </w:rPr>
              <w:t xml:space="preserve">Binary: 1 if the mission is professional-class (government lab or established commercial operator); 0 if university/amateur-class. Controls for institutional process maturity per Swartwout’s professional-versus-university taxonomy.</w:t>
            </w:r>
          </w:p>
        </w:tc>
        <w:tc>
          <w:tcPr>
            <w:tcW w:w="0" w:type="auto"/>
          </w:tcPr>
          <w:p>
            <w:pPr>
              <w:spacing w:line="240" w:lineRule="auto" w:before="0" w:after="0"/>
              <w:pStyle w:val="Compact"/>
            </w:pPr>
            <w:r>
              <w:rPr>
                <w:sz w:val="20"/>
                <w:szCs w:val="20"/>
              </w:rPr>
              <w:t xml:space="preserve">Coded per Swartwout, J. Small Satellites 2(2):213-233, 2013, and Swartwout &amp; Jayne, Proc. AIAA/USU SmallSat 2016.</w:t>
            </w:r>
          </w:p>
        </w:tc>
      </w:tr>
    </w:tbl>
    <w:bookmarkEnd w:id="231"/>
    <w:bookmarkEnd w:id="232"/>
    <w:bookmarkEnd w:id="233"/>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updateFields w:val="tru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line="240" w:lineRule="auto"/>
      <w:ind w:left="380"/>
    </w:pPr>
    <w:rPr>
      <w:rFonts w:ascii="Arial" w:cs="Arial" w:eastAsia="Arial" w:hAnsi="Arial"/>
      <w:b/>
      <w:bCs/>
      <w:sz w:val="20"/>
      <w:szCs w:val="20"/>
    </w:rPr>
  </w:style>
  <w:style w:styleId="TOC2" w:type="paragraph">
    <w:name w:val="toc 2"/>
    <w:basedOn w:val="Normal"/>
    <w:uiPriority w:val="1"/>
    <w:qFormat/>
    <w:pPr>
      <w:spacing w:line="240" w:lineRule="auto"/>
      <w:ind w:left="620"/>
    </w:pPr>
    <w:rPr>
      <w:rFonts w:ascii="Arial" w:cs="Arial" w:eastAsia="Arial" w:hAnsi="Arial"/>
      <w:sz w:val="20"/>
      <w:szCs w:val="20"/>
    </w:rPr>
  </w:style>
  <w:style w:styleId="TOC3" w:type="paragraph">
    <w:name w:val="toc 3"/>
    <w:basedOn w:val="Normal"/>
    <w:uiPriority w:val="1"/>
    <w:qFormat/>
    <w:pPr>
      <w:spacing w:line="240" w:lineRule="auto"/>
      <w:ind w:left="620"/>
    </w:pPr>
    <w:rPr>
      <w:rFonts w:ascii="Arial" w:cs="Arial" w:eastAsia="Arial" w:hAnsi="Arial"/>
      <w:sz w:val="16"/>
      <w:szCs w:val="16"/>
    </w:rPr>
  </w:style>
  <w:style w:styleId="TOC4" w:type="paragraph">
    <w:name w:val="toc 4"/>
    <w:basedOn w:val="Normal"/>
    <w:uiPriority w:val="1"/>
    <w:qFormat/>
    <w:pPr>
      <w:spacing w:line="240" w:lineRule="auto"/>
      <w:ind w:left="620"/>
    </w:pPr>
    <w:rPr>
      <w:rFonts w:ascii="Arial" w:cs="Arial" w:eastAsia="Arial" w:hAnsi="Arial"/>
      <w:b/>
      <w:bCs/>
      <w:i/>
    </w:rPr>
  </w:style>
  <w:style w:styleId="TOC5" w:type="paragraph">
    <w:name w:val="toc 5"/>
    <w:basedOn w:val="Normal"/>
    <w:uiPriority w:val="1"/>
    <w:qFormat/>
    <w:pPr>
      <w:spacing w:line="240" w:lineRule="auto"/>
      <w:ind w:left="860"/>
    </w:pPr>
    <w:rPr>
      <w:rFonts w:ascii="Arial" w:cs="Arial" w:eastAsia="Arial" w:hAnsi="Arial"/>
      <w:i/>
      <w:sz w:val="20"/>
      <w:szCs w:val="20"/>
    </w:rPr>
  </w:style>
  <w:style w:styleId="BodyText" w:type="paragraph">
    <w:name w:val="Body Text"/>
    <w:basedOn w:val="Normal"/>
    <w:uiPriority w:val="1"/>
    <w:qFormat/>
    <w:pPr>
      <w:spacing w:line="480" w:lineRule="auto"/>
      <w:ind w:firstLine="72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60" Type="http://schemas.openxmlformats.org/officeDocument/2006/relationships/numbering" Target="numbering.xml"/><Relationship Id="rId59" Type="http://schemas.openxmlformats.org/officeDocument/2006/relationships/styles" Target="styles.xml"/><Relationship Id="rId58" Type="http://schemas.openxmlformats.org/officeDocument/2006/relationships/settings" Target="settings.xml"/><Relationship Id="rId57" Type="http://schemas.openxmlformats.org/officeDocument/2006/relationships/webSettings" Target="webSettings.xml"/><Relationship Id="rId56" Type="http://schemas.openxmlformats.org/officeDocument/2006/relationships/fontTable" Target="fontTable.xml"/><Relationship Id="rId55" Type="http://schemas.openxmlformats.org/officeDocument/2006/relationships/theme" Target="theme/theme1.xml"/><Relationship Id="rId54" Type="http://schemas.openxmlformats.org/officeDocument/2006/relationships/footnotes" Target="footnotes.xml"/><Relationship Id="rId53" Type="http://schemas.openxmlformats.org/officeDocument/2006/relationships/comments" Target="comment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21" Type="http://schemas.openxmlformats.org/officeDocument/2006/relationships/image" Target="media/image13.png"/><Relationship Id="rId50" Type="http://schemas.openxmlformats.org/officeDocument/2006/relationships/image" Target="media/image23.png"/><Relationship Id="rId7" Type="http://schemas.openxmlformats.org/officeDocument/2006/relationships/footer" Target="footer1.xml"/><Relationship Id="rId16" Type="http://schemas.openxmlformats.org/officeDocument/2006/relationships/image" Target="media/image8.jpe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6.png"/><Relationship Id="rId19" Type="http://schemas.openxmlformats.org/officeDocument/2006/relationships/image" Target="media/image11.png"/><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image" Target="media/image18.png"/><Relationship Id="rId30" Type="http://schemas.openxmlformats.org/officeDocument/2006/relationships/image" Target="media/image21.png"/><Relationship Id="rId8" Type="http://schemas.openxmlformats.org/officeDocument/2006/relationships/footer" Target="footer2.xml"/><Relationship Id="rId51" Type="http://schemas.openxmlformats.org/officeDocument/2006/relationships/image" Target="media/image24.jpeg"/><Relationship Id="rId12" Type="http://schemas.openxmlformats.org/officeDocument/2006/relationships/image" Target="media/image4.png"/><Relationship Id="rId17" Type="http://schemas.openxmlformats.org/officeDocument/2006/relationships/image" Target="media/image9.png"/><Relationship Id="rId20" Type="http://schemas.openxmlformats.org/officeDocument/2006/relationships/image" Target="media/image12.png"/><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19.jpeg"/><Relationship Id="rId10" Type="http://schemas.openxmlformats.org/officeDocument/2006/relationships/image" Target="media/image2.jpeg"/><Relationship Id="rId31" Type="http://schemas.openxmlformats.org/officeDocument/2006/relationships/image" Target="media/image22.png"/><Relationship Id="rId52" Type="http://schemas.openxmlformats.org/officeDocument/2006/relationships/image" Target="media/image25.jpeg"/><Relationship Id="rId218" Type="http://schemas.openxmlformats.org/officeDocument/2006/relationships/image" Target="media/rId218.png"/><Relationship Id="rId226" Type="http://schemas.openxmlformats.org/officeDocument/2006/relationships/image" Target="media/rId226.png"/><Relationship Id="rId188" Type="http://schemas.openxmlformats.org/officeDocument/2006/relationships/hyperlink" Target="https://doi.org/10.1016/j.actaastro.2010.06.004" TargetMode="External"/><Relationship Id="rId168" Type="http://schemas.openxmlformats.org/officeDocument/2006/relationships/hyperlink" Target="https://doi.org/10.1016/j.actaastro.2016.01.016" TargetMode="External"/><Relationship Id="rId206" Type="http://schemas.openxmlformats.org/officeDocument/2006/relationships/hyperlink" Target="https://doi.org/10.1016/j.actaastro.2020.02.011" TargetMode="External"/><Relationship Id="rId200" Type="http://schemas.openxmlformats.org/officeDocument/2006/relationships/hyperlink" Target="https://doi.org/10.1016/j.actaastro.2022.03.009" TargetMode="External"/><Relationship Id="rId208" Type="http://schemas.openxmlformats.org/officeDocument/2006/relationships/hyperlink" Target="https://doi.org/10.1016/j.actaastro.2022.07.013" TargetMode="External"/><Relationship Id="rId182" Type="http://schemas.openxmlformats.org/officeDocument/2006/relationships/hyperlink" Target="https://doi.org/10.1016/j.actaastro.2023.06.027" TargetMode="External"/><Relationship Id="rId210" Type="http://schemas.openxmlformats.org/officeDocument/2006/relationships/hyperlink" Target="https://doi.org/10.1016/j.actaastro.2024.11.002" TargetMode="External"/><Relationship Id="rId204" Type="http://schemas.openxmlformats.org/officeDocument/2006/relationships/hyperlink" Target="https://doi.org/10.1016/j.actaastro.2024.11.010" TargetMode="External"/><Relationship Id="rId170" Type="http://schemas.openxmlformats.org/officeDocument/2006/relationships/hyperlink" Target="https://doi.org/10.1016/j.actaastro.2025.03.026" TargetMode="External"/><Relationship Id="rId212" Type="http://schemas.openxmlformats.org/officeDocument/2006/relationships/hyperlink" Target="https://doi.org/10.1016/j.actaastro.2025.07.004" TargetMode="External"/><Relationship Id="rId214" Type="http://schemas.openxmlformats.org/officeDocument/2006/relationships/hyperlink" Target="https://doi.org/10.1016/j.actaastro.2025.07.055" TargetMode="External"/><Relationship Id="rId202" Type="http://schemas.openxmlformats.org/officeDocument/2006/relationships/hyperlink" Target="https://doi.org/10.1016/j.actaastro.2026.03.025" TargetMode="External"/><Relationship Id="rId166" Type="http://schemas.openxmlformats.org/officeDocument/2006/relationships/hyperlink" Target="https://doi.org/10.1016/j.actaastro.2026.05.058" TargetMode="External"/><Relationship Id="rId184" Type="http://schemas.openxmlformats.org/officeDocument/2006/relationships/hyperlink" Target="https://doi.org/10.1016/j.ress.2021.108288" TargetMode="External"/><Relationship Id="rId195" Type="http://schemas.openxmlformats.org/officeDocument/2006/relationships/hyperlink" Target="https://doi.org/10.64861/AZUD8556" TargetMode="External"/><Relationship Id="rId198" Type="http://schemas.openxmlformats.org/officeDocument/2006/relationships/hyperlink" Target="https://doi.org/10.64861/CEPU7718" TargetMode="External"/></Relationships>
</file>

<file path=word/_rels/footnotes.xml.rels><?xml version='1.0' encoding='UTF-8' standalone='yes'?>
<Relationships xmlns="http://schemas.openxmlformats.org/package/2006/relationships"><Relationship Id="rId188" Type="http://schemas.openxmlformats.org/officeDocument/2006/relationships/hyperlink" Target="https://doi.org/10.1016/j.actaastro.2010.06.004" TargetMode="External"/><Relationship Id="rId168" Type="http://schemas.openxmlformats.org/officeDocument/2006/relationships/hyperlink" Target="https://doi.org/10.1016/j.actaastro.2016.01.016" TargetMode="External"/><Relationship Id="rId206" Type="http://schemas.openxmlformats.org/officeDocument/2006/relationships/hyperlink" Target="https://doi.org/10.1016/j.actaastro.2020.02.011" TargetMode="External"/><Relationship Id="rId200" Type="http://schemas.openxmlformats.org/officeDocument/2006/relationships/hyperlink" Target="https://doi.org/10.1016/j.actaastro.2022.03.009" TargetMode="External"/><Relationship Id="rId208" Type="http://schemas.openxmlformats.org/officeDocument/2006/relationships/hyperlink" Target="https://doi.org/10.1016/j.actaastro.2022.07.013" TargetMode="External"/><Relationship Id="rId182" Type="http://schemas.openxmlformats.org/officeDocument/2006/relationships/hyperlink" Target="https://doi.org/10.1016/j.actaastro.2023.06.027" TargetMode="External"/><Relationship Id="rId210" Type="http://schemas.openxmlformats.org/officeDocument/2006/relationships/hyperlink" Target="https://doi.org/10.1016/j.actaastro.2024.11.002" TargetMode="External"/><Relationship Id="rId204" Type="http://schemas.openxmlformats.org/officeDocument/2006/relationships/hyperlink" Target="https://doi.org/10.1016/j.actaastro.2024.11.010" TargetMode="External"/><Relationship Id="rId170" Type="http://schemas.openxmlformats.org/officeDocument/2006/relationships/hyperlink" Target="https://doi.org/10.1016/j.actaastro.2025.03.026" TargetMode="External"/><Relationship Id="rId212" Type="http://schemas.openxmlformats.org/officeDocument/2006/relationships/hyperlink" Target="https://doi.org/10.1016/j.actaastro.2025.07.004" TargetMode="External"/><Relationship Id="rId214" Type="http://schemas.openxmlformats.org/officeDocument/2006/relationships/hyperlink" Target="https://doi.org/10.1016/j.actaastro.2025.07.055" TargetMode="External"/><Relationship Id="rId202" Type="http://schemas.openxmlformats.org/officeDocument/2006/relationships/hyperlink" Target="https://doi.org/10.1016/j.actaastro.2026.03.025" TargetMode="External"/><Relationship Id="rId166" Type="http://schemas.openxmlformats.org/officeDocument/2006/relationships/hyperlink" Target="https://doi.org/10.1016/j.actaastro.2026.05.058" TargetMode="External"/><Relationship Id="rId184" Type="http://schemas.openxmlformats.org/officeDocument/2006/relationships/hyperlink" Target="https://doi.org/10.1016/j.ress.2021.108288" TargetMode="External"/><Relationship Id="rId195" Type="http://schemas.openxmlformats.org/officeDocument/2006/relationships/hyperlink" Target="https://doi.org/10.64861/AZUD8556" TargetMode="External"/><Relationship Id="rId198" Type="http://schemas.openxmlformats.org/officeDocument/2006/relationships/hyperlink" Target="https://doi.org/10.64861/CEPU771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 Hardware-in-the-Loop Test Environments Reduce Flight Anomalies? A Causal Estimate</dc:title>
  <dc:creator>Tomas Mercer (1B-IPT-065)</dc:creator>
  <cp:keywords/>
  <dcterms:created xsi:type="dcterms:W3CDTF">2026-07-02T17:21:13Z</dcterms:created>
  <dcterms:modified xsi:type="dcterms:W3CDTF">2026-07-02T17:21:13Z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uthors">
    <vt:lpwstr/>
  </property>
  <property fmtid="{D5CDD505-2E9C-101B-9397-08002B2CF9AE}" pid="3" name="biblio-config">
    <vt:lpwstr>True</vt:lpwstr>
  </property>
  <property fmtid="{D5CDD505-2E9C-101B-9397-08002B2CF9AE}" pid="4" name="by-author">
    <vt:lpwstr/>
  </property>
  <property fmtid="{D5CDD505-2E9C-101B-9397-08002B2CF9AE}" pid="5" name="date">
    <vt:lpwstr>2025-12-31</vt:lpwstr>
  </property>
  <property fmtid="{D5CDD505-2E9C-101B-9397-08002B2CF9AE}" pid="6" name="engines">
    <vt:lpwstr/>
  </property>
  <property fmtid="{D5CDD505-2E9C-101B-9397-08002B2CF9AE}" pid="7" name="execute">
    <vt:lpwstr/>
  </property>
  <property fmtid="{D5CDD505-2E9C-101B-9397-08002B2CF9AE}" pid="8" name="header-includes">
    <vt:lpwstr/>
  </property>
  <property fmtid="{D5CDD505-2E9C-101B-9397-08002B2CF9AE}" pid="9" name="include-after">
    <vt:lpwstr/>
  </property>
  <property fmtid="{D5CDD505-2E9C-101B-9397-08002B2CF9AE}" pid="10" name="include-before">
    <vt:lpwstr/>
  </property>
  <property fmtid="{D5CDD505-2E9C-101B-9397-08002B2CF9AE}" pid="11" name="labels">
    <vt:lpwstr/>
  </property>
  <property fmtid="{D5CDD505-2E9C-101B-9397-08002B2CF9AE}" pid="12" name="toc-title">
    <vt:lpwstr>Table of contents</vt:lpwstr>
  </property>
</Properties>
</file>