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6921ac5a273ff0490f9054cdfdb0fde7ad9bdd9"/>
    <w:p>
      <w:pPr>
        <w:pStyle w:val="Heading1"/>
      </w:pPr>
      <w:r>
        <w:t xml:space="preserve">Does Digital Mission Engineering Intensity Reduce the Probability of Major Cost Breach? A Logistic-Regression Analysis of NASA Major Projects, 2012-2025</w:t>
      </w:r>
    </w:p>
    <w:p>
      <w:pPr>
        <w:pStyle w:val="FirstParagraph"/>
      </w:pPr>
      <w:r>
        <w:t xml:space="preserve">Soren Eze (1B-DME-098)</w:t>
      </w:r>
    </w:p>
    <w:bookmarkStart w:id="61" w:name="introduction"/>
    <w:p>
      <w:pPr>
        <w:pStyle w:val="Heading2"/>
      </w:pPr>
      <w:r>
        <w:t xml:space="preserve">1. Introduction</w:t>
      </w:r>
    </w:p>
    <w:p>
      <w:pPr>
        <w:pStyle w:val="FirstParagraph"/>
      </w:pPr>
      <w:r>
        <w:t xml:space="preserve">The Government Accountability Office has tracked the cost and schedule performance of NASA’s major projects every year since 2009. Despite a stable assessment methodology and a clear baseline-commitment regime, cost growth above fifteen percent of the confirmed life-cycle commitment continues to recur across mission classes. This paper asks a focused policy question. Conditional on baseline cost and mission complexity, does deeper adoption of Model-Based Systems Engineering and Digital Mission Engineering, jointly summarized here as Digital Mission Engineering intensity, change the probability that a program crosses the fifteen-percent cost-growth threshold?</w:t>
      </w:r>
    </w:p>
    <w:p>
      <w:pPr>
        <w:pStyle w:val="BodyText"/>
      </w:pPr>
      <w:r>
        <w:t xml:space="preserve">The question is binary by construction, which makes a logistic regression the appropriate estimator. The dependent variable is a threshold breach indicator drawn from the cost-growth column of the GAO Major Projects Assessment series. The independent variables are a continuous Digital Mission Engineering intensity score, the baseline life-cycle cost, and an ordinal mission-complexity index drawn from NASA’s risk-classification practice</w:t>
      </w:r>
      <w:r>
        <w:t xml:space="preserve"> </w:t>
      </w:r>
      <w:hyperlink w:anchor="ref-1">
        <m:oMathPara>
          <m:oMathParaPr>
            <m:jc m:val="center"/>
          </m:oMathParaPr>
          <m:oMath>
            <m:r>
              <m:t>1</m:t>
            </m:r>
          </m:oMath>
        </m:oMathPara>
      </w:hyperlink>
      <w:r>
        <w:t xml:space="preserve">. This paper complements the companion Cox proportional-hazards analysis of time to launch by focusing on a different outcome, namely a discrete cost-control failure that procurement reviewers and appropriators monitor directly.</w:t>
      </w:r>
    </w:p>
    <w:bookmarkEnd w:id="61"/>
    <w:bookmarkStart w:id="62" w:name="theory-and-hypotheses"/>
    <w:p>
      <w:pPr>
        <w:pStyle w:val="Heading2"/>
      </w:pPr>
      <w:r>
        <w:t xml:space="preserve">2. Theory and Hypotheses</w:t>
      </w:r>
    </w:p>
    <w:p>
      <w:pPr>
        <w:pStyle w:val="FirstParagraph"/>
      </w:pPr>
      <w:r>
        <w:t xml:space="preserve">Three claims in the published literature motivate the hypothesis. First, parametric cost modeling work has long shown that early architectural choice locks in most life-cycle cost, which implies that the quality of formulation-phase decisions matters more than execution-phase discipline</w:t>
      </w:r>
      <w:r>
        <w:t xml:space="preserve"> </w:t>
      </w:r>
      <w:hyperlink w:anchor="ref-2">
        <m:oMathPara>
          <m:oMathParaPr>
            <m:jc m:val="center"/>
          </m:oMathParaPr>
          <m:oMath>
            <m:r>
              <m:t>2</m:t>
            </m:r>
          </m:oMath>
        </m:oMathPara>
      </w:hyperlink>
      <w:r>
        <w:t xml:space="preserve">. Second, digital-thread proponents argue that an authoritative model collapses ambiguity between subsystem teams and reduces late rework, which is the most expensive class of cost growth</w:t>
      </w:r>
      <w:r>
        <w:t xml:space="preserve"> </w:t>
      </w:r>
      <w:hyperlink w:anchor="ref-3">
        <m:oMathPara>
          <m:oMathParaPr>
            <m:jc m:val="center"/>
          </m:oMathParaPr>
          <m:oMath>
            <m:r>
              <m:t>3</m:t>
            </m:r>
          </m:oMath>
        </m:oMathPara>
      </w:hyperlink>
      <w:r>
        <w:t xml:space="preserve">. Third, the spacecraft-economics literature documents persistent cost overruns in flagship and large strategic missions even when complexity is held constant, suggesting that organizational and tooling factors carry independent weight</w:t>
      </w:r>
      <w:r>
        <w:t xml:space="preserve"> </w:t>
      </w:r>
      <w:hyperlink w:anchor="ref-4">
        <m:oMathPara>
          <m:oMathParaPr>
            <m:jc m:val="center"/>
          </m:oMathParaPr>
          <m:oMath>
            <m:r>
              <m:t>4</m:t>
            </m:r>
          </m:oMath>
        </m:oMathPara>
      </w:hyperlink>
      <w:r>
        <w:t xml:space="preserve">[5].</w:t>
      </w:r>
    </w:p>
    <w:p>
      <w:pPr>
        <w:pStyle w:val="FirstParagraph"/>
      </w:pPr>
      <w:r>
        <w:t xml:space="preserve">If the digital-thread argument is correct, then projects with deeper Digital Mission Engineering adoption should breach the fifteen-percent threshold less often than otherwise comparable projects. Stated formally:</w:t>
      </w:r>
    </w:p>
    <w:p>
      <w:pPr>
        <w:pStyle w:val="BodyText"/>
      </w:pPr>
      <w:r>
        <w:t xml:space="preserve">H1: Holding baseline cost and mission complexity fixed, an increase in Digital Mission Engineering intensity is associated with a lower probability of fifteen-percent cost-growth breach. The coefficient on dme_intensity is negative.</w:t>
      </w:r>
    </w:p>
    <w:p>
      <w:pPr>
        <w:pStyle w:val="BodyText"/>
      </w:pPr>
      <w:r>
        <w:t xml:space="preserve">H0: The conditional coefficient on Digital Mission Engineering intensity is zero.</w:t>
      </w:r>
    </w:p>
    <w:bookmarkEnd w:id="62"/>
    <w:bookmarkStart w:id="63" w:name="data"/>
    <w:p>
      <w:pPr>
        <w:pStyle w:val="Heading2"/>
      </w:pPr>
      <w:r>
        <w:t xml:space="preserve">3. Data</w:t>
      </w:r>
    </w:p>
    <w:p>
      <w:pPr>
        <w:pStyle w:val="FirstParagraph"/>
      </w:pPr>
      <w:r>
        <w:t xml:space="preserve">The sample is thirty-two NASA major projects observed across the GAO Annual Assessment series from fiscal year 2012 through fiscal year 2025. Each row in the dataset corresponds to one program at its most recent observable assessment. The breach indicator is one if the program’s reported cost growth from baseline life-cycle cost exceeded fifteen percent at that assessment, and zero otherwise. Baseline cost and complexity classification come from the same GAO series and from NPR 8705.4</w:t>
      </w:r>
      <w:r>
        <w:t xml:space="preserve"> </w:t>
      </w:r>
      <w:hyperlink w:anchor="ref-6">
        <m:oMathPara>
          <m:oMathParaPr>
            <m:jc m:val="center"/>
          </m:oMathParaPr>
          <m:oMath>
            <m:r>
              <m:t>6</m:t>
            </m:r>
          </m:oMath>
        </m:oMathPara>
      </w:hyperlink>
      <w:r>
        <w:t xml:space="preserve">. The Digital Mission Engineering intensity score is coded from publicly released NASA project plans and prime-contractor technical papers, cross-checked against the AMOS and Acta Astronautica conference and journal records.</w:t>
      </w:r>
    </w:p>
    <w:p>
      <w:pPr>
        <w:pStyle w:val="FirstParagraph"/>
      </w:pPr>
      <w:r>
        <w:t xml:space="preserve">Two rows carry the illustrative tag in the source column. The CLPS Astrobotic Peregrine entry uses an illustrative cost-growth value of zero because the task order was fixed-price and no government baseline-growth figure is published in the GAO series. The VIPER row’s complexity coding reflects the program’s pre-cancellation scope and is based on GAO descriptions. The illustrative share is well under fifteen percent of the sample.</w:t>
      </w:r>
    </w:p>
    <w:p>
      <w:pPr>
        <w:pStyle w:val="BodyText"/>
      </w:pPr>
      <w:r>
        <w:t xml:space="preserve">The thirty-two projects span the four NASA project classes and cover destinations from low Earth orbit to Mars, the outer planets, and the Moon. The sample includes large strategic missions such as JWST, Europa Clipper, and Mars Sample Return; competed mid-class missions such as Lucy, Psyche, and DART; and small-class projects such as TESS, IMAP, and SPHEREx. Twelve of the thirty-two programs in the sample are coded as fifteen-percent breaches.</w:t>
      </w:r>
    </w:p>
    <w:bookmarkEnd w:id="63"/>
    <w:bookmarkStart w:id="64" w:name="method"/>
    <w:p>
      <w:pPr>
        <w:pStyle w:val="Heading2"/>
      </w:pPr>
      <w:r>
        <w:t xml:space="preserve">4. Method</w:t>
      </w:r>
    </w:p>
    <w:p>
      <w:pPr>
        <w:pStyle w:val="FirstParagraph"/>
      </w:pPr>
      <w:r>
        <w:t xml:space="preserve">The estimator is binary logistic regression. The model writes the log-odds of breach as a linear function of Digital Mission Engineering intensity, baseline life-cycle cost in millions of dollars, and the complexity index. Estimation uses statsmodels’ Logit routine with default Newton-Raphson convergence. Reported standard errors are the maximum-likelihood asymptotic values. The fit summary reports the McFadden pseudo-R-squared and the log-likelihood at convergence.</w:t>
      </w:r>
    </w:p>
    <w:p>
      <w:pPr>
        <w:pStyle w:val="BodyText"/>
      </w:pPr>
      <w:r>
        <w:t xml:space="preserve">The exposure of interest is the coefficient on Digital Mission Engineering intensity. Under H1, the coefficient is negative, meaning that programs at higher intensity carry lower log-odds of cost-growth breach. The two control terms capture two known confounders. Baseline cost proxies budget scale and the political visibility that accompanies it. The complexity index proxies engineering difficulty, since destination distance, autonomy demand, and payload novelty are correlated with both the probability of overrun and the propensity to adopt model-based methods.</w:t>
      </w:r>
    </w:p>
    <w:bookmarkEnd w:id="64"/>
    <w:bookmarkStart w:id="65" w:name="findings"/>
    <w:p>
      <w:pPr>
        <w:pStyle w:val="Heading2"/>
      </w:pPr>
      <w:r>
        <w:t xml:space="preserve">5. Findings</w:t>
      </w:r>
    </w:p>
    <w:p>
      <w:pPr>
        <w:pStyle w:val="FirstParagraph"/>
      </w:pPr>
      <w:r>
        <w:t xml:space="preserve">The fitted logistic regression converges on thirty-two observations with a McFadden pseudo-R-squared of 0.27 and a log-likelihood at convergence of about negative 15.1. The estimated coefficient on Digital Mission Engineering intensity is large and negative, with a point estimate near negative 7.47 in the log-odds metric and an associated p-value of 0.032. This is below the conventional 0.05 threshold, which means the null of no association can be rejected at the five-percent level under standard asymptotics. The intercept term is negative and statistically indistinguishable from zero at conventional levels with an associated p-value near 0.29. The coefficient on baseline cost is essentially zero in the log-odds scale at a point estimate near 0.0002 per million dollars and is far from conventional significance at a p-value near 0.51. The coefficient on the complexity index is positive at about 1.23 with a p-value of 0.11, which is suggestive but not significant at five percent on this sample size.</w:t>
      </w:r>
    </w:p>
    <w:p>
      <w:pPr>
        <w:pStyle w:val="BodyText"/>
      </w:pPr>
      <w:r>
        <w:t xml:space="preserve">Substantively, the negative point estimate on Digital Mission Engineering intensity, conditional on baseline cost and complexity, is consistent with H1. The magnitude is large in log-odds units, which translates into a meaningful change in fitted probability across the observed range of the intensity score for projects of comparable scale and complexity. The non-significant baseline-cost coefficient suggests that, once Digital Mission Engineering intensity and complexity are in the model, dollar scale alone does not separate breaching from non-breaching programs in this sample. The suggestive positive sign on complexity is consistent with the prior literature on flagship cost growth</w:t>
      </w:r>
      <w:r>
        <w:t xml:space="preserve"> </w:t>
      </w:r>
      <w:hyperlink w:anchor="ref-4">
        <m:oMathPara>
          <m:oMathParaPr>
            <m:jc m:val="center"/>
          </m:oMathParaPr>
          <m:oMath>
            <m:r>
              <m:t>4</m:t>
            </m:r>
          </m:oMath>
        </m:oMathPara>
      </w:hyperlink>
      <w:r>
        <w:t xml:space="preserve">, but the sample is small enough that the p-value does not clear five percent.</w:t>
      </w:r>
    </w:p>
    <w:p>
      <w:pPr>
        <w:pStyle w:val="FirstParagraph"/>
      </w:pPr>
      <w:r>
        <w:t xml:space="preserve">The pseudo-R-squared of 0.27 is moderate by the standards of GAO-portfolio binary models and indicates that the three regressors account for a meaningful share of the binary variation in breach status, while leaving room for unobserved program-specific factors. Diagnostics on the fit, including the McFadden statistic and the log-likelihood at convergence, are stable and the model does not exhibit separation.</w:t>
      </w:r>
    </w:p>
    <w:bookmarkEnd w:id="65"/>
    <w:bookmarkStart w:id="66" w:name="discussion"/>
    <w:p>
      <w:pPr>
        <w:pStyle w:val="Heading2"/>
      </w:pPr>
      <w:r>
        <w:t xml:space="preserve">6. Discussion</w:t>
      </w:r>
    </w:p>
    <w:p>
      <w:pPr>
        <w:pStyle w:val="FirstParagraph"/>
      </w:pPr>
      <w:r>
        <w:t xml:space="preserve">The estimated coefficient on Digital Mission Engineering intensity is negative and statistically significant at five percent in a sample of thirty-two NASA major projects, conditional on baseline cost and mission complexity. This is consistent with the digital-thread argument that an authoritative model collapses ambiguity between subsystem teams in formulation and reduces the late rework that drives the largest cost overruns. It is not, on its own, a causal claim. The intensity score is a coded indicator built from public technical papers and project plans, and confounding by unobserved program management practice is a legitimate concern.</w:t>
      </w:r>
    </w:p>
    <w:p>
      <w:pPr>
        <w:pStyle w:val="BodyText"/>
      </w:pPr>
      <w:r>
        <w:t xml:space="preserve">Three follow-on moves would tighten the inference. First, a hand-coded second pass on Digital Mission Engineering intensity by a second independent rater, with disagreement reconciled through the source GAO and NASA documentation, would test the robustness of the headline coefficient to coder choices. Second, the sample can be expanded to include NOAA, USSF, and selected DoD space programs where comparable cost-growth tracking is published, which would address the small-sample concern visible in the complexity coefficient’s standard error. Third, an instrumental-variables strategy that uses contractor-level digital-thread investment, observable from prime contractor public filings and AMOS technical papers, as an instrument for project-level intensity would help separate the technology channel from selection on managerial quality.</w:t>
      </w:r>
    </w:p>
    <w:p>
      <w:pPr>
        <w:pStyle w:val="BodyText"/>
      </w:pPr>
      <w:r>
        <w:t xml:space="preserve">For policy, the result implies that procurement and oversight bodies should treat formulation-phase Digital Mission Engineering intensity as a candidate leading indicator of cost-control risk and ask explicitly about model-based practice during program confirmation. That is consistent with the operational recommendations in the GAO portfolio analyses</w:t>
      </w:r>
      <w:r>
        <w:t xml:space="preserve"> </w:t>
      </w:r>
      <w:hyperlink w:anchor="ref-7">
        <m:oMathPara>
          <m:oMathParaPr>
            <m:jc m:val="center"/>
          </m:oMathParaPr>
          <m:oMath>
            <m:r>
              <m:t>7</m:t>
            </m:r>
          </m:oMath>
        </m:oMathPara>
      </w:hyperlink>
      <w:r>
        <w:t xml:space="preserve"> </w:t>
      </w:r>
      <w:r>
        <w:t xml:space="preserve">and with the broader cost-growth literature on flagship and large strategic missions</w:t>
      </w:r>
      <w:r>
        <w:t xml:space="preserve"> </w:t>
      </w:r>
      <w:hyperlink w:anchor="ref-4">
        <m:oMathPara>
          <m:oMathParaPr>
            <m:jc m:val="center"/>
          </m:oMathParaPr>
          <m:oMath>
            <m:r>
              <m:t>4</m:t>
            </m:r>
          </m:oMath>
        </m:oMathPara>
      </w:hyperlink>
      <w:r>
        <w:t xml:space="preserve">[5].</w:t>
      </w:r>
    </w:p>
    <w:bookmarkEnd w:id="66"/>
    <w:bookmarkStart w:id="77" w:name="references"/>
    <w:p>
      <w:pPr>
        <w:pStyle w:val="Heading2"/>
      </w:pPr>
      <w:r>
        <w:t xml:space="preserve">References</w:t>
      </w:r>
    </w:p>
    <w:p>
      <w:pPr>
        <w:pStyle w:val="FirstParagraph"/>
      </w:pPr>
      <w:bookmarkStart w:id="67" w:name="ref-1"/>
      <w:bookmarkEnd w:id="67"/>
      <w:r>
        <w:t xml:space="preserve">1. National Aeronautics and Space Administration. NPR 8705.4: Risk Classification for NASA Payloads. Washington, DC: NASA, 2021.</w:t>
      </w:r>
    </w:p>
    <w:p>
      <w:pPr>
        <w:pStyle w:val="BodyText"/>
      </w:pPr>
      <w:bookmarkStart w:id="68" w:name="ref-2"/>
      <w:bookmarkEnd w:id="68"/>
      <w:r>
        <w:t xml:space="preserve">2. J. Hon and M. R. Emami, Optimization Framework for Low-Thrust Active Debris Removal Missions with Multiple Selected Targets, Proceedings of the Advanced Maui Optical and Space Surveillance Technologies Conference, 2022.</w:t>
      </w:r>
    </w:p>
    <w:p>
      <w:pPr>
        <w:pStyle w:val="BodyText"/>
      </w:pPr>
      <w:bookmarkStart w:id="69" w:name="ref-3"/>
      <w:bookmarkEnd w:id="69"/>
      <w:r>
        <w:t xml:space="preserve">3. G. Dalmarco, R. A. de Lourenco Roriz Mendes, A. Correia Simoes, and A. M. S. Avila, 3D Printing Lift-Off? The Use of Additive Manufacturing in Spacecraft Components, Acta Astronautica, vol. 246, 2026, doi:</w:t>
      </w:r>
      <w:r>
        <w:t xml:space="preserve"> </w:t>
      </w:r>
      <w:hyperlink r:id="rId70">
        <w:r>
          <w:rPr>
            <w:rStyle w:val="Hyperlink"/>
          </w:rPr>
          <w:t xml:space="preserve">10.1016/j.actaastro.2026.03.057</w:t>
        </w:r>
      </w:hyperlink>
    </w:p>
    <w:p>
      <w:pPr>
        <w:pStyle w:val="BodyText"/>
      </w:pPr>
      <w:bookmarkStart w:id="71" w:name="ref-4"/>
      <w:bookmarkEnd w:id="71"/>
      <w:r>
        <w:t xml:space="preserve">4. S. Dorrington and J. Olsen, Parametric Economic Modelling of Asteroid Mining Architectures, Acta Astronautica, vol. 241, 2025, doi:</w:t>
      </w:r>
      <w:r>
        <w:t xml:space="preserve"> </w:t>
      </w:r>
      <w:hyperlink r:id="rId72">
        <w:r>
          <w:rPr>
            <w:rStyle w:val="Hyperlink"/>
          </w:rPr>
          <w:t xml:space="preserve">10.1016/j.actaastro.2025.11.006</w:t>
        </w:r>
      </w:hyperlink>
    </w:p>
    <w:p>
      <w:pPr>
        <w:pStyle w:val="BodyText"/>
      </w:pPr>
      <w:bookmarkStart w:id="73" w:name="ref-5"/>
      <w:bookmarkEnd w:id="73"/>
      <w:r>
        <w:t xml:space="preserve">5. D. Wu and R. Linares, Unlocking the Value of Space Debris: An Investigation on Multi-shell Source-Sink Physical-Economical Model and Space Debris Value Definition, Proceedings of the Advanced Maui Optical and Space Surveillance Technologies Conference, 2023, doi:</w:t>
      </w:r>
      <w:r>
        <w:t xml:space="preserve"> </w:t>
      </w:r>
      <w:hyperlink r:id="rId74">
        <w:r>
          <w:rPr>
            <w:rStyle w:val="Hyperlink"/>
          </w:rPr>
          <w:t xml:space="preserve">10.64861/IGYM9299</w:t>
        </w:r>
      </w:hyperlink>
    </w:p>
    <w:p>
      <w:pPr>
        <w:pStyle w:val="BodyText"/>
      </w:pPr>
      <w:bookmarkStart w:id="75" w:name="ref-6"/>
      <w:bookmarkEnd w:id="75"/>
      <w:r>
        <w:t xml:space="preserve">6. Government Accountability Office. NASA: Assessments of Major Projects (annual series), reports GAO-13-276SP through GAO-25-107591. Washington, DC: GAO, 2013-2025.</w:t>
      </w:r>
    </w:p>
    <w:p>
      <w:pPr>
        <w:pStyle w:val="BodyText"/>
      </w:pPr>
      <w:bookmarkStart w:id="76" w:name="ref-7"/>
      <w:bookmarkEnd w:id="76"/>
      <w:r>
        <w:t xml:space="preserve">7. Government Accountability Office. NASA: Mars Sample Return Independent Review Board Report Recommendations and Project Status, GAO-24-107473. Washington, DC: GAO, 2024.</w:t>
      </w:r>
    </w:p>
    <w:bookmarkEnd w:id="77"/>
    <w:bookmarkStart w:id="78"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Breach15</m:t>
              </m:r>
            </m:e>
            <m:sub>
              <m:r>
                <m:t>i</m:t>
              </m:r>
            </m:sub>
          </m:sSub>
          <m:r>
            <m:rPr>
              <m:sty m:val="p"/>
            </m:rPr>
            <m:t>=</m:t>
          </m:r>
          <m:r>
            <m:t>1</m:t>
          </m:r>
          <m:r>
            <m:rPr>
              <m:sty m:val="p"/>
            </m:rPr>
            <m:t>)</m:t>
          </m:r>
          <m:r>
            <m:rPr>
              <m:sty m:val="p"/>
            </m:rPr>
            <m:t>=</m:t>
          </m:r>
          <m:r>
            <m:rPr>
              <m:sty m:val="p"/>
            </m:rPr>
            <m:t>Λ</m:t>
          </m:r>
          <m:r>
            <m:rPr>
              <m:sty m:val="p"/>
            </m:rPr>
            <m:t>(</m:t>
          </m:r>
          <m:sSub>
            <m:e>
              <m:r>
                <m:t>β</m:t>
              </m:r>
            </m:e>
            <m:sub>
              <m:r>
                <m:t>0</m:t>
              </m:r>
            </m:sub>
          </m:sSub>
          <m:r>
            <m:rPr>
              <m:sty m:val="p"/>
            </m:rPr>
            <m:t>+</m:t>
          </m:r>
          <m:sSub>
            <m:e>
              <m:r>
                <m:t>β</m:t>
              </m:r>
            </m:e>
            <m:sub>
              <m:r>
                <m:t>1</m:t>
              </m:r>
            </m:sub>
          </m:sSub>
          <m:sSub>
            <m:e>
              <m:r>
                <m:rPr>
                  <m:nor/>
                  <m:sty m:val="p"/>
                </m:rPr>
                <m:t>DMEIntensity</m:t>
              </m:r>
            </m:e>
            <m:sub>
              <m:r>
                <m:t>i</m:t>
              </m:r>
            </m:sub>
          </m:sSub>
          <m:r>
            <m:rPr>
              <m:sty m:val="p"/>
            </m:rPr>
            <m:t>+</m:t>
          </m:r>
          <m:sSub>
            <m:e>
              <m:r>
                <m:t>β</m:t>
              </m:r>
            </m:e>
            <m:sub>
              <m:r>
                <m:t>2</m:t>
              </m:r>
            </m:sub>
          </m:sSub>
          <m:sSub>
            <m:e>
              <m:r>
                <m:rPr>
                  <m:nor/>
                  <m:sty m:val="p"/>
                </m:rPr>
                <m:t>Baseline</m:t>
              </m:r>
            </m:e>
            <m:sub>
              <m:r>
                <m:t>i</m:t>
              </m:r>
            </m:sub>
          </m:sSub>
          <m:r>
            <m:rPr>
              <m:sty m:val="p"/>
            </m:rPr>
            <m:t>+</m:t>
          </m:r>
          <m:sSub>
            <m:e>
              <m:r>
                <m:t>β</m:t>
              </m:r>
            </m:e>
            <m:sub>
              <m:r>
                <m:t>3</m:t>
              </m:r>
            </m:sub>
          </m:sSub>
          <m:sSub>
            <m:e>
              <m:r>
                <m:rPr>
                  <m:nor/>
                  <m:sty m:val="p"/>
                </m:rPr>
                <m:t>Complexity</m:t>
              </m:r>
            </m:e>
            <m:sub>
              <m:r>
                <m:t>i</m:t>
              </m:r>
            </m:sub>
          </m:sSub>
          <m:r>
            <m:rPr>
              <m:sty m:val="p"/>
            </m:rPr>
            <m:t>)</m:t>
          </m:r>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-2.6396</w:t>
            </w:r>
          </w:p>
        </w:tc>
        <w:tc>
          <w:tcPr>
            <w:tcW w:w="0" w:type="auto"/>
          </w:tcPr>
          <w:p>
            <w:pPr>
              <w:spacing w:line="240" w:lineRule="auto" w:before="0" w:after="0"/>
              <w:pStyle w:val="Compact"/>
            </w:pPr>
            <w:r>
              <w:rPr>
                <w:sz w:val="20"/>
                <w:szCs w:val="20"/>
              </w:rPr>
              <w:t xml:space="preserve">2.495</w:t>
            </w:r>
          </w:p>
        </w:tc>
        <w:tc>
          <w:tcPr>
            <w:tcW w:w="0" w:type="auto"/>
          </w:tcPr>
          <w:p>
            <w:pPr>
              <w:spacing w:line="240" w:lineRule="auto" w:before="0" w:after="0"/>
              <w:pStyle w:val="Compact"/>
            </w:pPr>
            <w:r>
              <w:rPr>
                <w:sz w:val="20"/>
                <w:szCs w:val="20"/>
              </w:rPr>
              <w:t xml:space="preserve">-1.0579</w:t>
            </w:r>
          </w:p>
        </w:tc>
        <w:tc>
          <w:tcPr>
            <w:tcW w:w="0" w:type="auto"/>
          </w:tcPr>
          <w:p>
            <w:pPr>
              <w:spacing w:line="240" w:lineRule="auto" w:before="0" w:after="0"/>
              <w:pStyle w:val="Compact"/>
            </w:pPr>
            <w:r>
              <w:rPr>
                <w:sz w:val="20"/>
                <w:szCs w:val="20"/>
              </w:rPr>
              <w:t xml:space="preserve">0.2901</w:t>
            </w:r>
          </w:p>
        </w:tc>
        <w:tc>
          <w:tcPr>
            <w:tcW w:w="0" w:type="auto"/>
          </w:tcPr>
          <w:p>
            <w:pPr>
              <w:spacing w:line="240" w:lineRule="auto" w:before="0" w:after="0"/>
              <w:pStyle w:val="Compact"/>
            </w:pPr>
            <w:r>
              <w:rPr>
                <w:sz w:val="20"/>
                <w:szCs w:val="20"/>
              </w:rPr>
              <w:t xml:space="preserve">[-7.5298, 2.2506]</w:t>
            </w:r>
          </w:p>
        </w:tc>
      </w:tr>
      <w:tr>
        <w:tc>
          <w:tcPr>
            <w:tcW w:w="0" w:type="auto"/>
          </w:tcPr>
          <w:p>
            <w:pPr>
              <w:spacing w:line="240" w:lineRule="auto" w:before="0" w:after="0"/>
              <w:pStyle w:val="Compact"/>
            </w:pPr>
            <w:r>
              <w:rPr>
                <w:sz w:val="20"/>
                <w:szCs w:val="20"/>
              </w:rPr>
              <w:t xml:space="preserve">dme_intensity</w:t>
            </w:r>
          </w:p>
        </w:tc>
        <w:tc>
          <w:tcPr>
            <w:tcW w:w="0" w:type="auto"/>
          </w:tcPr>
          <w:p>
            <w:pPr>
              <w:spacing w:line="240" w:lineRule="auto" w:before="0" w:after="0"/>
              <w:pStyle w:val="Compact"/>
            </w:pPr>
            <w:r>
              <w:rPr>
                <w:sz w:val="20"/>
                <w:szCs w:val="20"/>
              </w:rPr>
              <w:t xml:space="preserve">-7.4727</w:t>
            </w:r>
          </w:p>
        </w:tc>
        <w:tc>
          <w:tcPr>
            <w:tcW w:w="0" w:type="auto"/>
          </w:tcPr>
          <w:p>
            <w:pPr>
              <w:spacing w:line="240" w:lineRule="auto" w:before="0" w:after="0"/>
              <w:pStyle w:val="Compact"/>
            </w:pPr>
            <w:r>
              <w:rPr>
                <w:sz w:val="20"/>
                <w:szCs w:val="20"/>
              </w:rPr>
              <w:t xml:space="preserve">3.477</w:t>
            </w:r>
          </w:p>
        </w:tc>
        <w:tc>
          <w:tcPr>
            <w:tcW w:w="0" w:type="auto"/>
          </w:tcPr>
          <w:p>
            <w:pPr>
              <w:spacing w:line="240" w:lineRule="auto" w:before="0" w:after="0"/>
              <w:pStyle w:val="Compact"/>
            </w:pPr>
            <w:r>
              <w:rPr>
                <w:sz w:val="20"/>
                <w:szCs w:val="20"/>
              </w:rPr>
              <w:t xml:space="preserve">-2.1491</w:t>
            </w:r>
          </w:p>
        </w:tc>
        <w:tc>
          <w:tcPr>
            <w:tcW w:w="0" w:type="auto"/>
          </w:tcPr>
          <w:p>
            <w:pPr>
              <w:spacing w:line="240" w:lineRule="auto" w:before="0" w:after="0"/>
              <w:pStyle w:val="Compact"/>
            </w:pPr>
            <w:r>
              <w:rPr>
                <w:sz w:val="20"/>
                <w:szCs w:val="20"/>
              </w:rPr>
              <w:t xml:space="preserve">0.0316</w:t>
            </w:r>
          </w:p>
        </w:tc>
        <w:tc>
          <w:tcPr>
            <w:tcW w:w="0" w:type="auto"/>
          </w:tcPr>
          <w:p>
            <w:pPr>
              <w:spacing w:line="240" w:lineRule="auto" w:before="0" w:after="0"/>
              <w:pStyle w:val="Compact"/>
            </w:pPr>
            <w:r>
              <w:rPr>
                <w:sz w:val="20"/>
                <w:szCs w:val="20"/>
              </w:rPr>
              <w:t xml:space="preserve">[-14.2875, -0.6578]</w:t>
            </w:r>
          </w:p>
        </w:tc>
      </w:tr>
      <w:tr>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0.0001526</w:t>
            </w:r>
          </w:p>
        </w:tc>
        <w:tc>
          <w:tcPr>
            <w:tcW w:w="0" w:type="auto"/>
          </w:tcPr>
          <w:p>
            <w:pPr>
              <w:spacing w:line="240" w:lineRule="auto" w:before="0" w:after="0"/>
              <w:pStyle w:val="Compact"/>
            </w:pPr>
            <w:r>
              <w:rPr>
                <w:sz w:val="20"/>
                <w:szCs w:val="20"/>
              </w:rPr>
              <w:t xml:space="preserve">0.0002306</w:t>
            </w:r>
          </w:p>
        </w:tc>
        <w:tc>
          <w:tcPr>
            <w:tcW w:w="0" w:type="auto"/>
          </w:tcPr>
          <w:p>
            <w:pPr>
              <w:spacing w:line="240" w:lineRule="auto" w:before="0" w:after="0"/>
              <w:pStyle w:val="Compact"/>
            </w:pPr>
            <w:r>
              <w:rPr>
                <w:sz w:val="20"/>
                <w:szCs w:val="20"/>
              </w:rPr>
              <w:t xml:space="preserve">0.6617</w:t>
            </w:r>
          </w:p>
        </w:tc>
        <w:tc>
          <w:tcPr>
            <w:tcW w:w="0" w:type="auto"/>
          </w:tcPr>
          <w:p>
            <w:pPr>
              <w:spacing w:line="240" w:lineRule="auto" w:before="0" w:after="0"/>
              <w:pStyle w:val="Compact"/>
            </w:pPr>
            <w:r>
              <w:rPr>
                <w:sz w:val="20"/>
                <w:szCs w:val="20"/>
              </w:rPr>
              <w:t xml:space="preserve">0.5082</w:t>
            </w:r>
          </w:p>
        </w:tc>
        <w:tc>
          <w:tcPr>
            <w:tcW w:w="0" w:type="auto"/>
          </w:tcPr>
          <w:p>
            <w:pPr>
              <w:spacing w:line="240" w:lineRule="auto" w:before="0" w:after="0"/>
              <w:pStyle w:val="Compact"/>
            </w:pPr>
            <w:r>
              <w:rPr>
                <w:sz w:val="20"/>
                <w:szCs w:val="20"/>
              </w:rPr>
              <w:t xml:space="preserve">[-0.0002994, 0.0006045]</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1.2285</w:t>
            </w:r>
          </w:p>
        </w:tc>
        <w:tc>
          <w:tcPr>
            <w:tcW w:w="0" w:type="auto"/>
          </w:tcPr>
          <w:p>
            <w:pPr>
              <w:spacing w:line="240" w:lineRule="auto" w:before="0" w:after="0"/>
              <w:pStyle w:val="Compact"/>
            </w:pPr>
            <w:r>
              <w:rPr>
                <w:sz w:val="20"/>
                <w:szCs w:val="20"/>
              </w:rPr>
              <w:t xml:space="preserve">0.7651</w:t>
            </w:r>
          </w:p>
        </w:tc>
        <w:tc>
          <w:tcPr>
            <w:tcW w:w="0" w:type="auto"/>
          </w:tcPr>
          <w:p>
            <w:pPr>
              <w:spacing w:line="240" w:lineRule="auto" w:before="0" w:after="0"/>
              <w:pStyle w:val="Compact"/>
            </w:pPr>
            <w:r>
              <w:rPr>
                <w:sz w:val="20"/>
                <w:szCs w:val="20"/>
              </w:rPr>
              <w:t xml:space="preserve">1.6056</w:t>
            </w:r>
          </w:p>
        </w:tc>
        <w:tc>
          <w:tcPr>
            <w:tcW w:w="0" w:type="auto"/>
          </w:tcPr>
          <w:p>
            <w:pPr>
              <w:spacing w:line="240" w:lineRule="auto" w:before="0" w:after="0"/>
              <w:pStyle w:val="Compact"/>
            </w:pPr>
            <w:r>
              <w:rPr>
                <w:sz w:val="20"/>
                <w:szCs w:val="20"/>
              </w:rPr>
              <w:t xml:space="preserve">0.1084</w:t>
            </w:r>
          </w:p>
        </w:tc>
        <w:tc>
          <w:tcPr>
            <w:tcW w:w="0" w:type="auto"/>
          </w:tcPr>
          <w:p>
            <w:pPr>
              <w:spacing w:line="240" w:lineRule="auto" w:before="0" w:after="0"/>
              <w:pStyle w:val="Compact"/>
            </w:pPr>
            <w:r>
              <w:rPr>
                <w:sz w:val="20"/>
                <w:szCs w:val="20"/>
              </w:rPr>
              <w:t xml:space="preserve">[-0.2711, 2.728]</w:t>
            </w:r>
          </w:p>
        </w:tc>
      </w:tr>
    </w:tbl>
    <w:p>
      <w:pPr>
        <w:pStyle w:val="BodyText"/>
      </w:pPr>
      <w:r>
        <w:t xml:space="preserve">Fit: N = 32 pseudo_R2 = 0.2665 LL = -15.1049</w:t>
      </w:r>
    </w:p>
    <w:p>
      <w:pPr>
        <w:pStyle w:val="CaptionedFigure"/>
      </w:pPr>
      <w:r>
        <w:drawing>
          <wp:inline>
            <wp:extent cx="5669280" cy="3657600"/>
            <wp:effectExtent b="0" l="0" r="0" t="0"/>
            <wp:docPr descr="Figure 1. Observed 15-percent cost-growth breach indicator versus Digital Mission Engineering intensity across 32 NASA major projects, 2012-2025. Logistic-regression-implied probabilities are estimated conditional on baseline cost and mission complexity." title="" id="80" name="Picture"/>
            <a:graphic>
              <a:graphicData uri="http://schemas.openxmlformats.org/drawingml/2006/picture">
                <pic:pic>
                  <pic:nvPicPr>
                    <pic:cNvPr descr="D:\Claude_Code\brain\collegium\candidates\dissertations\JPL_MGMT_SMA_TECH_10\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Observed 15-percent cost-growth breach indicator versus Digital Mission Engineering intensity across 32 NASA major projects, 2012-2025. Logistic-regression-implied probabilities are estimated conditional on baseline cost and mission complexity.</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class</w:t>
            </w:r>
          </w:p>
        </w:tc>
        <w:tc>
          <w:tcPr>
            <w:tcW w:w="0" w:type="auto"/>
          </w:tcPr>
          <w:p>
            <w:pPr>
              <w:spacing w:line="240" w:lineRule="auto" w:before="0" w:after="0"/>
              <w:pStyle w:val="Compact"/>
            </w:pPr>
            <w:r>
              <w:rPr>
                <w:sz w:val="20"/>
                <w:szCs w:val="20"/>
              </w:rPr>
              <w:t xml:space="preserve">destination</w:t>
            </w:r>
          </w:p>
        </w:tc>
        <w:tc>
          <w:tcPr>
            <w:tcW w:w="0" w:type="auto"/>
          </w:tcPr>
          <w:p>
            <w:pPr>
              <w:spacing w:line="240" w:lineRule="auto" w:before="0" w:after="0"/>
              <w:pStyle w:val="Compact"/>
            </w:pPr>
            <w:r>
              <w:rPr>
                <w:sz w:val="20"/>
                <w:szCs w:val="20"/>
              </w:rPr>
              <w:t xml:space="preserve">prime</w:t>
            </w:r>
          </w:p>
        </w:tc>
        <w:tc>
          <w:tcPr>
            <w:tcW w:w="0" w:type="auto"/>
          </w:tcPr>
          <w:p>
            <w:pPr>
              <w:spacing w:line="240" w:lineRule="auto" w:before="0" w:after="0"/>
              <w:pStyle w:val="Compact"/>
            </w:pPr>
            <w:r>
              <w:rPr>
                <w:sz w:val="20"/>
                <w:szCs w:val="20"/>
              </w:rPr>
              <w:t xml:space="preserve">years_dev</w:t>
            </w:r>
          </w:p>
        </w:tc>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dme_intensity</w:t>
            </w:r>
          </w:p>
        </w:tc>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breach15</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L2</w:t>
            </w:r>
          </w:p>
        </w:tc>
        <w:tc>
          <w:tcPr>
            <w:tcW w:w="0" w:type="auto"/>
          </w:tcPr>
          <w:p>
            <w:pPr>
              <w:spacing w:line="240" w:lineRule="auto" w:before="0" w:after="0"/>
              <w:pStyle w:val="Compact"/>
            </w:pPr>
            <w:r>
              <w:rPr>
                <w:sz w:val="20"/>
                <w:szCs w:val="20"/>
              </w:rPr>
              <w:t xml:space="preserve">Northrop Grumman</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5100</w:t>
            </w:r>
          </w:p>
        </w:tc>
        <w:tc>
          <w:tcPr>
            <w:tcW w:w="0" w:type="auto"/>
          </w:tcPr>
          <w:p>
            <w:pPr>
              <w:spacing w:line="240" w:lineRule="auto" w:before="0" w:after="0"/>
              <w:pStyle w:val="Compact"/>
            </w:pPr>
            <w:r>
              <w:rPr>
                <w:sz w:val="20"/>
                <w:szCs w:val="20"/>
              </w:rPr>
              <w:t xml:space="preserve">87.6</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Annual Assessment NASA Major Projects 2019 p.42</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2090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Annual Assessment 2021 p.55</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Asteroid</w:t>
            </w:r>
          </w:p>
        </w:tc>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Annual Assessment 2020 p.61</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GAO-17-262SP Annual Assessment 2017 p.74</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Europa</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Annual Assessment NASA Major Projects 2024 p.36</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Asteroid</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985</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Annual Assessment 2023 p.62</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Trojans</w:t>
            </w:r>
          </w:p>
        </w:tc>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Annual Assessment 2022 p.54</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D</w:t>
            </w:r>
          </w:p>
        </w:tc>
        <w:tc>
          <w:tcPr>
            <w:tcW w:w="0" w:type="auto"/>
          </w:tcPr>
          <w:p>
            <w:pPr>
              <w:spacing w:line="240" w:lineRule="auto" w:before="0" w:after="0"/>
              <w:pStyle w:val="Compact"/>
            </w:pPr>
            <w:r>
              <w:rPr>
                <w:sz w:val="20"/>
                <w:szCs w:val="20"/>
              </w:rPr>
              <w:t xml:space="preserve">Asteroid</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308</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Annual Assessment 2022 p.44</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JPL/Airbus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Annual Assessment 2018 p.50</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Northrop Grumman</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1058</w:t>
            </w:r>
          </w:p>
        </w:tc>
        <w:tc>
          <w:tcPr>
            <w:tcW w:w="0" w:type="auto"/>
          </w:tcPr>
          <w:p>
            <w:pPr>
              <w:spacing w:line="240" w:lineRule="auto" w:before="0" w:after="0"/>
              <w:pStyle w:val="Compact"/>
            </w:pPr>
            <w:r>
              <w:rPr>
                <w:sz w:val="20"/>
                <w:szCs w:val="20"/>
              </w:rPr>
              <w:t xml:space="preserve">30.8</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Annual Assessment 2019 p.40</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Northrop Grumman</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Annual Assessment 2022 p.50</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JPL/CNES</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Annual Assessment 2023 p.70</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JPL/ISRO</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1170</w:t>
            </w:r>
          </w:p>
        </w:tc>
        <w:tc>
          <w:tcPr>
            <w:tcW w:w="0" w:type="auto"/>
          </w:tcPr>
          <w:p>
            <w:pPr>
              <w:spacing w:line="240" w:lineRule="auto" w:before="0" w:after="0"/>
              <w:pStyle w:val="Compact"/>
            </w:pPr>
            <w:r>
              <w:rPr>
                <w:sz w:val="20"/>
                <w:szCs w:val="20"/>
              </w:rPr>
              <w:t xml:space="preserve">42.7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Annual Assessment 2024 p.46</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Annual Assessment 2023 p.60</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D</w:t>
            </w:r>
          </w:p>
        </w:tc>
        <w:tc>
          <w:tcPr>
            <w:tcW w:w="0" w:type="auto"/>
          </w:tcPr>
          <w:p>
            <w:pPr>
              <w:spacing w:line="240" w:lineRule="auto" w:before="0" w:after="0"/>
              <w:pStyle w:val="Compact"/>
            </w:pPr>
            <w:r>
              <w:rPr>
                <w:sz w:val="20"/>
                <w:szCs w:val="20"/>
              </w:rPr>
              <w:t xml:space="preserve">HEO</w:t>
            </w:r>
          </w:p>
        </w:tc>
        <w:tc>
          <w:tcPr>
            <w:tcW w:w="0" w:type="auto"/>
          </w:tcPr>
          <w:p>
            <w:pPr>
              <w:spacing w:line="240" w:lineRule="auto" w:before="0" w:after="0"/>
              <w:pStyle w:val="Compact"/>
            </w:pPr>
            <w:r>
              <w:rPr>
                <w:sz w:val="20"/>
                <w:szCs w:val="20"/>
              </w:rPr>
              <w:t xml:space="preserve">Orbital ATK</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Annual Assessment 2018 p.66</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Solar</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1543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Annual Assessment 2019 p.50</w:t>
            </w:r>
          </w:p>
        </w:tc>
      </w:tr>
      <w:tr>
        <w:tc>
          <w:tcPr>
            <w:tcW w:w="0" w:type="auto"/>
          </w:tcPr>
          <w:p>
            <w:pPr>
              <w:spacing w:line="240" w:lineRule="auto" w:before="0" w:after="0"/>
              <w:pStyle w:val="Compact"/>
            </w:pPr>
            <w:r>
              <w:rPr>
                <w:sz w:val="20"/>
                <w:szCs w:val="20"/>
              </w:rPr>
              <w:t xml:space="preserve">Solar Orbiter Collaboration</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Solar</w:t>
            </w:r>
          </w:p>
        </w:tc>
        <w:tc>
          <w:tcPr>
            <w:tcW w:w="0" w:type="auto"/>
          </w:tcPr>
          <w:p>
            <w:pPr>
              <w:spacing w:line="240" w:lineRule="auto" w:before="0" w:after="0"/>
              <w:pStyle w:val="Compact"/>
            </w:pPr>
            <w:r>
              <w:rPr>
                <w:sz w:val="20"/>
                <w:szCs w:val="20"/>
              </w:rPr>
              <w:t xml:space="preserve">ESA/GSFC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386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Annual Assessment 2020 p.69</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671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GAO-15-320SP Annual Assessment 2015 p.66</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Jupiter</w:t>
            </w:r>
          </w:p>
        </w:tc>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GAO-13-276SP Annual Assessment 2013 p.42</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7672</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Annual Assessment 2019 p.36</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7020</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Annual Assessment 2023 p.74</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6700</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Annual Assessment 2022 p.66</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L2</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3934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Annual Assessment 2024 p.52</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Titan</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Annual Assessment NASA Major Projects 2025 p.40</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D</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JSC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433</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Annual Assessment 2024 p.56 [program later cancelled]</w:t>
            </w:r>
          </w:p>
        </w:tc>
      </w:tr>
      <w:tr>
        <w:tc>
          <w:tcPr>
            <w:tcW w:w="0" w:type="auto"/>
          </w:tcPr>
          <w:p>
            <w:pPr>
              <w:spacing w:line="240" w:lineRule="auto" w:before="0" w:after="0"/>
              <w:pStyle w:val="Compact"/>
            </w:pPr>
            <w:r>
              <w:rPr>
                <w:sz w:val="20"/>
                <w:szCs w:val="20"/>
              </w:rPr>
              <w:t xml:space="preserve">IMAP</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L1</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707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Annual Assessment 2025 p.44</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D</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JPL/Caltech</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Annual Assessment 2024 p.58</w:t>
            </w:r>
          </w:p>
        </w:tc>
      </w:tr>
      <w:tr>
        <w:tc>
          <w:tcPr>
            <w:tcW w:w="0" w:type="auto"/>
          </w:tcPr>
          <w:p>
            <w:pPr>
              <w:spacing w:line="240" w:lineRule="auto" w:before="0" w:after="0"/>
              <w:pStyle w:val="Compact"/>
            </w:pPr>
            <w:r>
              <w:rPr>
                <w:sz w:val="20"/>
                <w:szCs w:val="20"/>
              </w:rPr>
              <w:t xml:space="preserve">GeoCarb</w:t>
            </w:r>
          </w:p>
        </w:tc>
        <w:tc>
          <w:tcPr>
            <w:tcW w:w="0" w:type="auto"/>
          </w:tcPr>
          <w:p>
            <w:pPr>
              <w:spacing w:line="240" w:lineRule="auto" w:before="0" w:after="0"/>
              <w:pStyle w:val="Compact"/>
            </w:pPr>
            <w:r>
              <w:rPr>
                <w:sz w:val="20"/>
                <w:szCs w:val="20"/>
              </w:rPr>
              <w:t xml:space="preserve">D</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Lockheed Martin</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Annual Assessment 2022 [cancelled 2022; cost growth at termination]</w:t>
            </w:r>
          </w:p>
        </w:tc>
      </w:tr>
      <w:tr>
        <w:tc>
          <w:tcPr>
            <w:tcW w:w="0" w:type="auto"/>
          </w:tcPr>
          <w:p>
            <w:pPr>
              <w:spacing w:line="240" w:lineRule="auto" w:before="0" w:after="0"/>
              <w:pStyle w:val="Compact"/>
            </w:pPr>
            <w:r>
              <w:rPr>
                <w:sz w:val="20"/>
                <w:szCs w:val="20"/>
              </w:rPr>
              <w:t xml:space="preserve">CLPS Astrobotic Peregrine</w:t>
            </w:r>
          </w:p>
        </w:tc>
        <w:tc>
          <w:tcPr>
            <w:tcW w:w="0" w:type="auto"/>
          </w:tcPr>
          <w:p>
            <w:pPr>
              <w:spacing w:line="240" w:lineRule="auto" w:before="0" w:after="0"/>
              <w:pStyle w:val="Compact"/>
            </w:pPr>
            <w:r>
              <w:rPr>
                <w:sz w:val="20"/>
                <w:szCs w:val="20"/>
              </w:rPr>
              <w:t xml:space="preserve">D</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Astrobotic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CLPS task order TO 2-AB public release; mission status 2024 [illustrative cost growth=0 (fixed-price)]</w:t>
            </w:r>
          </w:p>
        </w:tc>
      </w:tr>
      <w:tr>
        <w:tc>
          <w:tcPr>
            <w:tcW w:w="0" w:type="auto"/>
          </w:tcPr>
          <w:p>
            <w:pPr>
              <w:spacing w:line="240" w:lineRule="auto" w:before="0" w:after="0"/>
              <w:pStyle w:val="Compact"/>
            </w:pPr>
            <w:r>
              <w:rPr>
                <w:sz w:val="20"/>
                <w:szCs w:val="20"/>
              </w:rPr>
              <w:t xml:space="preserve">EnVision Contribution</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Annual Assessment 2025 p.48</w:t>
            </w:r>
          </w:p>
        </w:tc>
      </w:tr>
      <w:tr>
        <w:tc>
          <w:tcPr>
            <w:tcW w:w="0" w:type="auto"/>
          </w:tcPr>
          <w:p>
            <w:pPr>
              <w:spacing w:line="240" w:lineRule="auto" w:before="0" w:after="0"/>
              <w:pStyle w:val="Compact"/>
            </w:pPr>
            <w:r>
              <w:rPr>
                <w:sz w:val="20"/>
                <w:szCs w:val="20"/>
              </w:rPr>
              <w:t xml:space="preserve">MSR SRL</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7600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GAO-24-107473 NASA Mars Sample Return Independent Review Board Sept 2023 p.7</w:t>
            </w:r>
          </w:p>
        </w:tc>
      </w:tr>
      <w:tr>
        <w:tc>
          <w:tcPr>
            <w:tcW w:w="0" w:type="auto"/>
          </w:tcPr>
          <w:p>
            <w:pPr>
              <w:spacing w:line="240" w:lineRule="auto" w:before="0" w:after="0"/>
              <w:pStyle w:val="Compact"/>
            </w:pPr>
            <w:r>
              <w:rPr>
                <w:sz w:val="20"/>
                <w:szCs w:val="20"/>
              </w:rPr>
              <w:t xml:space="preserve">Artemis I Ground Systems</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KSC EGS</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2750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Annual Assessment 2023 p.72</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breach15</w:t>
            </w:r>
          </w:p>
        </w:tc>
        <w:tc>
          <w:tcPr>
            <w:tcW w:w="0" w:type="auto"/>
          </w:tcPr>
          <w:p>
            <w:pPr>
              <w:spacing w:line="240" w:lineRule="auto" w:before="0" w:after="0"/>
              <w:pStyle w:val="Compact"/>
            </w:pPr>
            <w:r>
              <w:rPr>
                <w:sz w:val="20"/>
                <w:szCs w:val="20"/>
              </w:rPr>
              <w:t xml:space="preserve">Binary indicator equal to 1 if the program’s cost growth from baseline life-cycle cost exceeded 15 percent at the most recent GAO assessment, 0 otherwise</w:t>
            </w:r>
          </w:p>
        </w:tc>
        <w:tc>
          <w:tcPr>
            <w:tcW w:w="0" w:type="auto"/>
          </w:tcPr>
          <w:p>
            <w:pPr>
              <w:spacing w:line="240" w:lineRule="auto" w:before="0" w:after="0"/>
              <w:pStyle w:val="Compact"/>
            </w:pPr>
            <w:r>
              <w:rPr>
                <w:sz w:val="20"/>
                <w:szCs w:val="20"/>
              </w:rPr>
              <w:t xml:space="preserve">Constructed from the cost_growth_pct field of the GAO NASA Major Projects Assessment series 2012-2025</w:t>
            </w:r>
          </w:p>
        </w:tc>
      </w:tr>
      <w:tr>
        <w:tc>
          <w:tcPr>
            <w:tcW w:w="0" w:type="auto"/>
          </w:tcPr>
          <w:p>
            <w:pPr>
              <w:spacing w:line="240" w:lineRule="auto" w:before="0" w:after="0"/>
              <w:pStyle w:val="Compact"/>
            </w:pPr>
            <w:r>
              <w:rPr>
                <w:sz w:val="20"/>
                <w:szCs w:val="20"/>
              </w:rPr>
              <w:t xml:space="preserve">dme_intensity</w:t>
            </w:r>
          </w:p>
        </w:tc>
        <w:tc>
          <w:tcPr>
            <w:tcW w:w="0" w:type="auto"/>
          </w:tcPr>
          <w:p>
            <w:pPr>
              <w:spacing w:line="240" w:lineRule="auto" w:before="0" w:after="0"/>
              <w:pStyle w:val="Compact"/>
            </w:pPr>
            <w:r>
              <w:rPr>
                <w:sz w:val="20"/>
                <w:szCs w:val="20"/>
              </w:rPr>
              <w:t xml:space="preserve">Continuous index from 0.0 to 1.0 capturing depth of Digital Mission Engineering and Model-Based Systems Engineering adoption: 0.0 to 0.2 document-centric, 0.3 to 0.5 partial model use, 0.6 to 0.8 authoritative digital thread, 0.9 to 1.0 fully integrated digital twin</w:t>
            </w:r>
          </w:p>
        </w:tc>
        <w:tc>
          <w:tcPr>
            <w:tcW w:w="0" w:type="auto"/>
          </w:tcPr>
          <w:p>
            <w:pPr>
              <w:spacing w:line="240" w:lineRule="auto" w:before="0" w:after="0"/>
              <w:pStyle w:val="Compact"/>
            </w:pPr>
            <w:r>
              <w:rPr>
                <w:sz w:val="20"/>
                <w:szCs w:val="20"/>
              </w:rPr>
              <w:t xml:space="preserve">Coded from NASA project plans and prime contractor technical-paper record, cross-checked against AMOS and Acta Astronautica corpora</w:t>
            </w:r>
          </w:p>
        </w:tc>
      </w:tr>
      <w:tr>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Original committed life-cycle cost at the program’s confirmation review, in millions of nominal USD</w:t>
            </w:r>
          </w:p>
        </w:tc>
        <w:tc>
          <w:tcPr>
            <w:tcW w:w="0" w:type="auto"/>
          </w:tcPr>
          <w:p>
            <w:pPr>
              <w:spacing w:line="240" w:lineRule="auto" w:before="0" w:after="0"/>
              <w:pStyle w:val="Compact"/>
            </w:pPr>
            <w:r>
              <w:rPr>
                <w:sz w:val="20"/>
                <w:szCs w:val="20"/>
              </w:rPr>
              <w:t xml:space="preserve">GAO Major Projects Assessment baseline cost column</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Ordinal complexity score from 2 (low) to 5 (very high) reflecting destination class, payload-suite count, autonomy requirements, and risk classification per NPR 8705.4</w:t>
            </w:r>
          </w:p>
        </w:tc>
        <w:tc>
          <w:tcPr>
            <w:tcW w:w="0" w:type="auto"/>
          </w:tcPr>
          <w:p>
            <w:pPr>
              <w:spacing w:line="240" w:lineRule="auto" w:before="0" w:after="0"/>
              <w:pStyle w:val="Compact"/>
            </w:pPr>
            <w:r>
              <w:rPr>
                <w:sz w:val="20"/>
                <w:szCs w:val="20"/>
              </w:rPr>
              <w:t xml:space="preserve">Constructed from NASA NPR 8705.4 classification cross-referenced with GAO descriptions of mission scope</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Documented public reference for each row, identifying GAO report number, page, and any program-specific note</w:t>
            </w:r>
          </w:p>
        </w:tc>
        <w:tc>
          <w:tcPr>
            <w:tcW w:w="0" w:type="auto"/>
          </w:tcPr>
          <w:p>
            <w:pPr>
              <w:spacing w:line="240" w:lineRule="auto" w:before="0" w:after="0"/>
              <w:pStyle w:val="Compact"/>
            </w:pPr>
            <w:r>
              <w:rPr>
                <w:sz w:val="20"/>
                <w:szCs w:val="20"/>
              </w:rPr>
              <w:t xml:space="preserve">GAO Major Projects Assessment series; NASA CLPS task orders; Mars Sample Return Independent Review Board</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-2.6396</w:t>
            </w:r>
          </w:p>
        </w:tc>
        <w:tc>
          <w:tcPr>
            <w:tcW w:w="0" w:type="auto"/>
          </w:tcPr>
          <w:p>
            <w:pPr>
              <w:spacing w:line="240" w:lineRule="auto" w:before="0" w:after="0"/>
              <w:pStyle w:val="Compact"/>
            </w:pPr>
            <w:r>
              <w:rPr>
                <w:sz w:val="20"/>
                <w:szCs w:val="20"/>
              </w:rPr>
              <w:t xml:space="preserve">2.495</w:t>
            </w:r>
          </w:p>
        </w:tc>
        <w:tc>
          <w:tcPr>
            <w:tcW w:w="0" w:type="auto"/>
          </w:tcPr>
          <w:p>
            <w:pPr>
              <w:spacing w:line="240" w:lineRule="auto" w:before="0" w:after="0"/>
              <w:pStyle w:val="Compact"/>
            </w:pPr>
            <w:r>
              <w:rPr>
                <w:sz w:val="20"/>
                <w:szCs w:val="20"/>
              </w:rPr>
              <w:t xml:space="preserve">-1.0579</w:t>
            </w:r>
          </w:p>
        </w:tc>
        <w:tc>
          <w:tcPr>
            <w:tcW w:w="0" w:type="auto"/>
          </w:tcPr>
          <w:p>
            <w:pPr>
              <w:spacing w:line="240" w:lineRule="auto" w:before="0" w:after="0"/>
              <w:pStyle w:val="Compact"/>
            </w:pPr>
            <w:r>
              <w:rPr>
                <w:sz w:val="20"/>
                <w:szCs w:val="20"/>
              </w:rPr>
              <w:t xml:space="preserve">0.2901</w:t>
            </w:r>
          </w:p>
        </w:tc>
        <w:tc>
          <w:tcPr>
            <w:tcW w:w="0" w:type="auto"/>
          </w:tcPr>
          <w:p>
            <w:pPr>
              <w:spacing w:line="240" w:lineRule="auto" w:before="0" w:after="0"/>
              <w:pStyle w:val="Compact"/>
            </w:pPr>
            <w:r>
              <w:rPr>
                <w:sz w:val="20"/>
                <w:szCs w:val="20"/>
              </w:rPr>
              <w:t xml:space="preserve">[-7.5298, 2.2506]</w:t>
            </w:r>
          </w:p>
        </w:tc>
      </w:tr>
      <w:tr>
        <w:tc>
          <w:tcPr>
            <w:tcW w:w="0" w:type="auto"/>
          </w:tcPr>
          <w:p>
            <w:pPr>
              <w:spacing w:line="240" w:lineRule="auto" w:before="0" w:after="0"/>
              <w:pStyle w:val="Compact"/>
            </w:pPr>
            <w:r>
              <w:rPr>
                <w:sz w:val="20"/>
                <w:szCs w:val="20"/>
              </w:rPr>
              <w:t xml:space="preserve">dme_intensity</w:t>
            </w:r>
          </w:p>
        </w:tc>
        <w:tc>
          <w:tcPr>
            <w:tcW w:w="0" w:type="auto"/>
          </w:tcPr>
          <w:p>
            <w:pPr>
              <w:spacing w:line="240" w:lineRule="auto" w:before="0" w:after="0"/>
              <w:pStyle w:val="Compact"/>
            </w:pPr>
            <w:r>
              <w:rPr>
                <w:sz w:val="20"/>
                <w:szCs w:val="20"/>
              </w:rPr>
              <w:t xml:space="preserve">-7.4727</w:t>
            </w:r>
          </w:p>
        </w:tc>
        <w:tc>
          <w:tcPr>
            <w:tcW w:w="0" w:type="auto"/>
          </w:tcPr>
          <w:p>
            <w:pPr>
              <w:spacing w:line="240" w:lineRule="auto" w:before="0" w:after="0"/>
              <w:pStyle w:val="Compact"/>
            </w:pPr>
            <w:r>
              <w:rPr>
                <w:sz w:val="20"/>
                <w:szCs w:val="20"/>
              </w:rPr>
              <w:t xml:space="preserve">3.477</w:t>
            </w:r>
          </w:p>
        </w:tc>
        <w:tc>
          <w:tcPr>
            <w:tcW w:w="0" w:type="auto"/>
          </w:tcPr>
          <w:p>
            <w:pPr>
              <w:spacing w:line="240" w:lineRule="auto" w:before="0" w:after="0"/>
              <w:pStyle w:val="Compact"/>
            </w:pPr>
            <w:r>
              <w:rPr>
                <w:sz w:val="20"/>
                <w:szCs w:val="20"/>
              </w:rPr>
              <w:t xml:space="preserve">-2.1491</w:t>
            </w:r>
          </w:p>
        </w:tc>
        <w:tc>
          <w:tcPr>
            <w:tcW w:w="0" w:type="auto"/>
          </w:tcPr>
          <w:p>
            <w:pPr>
              <w:spacing w:line="240" w:lineRule="auto" w:before="0" w:after="0"/>
              <w:pStyle w:val="Compact"/>
            </w:pPr>
            <w:r>
              <w:rPr>
                <w:sz w:val="20"/>
                <w:szCs w:val="20"/>
              </w:rPr>
              <w:t xml:space="preserve">0.0316</w:t>
            </w:r>
          </w:p>
        </w:tc>
        <w:tc>
          <w:tcPr>
            <w:tcW w:w="0" w:type="auto"/>
          </w:tcPr>
          <w:p>
            <w:pPr>
              <w:spacing w:line="240" w:lineRule="auto" w:before="0" w:after="0"/>
              <w:pStyle w:val="Compact"/>
            </w:pPr>
            <w:r>
              <w:rPr>
                <w:sz w:val="20"/>
                <w:szCs w:val="20"/>
              </w:rPr>
              <w:t xml:space="preserve">[-14.2875, -0.6578]</w:t>
            </w:r>
          </w:p>
        </w:tc>
      </w:tr>
      <w:tr>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0.0001526</w:t>
            </w:r>
          </w:p>
        </w:tc>
        <w:tc>
          <w:tcPr>
            <w:tcW w:w="0" w:type="auto"/>
          </w:tcPr>
          <w:p>
            <w:pPr>
              <w:spacing w:line="240" w:lineRule="auto" w:before="0" w:after="0"/>
              <w:pStyle w:val="Compact"/>
            </w:pPr>
            <w:r>
              <w:rPr>
                <w:sz w:val="20"/>
                <w:szCs w:val="20"/>
              </w:rPr>
              <w:t xml:space="preserve">0.0002306</w:t>
            </w:r>
          </w:p>
        </w:tc>
        <w:tc>
          <w:tcPr>
            <w:tcW w:w="0" w:type="auto"/>
          </w:tcPr>
          <w:p>
            <w:pPr>
              <w:spacing w:line="240" w:lineRule="auto" w:before="0" w:after="0"/>
              <w:pStyle w:val="Compact"/>
            </w:pPr>
            <w:r>
              <w:rPr>
                <w:sz w:val="20"/>
                <w:szCs w:val="20"/>
              </w:rPr>
              <w:t xml:space="preserve">0.6617</w:t>
            </w:r>
          </w:p>
        </w:tc>
        <w:tc>
          <w:tcPr>
            <w:tcW w:w="0" w:type="auto"/>
          </w:tcPr>
          <w:p>
            <w:pPr>
              <w:spacing w:line="240" w:lineRule="auto" w:before="0" w:after="0"/>
              <w:pStyle w:val="Compact"/>
            </w:pPr>
            <w:r>
              <w:rPr>
                <w:sz w:val="20"/>
                <w:szCs w:val="20"/>
              </w:rPr>
              <w:t xml:space="preserve">0.5082</w:t>
            </w:r>
          </w:p>
        </w:tc>
        <w:tc>
          <w:tcPr>
            <w:tcW w:w="0" w:type="auto"/>
          </w:tcPr>
          <w:p>
            <w:pPr>
              <w:spacing w:line="240" w:lineRule="auto" w:before="0" w:after="0"/>
              <w:pStyle w:val="Compact"/>
            </w:pPr>
            <w:r>
              <w:rPr>
                <w:sz w:val="20"/>
                <w:szCs w:val="20"/>
              </w:rPr>
              <w:t xml:space="preserve">[-0.0002994, 0.0006045]</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1.2285</w:t>
            </w:r>
          </w:p>
        </w:tc>
        <w:tc>
          <w:tcPr>
            <w:tcW w:w="0" w:type="auto"/>
          </w:tcPr>
          <w:p>
            <w:pPr>
              <w:spacing w:line="240" w:lineRule="auto" w:before="0" w:after="0"/>
              <w:pStyle w:val="Compact"/>
            </w:pPr>
            <w:r>
              <w:rPr>
                <w:sz w:val="20"/>
                <w:szCs w:val="20"/>
              </w:rPr>
              <w:t xml:space="preserve">0.7651</w:t>
            </w:r>
          </w:p>
        </w:tc>
        <w:tc>
          <w:tcPr>
            <w:tcW w:w="0" w:type="auto"/>
          </w:tcPr>
          <w:p>
            <w:pPr>
              <w:spacing w:line="240" w:lineRule="auto" w:before="0" w:after="0"/>
              <w:pStyle w:val="Compact"/>
            </w:pPr>
            <w:r>
              <w:rPr>
                <w:sz w:val="20"/>
                <w:szCs w:val="20"/>
              </w:rPr>
              <w:t xml:space="preserve">1.6056</w:t>
            </w:r>
          </w:p>
        </w:tc>
        <w:tc>
          <w:tcPr>
            <w:tcW w:w="0" w:type="auto"/>
          </w:tcPr>
          <w:p>
            <w:pPr>
              <w:spacing w:line="240" w:lineRule="auto" w:before="0" w:after="0"/>
              <w:pStyle w:val="Compact"/>
            </w:pPr>
            <w:r>
              <w:rPr>
                <w:sz w:val="20"/>
                <w:szCs w:val="20"/>
              </w:rPr>
              <w:t xml:space="preserve">0.1084</w:t>
            </w:r>
          </w:p>
        </w:tc>
        <w:tc>
          <w:tcPr>
            <w:tcW w:w="0" w:type="auto"/>
          </w:tcPr>
          <w:p>
            <w:pPr>
              <w:spacing w:line="240" w:lineRule="auto" w:before="0" w:after="0"/>
              <w:pStyle w:val="Compact"/>
            </w:pPr>
            <w:r>
              <w:rPr>
                <w:sz w:val="20"/>
                <w:szCs w:val="20"/>
              </w:rPr>
              <w:t xml:space="preserve">[-0.2711, 2.728]</w:t>
            </w:r>
          </w:p>
        </w:tc>
      </w:tr>
    </w:tbl>
    <w:p>
      <w:pPr>
        <w:pStyle w:val="BodyText"/>
      </w:pPr>
      <w:r>
        <w:t xml:space="preserve">Fit: N = 32 pseudo_R2 = 0.2665 LL = -15.1049</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2" Target="https://doi.org/10.1016/j.actaastro.2025.11.006" TargetMode="External" /><Relationship Type="http://schemas.openxmlformats.org/officeDocument/2006/relationships/hyperlink" Id="rId70" Target="https://doi.org/10.1016/j.actaastro.2026.03.057" TargetMode="External" /><Relationship Type="http://schemas.openxmlformats.org/officeDocument/2006/relationships/hyperlink" Id="rId74" Target="https://doi.org/10.64861/IGYM9299"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25.11.006" TargetMode="External" /><Relationship Type="http://schemas.openxmlformats.org/officeDocument/2006/relationships/hyperlink" Id="rId70" Target="https://doi.org/10.1016/j.actaastro.2026.03.057" TargetMode="External" /><Relationship Type="http://schemas.openxmlformats.org/officeDocument/2006/relationships/hyperlink" Id="rId74" Target="https://doi.org/10.64861/IGYM929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2026-06-27T00:26:26Z</dcterms:created>
  <dcterms:modified xsi:type="dcterms:W3CDTF">2026-06-27T00:26:26Z</dcterms:modified>
</cp:coreProperties>
</file>

<file path=docProps/custom.xml><?xml version="1.0" encoding="utf-8"?>
<Properties xmlns="http://schemas.openxmlformats.org/officeDocument/2006/custom-properties" xmlns:vt="http://schemas.openxmlformats.org/officeDocument/2006/docPropsVTypes"/>
</file>