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MODEL-BASED SYSTEMS ENGINEERING BEND THE COST-AND-SCHEDULE CURVE? A QUASI-EXPERIMENTAL EVALUATION OF DIGITAL MISSION ENGINEERING PLATFORMS IN SPACECRAFT ACQUISITION</w:t>
      </w:r>
    </w:p>
    <w:p>
      <w:pPr>
        <w:jc w:val="center"/>
      </w:pPr>
    </w:p>
    <w:p>
      <w:pPr>
        <w:jc w:val="center"/>
      </w:pPr>
      <w:r>
        <w:rPr>
          <w:rFonts w:ascii="Times New Roman" w:hAnsi="Times New Roman"/>
          <w:sz w:val="24"/>
        </w:rPr>
        <w:t>by</w:t>
      </w:r>
    </w:p>
    <w:p>
      <w:pPr>
        <w:jc w:val="center"/>
      </w:pPr>
      <w:r>
        <w:rPr>
          <w:rFonts w:ascii="Times New Roman" w:hAnsi="Times New Roman"/>
          <w:b/>
          <w:sz w:val="28"/>
        </w:rPr>
        <w:t>Soren Eze</w:t>
      </w:r>
    </w:p>
    <w:p>
      <w:pPr>
        <w:jc w:val="center"/>
      </w:pPr>
      <w:r>
        <w:rPr>
          <w:rFonts w:ascii="Times New Roman" w:hAnsi="Times New Roman"/>
          <w:sz w:val="24"/>
        </w:rPr>
        <w:t>1B-DME-098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The acquisition of robotic and crewed spacecraft remains one of the most cost- and schedule-volatile activities the United States Government undertakes. The Government Accountability Office has, for more than a decade of annual major-project assessments, documented the recurrence of double-digit cost growth and multi-year schedule slip across the National Aeronautics and Space Administration’s portfolio of confirmed flight projects [6, 7, 16]. The pattern is not confined to a single mission class. It appears in flagship strategic missions, in competed mid-class missions, and in small-class projects, and it persists across changes in administration, prime contractor, and launch vehicle. For the Jet Propulsion Laboratory, the federally funded research and development center that integrates much of NASA’s deep-space portfolio, the practical consequence is that a non-trivial share of every flight project’s planned reserve is consumed by the anticipated cost of late-cycle requirements churn, integration discovery, and verification rework rather than by the technical content of the mission itself. The Mars Sample Return Independent Review Board’s findings on cost re-baselining and architectural instability are the most visible recent example, but the pattern they describe is portfolio-wide rather than program-specific</w:t>
      </w:r>
      <w:r>
        <w:t xml:space="preserve"> </w:t>
      </w:r>
      <w:hyperlink w:anchor="ref-17">
        <w:r>
          <w:rPr>
            <w:rStyle w:val="Hyperlink"/>
          </w:rPr>
          <w:t xml:space="preserve">[17]</w:t>
        </w:r>
      </w:hyperlink>
      <w:r>
        <w:t xml:space="preserve">.</w:t>
      </w:r>
    </w:p>
    <w:p>
      <w:pPr>
        <w:pStyle w:val="BodyText"/>
        <w:spacing w:line="480" w:lineRule="auto"/>
        <w:ind w:firstLine="720"/>
      </w:pPr>
      <w:r>
        <w:t xml:space="preserve">The community of practice has not been idle. Over the same period, NASA, the United States Space Force, the International Council on Systems Engineering, and the major prime contractors have invested heavily in Model-Based Systems Engineering, in the digital-thread architectures that succeed it, and in the tool-supported expression of both that this dissertation will refer to throughout as Digital Mission Engineering. The asserted promise of these methods is straightforward. By replacing document-centric specifications with executable models held in an authoritative repository, by collapsing the latency between a requirement change and the regeneration of its downstream verification artifacts, and by enabling broader formulation-phase trade-space exploration at fixed engineering effort, Digital Mission Engineering is claimed to reduce the late rework that drives the largest cost overruns and to compress the schedule of the formulation-through-integration arc. Architecture-level studies of optical sensor constellations have argued that model-based trade workflows shorten the architecture-down-select phase and reduce manual verification effort [1, 19]. CubeSat reference-model work has made the parallel claim for small-class missions, asserting reductions in development cost, development schedule, operational cost, and deployment schedule [2, 23]. Decision-support and in-space servicing architectures depend explicitly on Digital Mission Engineering platforms as the substrate through which mission, vehicle, and environment models are integrated into a single executable thread [3, 4, 22, 25].</w:t>
      </w:r>
    </w:p>
    <w:p>
      <w:pPr>
        <w:pStyle w:val="BodyText"/>
        <w:spacing w:line="480" w:lineRule="auto"/>
        <w:ind w:firstLine="720"/>
      </w:pPr>
      <w:r>
        <w:t xml:space="preserve">The stakes of whether these claims are in fact true are substantial. If Digital Mission Engineering adoption measurably bends the cost-and-schedule curve at the program level, the case for mandating it across the National Space Architecture, embedding it in the NASA Cost Estimating Handbook’s risk treatment</w:t>
      </w:r>
      <w:r>
        <w:t xml:space="preserve"> </w:t>
      </w:r>
      <w:hyperlink w:anchor="ref-9">
        <w:r>
          <w:rPr>
            <w:rStyle w:val="Hyperlink"/>
          </w:rPr>
          <w:t xml:space="preserve">[9]</w:t>
        </w:r>
      </w:hyperlink>
      <w:r>
        <w:t xml:space="preserve">, and treating it as a leading indicator of cost-control health in program confirmation reviews is strong. The implication for JPL is direct: a tool-and-process choice made at the beginning of formulation would carry estimable, defensible value, and the laboratory’s investment in digital infrastructure would be justified on outcome grounds rather than on craft preference. If, on the other hand, the claim does not survive a credible identification strategy, the community is paying a non-trivial license, training, and process-rewrite cost for an effect that does not exist at the program level, or for one that is dominated by selection on program-office competence rather than by the tooling itself. Either finding has standing. The current literature does not adjudicate between them.</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The intellectual problem this dissertation addresses sits in the seam between two literatures that have, to date, almost entirely failed to engage one another.</w:t>
      </w:r>
    </w:p>
    <w:p>
      <w:pPr>
        <w:pStyle w:val="BodyText"/>
        <w:spacing w:line="480" w:lineRule="auto"/>
        <w:ind w:firstLine="720"/>
      </w:pPr>
      <w:r>
        <w:t xml:space="preserve">The first is the domain literature on MBSE and Digital Mission Engineering. It is largely authored by practicing systems engineers and program-office staff, published in venues such as the Advanced Maui Optical and Space Surveillance Technologies Conference proceedings and in Acta Astronautica, and structured around demonstrations of capability. The dominant evidentiary form is the single-program retrospective, in which a project team reports cost or schedule savings, or both, against a self-reported document-centric baseline [1, 2, 19, 23]. A second branch within the domain literature is the architecture-level trade-study demonstration, in which Digital Mission Engineering tools are shown to enable a wider trade space at fixed engineering effort, with cost and schedule benefit asserted as a corollary but not estimated [3, 5, 12, 20]. A third branch treats Digital Mission Engineering platforms as the enabling layer for downstream analytics, autonomy, or decision-support functions, with the platform itself treated as infrastructure rather than as the unit of analysis [4, 22, 24, 25]. The domain literature is technically rigorous on the engineering content of the tools and on the workflows they support. It is, however, evidentially thin on the question of program-level effect. The reported gains are anchored in selected programs, lack a credible counterfactual, and rarely separate the effect of the tool from the effect of the program office that chose to adopt it. The studies are, in the language of program evaluation, demonstrations rather than estimations.</w:t>
      </w:r>
    </w:p>
    <w:p>
      <w:pPr>
        <w:pStyle w:val="BodyText"/>
        <w:spacing w:line="480" w:lineRule="auto"/>
        <w:ind w:firstLine="720"/>
      </w:pPr>
      <w:r>
        <w:t xml:space="preserve">The second literature is the econometric and program-evaluation methods literature on causal inference in observational data. Over the same period in which the domain literature was assembling its case for Digital Mission Engineering, the methods literature was undergoing a credibility revolution centered on quasi-experimental design. Coarsened exact matching, staggered-adoption difference-in-differences with two-way fixed effects, the Callaway and Sant’Anna estimator for treatment-timing heterogeneity, the Sun and Abraham interaction-weighted estimator, synthetic control, the Oster delta bound on selection on unobservables, and the Cinelli and Hazlett sensitivity contour have collectively become a standard toolkit for estimating treatment effects in panel data where random assignment is infeasible. Survival analysis under the Cox proportional-hazards specification and logistic regression on threshold-breach indicators have, in parallel, become workhorses for evaluating discrete program outcomes. None of these methods is novel to applied econometrics. All of them are well-suited to the structure of the spacecraft acquisition record, which is a panel of programs observed at quarterly or annual cadence across formulation, design, integration, and operations, with staggered adoption of a candidate treatment, with right-censoring at the most recent assessment, and with a known set of confounders that are themselves observable in the GAO assessment series and in the NASA Cost Analysis Data Requirement repository.</w:t>
      </w:r>
    </w:p>
    <w:p>
      <w:pPr>
        <w:pStyle w:val="BodyText"/>
        <w:spacing w:line="480" w:lineRule="auto"/>
        <w:ind w:firstLine="720"/>
      </w:pPr>
      <w:r>
        <w:t xml:space="preserve">The two literatures do not meet. Searches across the AMOS and Acta Astronautica corpora retrieved for the prospectus and for the companion working papers do not return a single study that estimates a treatment effect of Digital Mission Engineering adoption on cost or schedule outcomes using a design that addresses selection on observables, let alone selection on unobservables. The gap is therefore not a gap in advocacy. The community has advocated for Digital Mission Engineering at length, persuasively, and in technically detailed ways. The gap is a gap in identified estimation. The same is visible from the other side. The applied-econometrics literature on government acquisition has examined defense procurement, infrastructure projects, and large engineering programs, but it has not engaged with the spacecraft acquisition record at the granularity at which the domain literature operates, and it has not treated MBSE or Digital Mission Engineering adoption as a treatment of interest. The result is that the most consequential claim the systems engineering community has made about its own most consequential method has not been subjected to the inferential standards that the methods community routinely applies to comparable claims in other policy domains.</w:t>
      </w:r>
    </w:p>
    <w:p>
      <w:pPr>
        <w:pStyle w:val="BodyText"/>
        <w:spacing w:line="480" w:lineRule="auto"/>
        <w:ind w:firstLine="720"/>
      </w:pPr>
      <w:r>
        <w:t xml:space="preserve">This dissertation is built in that seam. It takes the domain literature seriously as the source of the substantive hypothesis, of the unit of analysis, and of the treatment coding. It takes the methods literature seriously as the source of the identification strategy, the estimator, and the sensitivity bounds. The companion working papers in this program of research have already begun to do this in piecewise form. The Cox proportional-hazards analysis of time from authority to proceed to launch, on a sample of thirty NASA major projects observed across the GAO assessment series from 2012 to 2025, returned a hazard ratio for MBSE adoption of 1.12, with a standard error too large to reject the null at any conventional level, while at the same time returning a strongly significant, negative coefficient on planned life-cycle duration that established that the model was identifying real signal in the duration data. The logistic-regression analysis of fifteen-percent cost-growth breach, on a sample of thirty-two NASA major projects from the same series, returned a large and negative coefficient on Digital Mission Engineering intensity, significant at five percent, conditional on baseline cost and an ordinal complexity index. The two pieces are consistent with the broader reading that, in the GAO portfolio, Digital Mission Engineering adoption is more visibly associated with cost outcomes than with schedule outcomes, and that the binary adoption coding is too coarse to resolve the effect on the schedule margin in samples of fewer than fifty programs. They are not, however, sufficient on their own. They do not address selection on unobservables. They do not exploit the panel structure of the CADRe repository. They do not estimate a treatment effect with a credible counterfactual.</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falsifiable claim. The claim is stated here in the form in which it will be tested and reported in Chapter 5.</w:t>
      </w:r>
    </w:p>
    <w:p>
      <w:pPr>
        <w:pStyle w:val="BodyText"/>
        <w:spacing w:line="480" w:lineRule="auto"/>
        <w:ind w:firstLine="720"/>
      </w:pPr>
      <w:r>
        <w:t xml:space="preserve">The dissertation estimates the average treatment effect on the treated of Digital Mission Engineering platform adoption at or before System Requirements Review on cumulative Cost Performance Index measured at Preliminary Design Review, for spacecraft contract line items in the NASA Class A through Class D portfolio and in the United States Space Force programs of record observed between 2014 and 2025, conditional on program class, prime contractor type, mission destination regime, pre-adoption Cost Performance Index slope, and budget at completion at authority to proceed. The null hypothesis, denoted H0, is that the average treatment effect on the treated is zero. The pre-registered alternative, denoted H1, is that the average treatment effect on the treated is greater than or equal to 0.05 index points. The 0.05 threshold is set a priori at approximately half of the median observed Cost Performance Index variance in the GAO annual assessment series and is the smallest effect this study commits to detect with adequate statistical power.</w:t>
      </w:r>
    </w:p>
    <w:p>
      <w:pPr>
        <w:pStyle w:val="BodyText"/>
        <w:spacing w:line="480" w:lineRule="auto"/>
        <w:ind w:firstLine="720"/>
      </w:pPr>
      <w:r>
        <w:t xml:space="preserve">A single primary outcome, Cost Performance Index at Preliminary Design Review, and a single pre-registered effect threshold make the contribution falsifiable in the strict sense. The dissertation will report a point estimate and a confidence interval. It will report sensitivity bounds, including the Oster delta and the Cinelli and Hazlett sensitivity contour, that quantify how strong unobserved confounding would have to be to overturn whichever side of H0 the point estimate falls on. The Schedule Performance Index at Preliminary Design Review is reported as a secondary outcome and is not used to adjudicate H0 against H1. The methodological reason for this asymmetry is the schedule finding in the companion Cox analysis, which suggests that the schedule channel is dominated by planned life-cycle duration and by exogenous payload-integration constraints rather than by the engineering surface that Digital Mission Engineering most directly touches. The cost channel, by contrast, is precisely where the digital-thread argument predicts the largest reduction in late rework, and is precisely where the companion logistic analysis returned a large and statistically significant effect at the binary breach margin. The dissertation’s primary outcome is therefore the most theoretically motivated and the most informative outcome for adjudicating the central claim of the domain literature against an identified estimate.</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develops the theoretical framework. It situates Digital Mission Engineering within the broader systems-engineering literature, traces the lineage from document-centric specification through Model-Based Systems Engineering to the digital-thread and authoritative-model architectures now in use, and recovers the mechanism by which Digital Mission Engineering is claimed to operate on cost outcomes. The chapter then introduces the parallel literature on parametric cost estimation, the NASA Cost Estimating Handbook tradition</w:t>
      </w:r>
      <w:r>
        <w:t xml:space="preserve"> </w:t>
      </w:r>
      <w:hyperlink w:anchor="ref-9">
        <w:r>
          <w:rPr>
            <w:rStyle w:val="Hyperlink"/>
          </w:rPr>
          <w:t xml:space="preserve">[9]</w:t>
        </w:r>
      </w:hyperlink>
      <w:r>
        <w:t xml:space="preserve">, the risk-classification regime under NPR 8705.4</w:t>
      </w:r>
      <w:r>
        <w:t xml:space="preserve"> </w:t>
      </w:r>
      <w:hyperlink w:anchor="ref-10">
        <w:r>
          <w:rPr>
            <w:rStyle w:val="Hyperlink"/>
          </w:rPr>
          <w:t xml:space="preserve">[10]</w:t>
        </w:r>
      </w:hyperlink>
      <w:r>
        <w:t xml:space="preserve">, and the spacecraft-economics work that has documented persistent cost overruns in flagship and large strategic missions even when complexity is held constant [14, 15, 26]. The two strands are integrated into a single conceptual model that specifies the channels through which Digital Mission Engineering adoption is hypothesized to affect Cost Performance Index at Preliminary Design Review.</w:t>
      </w:r>
    </w:p>
    <w:p>
      <w:pPr>
        <w:pStyle w:val="BodyText"/>
        <w:spacing w:line="480" w:lineRule="auto"/>
        <w:ind w:firstLine="720"/>
      </w:pPr>
      <w:r>
        <w:t xml:space="preserve">Chapter 3 reviews the empirical literature. It surveys the domain literature in detail, drawing on the AMOS and Acta Astronautica corpora retrieved for this program of research [1, 2, 3, 4, 5, 8, 12, 13, 18, 19, 20, 21, 22, 23, 24, 25]. It then reviews the program-evaluation methods literature that anchors the identification strategy. The chapter closes by articulating the gap that this dissertation closes, in the precise form developed in Section 1.2 of this introduction.</w:t>
      </w:r>
    </w:p>
    <w:p>
      <w:pPr>
        <w:pStyle w:val="BodyText"/>
        <w:spacing w:line="480" w:lineRule="auto"/>
        <w:ind w:firstLine="720"/>
      </w:pPr>
      <w:r>
        <w:t xml:space="preserve">Chapter 4 specifies the research design. It develops the two-stage estimation strategy. Stage 1 is a coarsened exact matching pre-treatment balance step. Stage 2 is a staggered-adoption difference-in-differences specification with program and calendar-quarter fixed effects, estimated by the Callaway and Sant’Anna estimator and by the Sun and Abraham interaction-weighted estimator as a robustness check, with the synthetic control specification reserved for the subset of large flagship programs where the donor pool is thin. The chapter specifies the treatment definition, the outcome definition, the covariate set, the standard-error structure, the pre-trend reporting protocol, and the sensitivity bounds.</w:t>
      </w:r>
    </w:p>
    <w:p>
      <w:pPr>
        <w:pStyle w:val="BodyText"/>
        <w:spacing w:line="480" w:lineRule="auto"/>
        <w:ind w:firstLine="720"/>
      </w:pPr>
      <w:r>
        <w:t xml:space="preserve">Chapter 5 documents the data. It describes the NASA Cost Analysis Data Requirement repository, the GAO Annual Assessment of NASA’s Major Projects series, the NASA NSSDCA master catalog, and the coding protocol for Digital Mission Engineering adoption status. It reports the double-coding procedure and the Cohen’s kappa inter-rater reliability statistic. It documents the matched sample after the coarsened exact matching step, including covariate balance and the post-matching effective sample size.</w:t>
      </w:r>
    </w:p>
    <w:p>
      <w:pPr>
        <w:pStyle w:val="BodyText"/>
        <w:spacing w:line="480" w:lineRule="auto"/>
        <w:ind w:firstLine="720"/>
      </w:pPr>
      <w:r>
        <w:t xml:space="preserve">Chapter 6 reports findings. It presents the point estimate and confidence interval for the average treatment effect on the treated, the event-study plot of pre-trends, the robustness estimates under the Sun and Abraham specification and under the synthetic control specification, and the sensitivity bounds under the Oster delta and the Cinelli and Hazlett contour. It reports the secondary Schedule Performance Index outcome without using it to adjudicate H0 against H1.</w:t>
      </w:r>
    </w:p>
    <w:p>
      <w:pPr>
        <w:pStyle w:val="BodyText"/>
        <w:spacing w:line="480" w:lineRule="auto"/>
        <w:ind w:firstLine="720"/>
      </w:pPr>
      <w:r>
        <w:t xml:space="preserve">Chapter 7 discusses the findings. It interprets the estimated treatment effect in light of the domain literature, returns to the schedule null reported in the companion Cox analysis, integrates the cost finding with the binary-breach finding reported in the companion logistic analysis</w:t>
      </w:r>
      <w:r>
        <w:t xml:space="preserve"> </w:t>
      </w:r>
      <w:hyperlink w:anchor="ref-11">
        <w:r>
          <w:rPr>
            <w:rStyle w:val="Hyperlink"/>
          </w:rPr>
          <w:t xml:space="preserve">[11]</w:t>
        </w:r>
      </w:hyperlink>
      <w:r>
        <w:t xml:space="preserve">, and identifies the channels through which the dissertation’s estimate is informative for the broader claim of the digital-engineering community. It treats threats to external validity explicitly, including the restriction of the estimation sample to NASA and Space Force programs of record between 2014 and 2025, and the explicit exclusion of commercial constellation programs where reporting discipline differs.</w:t>
      </w:r>
    </w:p>
    <w:p>
      <w:pPr>
        <w:pStyle w:val="BodyText"/>
        <w:spacing w:line="480" w:lineRule="auto"/>
        <w:ind w:firstLine="720"/>
      </w:pPr>
      <w:r>
        <w:t xml:space="preserve">Chapter 8 concludes. It states what the dissertation has established, what it has not, and what the implications are for NASA acquisition policy, for the Jet Propulsion Laboratory’s investment in digital-engineering infrastructure, and for the United States Space Force’s program protection and confirmation processes. It identifies the natural next steps in the research program, including the extension of the sample to NOAA and to selected Department of Defense space programs, the development of a continuous intensity-of-adoption coding to replace the binary treatment indicator, and the construction of an instrumental-variables strategy that uses contractor-level digital-thread investment as an instrument for project-level intensity.</w:t>
      </w:r>
    </w:p>
    <w:p>
      <w:pPr>
        <w:pStyle w:val="BodyText"/>
        <w:spacing w:line="480" w:lineRule="auto"/>
        <w:ind w:firstLine="720"/>
      </w:pPr>
      <w:r>
        <w:t xml:space="preserve">The dissertation is built around a single inferential question, a single primary outcome, a single pre-registered effect threshold, and a single identification strategy. It commits, in advance of estimation, to a falsifiable result. It does so because the policy stakes of the question, and the evidentiary thinness of the existing literature, both demand a result that can in principle be wrong and that can therefore in principle be informative.</w:t>
      </w:r>
    </w:p>
    <w:bookmarkEnd w:id="64"/>
    <w:bookmarkEnd w:id="65"/>
    <w:bookmarkStart w:id="81"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The empirical question of this dissertation sits at the intersection of two literatures that, despite their evident complementarity, remain almost entirely unjoined. The first is the spacecraft systems engineering literature on Model-Based Systems Engineering (MBSE) and its tool-supported expression as Digital Mission Engineering (DME). This literature is large, technically dense, and predominantly demonstrative in epistemic posture: it shows what model-based methods can do on a specific program or architecture, and it asserts cost-and-schedule benefits as a downstream consequence. The second is the cliometric and applied-econometric literature on identified causal estimation in observational settings: the family of techniques, now consolidated in applied economics and program evaluation, that converts non-experimental data into credible counterfactuals through matching, difference-in-differences, instrumental variables, survival modeling, and sensitivity analysis.</w:t>
      </w:r>
    </w:p>
    <w:p>
      <w:pPr>
        <w:pStyle w:val="BodyText"/>
        <w:spacing w:line="480" w:lineRule="auto"/>
        <w:ind w:firstLine="720"/>
      </w:pPr>
      <w:r>
        <w:t xml:space="preserve">The first literature has the substantive object (DME adoption in spacecraft programs) but lacks the inferential machinery to defend a causal claim about its effect on program outcomes. The second literature has the inferential machinery but has scarcely been applied to spacecraft acquisition, despite the GAO assessment series providing an unusually clean panel of measured cost and schedule outcomes across a portfolio of large public programs. This chapter reviews each literature in turn, characterizes the failure of the existing technical evidence to support the causal claims commonly attached to it, and identifies the joinable gap that this dissertation occupies. The chapter draws extensively on the technical-paper record assembled in the references pool, which spans Advanced Maui Optical and Space Surveillance (AMOS) conference proceedings, Acta Astronautica articles, and the GAO Annual Assessment of NASA Major Projects series [6, 7, 16, 17].</w:t>
      </w:r>
    </w:p>
    <w:p>
      <w:pPr>
        <w:pStyle w:val="BodyText"/>
        <w:spacing w:line="480" w:lineRule="auto"/>
        <w:ind w:firstLine="720"/>
      </w:pPr>
      <w:r>
        <w:t xml:space="preserve">The chapter is organized in four sections. Section 2.2 reviews the technical literature on MBSE and DME and the closely associated literature on architectural trade studies, decision-support systems, and reference models. Section 2.3 reviews the cliometric and applied-econometric methodology literature with attention to the four estimator families that the dissertation will deploy: coarsened exact matching, staggered difference-in-differences, Cox proportional-hazards survival models, and binary-outcome logistic regression with sensitivity analysis. Section 2.4 reads the two prior research papers that the candidate has produced for the dissertation</w:t>
      </w:r>
      <w:r>
        <w:t xml:space="preserve"> </w:t>
      </w:r>
      <w:hyperlink w:anchor="ref-11">
        <w:r>
          <w:rPr>
            <w:rStyle w:val="Hyperlink"/>
          </w:rPr>
          <w:t xml:space="preserve">[11]</w:t>
        </w:r>
      </w:hyperlink>
      <w:r>
        <w:t xml:space="preserve"> </w:t>
      </w:r>
      <w:r>
        <w:t xml:space="preserve">as the working bridge between the two literatures and as evidence that the unjoined gap is not merely a rhetorical claim but a productive site for new estimation. Section 2.5 states the gap that the dissertation closes.</w:t>
      </w:r>
    </w:p>
    <w:bookmarkEnd w:id="66"/>
    <w:bookmarkStart w:id="72" w:name="X33cfb1b85e7400bcdd3524bbc0af3c6131e3d49"/>
    <w:p>
      <w:pPr>
        <w:pStyle w:val="Heading2"/>
        <w:spacing w:line="480" w:lineRule="auto"/>
      </w:pPr>
      <w:r>
        <w:t xml:space="preserve">2.2 The Technical Literature on MBSE, DME, and Spacecraft Architectures</w:t>
      </w:r>
    </w:p>
    <w:bookmarkStart w:id="67" w:name="Xb2788d2ade5d09658a6f93af72e91d8612e059a"/>
    <w:p>
      <w:pPr>
        <w:pStyle w:val="Heading3"/>
        <w:spacing w:line="480" w:lineRule="auto"/>
      </w:pPr>
      <w:r>
        <w:t xml:space="preserve">2.2.1 Architectural Trade Studies as the Canonical MBSE Use Case</w:t>
      </w:r>
    </w:p>
    <w:p>
      <w:pPr>
        <w:pStyle w:val="FirstParagraph"/>
        <w:spacing w:line="480" w:lineRule="auto"/>
      </w:pPr>
      <w:r>
        <w:t xml:space="preserve">The clearest sustained body of evidence on DME efficacy in the open literature concerns architecture-level trade studies for space situational awareness (SSA) sensor constellations. Kirshner and Pearce report a model-based trade study for optical sensor constellation architectures supporting space domain awareness, in which a SysML-anchored model of the sensor network, the orbit regime, and the target population enables a broader trade space at fixed engineering effort than would have been feasible under a document-centric practice [1, 19]. The paper is exemplary of the genre: it demonstrates capability on a specific architectural problem and asserts, without independent estimation, that the digital practice reduced manual requirement verification effort and shortened the architecture-down-select phase. Klonowski and colleagues, in their analysis of persistent detection corridors for cislunar SSA, perform a comparable model-based assessment in which the architecture trade space is expanded by an executable model that integrates orbit dynamics, sensor coverage, and target visibility under cislunar geometry</w:t>
      </w:r>
      <w:r>
        <w:t xml:space="preserve"> </w:t>
      </w:r>
      <w:hyperlink w:anchor="ref-20">
        <w:r>
          <w:rPr>
            <w:rStyle w:val="Hyperlink"/>
          </w:rPr>
          <w:t xml:space="preserve">[20]</w:t>
        </w:r>
      </w:hyperlink>
      <w:r>
        <w:t xml:space="preserve">. Their contribution is technical rather than evaluative; the cost or schedule consequence of the methodology is asserted but not estimated. Ackermann and McGraw’s earlier work on large-aperture three-mirror telescopes for near-Earth surveillance illustrates the document-centric baseline against which subsequent model-based studies implicitly position themselves</w:t>
      </w:r>
      <w:r>
        <w:t xml:space="preserve"> </w:t>
      </w:r>
      <w:hyperlink w:anchor="ref-21">
        <w:r>
          <w:rPr>
            <w:rStyle w:val="Hyperlink"/>
          </w:rPr>
          <w:t xml:space="preserve">[21]</w:t>
        </w:r>
      </w:hyperlink>
      <w:r>
        <w:t xml:space="preserve">.</w:t>
      </w:r>
    </w:p>
    <w:p>
      <w:pPr>
        <w:pStyle w:val="BodyText"/>
        <w:spacing w:line="480" w:lineRule="auto"/>
        <w:ind w:firstLine="720"/>
      </w:pPr>
      <w:r>
        <w:t xml:space="preserve">The CubeSat reference-model literature, in particular Chandra, Lutfi, and Gross, advances the MBSE case in a different register [2, 23]. Rather than demonstrating a single trade study, the authors argue that the emerging CubeSat reference model lowers four distinct categories of program cost (development cost, development schedule, operational cost, and deployment schedule) by enabling earlier and more exhaustive trade-space exploration on a class of vehicle whose document-centric overhead would otherwise consume a disproportionate share of the program budget. The argument is plausible and is supported by case examples. It is, however, an argument from architecture rather than from outcome. The authors do not estimate a treatment effect of reference-model adoption on a measured cost or schedule outcome; they assert that the reference model would change the production function and infer that the cost and schedule outcomes would respond accordingly.</w:t>
      </w:r>
    </w:p>
    <w:bookmarkEnd w:id="67"/>
    <w:bookmarkStart w:id="68" w:name="X110de03571e8bc9d2ec55d8cd81e26d66e0384c"/>
    <w:p>
      <w:pPr>
        <w:pStyle w:val="Heading3"/>
        <w:spacing w:line="480" w:lineRule="auto"/>
      </w:pPr>
      <w:r>
        <w:t xml:space="preserve">2.2.2 Decision-Support Systems and the DME Tooling Layer</w:t>
      </w:r>
    </w:p>
    <w:p>
      <w:pPr>
        <w:pStyle w:val="FirstParagraph"/>
        <w:spacing w:line="480" w:lineRule="auto"/>
      </w:pPr>
      <w:r>
        <w:t xml:space="preserve">A second and more recent strand of the technical literature treats DME platforms as a substrate on which decision-support systems and AI-augmented analytics are built. Smith, Jah, and Wood architect a decision support system for continuing supervision of commercial in-space servicing, in which the DME tooling layer integrates mission, vehicle, and environment models to support regulator-side oversight of on-orbit servicing operations</w:t>
      </w:r>
      <w:r>
        <w:t xml:space="preserve"> </w:t>
      </w:r>
      <w:hyperlink w:anchor="ref-3">
        <w:r>
          <w:rPr>
            <w:rStyle w:val="Hyperlink"/>
          </w:rPr>
          <w:t xml:space="preserve">[3]</w:t>
        </w:r>
      </w:hyperlink>
      <w:r>
        <w:t xml:space="preserve">. The paper is significant for the dissertation’s gap argument because it is explicit that DME tooling is the enabling layer for the downstream analytic capability, while remaining silent on whether DME adoption changes program-level cost or schedule for the spacecraft executing the servicing mission.</w:t>
      </w:r>
    </w:p>
    <w:p>
      <w:pPr>
        <w:pStyle w:val="BodyText"/>
        <w:spacing w:line="480" w:lineRule="auto"/>
        <w:ind w:firstLine="720"/>
      </w:pPr>
      <w:r>
        <w:t xml:space="preserve">Mutholib, Abdul Rahim, and Gunawan develop a prototype web AI-based decision support system for satellite anomaly identification, in which DME-style integration of telemetry, model state, and behavioral baselines is the substrate for the AI overlay [4, 25]. Sajjad, Price, Mirshams, and Salzmann perform a feasibility study of machine vision pose estimation for PocketQubes during conjunctions in which simulated vehicle dynamics are joined to perception models through an executable DME pipeline</w:t>
      </w:r>
      <w:r>
        <w:t xml:space="preserve"> </w:t>
      </w:r>
      <w:hyperlink w:anchor="ref-5">
        <w:r>
          <w:rPr>
            <w:rStyle w:val="Hyperlink"/>
          </w:rPr>
          <w:t xml:space="preserve">[5]</w:t>
        </w:r>
      </w:hyperlink>
      <w:r>
        <w:t xml:space="preserve">. The McCollum, Hammond, and Feighery report on the Quasi-Zenith Satellite System Hosted Payload as a pathfinder to SDA partnerships exemplifies how DME-style integration of payload, host vehicle, and ground architecture is articulated as a program-management asset, again without quantitative estimation of the cost or schedule effect</w:t>
      </w:r>
      <w:r>
        <w:t xml:space="preserve"> </w:t>
      </w:r>
      <w:hyperlink w:anchor="ref-18">
        <w:r>
          <w:rPr>
            <w:rStyle w:val="Hyperlink"/>
          </w:rPr>
          <w:t xml:space="preserve">[18]</w:t>
        </w:r>
      </w:hyperlink>
      <w:r>
        <w:t xml:space="preserve">.</w:t>
      </w:r>
    </w:p>
    <w:p>
      <w:pPr>
        <w:pStyle w:val="BodyText"/>
        <w:spacing w:line="480" w:lineRule="auto"/>
        <w:ind w:firstLine="720"/>
      </w:pPr>
      <w:r>
        <w:t xml:space="preserve">Two additional papers extend the AI overlay theme. Stottler’s work on improved Space Surveillance Network scheduling using artificial intelligence techniques, and the follow-on Stottler and Mahan automatic, rapid replanning of satellite operations, both describe AI scheduling and replanning capabilities that ride on top of a model-integrated representation of the network and its tasking [22, 24]. Herz’s SSA sensor tasking work for improved orbit determination is methodologically adjacent in that it relies on integrated dynamical and sensor models to support tasking optimization</w:t>
      </w:r>
      <w:r>
        <w:t xml:space="preserve"> </w:t>
      </w:r>
      <w:hyperlink w:anchor="ref-8">
        <w:r>
          <w:rPr>
            <w:rStyle w:val="Hyperlink"/>
          </w:rPr>
          <w:t xml:space="preserve">[8]</w:t>
        </w:r>
      </w:hyperlink>
      <w:r>
        <w:t xml:space="preserve">. None of these papers attempts to estimate the program-level cost or schedule effect of the underlying model-integration choice; they all treat the model as a given substrate.</w:t>
      </w:r>
    </w:p>
    <w:bookmarkEnd w:id="68"/>
    <w:bookmarkStart w:id="69" w:name="X79866b750efec027f66265e900b553737b6c74f"/>
    <w:p>
      <w:pPr>
        <w:pStyle w:val="Heading3"/>
        <w:spacing w:line="480" w:lineRule="auto"/>
      </w:pPr>
      <w:r>
        <w:t xml:space="preserve">2.2.3 The Adjacent Engineering-Economics Literature</w:t>
      </w:r>
    </w:p>
    <w:p>
      <w:pPr>
        <w:pStyle w:val="FirstParagraph"/>
        <w:spacing w:line="480" w:lineRule="auto"/>
      </w:pPr>
      <w:r>
        <w:t xml:space="preserve">The technical-paper record also contains an adjacent body of work on engineering economics and parametric cost modeling that is methodologically closer to the dissertation’s question but substantively focused on different objects. Dorrington and Olsen develop a parametric economic model of asteroid mining architectures, in which the cost driver decomposition is explicit and the architecture-to-cost map is estimable</w:t>
      </w:r>
      <w:r>
        <w:t xml:space="preserve"> </w:t>
      </w:r>
      <w:hyperlink w:anchor="ref-14">
        <w:r>
          <w:rPr>
            <w:rStyle w:val="Hyperlink"/>
          </w:rPr>
          <w:t xml:space="preserve">[14]</w:t>
        </w:r>
      </w:hyperlink>
      <w:r>
        <w:t xml:space="preserve">. Wu and Linares construct a multi-shell source-sink physical-economical model of the debris environment and define an economic value of debris in that model</w:t>
      </w:r>
      <w:r>
        <w:t xml:space="preserve"> </w:t>
      </w:r>
      <w:hyperlink w:anchor="ref-15">
        <w:r>
          <w:rPr>
            <w:rStyle w:val="Hyperlink"/>
          </w:rPr>
          <w:t xml:space="preserve">[15]</w:t>
        </w:r>
      </w:hyperlink>
      <w:r>
        <w:t xml:space="preserve">. Hon and Emami present an optimization framework for low-thrust active debris removal missions with multiple selected targets, in which the cost-of-mission objective is explicit and traceable to architecture variables</w:t>
      </w:r>
      <w:r>
        <w:t xml:space="preserve"> </w:t>
      </w:r>
      <w:hyperlink w:anchor="ref-12">
        <w:r>
          <w:rPr>
            <w:rStyle w:val="Hyperlink"/>
          </w:rPr>
          <w:t xml:space="preserve">[12]</w:t>
        </w:r>
      </w:hyperlink>
      <w:r>
        <w:t xml:space="preserve">. Viola and colleagues, in two separate papers, develop a parametric model for research, development, and production cost prediction of future civil hypersonic aircraft and a technology roadmapping methodology for future hypersonic transportation systems [26, 28]. Slongo and colleagues develop an energy-driven scheduling algorithm for nanosatellite energy harvesting that has a measured schedule-utility objective embedded in the optimization</w:t>
      </w:r>
      <w:r>
        <w:t xml:space="preserve"> </w:t>
      </w:r>
      <w:hyperlink w:anchor="ref-27">
        <w:r>
          <w:rPr>
            <w:rStyle w:val="Hyperlink"/>
          </w:rPr>
          <w:t xml:space="preserve">[27]</w:t>
        </w:r>
      </w:hyperlink>
      <w:r>
        <w:t xml:space="preserve">.</w:t>
      </w:r>
    </w:p>
    <w:p>
      <w:pPr>
        <w:pStyle w:val="BodyText"/>
        <w:spacing w:line="480" w:lineRule="auto"/>
        <w:ind w:firstLine="720"/>
      </w:pPr>
      <w:r>
        <w:t xml:space="preserve">These papers are evidence that the engineering community is comfortable with parametric and optimization-based cost reasoning at the architecture level. They do not, however, address the question of whether the adoption of a model-based methodology changes the realized cost or schedule of an executed program. The cost models in these papers are predictive within the architecture; the question of the dissertation is whether the production technology of program execution responds to a methodological treatment.</w:t>
      </w:r>
    </w:p>
    <w:bookmarkEnd w:id="69"/>
    <w:bookmarkStart w:id="70" w:name="X52bd5fec4d0b904fc3c183f618d9546e401891d"/>
    <w:p>
      <w:pPr>
        <w:pStyle w:val="Heading3"/>
        <w:spacing w:line="480" w:lineRule="auto"/>
      </w:pPr>
      <w:r>
        <w:t xml:space="preserve">2.2.4 The Technical Literature on Spacecraft Production and Materials</w:t>
      </w:r>
    </w:p>
    <w:p>
      <w:pPr>
        <w:pStyle w:val="FirstParagraph"/>
        <w:spacing w:line="480" w:lineRule="auto"/>
      </w:pPr>
      <w:r>
        <w:t xml:space="preserve">A further set of papers in the references pool addresses the production-technology margin on which DME claims also rest implicitly. Dalmarco and colleagues review the use of additive manufacturing in spacecraft components, finding that the technology has matured to the point of routine use in propulsion, structures, and thermal subsystems but that program-level cost effects remain difficult to isolate from concurrent process changes</w:t>
      </w:r>
      <w:r>
        <w:t xml:space="preserve"> </w:t>
      </w:r>
      <w:hyperlink w:anchor="ref-13">
        <w:r>
          <w:rPr>
            <w:rStyle w:val="Hyperlink"/>
          </w:rPr>
          <w:t xml:space="preserve">[13]</w:t>
        </w:r>
      </w:hyperlink>
      <w:r>
        <w:t xml:space="preserve">. Griemsmann and colleagues study the influence of ambient pressure on laser beam melting of lunar regolith simulant, contributing to the in-situ resource utilization manufacturing margin</w:t>
      </w:r>
      <w:r>
        <w:t xml:space="preserve"> </w:t>
      </w:r>
      <w:hyperlink w:anchor="ref-29">
        <w:r>
          <w:rPr>
            <w:rStyle w:val="Hyperlink"/>
          </w:rPr>
          <w:t xml:space="preserve">[29]</w:t>
        </w:r>
      </w:hyperlink>
      <w:r>
        <w:t xml:space="preserve">. Kalapodis, Kampas, and Ktenidou review the design space for extraterrestrial structures from regolith to human outposts</w:t>
      </w:r>
      <w:r>
        <w:t xml:space="preserve"> </w:t>
      </w:r>
      <w:hyperlink w:anchor="ref-30">
        <w:r>
          <w:rPr>
            <w:rStyle w:val="Hyperlink"/>
          </w:rPr>
          <w:t xml:space="preserve">[30]</w:t>
        </w:r>
      </w:hyperlink>
      <w:r>
        <w:t xml:space="preserve">. Faergestad and colleagues develop a coupled finite element and discrete element method for modeling hypervelocity impacts on spacecraft structures</w:t>
      </w:r>
      <w:r>
        <w:t xml:space="preserve"> </w:t>
      </w:r>
      <w:hyperlink w:anchor="ref-31">
        <w:r>
          <w:rPr>
            <w:rStyle w:val="Hyperlink"/>
          </w:rPr>
          <w:t xml:space="preserve">[31]</w:t>
        </w:r>
      </w:hyperlink>
      <w:r>
        <w:t xml:space="preserve">. Pushparaj, Baresi, and Kawakatsu optimize MMX relative quasi-satellite transfer trajectories using primer vector theory</w:t>
      </w:r>
      <w:r>
        <w:t xml:space="preserve"> </w:t>
      </w:r>
      <w:hyperlink w:anchor="ref-32">
        <w:r>
          <w:rPr>
            <w:rStyle w:val="Hyperlink"/>
          </w:rPr>
          <w:t xml:space="preserve">[32]</w:t>
        </w:r>
      </w:hyperlink>
      <w:r>
        <w:t xml:space="preserve">. Zhibo and colleagues develop a multi-satellite imaging scheduling approach using an integer coding genetic algorithm</w:t>
      </w:r>
      <w:r>
        <w:t xml:space="preserve"> </w:t>
      </w:r>
      <w:hyperlink w:anchor="ref-33">
        <w:r>
          <w:rPr>
            <w:rStyle w:val="Hyperlink"/>
          </w:rPr>
          <w:t xml:space="preserve">[33]</w:t>
        </w:r>
      </w:hyperlink>
      <w:r>
        <w:t xml:space="preserve">.</w:t>
      </w:r>
    </w:p>
    <w:p>
      <w:pPr>
        <w:pStyle w:val="BodyText"/>
        <w:spacing w:line="480" w:lineRule="auto"/>
        <w:ind w:firstLine="720"/>
      </w:pPr>
      <w:r>
        <w:t xml:space="preserve">These papers expand the technical context of the dissertation in two ways. First, they make clear that the production technology of spacecraft is itself in motion (additive manufacturing, regolith-based construction, hypervelocity-impact-resistant structures, increasingly sophisticated mission-design and scheduling algorithms) and that any estimate of a DME effect must contend with concurrent change in the underlying production function. Second, they reinforce the inferential point that quantitative cost and schedule estimation is a different epistemic register from technical demonstration: the trajectory optimization papers report objective-function values, not realized program outcomes [12, 32, 33].</w:t>
      </w:r>
    </w:p>
    <w:bookmarkEnd w:id="70"/>
    <w:bookmarkStart w:id="71" w:name="summary-of-the-technical-literature"/>
    <w:p>
      <w:pPr>
        <w:pStyle w:val="Heading3"/>
        <w:spacing w:line="480" w:lineRule="auto"/>
      </w:pPr>
      <w:r>
        <w:t xml:space="preserve">2.2.5 Summary of the Technical Literature</w:t>
      </w:r>
    </w:p>
    <w:p>
      <w:pPr>
        <w:pStyle w:val="FirstParagraph"/>
        <w:spacing w:line="480" w:lineRule="auto"/>
      </w:pPr>
      <w:r>
        <w:t xml:space="preserve">The technical literature on MBSE, DME, and the closely associated families of architecture trade studies, decision-support systems, AI overlays, and parametric cost models is rich in capability demonstration and explicit about the asserted program-management consequences of model-based methods. It is, however, almost wholly silent on the question of whether DME adoption causes a measurable change in realized cost or schedule outcomes at the program level. Three structural features of this literature are responsible for the silence.</w:t>
      </w:r>
    </w:p>
    <w:p>
      <w:pPr>
        <w:pStyle w:val="BodyText"/>
        <w:spacing w:line="480" w:lineRule="auto"/>
        <w:ind w:firstLine="720"/>
      </w:pPr>
      <w:r>
        <w:t xml:space="preserve">First, the unit of observation in the technical literature is the architecture or the artifact, not the program. The papers describe what a model can do on a specific design problem; they do not track what happens to a portfolio of programs that adopt the model-based methodology versus a portfolio that does not.</w:t>
      </w:r>
    </w:p>
    <w:p>
      <w:pPr>
        <w:pStyle w:val="BodyText"/>
        <w:spacing w:line="480" w:lineRule="auto"/>
        <w:ind w:firstLine="720"/>
      </w:pPr>
      <w:r>
        <w:t xml:space="preserve">Second, the comparison is almost always to a counterfactual document-centric baseline reconstructed by the same team that adopted the new method. The selection-on-unobservables problem is severe: the teams that adopt DME platforms are not random samples from the population of program teams, and the document-centric baseline against which they compare themselves is reconstructed from memory or from prior project archives rather than estimated against an external control group.</w:t>
      </w:r>
    </w:p>
    <w:p>
      <w:pPr>
        <w:pStyle w:val="BodyText"/>
        <w:spacing w:line="480" w:lineRule="auto"/>
        <w:ind w:firstLine="720"/>
      </w:pPr>
      <w:r>
        <w:t xml:space="preserve">Third, the cost and schedule outcomes that are reported, when they are reported, are reported as point claims rather than as estimands with standard errors, confidence intervals, or sensitivity bounds. The result is a body of evidence that supports the policy advocacy of DME adoption but does not support a credible causal estimate of its effect.</w:t>
      </w:r>
    </w:p>
    <w:p>
      <w:pPr>
        <w:pStyle w:val="BodyText"/>
        <w:spacing w:line="480" w:lineRule="auto"/>
        <w:ind w:firstLine="720"/>
      </w:pPr>
      <w:r>
        <w:t xml:space="preserve">The GAO assessment series stands in striking contrast to this picture [6, 7, 16, 17]. The series provides program-level cost and schedule data, consistently coded across more than a decade, on the NASA major-project portfolio. The series has been used extensively in the policy and oversight literature as a descriptive resource, including the Mars Sample Return independent review board reporting</w:t>
      </w:r>
      <w:r>
        <w:t xml:space="preserve"> </w:t>
      </w:r>
      <w:hyperlink w:anchor="ref-17">
        <w:r>
          <w:rPr>
            <w:rStyle w:val="Hyperlink"/>
          </w:rPr>
          <w:t xml:space="preserve">[17]</w:t>
        </w:r>
      </w:hyperlink>
      <w:r>
        <w:t xml:space="preserve">. It has scarcely been used in a research register that brings credible causal estimation to bear on the question of which program-management practices change which outcomes.</w:t>
      </w:r>
    </w:p>
    <w:bookmarkEnd w:id="71"/>
    <w:bookmarkEnd w:id="72"/>
    <w:bookmarkStart w:id="78" w:name="X859e36ac5ee291354a6c3a5a0bfdf4cdb2f7d06"/>
    <w:p>
      <w:pPr>
        <w:pStyle w:val="Heading2"/>
        <w:spacing w:line="480" w:lineRule="auto"/>
      </w:pPr>
      <w:r>
        <w:t xml:space="preserve">2.3 The Cliometric and Applied-Econometric Methodology Literature</w:t>
      </w:r>
    </w:p>
    <w:p>
      <w:pPr>
        <w:pStyle w:val="FirstParagraph"/>
        <w:spacing w:line="480" w:lineRule="auto"/>
      </w:pPr>
      <w:r>
        <w:t xml:space="preserve">The methodology literature that this dissertation deploys is, by contrast with the technical literature, deeply developed but has had limited prior contact with spacecraft acquisition as a substantive object. This section reviews the four estimator families that the dissertation will use and characterizes their fit for the DME-effect question. The methodology literature is here represented through the application choices and through the supporting econometric apparatus exercised in the two prior research papers in the dissertation track</w:t>
      </w:r>
      <w:r>
        <w:t xml:space="preserve"> </w:t>
      </w:r>
      <w:hyperlink w:anchor="ref-11">
        <w:r>
          <w:rPr>
            <w:rStyle w:val="Hyperlink"/>
          </w:rPr>
          <w:t xml:space="preserve">[11]</w:t>
        </w:r>
      </w:hyperlink>
      <w:r>
        <w:t xml:space="preserve">.</w:t>
      </w:r>
    </w:p>
    <w:bookmarkStart w:id="73" w:name="X923ea59508069a524e1ce981f3bad30328ce6ac"/>
    <w:p>
      <w:pPr>
        <w:pStyle w:val="Heading3"/>
        <w:spacing w:line="480" w:lineRule="auto"/>
      </w:pPr>
      <w:r>
        <w:t xml:space="preserve">2.3.1 Coarsened Exact Matching and the Pre-Treatment Balance Problem</w:t>
      </w:r>
    </w:p>
    <w:p>
      <w:pPr>
        <w:pStyle w:val="FirstParagraph"/>
        <w:spacing w:line="480" w:lineRule="auto"/>
      </w:pPr>
      <w:r>
        <w:t xml:space="preserve">The first methodological family is matching estimators for observational treatment effects. The matching literature has converged, over the past two decades, on a clear hierarchy of estimators distinguished by the bias-variance tradeoff and by the auditability of the balance they achieve. Propensity-score matching, once the dominant approach, has been increasingly displaced in applied work by coarsened exact matching (CEM), which yields exact balance on a set of coarsened covariate strata and bounds the imbalance that survives matching. The methodological case for CEM rests on two properties: it does not require a correctly specified propensity model, and it produces an auditable matched sample in which the covariate distributions of treated and control units are known to be balanced rather than merely asserted to be balanced.</w:t>
      </w:r>
    </w:p>
    <w:p>
      <w:pPr>
        <w:pStyle w:val="BodyText"/>
        <w:spacing w:line="480" w:lineRule="auto"/>
        <w:ind w:firstLine="720"/>
      </w:pPr>
      <w:r>
        <w:t xml:space="preserve">For the dissertation, the matching problem is the construction of a credible control group of non-DME-adopting spacecraft programs that match the DME-adopting programs on program class, prime contractor type, destination regime, pre-adoption cost-performance-index slope, and budget-at-completion at authority to proceed. The GAO program descriptions and the NASA NSSDCA master catalog provide the covariate values; the AMOS and Acta Astronautica technical-paper record provides the treatment coding [1, 2, 3, 4, 5]. The CEM step yields the matched sample on which the difference-in-differences specification is then estimated.</w:t>
      </w:r>
    </w:p>
    <w:bookmarkEnd w:id="73"/>
    <w:bookmarkStart w:id="74" w:name="Xfb8d2c84b15207bfc57f8e69ec49f255b151f07"/>
    <w:p>
      <w:pPr>
        <w:pStyle w:val="Heading3"/>
        <w:spacing w:line="480" w:lineRule="auto"/>
      </w:pPr>
      <w:r>
        <w:t xml:space="preserve">2.3.2 Staggered Difference-in-Differences and Two-Way Fixed Effects</w:t>
      </w:r>
    </w:p>
    <w:p>
      <w:pPr>
        <w:pStyle w:val="FirstParagraph"/>
        <w:spacing w:line="480" w:lineRule="auto"/>
      </w:pPr>
      <w:r>
        <w:t xml:space="preserve">The second methodological family is difference-in-differences (DiD) estimation. The classical two-period two-group DiD estimator extends naturally to multi-period staggered-adoption settings, in which different units are treated at different times. The applied econometrics literature of the past several years has documented a class of problems with the two-way fixed effects estimator under staggered adoption with heterogeneous treatment effects, and has produced a set of estimators (Callaway and Sant’Anna; Sun and Abraham; de Chaisemartin and D’Haultfoeuille) that recover the average treatment effect on the treated (ATT) under the staggered design without the contamination from already-treated units serving as controls for newly-treated units.</w:t>
      </w:r>
    </w:p>
    <w:p>
      <w:pPr>
        <w:pStyle w:val="BodyText"/>
        <w:spacing w:line="480" w:lineRule="auto"/>
        <w:ind w:firstLine="720"/>
      </w:pPr>
      <w:r>
        <w:t xml:space="preserve">For the dissertation, the staggered DiD specification estimates the ATT of DME adoption on cumulative CPI at preliminary design review, with program and calendar-quarter fixed effects, standard errors clustered at the program level, and pre-trends reported as an event-study plot. The Callaway and Sant’Anna estimator is the primary specification because it handles treatment-timing heterogeneity transparently; the Sun and Abraham interaction-weighted estimator is the primary robustness specification. The methodology is well-developed in the applied economics literature; its application to spacecraft acquisition is novel.</w:t>
      </w:r>
    </w:p>
    <w:bookmarkEnd w:id="74"/>
    <w:bookmarkStart w:id="75" w:name="cox-proportional-hazards-survival-models"/>
    <w:p>
      <w:pPr>
        <w:pStyle w:val="Heading3"/>
        <w:spacing w:line="480" w:lineRule="auto"/>
      </w:pPr>
      <w:r>
        <w:t xml:space="preserve">2.3.3 Cox Proportional-Hazards Survival Models</w:t>
      </w:r>
    </w:p>
    <w:p>
      <w:pPr>
        <w:pStyle w:val="FirstParagraph"/>
        <w:spacing w:line="480" w:lineRule="auto"/>
      </w:pPr>
      <w:r>
        <w:t xml:space="preserve">The third methodological family is survival analysis, specifically the Cox proportional-hazards model. The Cox model is the canonical estimator for the conditional hazard of an event at time t as a baseline hazard multiplied by an exponential function of covariates, with the baseline hazard left non-parametric. The model is appropriate when the parametric form of the baseline hazard is uncertain or heterogeneous across subgroups, which is the case for spacecraft development duration where Class A and Class D programs follow visibly different baseline timing distributions.</w:t>
      </w:r>
    </w:p>
    <w:p>
      <w:pPr>
        <w:pStyle w:val="BodyText"/>
        <w:spacing w:line="480" w:lineRule="auto"/>
        <w:ind w:firstLine="720"/>
      </w:pPr>
      <w:r>
        <w:t xml:space="preserve">The first prior research paper in the dissertation track</w:t>
      </w:r>
      <w:r>
        <w:t xml:space="preserve"> </w:t>
      </w:r>
      <w:hyperlink w:anchor="ref-11">
        <w:r>
          <w:rPr>
            <w:rStyle w:val="Hyperlink"/>
          </w:rPr>
          <w:t xml:space="preserve">[11]</w:t>
        </w:r>
      </w:hyperlink>
      <w:r>
        <w:t xml:space="preserve"> </w:t>
      </w:r>
      <w:r>
        <w:t xml:space="preserve">applies a Cox model to 30 NASA major projects spanning the GAO assessment series from 2012 to 2025, with development duration coded as months from authority to proceed to launch (or to most recent assessment for censored programs), and with MBSE adoption coded from project plans and the prime contractor technical-paper record. The Cox specification returns a coefficient on MBSE adoption of 0.1129 with a standard error of 0.4726, an implied hazard ratio of 1.12, and a p-value of 0.81. The estimated coefficient on planned life-cycle duration is -0.6593 with a standard error of 0.1703 and a hazard ratio of 0.52, which is statistically significant at conventional levels and dominates the explanatory signal in the sample.</w:t>
      </w:r>
    </w:p>
    <w:p>
      <w:pPr>
        <w:pStyle w:val="BodyText"/>
        <w:spacing w:line="480" w:lineRule="auto"/>
        <w:ind w:firstLine="720"/>
      </w:pPr>
      <w:r>
        <w:t xml:space="preserve">The substantive reading of the first paper is that the binary MBSE indicator does not produce a statistically detectable shortening of development time once planned life-cycle duration is controlled for. Three readings of the null are available: that MBSE adoption does not measurably accelerate launch readiness in the surface it most directly touches; that the binary indicator is too coarse to detect a real effect; or that 30 programs is a small sample for detecting moderate effects in a survival model with three covariates. The dissertation addresses all three readings: it constructs an intensity measure rather than a binary indicator, it expands the sample beyond NASA to include Space Force programs of record, and it employs the matching-plus-DiD design that is methodologically more powerful than the unadjusted Cox model on the cost-outcome margin where the signal in the prior work appears to be stronger.</w:t>
      </w:r>
    </w:p>
    <w:bookmarkEnd w:id="75"/>
    <w:bookmarkStart w:id="76" w:name="Xdd730d97200a5fde2bca94471b40ec6e67b648d"/>
    <w:p>
      <w:pPr>
        <w:pStyle w:val="Heading3"/>
        <w:spacing w:line="480" w:lineRule="auto"/>
      </w:pPr>
      <w:r>
        <w:t xml:space="preserve">2.3.4 Binary-Outcome Logistic Regression and the Threshold-Breach Question</w:t>
      </w:r>
    </w:p>
    <w:p>
      <w:pPr>
        <w:pStyle w:val="FirstParagraph"/>
        <w:spacing w:line="480" w:lineRule="auto"/>
      </w:pPr>
      <w:r>
        <w:t xml:space="preserve">The fourth methodological family is binary-outcome logistic regression, used here for the discrete cost-control failure that procurement reviewers and appropriators monitor directly: whether a program crosses the fifteen-percent cost-growth threshold defined in the GAO baseline-commitment regime. The second prior research paper in the dissertation track</w:t>
      </w:r>
      <w:r>
        <w:t xml:space="preserve"> </w:t>
      </w:r>
      <w:hyperlink w:anchor="ref-11">
        <w:r>
          <w:rPr>
            <w:rStyle w:val="Hyperlink"/>
          </w:rPr>
          <w:t xml:space="preserve">[11]</w:t>
        </w:r>
      </w:hyperlink>
      <w:r>
        <w:t xml:space="preserve"> </w:t>
      </w:r>
      <w:r>
        <w:t xml:space="preserve">applies a binary logistic regression to 32 NASA major projects observed across the GAO Annual Assessment series from fiscal year 2012 through fiscal year 2025, with the dependent variable the fifteen-percent breach indicator and the independent variables a continuous DME intensity score, the baseline life-cycle cost, and an ordinal mission-complexity index.</w:t>
      </w:r>
    </w:p>
    <w:p>
      <w:pPr>
        <w:pStyle w:val="BodyText"/>
        <w:spacing w:line="480" w:lineRule="auto"/>
        <w:ind w:firstLine="720"/>
      </w:pPr>
      <w:r>
        <w:t xml:space="preserve">The fitted logistic regression returns a McFadden pseudo-R-squared of 0.27 and a log-likelihood at convergence of about -15.1. The estimated coefficient on DME intensity is large and negative (point estimate near -7.47 in the log-odds metric, p-value 0.032), which rejects the null of no association at the five-percent level. The coefficient on baseline cost is near zero in the log-odds scale and far from conventional significance (p-value near 0.51). The coefficient on the complexity index is positive at about 1.23 with a p-value of 0.11, suggestive but not significant at five percent on this sample size. The substantive reading is that, conditional on baseline cost and mission complexity, higher DME intensity is associated with lower log-odds of fifteen-percent cost-growth breach.</w:t>
      </w:r>
    </w:p>
    <w:p>
      <w:pPr>
        <w:pStyle w:val="BodyText"/>
        <w:spacing w:line="480" w:lineRule="auto"/>
        <w:ind w:firstLine="720"/>
      </w:pPr>
      <w:r>
        <w:t xml:space="preserve">The methodological caveat the second paper attaches to its own finding is the canonical caveat in observational logistic regression: the coefficient is conditional on observables but vulnerable to confounding by unobserved program management practice. The second paper proposes three follow-on moves: a hand-coded second-pass on DME intensity with inter-rater reliability, a sample expansion to NOAA, USSF, and DoD space programs with comparable cost-growth tracking, and an instrumental-variables strategy using contractor-level digital-thread investment as an instrument for project-level intensity. The dissertation operationalizes the first two of these moves directly and incorporates the third as a robustness specification.</w:t>
      </w:r>
    </w:p>
    <w:bookmarkEnd w:id="76"/>
    <w:bookmarkStart w:id="77" w:name="Xf2c2b8a2f4945a9a385b9be1d5d4746522d7142"/>
    <w:p>
      <w:pPr>
        <w:pStyle w:val="Heading3"/>
        <w:spacing w:line="480" w:lineRule="auto"/>
      </w:pPr>
      <w:r>
        <w:t xml:space="preserve">2.3.5 Sensitivity Analysis for Unobserved Confounding</w:t>
      </w:r>
    </w:p>
    <w:p>
      <w:pPr>
        <w:pStyle w:val="FirstParagraph"/>
        <w:spacing w:line="480" w:lineRule="auto"/>
      </w:pPr>
      <w:r>
        <w:t xml:space="preserve">A fifth methodological theme runs across the four estimator families: the formal treatment of unobserved confounding through sensitivity analysis. The Oster delta bound expresses how much selection on unobservables (relative to selection on observables) would be required to overturn a finding. The Cinelli and Hazlett sensitivity contour generalizes the Oster idea to a graphical contour in the space of partial-R-squared on the treatment and outcome attributable to a hypothetical confounder. Both tools have become standard in applied economics and program evaluation work that defends a causal claim against the observational-data critique.</w:t>
      </w:r>
    </w:p>
    <w:p>
      <w:pPr>
        <w:pStyle w:val="BodyText"/>
        <w:spacing w:line="480" w:lineRule="auto"/>
        <w:ind w:firstLine="720"/>
      </w:pPr>
      <w:r>
        <w:t xml:space="preserve">The dissertation will compute Oster delta bounds and Cinelli-Hazlett contours for the headline ATT estimate from the staggered DiD specification, and will report the strength of unobserved confounding (in benchmark units relative to the strongest observed covariate) that would be required to reduce the estimate to zero. This is the methodological move that converts a credibly-identified observational estimate into a credibly-defended causal claim.</w:t>
      </w:r>
    </w:p>
    <w:bookmarkEnd w:id="77"/>
    <w:bookmarkEnd w:id="78"/>
    <w:bookmarkStart w:id="79" w:name="X002db83cb0fbe518bcbec031e2f6acad26049f2"/>
    <w:p>
      <w:pPr>
        <w:pStyle w:val="Heading2"/>
        <w:spacing w:line="480" w:lineRule="auto"/>
      </w:pPr>
      <w:r>
        <w:t xml:space="preserve">2.4 The Two Prior Research Papers as the Bridge</w:t>
      </w:r>
    </w:p>
    <w:p>
      <w:pPr>
        <w:pStyle w:val="FirstParagraph"/>
        <w:spacing w:line="480" w:lineRule="auto"/>
      </w:pPr>
      <w:r>
        <w:t xml:space="preserve">The two prior research papers in the dissertation track</w:t>
      </w:r>
      <w:r>
        <w:t xml:space="preserve"> </w:t>
      </w:r>
      <w:hyperlink w:anchor="ref-11">
        <w:r>
          <w:rPr>
            <w:rStyle w:val="Hyperlink"/>
          </w:rPr>
          <w:t xml:space="preserve">[11]</w:t>
        </w:r>
      </w:hyperlink>
      <w:r>
        <w:t xml:space="preserve"> </w:t>
      </w:r>
      <w:r>
        <w:t xml:space="preserve">are not, on their own, the contribution of the dissertation. They are the working bridge between the technical literature and the methodology literature, and their pattern of results is the empirical motivation for the design of the dissertation.</w:t>
      </w:r>
    </w:p>
    <w:p>
      <w:pPr>
        <w:pStyle w:val="BodyText"/>
        <w:spacing w:line="480" w:lineRule="auto"/>
        <w:ind w:firstLine="720"/>
      </w:pPr>
      <w:r>
        <w:t xml:space="preserve">The first paper</w:t>
      </w:r>
      <w:r>
        <w:t xml:space="preserve"> </w:t>
      </w:r>
      <w:hyperlink w:anchor="ref-11">
        <w:r>
          <w:rPr>
            <w:rStyle w:val="Hyperlink"/>
          </w:rPr>
          <w:t xml:space="preserve">[11]</w:t>
        </w:r>
      </w:hyperlink>
      <w:r>
        <w:t xml:space="preserve"> </w:t>
      </w:r>
      <w:r>
        <w:t xml:space="preserve">applies a Cox model to schedule and returns a null. The second paper</w:t>
      </w:r>
      <w:r>
        <w:t xml:space="preserve"> </w:t>
      </w:r>
      <w:hyperlink w:anchor="ref-11">
        <w:r>
          <w:rPr>
            <w:rStyle w:val="Hyperlink"/>
          </w:rPr>
          <w:t xml:space="preserve">[11]</w:t>
        </w:r>
      </w:hyperlink>
      <w:r>
        <w:t xml:space="preserve"> </w:t>
      </w:r>
      <w:r>
        <w:t xml:space="preserve">applies a logistic regression to a binary cost-breach outcome and returns a significant negative coefficient on DME intensity. The pattern is informative in three respects.</w:t>
      </w:r>
    </w:p>
    <w:p>
      <w:pPr>
        <w:pStyle w:val="BodyText"/>
        <w:spacing w:line="480" w:lineRule="auto"/>
        <w:ind w:firstLine="720"/>
      </w:pPr>
      <w:r>
        <w:t xml:space="preserve">First, the pattern indicates that the DME effect, if it exists, is more visibly attached to the cost margin than to the schedule margin. This is consistent with the prior literature on the dominant drivers of NASA major-project schedule slip (instrument development, payload integration, launch vehicle readiness), which lie outside the surface that DME most directly touches [1, 2, 3]. It is also consistent with the digital-thread argument that an authoritative model collapses ambiguity between subsystem teams in formulation and reduces late rework, which is the most expensive class of cost growth [3, 13].</w:t>
      </w:r>
    </w:p>
    <w:p>
      <w:pPr>
        <w:pStyle w:val="BodyText"/>
        <w:spacing w:line="480" w:lineRule="auto"/>
        <w:ind w:firstLine="720"/>
      </w:pPr>
      <w:r>
        <w:t xml:space="preserve">Second, the pattern indicates that the choice of estimator and outcome representation matters. The Cox model on a binary MBSE indicator returns a null; the logistic regression on a continuous DME intensity score returns a significant coefficient. The dissertation moves to a continuous intensity measure throughout and to the matching-plus-DiD design that, on the cost margin, is methodologically more powerful than either of the prior specifications.</w:t>
      </w:r>
    </w:p>
    <w:p>
      <w:pPr>
        <w:pStyle w:val="BodyText"/>
        <w:spacing w:line="480" w:lineRule="auto"/>
        <w:ind w:firstLine="720"/>
      </w:pPr>
      <w:r>
        <w:t xml:space="preserve">Third, the pattern indicates that the GAO assessment series can be combined with the technical-paper record from AMOS and Acta Astronautica to construct a coding of DME adoption that is reproducible and double-codable. The data infrastructure that the prior papers built is, in this sense, the operational precondition for the dissertation’s design.</w:t>
      </w:r>
    </w:p>
    <w:bookmarkEnd w:id="79"/>
    <w:bookmarkStart w:id="80" w:name="the-gap-and-the-joinable-contribution"/>
    <w:p>
      <w:pPr>
        <w:pStyle w:val="Heading2"/>
        <w:spacing w:line="480" w:lineRule="auto"/>
      </w:pPr>
      <w:r>
        <w:t xml:space="preserve">2.5 The Gap and the Joinable Contribution</w:t>
      </w:r>
    </w:p>
    <w:p>
      <w:pPr>
        <w:pStyle w:val="FirstParagraph"/>
        <w:spacing w:line="480" w:lineRule="auto"/>
      </w:pPr>
      <w:r>
        <w:t xml:space="preserve">The gap that this dissertation occupies is the join between the two literatures. The technical literature on MBSE, DME, and the associated families of architecture trade studies, decision-support systems, and AI overlays is rich in capability demonstration and explicit about the asserted program-management consequences of model-based methods [1, 2, 3, 4, 5, 8, 18, 19, 20, 22, 23, 24, 25]. It does not, however, provide a credible estimate of the program-level cost-and-schedule effect of DME adoption, because it lacks the inferential machinery to construct a counterfactual against which the effect could be measured. The cliometric and applied-econometric methodology literature provides exactly the inferential machinery that the technical literature lacks: matching estimators, staggered DiD with heterogeneity-robust ATT recovery, survival models, binary-outcome regression, and sensitivity analysis for unobserved confounding. This machinery has scarcely been applied to spacecraft acquisition, despite the GAO assessment series providing an unusually clean program-level panel [6, 7, 16, 17].</w:t>
      </w:r>
    </w:p>
    <w:p>
      <w:pPr>
        <w:pStyle w:val="BodyText"/>
        <w:spacing w:line="480" w:lineRule="auto"/>
        <w:ind w:firstLine="720"/>
      </w:pPr>
      <w:r>
        <w:t xml:space="preserve">The dissertation’s contribution is to bring the methodology literature to bear on the technical literature’s central claim, using the data infrastructure built by the two prior research papers and the technical-paper coding of DME adoption developed in those papers</w:t>
      </w:r>
      <w:r>
        <w:t xml:space="preserve"> </w:t>
      </w:r>
      <w:hyperlink w:anchor="ref-11">
        <w:r>
          <w:rPr>
            <w:rStyle w:val="Hyperlink"/>
          </w:rPr>
          <w:t xml:space="preserve">[11]</w:t>
        </w:r>
      </w:hyperlink>
      <w:r>
        <w:t xml:space="preserve">. The single falsifiable contribution stated in the prospectus is a point estimate, with bounded sensitivity, for the ATT of DME adoption on cumulative CPI at preliminary design review. The pattern of results across the two prior papers motivates the choice to focus the primary outcome on the cost margin (where the signal in the existing evidence is visible) rather than the schedule margin (where the prior Cox model returned a null), and to use a continuous intensity measure rather than a binary indicator.</w:t>
      </w:r>
    </w:p>
    <w:p>
      <w:pPr>
        <w:pStyle w:val="BodyText"/>
        <w:spacing w:line="480" w:lineRule="auto"/>
        <w:ind w:firstLine="720"/>
      </w:pPr>
      <w:r>
        <w:t xml:space="preserve">The literature gap closed is not, in the end, a gap in advocacy: the case for DME adoption has been made repeatedly and at length in the technical literature [1, 2, 3, 19, 23, 25]. The gap closed is a gap in identified estimation. The dissertation does not adjudicate whether DME is a good idea on architectural or process grounds; it estimates, with a defensible identification strategy and explicit sensitivity bounds, whether the policy claim that DME adoption bends the cost-and-schedule curve survives a credible causal test on the NASA and Space Force programs of record between 2014 and 2025.</w:t>
      </w:r>
    </w:p>
    <w:bookmarkEnd w:id="80"/>
    <w:bookmarkEnd w:id="81"/>
    <w:bookmarkStart w:id="88" w:name="Xcfcc00a3ded59aed0c781c16bfc121f2a509603"/>
    <w:p>
      <w:pPr>
        <w:pStyle w:val="Heading1"/>
        <w:spacing w:line="480" w:lineRule="auto"/>
      </w:pPr>
      <w:r>
        <w:t xml:space="preserve">Chapter 3. Theoretical Framework and Hypotheses</w:t>
      </w:r>
    </w:p>
    <w:bookmarkStart w:id="82"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that links Digital Mission Engineering (DME) platform adoption to program-level cost and schedule outcomes in spacecraft acquisition, articulates the causal mechanism by which that link is hypothesized to operate, and states the formal null and alternative hypotheses that the dissertation will adjudicate. The framework is deliberately constructed to be falsifiable. It identifies a single primary outcome, a single pre-registered effect threshold, and a single treatment definition tied to a specific milestone in the systems engineering life cycle. The chapter proceeds in five steps. Section 3.2 specifies the theoretical antecedents drawn from the systems engineering, parametric cost estimation, and acquisition program management traditions. Section 3.3 develops the causal mechanism, decomposing the asserted DME effect into a sequence of intermediate operational changes that are individually plausible and jointly testable. Section 3.4 states the formal hypotheses H0 and H1 for the primary outcome and reports their relationship to the secondary outcome and to the companion findings reported in the two empirical working papers. Section 3.5 specifies the auxiliary assumptions on which the hypotheses depend and identifies the conditions under which a failure to reject H0 should be interpreted as evidence against the underlying theory rather than as evidence of low statistical power. Section 3.6 closes with a summary of the testable propositions and a mapping from each proposition to the empirical chapters that follow.</w:t>
      </w:r>
    </w:p>
    <w:bookmarkEnd w:id="82"/>
    <w:bookmarkStart w:id="83" w:name="theoretical-antecedents"/>
    <w:p>
      <w:pPr>
        <w:pStyle w:val="Heading2"/>
        <w:spacing w:line="480" w:lineRule="auto"/>
      </w:pPr>
      <w:r>
        <w:t xml:space="preserve">3.2 Theoretical Antecedents</w:t>
      </w:r>
    </w:p>
    <w:p>
      <w:pPr>
        <w:pStyle w:val="FirstParagraph"/>
        <w:spacing w:line="480" w:lineRule="auto"/>
      </w:pPr>
      <w:r>
        <w:t xml:space="preserve">Three literatures bear directly on the question this dissertation poses. The first is the systems engineering tradition that contrasts document-based architectures with model-based architectures. Within that tradition, model-based architectures are argued to compress the loop between requirements change and verification artifact regeneration by elevating an executable model to the authoritative role that text documents formerly held. The most extensive recent technical exposition of that argument in the AMOS corpus develops a model-based trade study process for optical sensor constellation architectures and reports that the process reduces manual requirement verification effort and shortens the architecture down-select phase relative to a document-centric baseline</w:t>
      </w:r>
      <w:r>
        <w:t xml:space="preserve"> </w:t>
      </w:r>
      <w:hyperlink w:anchor="ref-1">
        <w:r>
          <w:rPr>
            <w:rStyle w:val="Hyperlink"/>
          </w:rPr>
          <w:t xml:space="preserve">[1]</w:t>
        </w:r>
      </w:hyperlink>
      <w:r>
        <w:t xml:space="preserve">. A companion line of CubeSat reference model work argues that model-based methods reduce development cost, development schedule, operational cost, and deployment schedule by enabling earlier and more exhaustive trade-space exploration before configuration is frozen [2, 23]. Decision-support architectures for in-space servicing and AI-augmented anomaly identification rely explicitly on DME tooling to integrate mission, vehicle, and environment models within a single executable thread, treating the DME platform as the substrate on which downstream analytics are layered [3, 4, 25]. Together these contributions establish the systems engineering claim that a digital, model-authoritative architecture should reduce late integration risk, late requirements churn, and late rework.</w:t>
      </w:r>
    </w:p>
    <w:p>
      <w:pPr>
        <w:pStyle w:val="BodyText"/>
        <w:spacing w:line="480" w:lineRule="auto"/>
        <w:ind w:firstLine="720"/>
      </w:pPr>
      <w:r>
        <w:t xml:space="preserve">The second literature is the parametric cost estimation tradition, codified in the NASA Cost Estimating Handbook and operationalized through cost analysis data requirements at every major milestone</w:t>
      </w:r>
      <w:r>
        <w:t xml:space="preserve"> </w:t>
      </w:r>
      <w:hyperlink w:anchor="ref-9">
        <w:r>
          <w:rPr>
            <w:rStyle w:val="Hyperlink"/>
          </w:rPr>
          <w:t xml:space="preserve">[9]</w:t>
        </w:r>
      </w:hyperlink>
      <w:r>
        <w:t xml:space="preserve">. Parametric cost work has long demonstrated that early architectural choice locks in the dominant share of life-cycle cost, which implies that the quality of formulation-phase decisions matters more than the discipline of execution-phase corrections. Recent parametric work on hypersonic transportation systems and on civil hypersonic aircraft makes this point explicit by formalizing the dependency between formulation-phase trade-space coverage and downstream cost variance [26, 28]. Parametric studies in adjacent domains, including asteroid mining architectures and active debris removal mission optimization, reinforce the same lesson: the variance of life-cycle cost is governed by the choices made before configuration is frozen [12, 14]. If model-based methods do in fact widen the formulation-phase trade space, the parametric tradition supplies the warrant for expecting a measurable downstream effect on cost growth.</w:t>
      </w:r>
    </w:p>
    <w:p>
      <w:pPr>
        <w:pStyle w:val="BodyText"/>
        <w:spacing w:line="480" w:lineRule="auto"/>
        <w:ind w:firstLine="720"/>
      </w:pPr>
      <w:r>
        <w:t xml:space="preserve">The third literature is the acquisition and program management tradition documented most systematically in the GAO Annual Assessment of NASA’s Major Projects [6, 7, 16] and in the supplemental review of Mars Sample Return</w:t>
      </w:r>
      <w:r>
        <w:t xml:space="preserve"> </w:t>
      </w:r>
      <w:hyperlink w:anchor="ref-17">
        <w:r>
          <w:rPr>
            <w:rStyle w:val="Hyperlink"/>
          </w:rPr>
          <w:t xml:space="preserve">[17]</w:t>
        </w:r>
      </w:hyperlink>
      <w:r>
        <w:t xml:space="preserve">. The GAO portfolio reading attributes recurrent cost growth and schedule slip across the NASA major-project portfolio to design instability, late requirements changes, contractor performance shortfalls, and inadequate technology maturation at confirmation. NASA risk classification policy, as set out in NPR 8705.4, formalizes the relationship between mission criticality and the engineering rigor demanded of the program</w:t>
      </w:r>
      <w:r>
        <w:t xml:space="preserve"> </w:t>
      </w:r>
      <w:hyperlink w:anchor="ref-10">
        <w:r>
          <w:rPr>
            <w:rStyle w:val="Hyperlink"/>
          </w:rPr>
          <w:t xml:space="preserve">[10]</w:t>
        </w:r>
      </w:hyperlink>
      <w:r>
        <w:t xml:space="preserve">. The GAO portfolio reading and the risk-classification policy together identify the operational pathologies that any candidate countermeasure, including DME adoption, must be capable of addressing if it is to be a credible policy lever.</w:t>
      </w:r>
    </w:p>
    <w:p>
      <w:pPr>
        <w:pStyle w:val="BodyText"/>
        <w:spacing w:line="480" w:lineRule="auto"/>
        <w:ind w:firstLine="720"/>
      </w:pPr>
      <w:r>
        <w:t xml:space="preserve">These three literatures converge on a single proposition that organizes the theoretical framework. If model-based methods compress the requirement-to-verification loop, and if formulation-phase trade-space coverage governs life-cycle cost variance, and if the dominant pathologies of NASA major-project cost growth are design instability and late requirements churn, then DME platform adoption at or before System Requirements Review (SRR) should reduce cost growth and schedule slip at the program level by intervening on the pathology at the phase in which the cost variance is most malleable.</w:t>
      </w:r>
    </w:p>
    <w:bookmarkEnd w:id="83"/>
    <w:bookmarkStart w:id="84" w:name="the-causal-mechanism"/>
    <w:p>
      <w:pPr>
        <w:pStyle w:val="Heading2"/>
        <w:spacing w:line="480" w:lineRule="auto"/>
      </w:pPr>
      <w:r>
        <w:t xml:space="preserve">3.3 The Causal Mechanism</w:t>
      </w:r>
    </w:p>
    <w:p>
      <w:pPr>
        <w:pStyle w:val="FirstParagraph"/>
        <w:spacing w:line="480" w:lineRule="auto"/>
      </w:pPr>
      <w:r>
        <w:t xml:space="preserve">The mechanism by which DME platform adoption is hypothesized to bend the cost-and-schedule curve can be decomposed into a four-step causal chain. Each step is individually plausible on the evidence currently in the literature, and the chain as a whole is testable because the predicted downstream effect at the program level is observable in the GAO portfolio record and in the NASA Cost Analysis Data Requirement (CADRe) series.</w:t>
      </w:r>
    </w:p>
    <w:p>
      <w:pPr>
        <w:pStyle w:val="BodyText"/>
        <w:spacing w:line="480" w:lineRule="auto"/>
        <w:ind w:firstLine="720"/>
      </w:pPr>
      <w:r>
        <w:t xml:space="preserve">The first step is trade-space widening. A DME platform makes it computationally feasible to evaluate a larger number of architecture variants in formulation, because the marginal cost of generating, simulating, and scoring an additional variant falls sharply once the authoritative model is in place. The model-based optical sensor constellation work demonstrates this widening directly by reporting the number of variants evaluated and the engineering hours required per variant under the model-based practice relative to the document-centric baseline [1, 19]. CubeSat reference model work makes the same point for small-class architectures [2, 23]. The mechanism predicts that the trade space at SRR is wider in DME-adopting programs than in matched non-adopting programs.</w:t>
      </w:r>
    </w:p>
    <w:p>
      <w:pPr>
        <w:pStyle w:val="BodyText"/>
        <w:spacing w:line="480" w:lineRule="auto"/>
        <w:ind w:firstLine="720"/>
      </w:pPr>
      <w:r>
        <w:t xml:space="preserve">The second step is requirement stabilization. A wider trade space at SRR allows the program to converge on a configuration that better satisfies the multi-attribute requirement set, which in turn reduces the rate of requirement changes issued after SRR. Requirement stabilization is the operational variable that the GAO portfolio assessments identify as the proximate driver of cost growth in NASA major projects [6, 7, 16]. The mechanism predicts that the rate of post-SRR requirement changes is lower in DME-adopting programs.</w:t>
      </w:r>
    </w:p>
    <w:p>
      <w:pPr>
        <w:pStyle w:val="BodyText"/>
        <w:spacing w:line="480" w:lineRule="auto"/>
        <w:ind w:firstLine="720"/>
      </w:pPr>
      <w:r>
        <w:t xml:space="preserve">The third step is rework compression. Requirement stabilization reduces the volume of late rework, which is the most expensive class of cost growth because it propagates across subsystems and across verification artifacts. Decision-support and digital-thread arguments hold that an authoritative model collapses ambiguity between subsystem teams and limits the surface area on which late changes propagate [3, 4, 25]. The mechanism predicts that the engineering hours expended on rework between SRR and Preliminary Design Review (PDR) are lower in DME-adopting programs.</w:t>
      </w:r>
    </w:p>
    <w:p>
      <w:pPr>
        <w:pStyle w:val="BodyText"/>
        <w:spacing w:line="480" w:lineRule="auto"/>
        <w:ind w:firstLine="720"/>
      </w:pPr>
      <w:r>
        <w:t xml:space="preserve">The fourth step is outcome translation. Lower late rework translates into a higher cumulative cost performance index (CPI) and a higher cumulative schedule performance index (SPI) at PDR, because the program absorbs less unplanned scope and consumes fewer unplanned engineering hours during the formulation-to-implementation transition. The translation step is the one at which the mechanism contacts the observable outcome variable that the dissertation studies.</w:t>
      </w:r>
    </w:p>
    <w:p>
      <w:pPr>
        <w:pStyle w:val="BodyText"/>
        <w:spacing w:line="480" w:lineRule="auto"/>
        <w:ind w:firstLine="720"/>
      </w:pPr>
      <w:r>
        <w:t xml:space="preserve">The chain is consequential rather than tautological because each step can fail independently. Trade-space widening may not occur if the program adopts a DME platform nominally but does not use it for architecture trade studies, which is the failure mode that the intensity-of-adoption coding in the companion working paper is designed to detect</w:t>
      </w:r>
      <w:r>
        <w:t xml:space="preserve"> </w:t>
      </w:r>
      <w:hyperlink w:anchor="ref-11">
        <w:r>
          <w:rPr>
            <w:rStyle w:val="Hyperlink"/>
          </w:rPr>
          <w:t xml:space="preserve">[11]</w:t>
        </w:r>
      </w:hyperlink>
      <w:r>
        <w:t xml:space="preserve">. Requirement stabilization may not follow trade-space widening if external stakeholder demands continue to introduce new requirements after SRR, which is a mode the GAO record documents in flagship programs [16, 17]. Rework compression may not follow requirement stabilization if subsystem teams revert to document-based handoffs in implementation, which is a mode the digital-thread literature identifies as the principal practical barrier to realization [3, 4]. Outcome translation may not follow rework compression if the cost performance index is dominated by exogenous shocks, such as launch vehicle reassignments or instrument contractor failures, that lie outside the surface the DME platform touches.</w:t>
      </w:r>
    </w:p>
    <w:p>
      <w:pPr>
        <w:pStyle w:val="BodyText"/>
        <w:spacing w:line="480" w:lineRule="auto"/>
        <w:ind w:firstLine="720"/>
      </w:pPr>
      <w:r>
        <w:t xml:space="preserve">The mechanism is therefore vulnerable at four points, and a failure to detect a treatment effect at the program level does not adjudicate which step in the chain has failed. The dissertation makes the modest claim that the program-level outcome is the most policy-relevant terminus of the chain, that it is the outcome on which procurement and oversight bodies act, and that a credible identified estimate at that terminus is the appropriate empirical contribution to demand. The intermediate steps are taken up as auxiliary analyses where the data permit.</w:t>
      </w:r>
    </w:p>
    <w:bookmarkEnd w:id="84"/>
    <w:bookmarkStart w:id="85" w:name="formal-hypotheses"/>
    <w:p>
      <w:pPr>
        <w:pStyle w:val="Heading2"/>
        <w:spacing w:line="480" w:lineRule="auto"/>
      </w:pPr>
      <w:r>
        <w:t xml:space="preserve">3.4 Formal Hypotheses</w:t>
      </w:r>
    </w:p>
    <w:p>
      <w:pPr>
        <w:pStyle w:val="FirstParagraph"/>
        <w:spacing w:line="480" w:lineRule="auto"/>
      </w:pPr>
      <w:r>
        <w:t xml:space="preserve">The primary outcome is the cumulative cost performance index (CPI) at Preliminary Design Review, measured at the spacecraft contract line item level and computed against the original authority-to-proceed (ATP) baseline. The treatment is DME platform adoption at or before System Requirements Review, coded as a binary indicator in the primary specification and as a continuous intensity score in the sensitivity specification, with both codings double-coded and inter-rater reliability reported as Cohen’s kappa. The covariate set comprises program class as defined in NPR 8705.4</w:t>
      </w:r>
      <w:r>
        <w:t xml:space="preserve"> </w:t>
      </w:r>
      <w:hyperlink w:anchor="ref-10">
        <w:r>
          <w:rPr>
            <w:rStyle w:val="Hyperlink"/>
          </w:rPr>
          <w:t xml:space="preserve">[10]</w:t>
        </w:r>
      </w:hyperlink>
      <w:r>
        <w:t xml:space="preserve">, prime contractor type, mission destination regime, pre-adoption CPI trajectory, and budget-at-completion at ATP. The estimand is the average treatment effect on the treated (ATT).</w:t>
      </w:r>
    </w:p>
    <w:p>
      <w:pPr>
        <w:pStyle w:val="BodyText"/>
        <w:spacing w:line="480" w:lineRule="auto"/>
        <w:ind w:firstLine="720"/>
      </w:pPr>
      <w:r>
        <w:rPr>
          <w:b/>
          <w:bCs/>
        </w:rPr>
        <w:t xml:space="preserve">H0 (primary).</w:t>
      </w:r>
      <w:r>
        <w:t xml:space="preserve"> </w:t>
      </w:r>
      <w:r>
        <w:t xml:space="preserve">DME platform adoption at or before SRR has no effect on cumulative CPI at PDR, conditional on the covariate set specified above. Formally, the ATT on cumulative CPI at PDR is zero.</w:t>
      </w:r>
    </w:p>
    <w:p>
      <w:pPr>
        <w:pStyle w:val="BodyText"/>
        <w:spacing w:line="480" w:lineRule="auto"/>
        <w:ind w:firstLine="720"/>
      </w:pPr>
      <w:r>
        <w:rPr>
          <w:b/>
          <w:bCs/>
        </w:rPr>
        <w:t xml:space="preserve">H1 (primary).</w:t>
      </w:r>
      <w:r>
        <w:t xml:space="preserve"> </w:t>
      </w:r>
      <w:r>
        <w:t xml:space="preserve">DME platform adoption at or before SRR increases cumulative CPI at PDR by at least 0.05 index points, conditional on the same covariate set. Formally, the ATT is greater than or equal to 0.05. The 0.05 threshold is set a priori at roughly half of the median observed CPI variance in the GAO annual assessment series [6, 7, 16] and is the smallest effect the dissertation commits to detect with adequate statistical power under the design described in Chapter 4.</w:t>
      </w:r>
    </w:p>
    <w:p>
      <w:pPr>
        <w:pStyle w:val="BodyText"/>
        <w:spacing w:line="480" w:lineRule="auto"/>
        <w:ind w:firstLine="720"/>
      </w:pPr>
      <w:r>
        <w:t xml:space="preserve">The single primary outcome and the single pre-registered effect threshold render the contribution falsifiable. The dissertation does not claim that any positive ATT, however small, supports H1, because a positive ATT below 0.05 index points is neither operationally meaningful at the scale of NASA major-project budgets nor distinguishable from measurement noise in the CADRe and GAO series.</w:t>
      </w:r>
    </w:p>
    <w:p>
      <w:pPr>
        <w:pStyle w:val="BodyText"/>
        <w:spacing w:line="480" w:lineRule="auto"/>
        <w:ind w:firstLine="720"/>
      </w:pPr>
      <w:r>
        <w:t xml:space="preserve">The secondary outcome is the cumulative schedule performance index (SPI) at PDR. The corresponding secondary null H0s holds that the ATT on SPI at PDR is zero, and the secondary alternative H1s holds that the ATT on SPI at PDR is positive. The secondary outcome is reported but is not used to adjudicate the primary hypothesis. The asymmetric treatment of the two outcomes reflects the empirical finding in the companion survival analysis that DME adoption produces a measurable association with cost outcomes but not with schedule outcomes in the GAO portfolio sample, with a point estimate of 0.1129 on the MBSE adoption coefficient in the Cox proportional-hazards model, a standard error of 0.4726, and an implied hazard ratio of 1.12 that does not reject the schedule null at conventional levels</w:t>
      </w:r>
      <w:r>
        <w:t xml:space="preserve"> </w:t>
      </w:r>
      <w:hyperlink w:anchor="ref-11">
        <w:r>
          <w:rPr>
            <w:rStyle w:val="Hyperlink"/>
          </w:rPr>
          <w:t xml:space="preserve">[11]</w:t>
        </w:r>
      </w:hyperlink>
      <w:r>
        <w:t xml:space="preserve">. The reverse asymmetry would be theoretically possible if rework compression manifested in schedule slack absorbed without cost growth, but the working-paper evidence to date does not support that pattern.</w:t>
      </w:r>
    </w:p>
    <w:p>
      <w:pPr>
        <w:pStyle w:val="BodyText"/>
        <w:spacing w:line="480" w:lineRule="auto"/>
        <w:ind w:firstLine="720"/>
      </w:pPr>
      <w:r>
        <w:t xml:space="preserve">A subsidiary set of mechanism hypotheses follows from the four-step causal chain.</w:t>
      </w:r>
    </w:p>
    <w:p>
      <w:pPr>
        <w:pStyle w:val="BodyText"/>
        <w:spacing w:line="480" w:lineRule="auto"/>
        <w:ind w:firstLine="720"/>
      </w:pPr>
      <w:r>
        <w:rPr>
          <w:b/>
          <w:bCs/>
        </w:rPr>
        <w:t xml:space="preserve">H1a (trade-space widening).</w:t>
      </w:r>
      <w:r>
        <w:t xml:space="preserve"> </w:t>
      </w:r>
      <w:r>
        <w:t xml:space="preserve">The number of architecture variants evaluated at SRR is higher in DME-adopting programs than in matched non-adopting programs, where the data permit measurement, with the variant count drawn from project plans and the model-based trade study record [1, 2, 19, 23].</w:t>
      </w:r>
    </w:p>
    <w:p>
      <w:pPr>
        <w:pStyle w:val="BodyText"/>
        <w:spacing w:line="480" w:lineRule="auto"/>
        <w:ind w:firstLine="720"/>
      </w:pPr>
      <w:r>
        <w:rPr>
          <w:b/>
          <w:bCs/>
        </w:rPr>
        <w:t xml:space="preserve">H1b (requirement stabilization).</w:t>
      </w:r>
      <w:r>
        <w:t xml:space="preserve"> </w:t>
      </w:r>
      <w:r>
        <w:t xml:space="preserve">The rate of approved requirement changes between SRR and PDR is lower in DME-adopting programs than in matched non-adopting programs, with the change rate drawn from the CADRe record and the GAO assessment series [6, 7, 16].</w:t>
      </w:r>
    </w:p>
    <w:p>
      <w:pPr>
        <w:pStyle w:val="BodyText"/>
        <w:spacing w:line="480" w:lineRule="auto"/>
        <w:ind w:firstLine="720"/>
      </w:pPr>
      <w:r>
        <w:rPr>
          <w:b/>
          <w:bCs/>
        </w:rPr>
        <w:t xml:space="preserve">H1c (rework compression).</w:t>
      </w:r>
      <w:r>
        <w:t xml:space="preserve"> </w:t>
      </w:r>
      <w:r>
        <w:t xml:space="preserve">The fraction of engineering hours expended on rework between SRR and PDR is lower in DME-adopting programs than in matched non-adopting programs, with rework hours drawn from CADRe engineering hour reports where available and supplemented by contractor public statements and the technical-paper record [3, 4, 25].</w:t>
      </w:r>
    </w:p>
    <w:p>
      <w:pPr>
        <w:pStyle w:val="BodyText"/>
        <w:spacing w:line="480" w:lineRule="auto"/>
        <w:ind w:firstLine="720"/>
      </w:pPr>
      <w:r>
        <w:t xml:space="preserve">The mechanism hypotheses are reported as auxiliary findings. They are not pre-registered with effect thresholds, because the available measurement is sparser and noisier than the cost performance index measurement, and they are intended to inform interpretation rather than to adjudicate the primary contribution. A failure to detect H1a, H1b, or H1c in the auxiliary analyses, combined with a successful rejection of H0 on the primary outcome, would constitute a substantive finding that the program-level cost effect arises through a mechanism distinct from the four-step chain hypothesized here, and would motivate the follow-on research agenda set out in Chapter 7.</w:t>
      </w:r>
    </w:p>
    <w:bookmarkEnd w:id="85"/>
    <w:bookmarkStart w:id="86" w:name="X7887f0dedc0a084e11c945cfa8d33cb873a3e5c"/>
    <w:p>
      <w:pPr>
        <w:pStyle w:val="Heading2"/>
        <w:spacing w:line="480" w:lineRule="auto"/>
      </w:pPr>
      <w:r>
        <w:t xml:space="preserve">3.5 Auxiliary Assumptions and Failure Conditions</w:t>
      </w:r>
    </w:p>
    <w:p>
      <w:pPr>
        <w:pStyle w:val="FirstParagraph"/>
        <w:spacing w:line="480" w:lineRule="auto"/>
      </w:pPr>
      <w:r>
        <w:t xml:space="preserve">The hypotheses depend on a small set of auxiliary assumptions that warrant explicit statement. First, the assumption of stable unit treatment value requires that DME adoption in one program does not contaminate the CPI of another program. Engineer migration between contractors is the principal threat to that assumption, and the design addresses it with a leave-one-out estimator that drops contractor-quarter cells with documented engineer migration, as specified in Chapter 4. Second, the assumption of consistent treatment timing requires that DME adoption at or before SRR is operationally distinct from DME adoption confined to later phases. The intensity-of-adoption coding addresses this assumption by distinguishing SRR-anchored adoption from later partial adoption</w:t>
      </w:r>
      <w:r>
        <w:t xml:space="preserve"> </w:t>
      </w:r>
      <w:hyperlink w:anchor="ref-11">
        <w:r>
          <w:rPr>
            <w:rStyle w:val="Hyperlink"/>
          </w:rPr>
          <w:t xml:space="preserve">[11]</w:t>
        </w:r>
      </w:hyperlink>
      <w:r>
        <w:t xml:space="preserve">. Third, the assumption of stable measurement requires that the CADRe and GAO measurement conventions are consistent across the 2014 to 2025 window, which is supported by the stable assessment methodology that the GAO has applied across the series [6, 7, 16] but is not guaranteed at the level of individual program re-baselines</w:t>
      </w:r>
      <w:r>
        <w:t xml:space="preserve"> </w:t>
      </w:r>
      <w:hyperlink w:anchor="ref-17">
        <w:r>
          <w:rPr>
            <w:rStyle w:val="Hyperlink"/>
          </w:rPr>
          <w:t xml:space="preserve">[17]</w:t>
        </w:r>
      </w:hyperlink>
      <w:r>
        <w:t xml:space="preserve">.</w:t>
      </w:r>
    </w:p>
    <w:p>
      <w:pPr>
        <w:pStyle w:val="BodyText"/>
        <w:spacing w:line="480" w:lineRule="auto"/>
        <w:ind w:firstLine="720"/>
      </w:pPr>
      <w:r>
        <w:t xml:space="preserve">Three failure conditions would warrant interpreting a failure to reject H0 as evidence against the underlying theory rather than as evidence of low statistical power. The first is the successful rejection of H1a in the auxiliary analysis without a corresponding rejection of H0 on the primary outcome, which would indicate that trade-space widening occurs but does not translate into cost effects, contradicting the parametric cost premise that formulation-phase trade-space coverage governs life-cycle cost variance [9, 26, 28]. The second is the successful rejection of H1b in the auxiliary analysis without a corresponding rejection of H0, which would indicate that requirement stabilization occurs but does not translate into cost effects, contradicting the GAO portfolio reading that requirement instability is the proximate driver of cost growth [6, 7, 16]. The third is a robust failure to reject H0 across the primary specification, the Sun and Abraham robustness specification, and the synthetic control specification described in Chapter 4, combined with confidence intervals tight enough to rule out the 0.05 pre-registered threshold, which would constitute a quantitative rejection of the magnitude claim implicit in the systems engineering literature.</w:t>
      </w:r>
    </w:p>
    <w:p>
      <w:pPr>
        <w:pStyle w:val="BodyText"/>
        <w:spacing w:line="480" w:lineRule="auto"/>
        <w:ind w:firstLine="720"/>
      </w:pPr>
      <w:r>
        <w:t xml:space="preserve">The companion working papers strengthen the prior on which the primary hypothesis rests without constituting a test of it. The cost-growth logistic regression on thirty-two NASA major projects reports a point estimate of negative 7.47 on the DME intensity coefficient in the log-odds metric, a p-value of 0.032, and a McFadden pseudo-R-squared of 0.27, which together are consistent with a meaningful association between DME intensity and the probability of a fifteen-percent cost-growth breach, conditional on baseline cost and complexity</w:t>
      </w:r>
      <w:r>
        <w:t xml:space="preserve"> </w:t>
      </w:r>
      <w:hyperlink w:anchor="ref-11">
        <w:r>
          <w:rPr>
            <w:rStyle w:val="Hyperlink"/>
          </w:rPr>
          <w:t xml:space="preserve">[11]</w:t>
        </w:r>
      </w:hyperlink>
      <w:r>
        <w:t xml:space="preserve">. The survival analysis on a thirty-program sample reports a non-significant point estimate of 0.1129 on the MBSE adoption coefficient in the Cox proportional-hazards model, with a strong and significantly negative coefficient of negative 0.6593 on planned life-cycle duration that confirms the model is recovering real signal from the duration data</w:t>
      </w:r>
      <w:r>
        <w:t xml:space="preserve"> </w:t>
      </w:r>
      <w:hyperlink w:anchor="ref-11">
        <w:r>
          <w:rPr>
            <w:rStyle w:val="Hyperlink"/>
          </w:rPr>
          <w:t xml:space="preserve">[11]</w:t>
        </w:r>
      </w:hyperlink>
      <w:r>
        <w:t xml:space="preserve">. The combined working-paper picture is that DME adoption is more visibly associated with cost than with schedule in the GAO portfolio sample, which supports the dissertation’s choice of CPI at PDR as the primary outcome and SPI at PDR as the secondary outcome, and which justifies the asymmetric treatment of the two outcomes in the formal hypothesis statement.</w:t>
      </w:r>
    </w:p>
    <w:bookmarkEnd w:id="86"/>
    <w:bookmarkStart w:id="87" w:name="Xcfa73cbf0622fefaa17881acb684be5cb039651"/>
    <w:p>
      <w:pPr>
        <w:pStyle w:val="Heading2"/>
        <w:spacing w:line="480" w:lineRule="auto"/>
      </w:pPr>
      <w:r>
        <w:t xml:space="preserve">3.6 Summary and Mapping to Empirical Chapters</w:t>
      </w:r>
    </w:p>
    <w:p>
      <w:pPr>
        <w:pStyle w:val="FirstParagraph"/>
        <w:spacing w:line="480" w:lineRule="auto"/>
      </w:pPr>
      <w:r>
        <w:t xml:space="preserve">The theoretical framework developed in this chapter holds that DME platform adoption at or before SRR bends the cost-and-schedule curve in spacecraft acquisition by widening the formulation-phase trade space, stabilizing requirements between SRR and PDR, compressing late rework, and translating those operational changes into a measurable improvement in the cumulative cost performance index at PDR. The framework is anchored in three converging literatures: the systems engineering tradition that frames model-based architectures as a corrective to document-based late integration risk [1, 2, 3, 4, 19, 23, 25]; the parametric cost estimation tradition that locates the dominant share of life-cycle cost variance in formulation-phase architectural choice [9, 12, 14, 26, 28]; and the acquisition and program management tradition that identifies design instability and late requirements churn as the proximate drivers of program-level cost growth [6, 7, 10, 16, 17].</w:t>
      </w:r>
    </w:p>
    <w:p>
      <w:pPr>
        <w:pStyle w:val="BodyText"/>
        <w:spacing w:line="480" w:lineRule="auto"/>
        <w:ind w:firstLine="720"/>
      </w:pPr>
      <w:r>
        <w:t xml:space="preserve">The primary hypothesis is falsifiable. The null H0 holds that the ATT on cumulative CPI at PDR is zero. The alternative H1 holds that the ATT is at least 0.05 index points. The dissertation will report the point estimate and its confidence interval against the pre-registered threshold without recourse to post hoc relaxation. The secondary hypothesis on SPI at PDR is reported but is not used to adjudicate the primary contribution. The mechanism hypotheses H1a, H1b, and H1c are reported as auxiliary findings and are used to inform interpretation of the primary result.</w:t>
      </w:r>
    </w:p>
    <w:p>
      <w:pPr>
        <w:pStyle w:val="BodyText"/>
        <w:spacing w:line="480" w:lineRule="auto"/>
        <w:ind w:firstLine="720"/>
      </w:pPr>
      <w:r>
        <w:t xml:space="preserve">The mapping to the empirical chapters that follow is direct. Chapter 4 specifies the quasi-experimental research design, including the coarsened exact matching stage, the staggered difference-in-differences specification with two-way fixed effects, the Callaway and Sant’Anna estimator, the Sun and Abraham robustness specification, the synthetic control specification for flagship programs, and the Oster delta and Cinelli and Hazlett sensitivity bounds. Chapter 5 reports the data construction, including the CADRe extraction protocol, the GAO assessment series coding, the DME adoption double-coding procedure, and the inter-rater reliability statistics. Chapter 6 reports the primary estimates for H0 and H1, the secondary estimates for the schedule outcome, the auxiliary estimates for H1a, H1b, and H1c where the data permit, and the robustness and sensitivity analyses. Chapter 7 interprets the findings in light of the theoretical framework developed here, addresses the failure conditions specified in Section 3.5, and sets out the policy implications and the follow-on research agenda.</w:t>
      </w:r>
    </w:p>
    <w:p>
      <w:pPr>
        <w:pStyle w:val="BodyText"/>
        <w:spacing w:line="480" w:lineRule="auto"/>
        <w:ind w:firstLine="720"/>
      </w:pPr>
      <w:r>
        <w:t xml:space="preserve">The contribution the dissertation makes is a single identified estimate at the terminus of a four-step causal chain, evaluated against a pre-registered threshold and reported with bounded sensitivity to unobserved confounding. The chapter has specified what that estimate means, what the underlying mechanism predicts, and what would constitute evidence against the theory. The remaining chapters operationalize that specification.</w:t>
      </w:r>
    </w:p>
    <w:bookmarkEnd w:id="87"/>
    <w:bookmarkEnd w:id="88"/>
    <w:bookmarkStart w:id="98" w:name="chapter-4.-data-and-measurement"/>
    <w:p>
      <w:pPr>
        <w:pStyle w:val="Heading1"/>
        <w:spacing w:line="480" w:lineRule="auto"/>
      </w:pPr>
      <w:r>
        <w:t xml:space="preserve">Chapter 4. Data and Measurement</w:t>
      </w:r>
    </w:p>
    <w:bookmarkStart w:id="89" w:name="purpose-and-scope-of-the-chapter"/>
    <w:p>
      <w:pPr>
        <w:pStyle w:val="Heading2"/>
        <w:spacing w:line="480" w:lineRule="auto"/>
      </w:pPr>
      <w:r>
        <w:t xml:space="preserve">4.1 Purpose and Scope of the Chapter</w:t>
      </w:r>
    </w:p>
    <w:p>
      <w:pPr>
        <w:pStyle w:val="FirstParagraph"/>
        <w:spacing w:line="480" w:lineRule="auto"/>
      </w:pPr>
      <w:r>
        <w:t xml:space="preserve">The two empirical papers that anchor this dissertation, the Cox proportional-hazards analysis of time from authority to proceed to launch and the logistic-regression analysis of fifteen-percent cost-growth breach, share a common evidentiary backbone. Both draw the dependent and control variables from the Government Accountability Office annual assessment series of NASA major projects, both rely on the NASA Procedural Requirements document on risk classification for the categorical complexity controls, and both construct the treatment variable, Digital Mission Engineering adoption or intensity, from a manual coding of NASA project plans cross-checked against a curated technical-paper corpus drawn from the Advanced Maui Optical and Space Surveillance Technologies conference and from the Acta Astronautica journal. The purpose of this chapter is to consolidate the description of those datasets, to specify the unit of analysis, to document the variable-construction rules that the two papers apply, and to surface the data limitations that condition the inferential weight of the empirical chapters that follow. The chapter does not present new estimates, but it provides the auditable measurement protocol that the estimates in Chapters 5 and 6 depend on.</w:t>
      </w:r>
    </w:p>
    <w:p>
      <w:pPr>
        <w:pStyle w:val="BodyText"/>
        <w:spacing w:line="480" w:lineRule="auto"/>
        <w:ind w:firstLine="720"/>
      </w:pPr>
      <w:r>
        <w:t xml:space="preserve">Three priorities shape the exposition. First, every variable used in either paper is traced to a primary record, with the source described at a level of specificity that would allow an independent investigator to reconstruct the dataset from public materials and a NASA Cost Analysis Data Requirement repository request. Second, every coding rule that involves judgment, in particular the Digital Mission Engineering treatment variable, is documented with its decision criteria, its inter-rater protocol, and the technical-paper anchors that calibrate the coding. Third, the limitations of the data, in particular the small sample size at the major-project unit of analysis, the right-censoring of programs still in development, and the use of a small number of illustrative entries where the public record is ambiguous, are stated openly so that downstream interpretation can be appropriately bounded.</w:t>
      </w:r>
    </w:p>
    <w:bookmarkEnd w:id="89"/>
    <w:bookmarkStart w:id="90" w:name="the-unit-of-analysis"/>
    <w:p>
      <w:pPr>
        <w:pStyle w:val="Heading2"/>
        <w:spacing w:line="480" w:lineRule="auto"/>
      </w:pPr>
      <w:r>
        <w:t xml:space="preserve">4.2 The Unit of Analysis</w:t>
      </w:r>
    </w:p>
    <w:p>
      <w:pPr>
        <w:pStyle w:val="FirstParagraph"/>
        <w:spacing w:line="480" w:lineRule="auto"/>
      </w:pPr>
      <w:r>
        <w:t xml:space="preserve">The unit of analysis in both papers is the NASA major project as defined by the GAO assessment series. A NASA major project is a flight project with a confirmed life-cycle cost above the major-project threshold and is therefore subject to annual reporting in the GAO series [6, 7, 16]. The unit is observed at the program level, not the contract line item level, although the cost-and-schedule indices that the prospectus identifies as ultimately desirable, the cumulative cost performance index at preliminary design review and the analogous schedule performance index, are defined at the contract line item level in the underlying NASA Cost Analysis Data Requirement repository. The decision to retain the program as the unit of analysis in the two empirical papers, rather than the contract line item, reflects a deliberate compromise. The contract-line-item data exist within the NASA CADRe repository</w:t>
      </w:r>
      <w:r>
        <w:t xml:space="preserve"> </w:t>
      </w:r>
      <w:hyperlink w:anchor="ref-9">
        <w:r>
          <w:rPr>
            <w:rStyle w:val="Hyperlink"/>
          </w:rPr>
          <w:t xml:space="preserve">[9]</w:t>
        </w:r>
      </w:hyperlink>
      <w:r>
        <w:t xml:space="preserve">, but they are not in the public record and are not available without a NASA Office of the Chief Financial Officer data-sharing arrangement that is being pursued in parallel with this dissertation. The GAO assessment series, by contrast, reports cost and schedule outcomes at the program level, is fully public, and is consistent in definition across the 2012 through 2025 reporting window.</w:t>
      </w:r>
    </w:p>
    <w:p>
      <w:pPr>
        <w:pStyle w:val="BodyText"/>
        <w:spacing w:line="480" w:lineRule="auto"/>
        <w:ind w:firstLine="720"/>
      </w:pPr>
      <w:r>
        <w:t xml:space="preserve">The cost-of-precision tradeoff is therefore the following. The program-level unit is publicly auditable, supports a sample of thirty in the Cox paper and thirty-two in the logistic paper, and avoids any reliance on protected data. The contract-line-item unit would support a larger panel and a more discriminating estimate of CPI at preliminary design review, but at the cost of moving the analysis behind a data-use agreement that limits replication. The two empirical papers adopt the program-level unit as primary; the prospectus retains the contract-line-item unit as the target for the ATT specification once CADRe access is in place, and Chapter 7 returns to that question as a measurement-upgrade pathway.</w:t>
      </w:r>
    </w:p>
    <w:p>
      <w:pPr>
        <w:pStyle w:val="BodyText"/>
        <w:spacing w:line="480" w:lineRule="auto"/>
        <w:ind w:firstLine="720"/>
      </w:pPr>
      <w:r>
        <w:t xml:space="preserve">A row in either of the two empirical datasets corresponds to one NASA major project observed at its most recent GAO assessment within the 2012 through 2025 window. Projects that have flown and entered operations within the window are observed once at the assessment closest to their launch date. Projects that remain in development at the most recent published assessment are observed at that assessment and are right-censored in the survival specification. The unit therefore behaves as a snapshot for the cost-breach analysis and as a duration record for the schedule analysis.</w:t>
      </w:r>
    </w:p>
    <w:bookmarkEnd w:id="90"/>
    <w:bookmarkStart w:id="91" w:name="X6d9bcb3c6b1ec499110be35098fc6b49ffd0706"/>
    <w:p>
      <w:pPr>
        <w:pStyle w:val="Heading2"/>
        <w:spacing w:line="480" w:lineRule="auto"/>
      </w:pPr>
      <w:r>
        <w:t xml:space="preserve">4.3 The GAO Annual Assessment Series as the Primary Public Source</w:t>
      </w:r>
    </w:p>
    <w:p>
      <w:pPr>
        <w:pStyle w:val="FirstParagraph"/>
        <w:spacing w:line="480" w:lineRule="auto"/>
      </w:pPr>
      <w:r>
        <w:t xml:space="preserve">The GAO Annual Assessment of NASA’s Major Projects is the central public source for both empirical papers. The series has been published continuously since 2009 and the reports used in this dissertation span GAO-12-207SP through GAO-25-107591, a fourteen-year window of stable methodology that covers nearly the entire portfolio of NASA major projects active during the digital-engineering transition [6, 7, 16]. Each annual report includes a program-level data appendix that provides, for every major project in the portfolio, the original confirmed baseline life-cycle cost, the current life-cycle cost estimate, the percentage cost growth since baseline, the original baseline launch readiness date, the current launch readiness date, the schedule slip in months since baseline, the program risk class as defined in NPR 8705.4, and a brief narrative description of the program scope and destination.</w:t>
      </w:r>
    </w:p>
    <w:p>
      <w:pPr>
        <w:pStyle w:val="BodyText"/>
        <w:spacing w:line="480" w:lineRule="auto"/>
        <w:ind w:firstLine="720"/>
      </w:pPr>
      <w:r>
        <w:t xml:space="preserve">The first paper, the Cox proportional-hazards analysis, draws its dependent variable, the duration in months from authority to proceed to launch (or to the most recent assessment date for censored programs), directly from the GAO series. For programs that have flown, the duration is computed as the difference between the GAO-reported launch date and the GAO-reported authority-to-proceed date. For programs that remain in development, the duration is computed as the difference between the assessment-closing date of the most recent GAO report and the GAO-reported authority-to-proceed date, and the launch indicator is set to zero to mark the right-censoring. The launch indicator therefore equals one for the twenty-five flown programs in the sample and zero for the five censored programs.</w:t>
      </w:r>
    </w:p>
    <w:p>
      <w:pPr>
        <w:pStyle w:val="BodyText"/>
        <w:spacing w:line="480" w:lineRule="auto"/>
        <w:ind w:firstLine="720"/>
      </w:pPr>
      <w:r>
        <w:t xml:space="preserve">The second paper, the logistic-regression analysis, draws its dependent variable, the fifteen-percent cost-growth breach indicator, from the GAO cost-growth column. The indicator equals one if the reported percentage cost growth at the most recent assessment exceeds fifteen percent of the confirmed baseline life-cycle cost, and zero otherwise. The fifteen-percent threshold is the threshold that GAO itself uses to flag major-project cost-growth concerns and that the NASA Office of the Chief Financial Officer treats as a reporting trigger, and it is therefore both substantively meaningful and consistent with the source data definition. Twelve of the thirty-two programs in the logistic-paper sample are coded as breaches under this rule, consistent with the GAO portfolio observation that cost-growth breaches recur across mission classes even under stable baseline-commitment regimes [6, 7, 16, 17].</w:t>
      </w:r>
    </w:p>
    <w:p>
      <w:pPr>
        <w:pStyle w:val="BodyText"/>
        <w:spacing w:line="480" w:lineRule="auto"/>
        <w:ind w:firstLine="720"/>
      </w:pPr>
      <w:r>
        <w:t xml:space="preserve">Two control variables also derive from the GAO series. The baseline life-cycle cost in millions of dollars used in the logistic regression is taken from the confirmed-baseline column of the GAO appendix and is reported in constant-year dollars consistent with the GAO indexing convention. The planned life-cycle duration in years used in the Cox model is computed from the difference between the originally planned launch readiness date and the originally planned authority-to-proceed date as reported in the earliest GAO appendix in which the program appears, which protects against contamination of the planned-duration covariate by subsequent rebaselining.</w:t>
      </w:r>
    </w:p>
    <w:bookmarkEnd w:id="91"/>
    <w:bookmarkStart w:id="92" w:name="Xc8afb4e62308e577ba9e92df1b00872776d66be"/>
    <w:p>
      <w:pPr>
        <w:pStyle w:val="Heading2"/>
        <w:spacing w:line="480" w:lineRule="auto"/>
      </w:pPr>
      <w:r>
        <w:t xml:space="preserve">4.4 NPR 8705.4 and the Mission-Complexity Coding</w:t>
      </w:r>
    </w:p>
    <w:p>
      <w:pPr>
        <w:pStyle w:val="FirstParagraph"/>
        <w:spacing w:line="480" w:lineRule="auto"/>
      </w:pPr>
      <w:r>
        <w:t xml:space="preserve">The categorical complexity controls in both papers, the Class A indicator in the Cox model and the ordinal complexity index in the logistic model, derive from NPR 8705.4, the NASA Procedural Requirement that establishes the risk classification of NASA payloads</w:t>
      </w:r>
      <w:r>
        <w:t xml:space="preserve"> </w:t>
      </w:r>
      <w:hyperlink w:anchor="ref-10">
        <w:r>
          <w:rPr>
            <w:rStyle w:val="Hyperlink"/>
          </w:rPr>
          <w:t xml:space="preserve">[10]</w:t>
        </w:r>
      </w:hyperlink>
      <w:r>
        <w:t xml:space="preserve">. NPR 8705.4 partitions NASA flight projects into four risk classes, Class A through Class D, on the basis of priority and acceptable risk, with Class A reserved for high-priority, low-tolerance missions and Class D reserved for high-risk-tolerance, low-cost missions. The classification is assigned at project formulation and is reported in the GAO assessment appendix for every major project in the series.</w:t>
      </w:r>
    </w:p>
    <w:p>
      <w:pPr>
        <w:pStyle w:val="BodyText"/>
        <w:spacing w:line="480" w:lineRule="auto"/>
        <w:ind w:firstLine="720"/>
      </w:pPr>
      <w:r>
        <w:t xml:space="preserve">The Cox paper uses a binary Class A indicator equal to one for Class A programs and zero otherwise, because the Cox specification is sensitive to high-dimensional categorical covariates at the thirty-program sample size and the Class A flag captures the most consequential distinction in the GAO portfolio. The logistic paper uses an ordinal index that maps Class A to four, Class B to three, Class C to two, and Class D to one, treating the NPR 8705.4 ordering as a meaningful proxy for engineering difficulty, destination distance, autonomy demand, and payload novelty. The ordinal coding is not without cost. NPR 8705.4 is a risk-tolerance classification, not a complexity classification, and the two need not coincide on every program. However, the GAO portfolio record consistently associates Class A status with deep-space destinations, long-duration cruise phases, and novel instrument suites, all of which are well-established cost-growth drivers in the spacecraft-economics literature [14, 15]. The ordinal coding is therefore defensible as a proxy and is reported in both papers as a control, not as an independent object of inference.</w:t>
      </w:r>
    </w:p>
    <w:bookmarkEnd w:id="92"/>
    <w:bookmarkStart w:id="93" w:name="X056f46f48b99a9afe3f7f4597f48782b5c64ee6"/>
    <w:p>
      <w:pPr>
        <w:pStyle w:val="Heading2"/>
        <w:spacing w:line="480" w:lineRule="auto"/>
      </w:pPr>
      <w:r>
        <w:t xml:space="preserve">4.5 Construction of the Digital Mission Engineering Treatment Variable</w:t>
      </w:r>
    </w:p>
    <w:p>
      <w:pPr>
        <w:pStyle w:val="FirstParagraph"/>
        <w:spacing w:line="480" w:lineRule="auto"/>
      </w:pPr>
      <w:r>
        <w:t xml:space="preserve">The treatment variable, Digital Mission Engineering adoption in the Cox paper and Digital Mission Engineering intensity in the logistic paper, is the variable whose construction requires the most explicit documentation, because it does not exist as a column in any single public dataset and must be hand-coded from primary records. The coding protocol that the two papers apply, and that this chapter consolidates, proceeds in four steps.</w:t>
      </w:r>
    </w:p>
    <w:p>
      <w:pPr>
        <w:pStyle w:val="BodyText"/>
        <w:spacing w:line="480" w:lineRule="auto"/>
        <w:ind w:firstLine="720"/>
      </w:pPr>
      <w:r>
        <w:t xml:space="preserve">Step one is anchor identification. For each program in the sample, the coder identifies all publicly released NASA project plans, formulation authorization documents, mission concept review packages, and preliminary design review packages that document the systems engineering tooling environment used by the prime contractor and by NASA program technical authority. Where program plans are not in the public record, the coder substitutes prime contractor public statements, in particular technical papers authored by program engineers and presented at the Advanced Maui Optical and Space Surveillance Technologies conference or published in Acta Astronautica.</w:t>
      </w:r>
    </w:p>
    <w:p>
      <w:pPr>
        <w:pStyle w:val="BodyText"/>
        <w:spacing w:line="480" w:lineRule="auto"/>
        <w:ind w:firstLine="720"/>
      </w:pPr>
      <w:r>
        <w:t xml:space="preserve">Step two is binary adoption coding for the Cox paper. The program is coded as MBSE-adopting if and only if at least one anchor document establishes that a Model-Based Systems Engineering toolchain, in the sense of an authoritative SysML or equivalent system model integrated with downstream verification and trade-study artifacts, was in operational use at or before System Requirements Review. Programs that adopted MBSE only in later phases, or that adopted point-tool MBSE elements without an authoritative central model, are coded as non-adopting. The decision rule is deliberately conservative, in that it is biased toward the null, and is anchored in the technical-paper record on what constitutes operational MBSE practice [1, 19, 23] and on the architecture-level trade-study workflows that mark mature digital-engineering use [1, 8, 19, 22].</w:t>
      </w:r>
    </w:p>
    <w:p>
      <w:pPr>
        <w:pStyle w:val="BodyText"/>
        <w:spacing w:line="480" w:lineRule="auto"/>
        <w:ind w:firstLine="720"/>
      </w:pPr>
      <w:r>
        <w:t xml:space="preserve">Step three is continuous intensity coding for the logistic paper. The program receives an intensity score on a normalized zero-to-one scale that reflects the depth of Digital Mission Engineering use across four dimensions: the presence of an authoritative central system model, the integration of the central model with mission analysis and trade-study tooling, the integration of the central model with subsystem verification artifacts, and the use of digital-thread continuity into operations. Each dimension is scored on a zero-to-one ordinal scale with documented decision rules, the four dimension scores are averaged, and the result is the intensity score for the program. The technical-paper anchors for the intensity coding include the architecture-level trade-study evidence on optical sensor constellations [1, 19], the CubeSat reference-model evidence on architecture-level standardization [2, 23], the in-space servicing decision-support evidence on integration of mission, vehicle, and environment models</w:t>
      </w:r>
      <w:r>
        <w:t xml:space="preserve"> </w:t>
      </w:r>
      <w:hyperlink w:anchor="ref-3">
        <w:r>
          <w:rPr>
            <w:rStyle w:val="Hyperlink"/>
          </w:rPr>
          <w:t xml:space="preserve">[3]</w:t>
        </w:r>
      </w:hyperlink>
      <w:r>
        <w:t xml:space="preserve">, the satellite-anomaly identification decision-support evidence on integration of mission analysis with downstream analytics [4, 25], and the machine-vision pose-estimation evidence on the integration of mission models with operations-phase autonomy</w:t>
      </w:r>
      <w:r>
        <w:t xml:space="preserve"> </w:t>
      </w:r>
      <w:hyperlink w:anchor="ref-5">
        <w:r>
          <w:rPr>
            <w:rStyle w:val="Hyperlink"/>
          </w:rPr>
          <w:t xml:space="preserve">[5]</w:t>
        </w:r>
      </w:hyperlink>
      <w:r>
        <w:t xml:space="preserve">. The cross-domain technical evidence on parametric modeling and digital-thread maturity in adjacent aerospace contexts [26, 28] provides additional calibration for the upper end of the intensity scale.</w:t>
      </w:r>
    </w:p>
    <w:p>
      <w:pPr>
        <w:pStyle w:val="BodyText"/>
        <w:spacing w:line="480" w:lineRule="auto"/>
        <w:ind w:firstLine="720"/>
      </w:pPr>
      <w:r>
        <w:t xml:space="preserve">Step four is inter-rater reliability. The coding is performed independently by two raters, the dissertation author and a second coder drawn from the COLLEGIUM peer pool, and the disagreement is reconciled by a third reader through reference to the source GAO and NASA documentation. Cohen’s kappa is reported for the binary coding in the Cox paper and an intraclass correlation coefficient is reported for the continuous intensity coding in the logistic paper. The inter-rater protocol is the binding measurement-quality discipline on the treatment variable, and the resulting kappa and intraclass correlation are reported in the empirical chapters that follow.</w:t>
      </w:r>
    </w:p>
    <w:bookmarkEnd w:id="93"/>
    <w:bookmarkStart w:id="94" w:name="Xfaac9f01e4f549c70e9b65d321e745b1c2d64a9"/>
    <w:p>
      <w:pPr>
        <w:pStyle w:val="Heading2"/>
        <w:spacing w:line="480" w:lineRule="auto"/>
      </w:pPr>
      <w:r>
        <w:t xml:space="preserve">4.6 The AMOS and Acta Astronautica Technical-Paper Corpus</w:t>
      </w:r>
    </w:p>
    <w:p>
      <w:pPr>
        <w:pStyle w:val="FirstParagraph"/>
        <w:spacing w:line="480" w:lineRule="auto"/>
      </w:pPr>
      <w:r>
        <w:t xml:space="preserve">The technical-paper corpus that anchors the Digital Mission Engineering coding is drawn from two curated brains, the AMOS conference paper corpus and the Acta Astronautica journal corpus. The AMOS corpus covers conference proceedings from 2007 forward and includes the architecture-level trade-study evidence on optical sensor constellations [1, 19], the cislunar persistent-detection corridor evidence on mission-design-trade studies</w:t>
      </w:r>
      <w:r>
        <w:t xml:space="preserve"> </w:t>
      </w:r>
      <w:hyperlink w:anchor="ref-20">
        <w:r>
          <w:rPr>
            <w:rStyle w:val="Hyperlink"/>
          </w:rPr>
          <w:t xml:space="preserve">[20]</w:t>
        </w:r>
      </w:hyperlink>
      <w:r>
        <w:t xml:space="preserve">, the large-aperture near-Earth telescope architecture work</w:t>
      </w:r>
      <w:r>
        <w:t xml:space="preserve"> </w:t>
      </w:r>
      <w:hyperlink w:anchor="ref-21">
        <w:r>
          <w:rPr>
            <w:rStyle w:val="Hyperlink"/>
          </w:rPr>
          <w:t xml:space="preserve">[21]</w:t>
        </w:r>
      </w:hyperlink>
      <w:r>
        <w:t xml:space="preserve">, the artificial-intelligence space-surveillance-network scheduling evidence [22, 24], the CubeSat reference-model architecture evidence [2, 23], the satellite-anomaly identification decision-support evidence [4, 25], the active-debris-removal optimization evidence</w:t>
      </w:r>
      <w:r>
        <w:t xml:space="preserve"> </w:t>
      </w:r>
      <w:hyperlink w:anchor="ref-12">
        <w:r>
          <w:rPr>
            <w:rStyle w:val="Hyperlink"/>
          </w:rPr>
          <w:t xml:space="preserve">[12]</w:t>
        </w:r>
      </w:hyperlink>
      <w:r>
        <w:t xml:space="preserve">, the space-debris value-definition evidence</w:t>
      </w:r>
      <w:r>
        <w:t xml:space="preserve"> </w:t>
      </w:r>
      <w:hyperlink w:anchor="ref-15">
        <w:r>
          <w:rPr>
            <w:rStyle w:val="Hyperlink"/>
          </w:rPr>
          <w:t xml:space="preserve">[15]</w:t>
        </w:r>
      </w:hyperlink>
      <w:r>
        <w:t xml:space="preserve">, and the Quasi-Zenith Satellite System hosted-payload pathfinder evidence on partnership architectures for space domain awareness</w:t>
      </w:r>
      <w:r>
        <w:t xml:space="preserve"> </w:t>
      </w:r>
      <w:hyperlink w:anchor="ref-18">
        <w:r>
          <w:rPr>
            <w:rStyle w:val="Hyperlink"/>
          </w:rPr>
          <w:t xml:space="preserve">[18]</w:t>
        </w:r>
      </w:hyperlink>
      <w:r>
        <w:t xml:space="preserve">. The Acta Astronautica corpus covers articles in the 2018 through 2026 publication window and includes the in-space servicing decision-support evidence</w:t>
      </w:r>
      <w:r>
        <w:t xml:space="preserve"> </w:t>
      </w:r>
      <w:hyperlink w:anchor="ref-3">
        <w:r>
          <w:rPr>
            <w:rStyle w:val="Hyperlink"/>
          </w:rPr>
          <w:t xml:space="preserve">[3]</w:t>
        </w:r>
      </w:hyperlink>
      <w:r>
        <w:t xml:space="preserve">, the machine-vision pose-estimation evidence</w:t>
      </w:r>
      <w:r>
        <w:t xml:space="preserve"> </w:t>
      </w:r>
      <w:hyperlink w:anchor="ref-5">
        <w:r>
          <w:rPr>
            <w:rStyle w:val="Hyperlink"/>
          </w:rPr>
          <w:t xml:space="preserve">[5]</w:t>
        </w:r>
      </w:hyperlink>
      <w:r>
        <w:t xml:space="preserve">, the additive-manufacturing-in-spacecraft-components evidence</w:t>
      </w:r>
      <w:r>
        <w:t xml:space="preserve"> </w:t>
      </w:r>
      <w:hyperlink w:anchor="ref-13">
        <w:r>
          <w:rPr>
            <w:rStyle w:val="Hyperlink"/>
          </w:rPr>
          <w:t xml:space="preserve">[13]</w:t>
        </w:r>
      </w:hyperlink>
      <w:r>
        <w:t xml:space="preserve">, the parametric-economic-modelling evidence on asteroid mining architectures</w:t>
      </w:r>
      <w:r>
        <w:t xml:space="preserve"> </w:t>
      </w:r>
      <w:hyperlink w:anchor="ref-14">
        <w:r>
          <w:rPr>
            <w:rStyle w:val="Hyperlink"/>
          </w:rPr>
          <w:t xml:space="preserve">[14]</w:t>
        </w:r>
      </w:hyperlink>
      <w:r>
        <w:t xml:space="preserve">, the hypersonic-cost-prediction parametric-model evidence</w:t>
      </w:r>
      <w:r>
        <w:t xml:space="preserve"> </w:t>
      </w:r>
      <w:hyperlink w:anchor="ref-26">
        <w:r>
          <w:rPr>
            <w:rStyle w:val="Hyperlink"/>
          </w:rPr>
          <w:t xml:space="preserve">[26]</w:t>
        </w:r>
      </w:hyperlink>
      <w:r>
        <w:t xml:space="preserve">, the nanosatellite-energy-scheduling evidence</w:t>
      </w:r>
      <w:r>
        <w:t xml:space="preserve"> </w:t>
      </w:r>
      <w:hyperlink w:anchor="ref-27">
        <w:r>
          <w:rPr>
            <w:rStyle w:val="Hyperlink"/>
          </w:rPr>
          <w:t xml:space="preserve">[27]</w:t>
        </w:r>
      </w:hyperlink>
      <w:r>
        <w:t xml:space="preserve">, the technology-roadmapping methodology evidence</w:t>
      </w:r>
      <w:r>
        <w:t xml:space="preserve"> </w:t>
      </w:r>
      <w:hyperlink w:anchor="ref-28">
        <w:r>
          <w:rPr>
            <w:rStyle w:val="Hyperlink"/>
          </w:rPr>
          <w:t xml:space="preserve">[28]</w:t>
        </w:r>
      </w:hyperlink>
      <w:r>
        <w:t xml:space="preserve">, the lunar-regolith laser-beam-melting evidence</w:t>
      </w:r>
      <w:r>
        <w:t xml:space="preserve"> </w:t>
      </w:r>
      <w:hyperlink w:anchor="ref-29">
        <w:r>
          <w:rPr>
            <w:rStyle w:val="Hyperlink"/>
          </w:rPr>
          <w:t xml:space="preserve">[29]</w:t>
        </w:r>
      </w:hyperlink>
      <w:r>
        <w:t xml:space="preserve">, the extraterrestrial-structure-design review evidence</w:t>
      </w:r>
      <w:r>
        <w:t xml:space="preserve"> </w:t>
      </w:r>
      <w:hyperlink w:anchor="ref-30">
        <w:r>
          <w:rPr>
            <w:rStyle w:val="Hyperlink"/>
          </w:rPr>
          <w:t xml:space="preserve">[30]</w:t>
        </w:r>
      </w:hyperlink>
      <w:r>
        <w:t xml:space="preserve">, the hypervelocity-impact coupled finite-element discrete-element method evidence</w:t>
      </w:r>
      <w:r>
        <w:t xml:space="preserve"> </w:t>
      </w:r>
      <w:hyperlink w:anchor="ref-31">
        <w:r>
          <w:rPr>
            <w:rStyle w:val="Hyperlink"/>
          </w:rPr>
          <w:t xml:space="preserve">[31]</w:t>
        </w:r>
      </w:hyperlink>
      <w:r>
        <w:t xml:space="preserve">, the relative-quasi-satellite-transfer trajectory optimization evidence</w:t>
      </w:r>
      <w:r>
        <w:t xml:space="preserve"> </w:t>
      </w:r>
      <w:hyperlink w:anchor="ref-32">
        <w:r>
          <w:rPr>
            <w:rStyle w:val="Hyperlink"/>
          </w:rPr>
          <w:t xml:space="preserve">[32]</w:t>
        </w:r>
      </w:hyperlink>
      <w:r>
        <w:t xml:space="preserve">, and the multi-satellite imaging-scheduling evidence</w:t>
      </w:r>
      <w:r>
        <w:t xml:space="preserve"> </w:t>
      </w:r>
      <w:hyperlink w:anchor="ref-33">
        <w:r>
          <w:rPr>
            <w:rStyle w:val="Hyperlink"/>
          </w:rPr>
          <w:t xml:space="preserve">[33]</w:t>
        </w:r>
      </w:hyperlink>
      <w:r>
        <w:t xml:space="preserve">.</w:t>
      </w:r>
    </w:p>
    <w:p>
      <w:pPr>
        <w:pStyle w:val="BodyText"/>
        <w:spacing w:line="480" w:lineRule="auto"/>
        <w:ind w:firstLine="720"/>
      </w:pPr>
      <w:r>
        <w:t xml:space="preserve">The role of the technical-paper corpus in the dataset is twofold. First, it provides the calibration anchors for the Digital Mission Engineering intensity coding, in particular for the depth-of-use dimensions on which the intensity score depends. Second, it provides a cross-check on the binary adoption coding for programs whose NASA project plans are silent on the systems engineering tooling environment. The corpus is not used as the primary source for any quantitative variable, but it is the source of record for the qualitative coding judgments that condition the treatment variable.</w:t>
      </w:r>
    </w:p>
    <w:bookmarkEnd w:id="94"/>
    <w:bookmarkStart w:id="95" w:name="X9b1d42b2174fceb75b792be74a6c5fbd9342948"/>
    <w:p>
      <w:pPr>
        <w:pStyle w:val="Heading2"/>
        <w:spacing w:line="480" w:lineRule="auto"/>
      </w:pPr>
      <w:r>
        <w:t xml:space="preserve">4.7 The Illustrative Tag and the Treatment of Ambiguous Records</w:t>
      </w:r>
    </w:p>
    <w:p>
      <w:pPr>
        <w:pStyle w:val="FirstParagraph"/>
        <w:spacing w:line="480" w:lineRule="auto"/>
      </w:pPr>
      <w:r>
        <w:t xml:space="preserve">A small number of rows in each empirical dataset carry an illustrative tag in the source column. The tag is used in two circumstances. The first is when the GAO assessment record is ambiguous on a date or a cost-growth value, typically because the program is at an early reporting stage or because the reporting baseline was reset within the assessment window. The second is when the program’s circumstances place it outside the standard GAO reporting protocol, for example because it is procured under a fixed-price task order under the Commercial Lunar Payload Services program and no government baseline-growth figure is published.</w:t>
      </w:r>
    </w:p>
    <w:p>
      <w:pPr>
        <w:pStyle w:val="BodyText"/>
        <w:spacing w:line="480" w:lineRule="auto"/>
        <w:ind w:firstLine="720"/>
      </w:pPr>
      <w:r>
        <w:t xml:space="preserve">In the logistic paper, the Commercial Lunar Payload Services Astrobotic Peregrine entry carries an illustrative cost-growth value of zero because the task order was fixed-price and the GAO series does not publish a baseline-growth figure for it. The VIPER row’s complexity coding reflects the program’s pre-cancellation scope as documented in the GAO descriptions, and the illustrative tag flags the fact that the underlying program was cancelled before launch. Two rows in the Cox paper are flagged as illustrative on duration where the GAO date was ambiguous, and the illustrative coding is documented in the row-level source notes.</w:t>
      </w:r>
    </w:p>
    <w:p>
      <w:pPr>
        <w:pStyle w:val="BodyText"/>
        <w:spacing w:line="480" w:lineRule="auto"/>
        <w:ind w:firstLine="720"/>
      </w:pPr>
      <w:r>
        <w:t xml:space="preserve">The illustrative share is kept under fifteen percent of the sample in both papers, which is the disclosure threshold that the COLLEGIUM data-provenance gate sets for working papers that mix authoritative and illustrative rows. The empirical results in the two papers are reported with and without the illustrative rows as a robustness check, and the difference between the two estimates is itself reported as a measure of the sensitivity of the headline finding to the illustrative coding.</w:t>
      </w:r>
    </w:p>
    <w:bookmarkEnd w:id="95"/>
    <w:bookmarkStart w:id="96" w:name="X4da23e514ff557168d17da235f02b3b85ad3919"/>
    <w:p>
      <w:pPr>
        <w:pStyle w:val="Heading2"/>
        <w:spacing w:line="480" w:lineRule="auto"/>
      </w:pPr>
      <w:r>
        <w:t xml:space="preserve">4.8 Variables Used in the Two Empirical Papers</w:t>
      </w:r>
    </w:p>
    <w:p>
      <w:pPr>
        <w:pStyle w:val="FirstParagraph"/>
        <w:spacing w:line="480" w:lineRule="auto"/>
      </w:pPr>
      <w:r>
        <w:t xml:space="preserve">The Cox paper uses four variables. The dependent variable is the development duration in months from authority to proceed to launch or to most recent assessment date, taken from the GAO series. The event indicator is the launch indicator that equals one for flown programs and zero for right-censored programs. The treatment variable is the binary MBSE adoption indicator constructed under the protocol of Section 4.5. The covariates are the planned life-cycle duration in years, taken from the original GAO baseline, and the binary Class A indicator, taken from NPR 8705.4 as reported in the GAO appendix. The estimation sample is thirty programs with twenty-five launch events and five right-censored observations.</w:t>
      </w:r>
    </w:p>
    <w:p>
      <w:pPr>
        <w:pStyle w:val="BodyText"/>
        <w:spacing w:line="480" w:lineRule="auto"/>
        <w:ind w:firstLine="720"/>
      </w:pPr>
      <w:r>
        <w:t xml:space="preserve">The logistic paper uses four variables. The dependent variable is the binary fifteen-percent cost-growth breach indicator drawn from the GAO cost-growth column. The treatment variable is the continuous Digital Mission Engineering intensity score on a zero-to-one scale, constructed under the protocol of Section 4.5. The covariates are the baseline life-cycle cost in millions of dollars, taken from the confirmed-baseline column of the GAO appendix, and the ordinal complexity index that maps NPR 8705.4 Class A through Class D to the integers four through one. The estimation sample is thirty-two programs, twelve of which are coded as breaches.</w:t>
      </w:r>
    </w:p>
    <w:p>
      <w:pPr>
        <w:pStyle w:val="BodyText"/>
        <w:spacing w:line="480" w:lineRule="auto"/>
        <w:ind w:firstLine="720"/>
      </w:pPr>
      <w:r>
        <w:t xml:space="preserve">The variable set is deliberately small. The Cox specification carries three covariates on thirty programs and the logistic specification carries three covariates on thirty-two programs, both of which sit at the lower end of the sample-size-to-covariate ratio that survival and binary-outcome models tolerate. The decision to limit the covariate set reflects the small-sample constraint, the desire to keep each covariate anchored in a clearly auditable primary record, and the recognition that the Digital Mission Engineering treatment variable is the substantive object of interest and should not be diluted by a long list of controls whose interpretation depends on out-of-sample assumptions.</w:t>
      </w:r>
    </w:p>
    <w:bookmarkEnd w:id="96"/>
    <w:bookmarkStart w:id="97" w:name="data-limitations-and-the-path-forward"/>
    <w:p>
      <w:pPr>
        <w:pStyle w:val="Heading2"/>
        <w:spacing w:line="480" w:lineRule="auto"/>
      </w:pPr>
      <w:r>
        <w:t xml:space="preserve">4.9 Data Limitations and the Path Forward</w:t>
      </w:r>
    </w:p>
    <w:p>
      <w:pPr>
        <w:pStyle w:val="FirstParagraph"/>
        <w:spacing w:line="480" w:lineRule="auto"/>
      </w:pPr>
      <w:r>
        <w:t xml:space="preserve">Three limitations of the data condition the inferential weight of the empirical chapters. The first is the small sample size at the major-project unit of analysis. Thirty and thirty-two observations are at the lower end of what survival and logistic models tolerate, and the standard errors in both papers are correspondingly wide. The path forward is the contract-line-item unit and the expanded multi-agency sample described in the prospectus, both of which require a NASA CADRe data-use agreement and a parallel access agreement with the United States Space Force and the National Oceanic and Atmospheric Administration. Those access pathways are being pursued in parallel with the dissertation.</w:t>
      </w:r>
    </w:p>
    <w:p>
      <w:pPr>
        <w:pStyle w:val="BodyText"/>
        <w:spacing w:line="480" w:lineRule="auto"/>
        <w:ind w:firstLine="720"/>
      </w:pPr>
      <w:r>
        <w:t xml:space="preserve">The second is the qualitative character of the Digital Mission Engineering treatment variable. Even with a documented coding protocol, an inter-rater reliability check, and a technical-paper corpus that anchors the depth-of-use dimensions, the treatment variable rests on a coder judgment about what constitutes operational MBSE practice at or before SRR. The path forward is the contractor-level instrumental-variables strategy described in the prospectus and revisited in Chapter 7, which uses contractor-level digital-thread investment, observable from prime contractor public filings and the AMOS technical-paper record, as an instrument for project-level intensity.</w:t>
      </w:r>
    </w:p>
    <w:p>
      <w:pPr>
        <w:pStyle w:val="BodyText"/>
        <w:spacing w:line="480" w:lineRule="auto"/>
        <w:ind w:firstLine="720"/>
      </w:pPr>
      <w:r>
        <w:t xml:space="preserve">The third is the program-level granularity of the outcome variables. The cost-growth breach indicator and the duration from authority to proceed to launch are program-level outcomes that conflate the systems engineering channel through which the digital-engineering claim is most plausibly active with the launch-vehicle, instrument-development, and payload-integration channels that lie outside the MBSE tooling surface. The path forward is the cumulative cost performance index at preliminary design review, which is the prospectus’s primary outcome and which is defined at the contract line item level in the CADRe repository. Until CADRe access is in place, the program-level outcomes are the strongest publicly auditable measures available, and the two empirical papers report results that are appropriately bounded by that constraint.</w:t>
      </w:r>
    </w:p>
    <w:p>
      <w:pPr>
        <w:pStyle w:val="BodyText"/>
        <w:spacing w:line="480" w:lineRule="auto"/>
        <w:ind w:firstLine="720"/>
      </w:pPr>
      <w:r>
        <w:t xml:space="preserve">The chapter that follows applies the data and measurement protocol documented here to the Cox proportional-hazards specification of time to launch, and the subsequent chapter applies it to the logistic-regression specification of fifteen-percent cost-growth breach. The estimates in those chapters should be read in light of the data-construction rules set out above, and in particular in light of the inter-rater reliability of the Digital Mission Engineering treatment variable, the illustrative-tag disclosures, and the small sample size at the major-project unit of analysis.</w:t>
      </w:r>
    </w:p>
    <w:bookmarkEnd w:id="97"/>
    <w:bookmarkEnd w:id="98"/>
    <w:bookmarkStart w:id="108" w:name="chapter-5.-methods-and-identification"/>
    <w:p>
      <w:pPr>
        <w:pStyle w:val="Heading1"/>
        <w:spacing w:line="480" w:lineRule="auto"/>
      </w:pPr>
      <w:r>
        <w:t xml:space="preserve">Chapter 5. Methods and Identification</w:t>
      </w:r>
    </w:p>
    <w:bookmarkStart w:id="99" w:name="overview-of-the-estimation-strategy"/>
    <w:p>
      <w:pPr>
        <w:pStyle w:val="Heading2"/>
        <w:spacing w:line="480" w:lineRule="auto"/>
      </w:pPr>
      <w:r>
        <w:t xml:space="preserve">5.1 Overview of the Estimation Strategy</w:t>
      </w:r>
    </w:p>
    <w:p>
      <w:pPr>
        <w:pStyle w:val="FirstParagraph"/>
        <w:spacing w:line="480" w:lineRule="auto"/>
      </w:pPr>
      <w:r>
        <w:t xml:space="preserve">This chapter specifies the estimators that carry the empirical weight of the dissertation, articulates the identification assumptions that license a causal reading of the resulting coefficients, and catalogues the threats to validity that those assumptions are designed to neutralize. The chapter sits between the data architecture chapter, which describes how the Cost Analysis Data Requirement repository and the Government Accountability Office annual assessment series are merged into a program-quarter panel [9, 16], and the results chapter, which reports estimated treatment effects and their sensitivity bounds. The estimation strategy is anchored by a quasi-experimental design that exploits the staggered adoption of Digital Mission Engineering (DME) platforms across NASA Class A through Class D missions and Department of the Air Force space programs between 2014 and 2025. Three estimators do the work. A coarsened exact matching (CEM) routine constructs a balanced comparison set in the covariate space defined at authority to proceed. A staggered difference-in-differences (DiD) estimator, in the Callaway and Sant’Anna form, recovers the average treatment effect on the treated (ATT) on cumulative cost performance index (CPI) at preliminary design review. A battery of robustness specifications, including the Sun and Abraham interaction-weighted estimator, a synthetic control specification for the thin-donor flagship subsample, and the Oster delta and Cinelli and Hazlett sensitivity contours, bounds the inference against the most plausible failure modes. Two ancillary estimators carry over from the prior working papers in the dissertation pipeline: a Cox proportional-hazards survival model for time from authority to proceed to launch, and a binary logistic regression for the probability of a fifteen-percent cost-growth breach against the confirmed baseline</w:t>
      </w:r>
      <w:r>
        <w:t xml:space="preserve"> </w:t>
      </w:r>
      <w:hyperlink w:anchor="ref-11">
        <w:r>
          <w:rPr>
            <w:rStyle w:val="Hyperlink"/>
          </w:rPr>
          <w:t xml:space="preserve">[11]</w:t>
        </w:r>
      </w:hyperlink>
      <w:r>
        <w:t xml:space="preserve">. The ancillary estimators do not adjudicate the primary hypothesis, but they discipline the interpretation of the primary ATT by providing convergent or divergent signals from outcomes that are mechanically distinct from CPI at preliminary design review.</w:t>
      </w:r>
    </w:p>
    <w:p>
      <w:pPr>
        <w:pStyle w:val="BodyText"/>
        <w:spacing w:line="480" w:lineRule="auto"/>
        <w:ind w:firstLine="720"/>
      </w:pPr>
      <w:r>
        <w:t xml:space="preserve">The intellectual logic of the chapter is to begin from the estimand, move backward to the assumptions that license its identification from observational data, and then forward again to the diagnostic and sensitivity tools that test how brittle those assumptions are. The objective is not to claim that the design recovers a counterfactual with experimental precision, since no observational design over the NASA and Space Force programs of record can make that claim, but to make the identification assumptions transparent, falsifiable on their own terms, and bounded by reported sensitivity statistics.</w:t>
      </w:r>
    </w:p>
    <w:bookmarkEnd w:id="99"/>
    <w:bookmarkStart w:id="100" w:name="estimand-units-and-time"/>
    <w:p>
      <w:pPr>
        <w:pStyle w:val="Heading2"/>
        <w:spacing w:line="480" w:lineRule="auto"/>
      </w:pPr>
      <w:r>
        <w:t xml:space="preserve">5.2 Estimand, Units, and Time</w:t>
      </w:r>
    </w:p>
    <w:p>
      <w:pPr>
        <w:pStyle w:val="FirstParagraph"/>
        <w:spacing w:line="480" w:lineRule="auto"/>
      </w:pPr>
      <w:r>
        <w:t xml:space="preserve">The estimand of primary interest is the average treatment effect on the treated of DME platform adoption, at or before System Requirements Review, on cumulative CPI measured at preliminary design review. The unit of observation is the spacecraft contract line item, nested within program, nested within prime contractor. The time index is the calendar quarter. Treatment is coded as the first quarter in which a designated DME platform is documented as the authoritative architectural model for the program, with documentation drawn from NASA project plans, publicly releasable Space Systems Command program protection documentation, and prime contractor technical-paper records. The technical-paper cross-check uses the AMOS and Acta Astronautica corpora to corroborate the adoption date and the intensity of use, including the model-based trade study practice documented for optical sensor constellations and CubeSat reference models [1, 2, 19, 23], the decision-support architectures developed around in-space servicing and anomaly identification [3, 4, 25], and the architecture-level workflows reported in pose estimation, persistent detection, and sensor tasking studies [5, 8, 20, 22, 24]. The treatment date is the earliest quarter at which two independent sources concur.</w:t>
      </w:r>
    </w:p>
    <w:p>
      <w:pPr>
        <w:pStyle w:val="BodyText"/>
        <w:spacing w:line="480" w:lineRule="auto"/>
        <w:ind w:firstLine="720"/>
      </w:pPr>
      <w:r>
        <w:t xml:space="preserve">The treatment indicator is then expanded into a continuous DME intensity score, on a zero-to-one scale, to support the robustness exercise that relaxes the binary treatment assumption. The intensity score is constructed from a rubric that weights the breadth of the digital thread (mission, vehicle, environment, ground), the authority of the model relative to the document-based artifact, the integration of decision-support overlays of the kind reported by Smith, Jah, and Wood and by Mutholib, Abdul Rahim, and Gunawan [3, 4, 25], and the depth of architecture-level trade study practice of the kind described by Kirshner and Pearce and by Chandra, Lutfi, and Gross [1, 19, 23]. Coding is performed independently by the candidate and by a second rater, with disagreements reconciled in conference and inter-rater reliability reported as Cohen’s kappa. The continuous intensity score is the natural generalization of the binary treatment used in the companion logistic and Cox specifications</w:t>
      </w:r>
      <w:r>
        <w:t xml:space="preserve"> </w:t>
      </w:r>
      <w:hyperlink w:anchor="ref-11">
        <w:r>
          <w:rPr>
            <w:rStyle w:val="Hyperlink"/>
          </w:rPr>
          <w:t xml:space="preserve">[11]</w:t>
        </w:r>
      </w:hyperlink>
      <w:r>
        <w:t xml:space="preserve">.</w:t>
      </w:r>
    </w:p>
    <w:bookmarkEnd w:id="100"/>
    <w:bookmarkStart w:id="101" w:name="Xc4b4c35def9dd11e84cb896d537c0e16d86544b"/>
    <w:p>
      <w:pPr>
        <w:pStyle w:val="Heading2"/>
        <w:spacing w:line="480" w:lineRule="auto"/>
      </w:pPr>
      <w:r>
        <w:t xml:space="preserve">5.3 Stage One: Coarsened Exact Matching at Authority to Proceed</w:t>
      </w:r>
    </w:p>
    <w:p>
      <w:pPr>
        <w:pStyle w:val="FirstParagraph"/>
        <w:spacing w:line="480" w:lineRule="auto"/>
      </w:pPr>
      <w:r>
        <w:t xml:space="preserve">The first stage of the estimation routine is a coarsened exact matching procedure that constructs a comparison set of non-adopting programs that resemble the treated programs on observables fixed at authority to proceed. The covariates entering the CEM step are NASA risk class as defined by NPR 8705.4</w:t>
      </w:r>
      <w:r>
        <w:t xml:space="preserve"> </w:t>
      </w:r>
      <w:hyperlink w:anchor="ref-10">
        <w:r>
          <w:rPr>
            <w:rStyle w:val="Hyperlink"/>
          </w:rPr>
          <w:t xml:space="preserve">[10]</w:t>
        </w:r>
      </w:hyperlink>
      <w:r>
        <w:t xml:space="preserve">, prime contractor type coded as flagship, mid-class, or smallsat-specialist, destination regime coded as low Earth orbit, geosynchronous Earth orbit, cislunar, or deep space, the slope of the cumulative CPI series in the four quarters preceding the treatment date, and budget at completion at authority to proceed in constant fiscal year 2020 dollars. Covariates are coarsened on substantively defended cutpoints. Budget at completion is coarsened on the GAO major-project threshold and the flagship threshold reported across the GAO annual assessment series [6, 7, 16]. Pre-treatment CPI slope is coarsened into three bins corresponding to deteriorating, flat, and improving trajectories.</w:t>
      </w:r>
    </w:p>
    <w:p>
      <w:pPr>
        <w:pStyle w:val="BodyText"/>
        <w:spacing w:line="480" w:lineRule="auto"/>
        <w:ind w:firstLine="720"/>
      </w:pPr>
      <w:r>
        <w:t xml:space="preserve">CEM is preferred over propensity-score matching for three reasons that warrant explicit defense. First, CEM yields exact balance on the coarsened covariate strata, which means that the bias of the matched comparison is bounded by the coarsening choices and not by the convergence behavior of an estimated propensity model. Second, the joint distribution of program class and destination regime is sparse for some cells, particularly cislunar and deep space at the smallsat-specialist contractor level, and propensity-score matching with logistic propensities is known to overstate balance when the support of the propensity is thin. Third, CEM produces stratum weights that pass directly into the second-stage DiD estimation, so the matching and the outcome model are not estimated under conflicting balance criteria.</w:t>
      </w:r>
    </w:p>
    <w:p>
      <w:pPr>
        <w:pStyle w:val="BodyText"/>
        <w:spacing w:line="480" w:lineRule="auto"/>
        <w:ind w:firstLine="720"/>
      </w:pPr>
      <w:r>
        <w:t xml:space="preserve">The output of stage one is a weighted matched sample, with weights that adjust for stratum imbalance, and a Lonergan-style balance table that reports standardized differences in means for every covariate before and after matching. Programs in strata with no matched counterpart are dropped from the primary estimation and reported separately, since the absence of a comparison set means that the treatment effect is not identified for that stratum on the matched-sample design.</w:t>
      </w:r>
    </w:p>
    <w:bookmarkEnd w:id="101"/>
    <w:bookmarkStart w:id="102" w:name="X1964160f44472268149a551144fc68f6baa1b5f"/>
    <w:p>
      <w:pPr>
        <w:pStyle w:val="Heading2"/>
        <w:spacing w:line="480" w:lineRule="auto"/>
      </w:pPr>
      <w:r>
        <w:t xml:space="preserve">5.4 Stage Two: Staggered Difference-in-Differences</w:t>
      </w:r>
    </w:p>
    <w:p>
      <w:pPr>
        <w:pStyle w:val="FirstParagraph"/>
        <w:spacing w:line="480" w:lineRule="auto"/>
      </w:pPr>
      <w:r>
        <w:t xml:space="preserve">The second stage estimates the ATT on cumulative CPI at preliminary design review by a staggered difference-in-differences specification that admits heterogeneous treatment timing and heterogeneous effects across cohorts. The estimator is the Callaway and Sant’Anna group-time average treatment effect, with cohorts defined by the calendar quarter of first DME adoption. The estimator computes a cohort-specific ATT relative to the never-treated comparison group at each event time, then aggregates the cohort-specific estimates into an overall ATT using weights that reflect cohort size in the matched sample.</w:t>
      </w:r>
    </w:p>
    <w:p>
      <w:pPr>
        <w:pStyle w:val="BodyText"/>
        <w:spacing w:line="480" w:lineRule="auto"/>
        <w:ind w:firstLine="720"/>
      </w:pPr>
      <w:r>
        <w:t xml:space="preserve">The specification includes program fixed effects and calendar-quarter fixed effects. Standard errors are clustered at the program level to accommodate within-program serial correlation in the cumulative CPI series. The event-study representation reports cohort-specific ATTs at event times from minus eight to plus sixteen quarters relative to the adoption date, with the four quarters immediately before adoption used as the reference window. Pre-trends, the central diagnostic of the DiD design, are reported in the event-study plot, with a joint test of pre-treatment ATTs equal to zero across all reported pre-treatment event times.</w:t>
      </w:r>
    </w:p>
    <w:p>
      <w:pPr>
        <w:pStyle w:val="BodyText"/>
        <w:spacing w:line="480" w:lineRule="auto"/>
        <w:ind w:firstLine="720"/>
      </w:pPr>
      <w:r>
        <w:t xml:space="preserve">The Callaway and Sant’Anna estimator is preferred to a naive two-way fixed-effects regression because the two-way fixed-effects coefficient on the binary treatment, under staggered adoption with heterogeneous effects, is a weighted average of cohort-specific ATTs in which some weights can be negative. The negative-weight pathology is well documented and would compromise the interpretation of the headline coefficient as an ATT. The Callaway and Sant’Anna construction restores the interpretation by computing only forbidden-comparison-free contrasts.</w:t>
      </w:r>
    </w:p>
    <w:p>
      <w:pPr>
        <w:pStyle w:val="BodyText"/>
        <w:spacing w:line="480" w:lineRule="auto"/>
        <w:ind w:firstLine="720"/>
      </w:pPr>
      <w:r>
        <w:t xml:space="preserve">The cumulative CPI series at preliminary design review is the primary outcome. The schedule performance index at preliminary design review is reported as a secondary outcome under the same specification. The probability of a fifteen-percent cost-growth breach is reported as a tertiary outcome and is the natural binary mirror of the continuous CPI estimand, providing convergence with the logistic regression result reported in the companion working paper</w:t>
      </w:r>
      <w:r>
        <w:t xml:space="preserve"> </w:t>
      </w:r>
      <w:hyperlink w:anchor="ref-11">
        <w:r>
          <w:rPr>
            <w:rStyle w:val="Hyperlink"/>
          </w:rPr>
          <w:t xml:space="preserve">[11]</w:t>
        </w:r>
      </w:hyperlink>
      <w:r>
        <w:t xml:space="preserve">.</w:t>
      </w:r>
    </w:p>
    <w:bookmarkEnd w:id="102"/>
    <w:bookmarkStart w:id="103" w:name="ancillary-estimators"/>
    <w:p>
      <w:pPr>
        <w:pStyle w:val="Heading2"/>
        <w:spacing w:line="480" w:lineRule="auto"/>
      </w:pPr>
      <w:r>
        <w:t xml:space="preserve">5.5 Ancillary Estimators</w:t>
      </w:r>
    </w:p>
    <w:p>
      <w:pPr>
        <w:pStyle w:val="FirstParagraph"/>
        <w:spacing w:line="480" w:lineRule="auto"/>
      </w:pPr>
      <w:r>
        <w:t xml:space="preserve">Two ancillary estimators carry over from the dissertation pipeline. The Cox proportional-hazards model for time from authority to proceed to launch, fit by partial likelihood with the Breslow handling of ties, supplies the survival counterpart to the CPI estimand. The hazard ratio on the DME adoption indicator, conditional on planned life-cycle duration and a Class A indicator, was estimated at 1.12 in a thirty-program subsample with a confidence interval that does not exclude the null, a result that constrains the schedule reading of any positive cost-side ATT. The binary logistic regression for the probability of a fifteen-percent cost-growth breach, conditional on baseline life-cycle cost and a complexity index drawn from NPR 8705.4</w:t>
      </w:r>
      <w:r>
        <w:t xml:space="preserve"> </w:t>
      </w:r>
      <w:hyperlink w:anchor="ref-10">
        <w:r>
          <w:rPr>
            <w:rStyle w:val="Hyperlink"/>
          </w:rPr>
          <w:t xml:space="preserve">[10]</w:t>
        </w:r>
      </w:hyperlink>
      <w:r>
        <w:t xml:space="preserve">, supplies a discrete outcome counterpart to the continuous CPI estimand, with a McFadden pseudo-R-squared of 0.27 in the thirty-two-program sample reported in the companion paper</w:t>
      </w:r>
      <w:r>
        <w:t xml:space="preserve"> </w:t>
      </w:r>
      <w:hyperlink w:anchor="ref-11">
        <w:r>
          <w:rPr>
            <w:rStyle w:val="Hyperlink"/>
          </w:rPr>
          <w:t xml:space="preserve">[11]</w:t>
        </w:r>
      </w:hyperlink>
      <w:r>
        <w:t xml:space="preserve">. Convergence between the primary ATT and the ancillary logistic coefficient strengthens the inference; divergence is reported and interpreted as evidence of outcome-specific channels.</w:t>
      </w:r>
    </w:p>
    <w:bookmarkEnd w:id="103"/>
    <w:bookmarkStart w:id="104" w:name="identification-assumptions"/>
    <w:p>
      <w:pPr>
        <w:pStyle w:val="Heading2"/>
        <w:spacing w:line="480" w:lineRule="auto"/>
      </w:pPr>
      <w:r>
        <w:t xml:space="preserve">5.6 Identification Assumptions</w:t>
      </w:r>
    </w:p>
    <w:p>
      <w:pPr>
        <w:pStyle w:val="FirstParagraph"/>
        <w:spacing w:line="480" w:lineRule="auto"/>
      </w:pPr>
      <w:r>
        <w:t xml:space="preserve">Three identification assumptions sit underneath the primary ATT.</w:t>
      </w:r>
    </w:p>
    <w:p>
      <w:pPr>
        <w:pStyle w:val="BodyText"/>
        <w:spacing w:line="480" w:lineRule="auto"/>
        <w:ind w:firstLine="720"/>
      </w:pPr>
      <w:r>
        <w:t xml:space="preserve">The first is parallel pre-trends. Conditional on the matched sample weights, the cumulative CPI trajectories of treated and not-yet-treated programs would have evolved in parallel absent treatment. The assumption is partially testable on the pre-treatment window through the event-study representation. The assumption is not testable on the post-treatment window, which is the substance of the identification claim and the reason that the assumption is foregrounded.</w:t>
      </w:r>
    </w:p>
    <w:p>
      <w:pPr>
        <w:pStyle w:val="BodyText"/>
        <w:spacing w:line="480" w:lineRule="auto"/>
        <w:ind w:firstLine="720"/>
      </w:pPr>
      <w:r>
        <w:t xml:space="preserve">The second is no anticipation. Programs do not adjust their architectural cost trajectory in anticipation of a known future DME adoption date. The assumption is defended on institutional grounds. DME adoption decisions in the NASA and Space Force programs of record are taken at the program office level on a timetable that is short relative to the multi-quarter cumulative CPI series, and the formal anchor is the System Requirements Review milestone, which is itself an exogenous gate in the project life cycle. The assumption is partially testable by inspecting the immediate pre-treatment quarters in the event-study plot for evidence of anticipatory drift.</w:t>
      </w:r>
    </w:p>
    <w:p>
      <w:pPr>
        <w:pStyle w:val="BodyText"/>
        <w:spacing w:line="480" w:lineRule="auto"/>
        <w:ind w:firstLine="720"/>
      </w:pPr>
      <w:r>
        <w:t xml:space="preserve">The third is stable unit treatment value. The treatment effect on one program does not depend on the treatment status of other programs. The assumption is plausibly violated by engineer migration between contractors and by tooling spillovers that propagate through the prime contractor base. The leave-one-out estimator described in the threats-to-validity section bounds the resulting spillover bias.</w:t>
      </w:r>
    </w:p>
    <w:bookmarkEnd w:id="104"/>
    <w:bookmarkStart w:id="105" w:name="threats-to-validity-and-their-bounds"/>
    <w:p>
      <w:pPr>
        <w:pStyle w:val="Heading2"/>
        <w:spacing w:line="480" w:lineRule="auto"/>
      </w:pPr>
      <w:r>
        <w:t xml:space="preserve">5.7 Threats to Validity and Their Bounds</w:t>
      </w:r>
    </w:p>
    <w:p>
      <w:pPr>
        <w:pStyle w:val="FirstParagraph"/>
        <w:spacing w:line="480" w:lineRule="auto"/>
      </w:pPr>
      <w:r>
        <w:t xml:space="preserve">Five threats to validity require explicit treatment.</w:t>
      </w:r>
    </w:p>
    <w:p>
      <w:pPr>
        <w:pStyle w:val="BodyText"/>
        <w:spacing w:line="480" w:lineRule="auto"/>
        <w:ind w:firstLine="720"/>
      </w:pPr>
      <w:r>
        <w:t xml:space="preserve">The first threat is selection on unobservables. Programs that adopt DME platforms may differ from non-adopters on unobserved program-office competence or technical risk appetite. The CEM stage controls for the observable correlates of program-office competence in the form of contractor type and program class, but does not control for the unobservable component. The bound is the Oster delta, which reports the strength of unobserved confounding, relative to the strength of the observed confounders, that would be required to drive the ATT to zero. A delta below one is interpreted as evidence that unobserved confounding would have to dominate observed confounding to overturn the result, and a delta above one is interpreted as evidence of identification fragility. The Cinelli and Hazlett sensitivity contour reports the partial-R-squared of any hypothesized unobserved confounder with the treatment and with the outcome that would be required to reduce the ATT below the pre-registered 0.05 threshold.</w:t>
      </w:r>
    </w:p>
    <w:p>
      <w:pPr>
        <w:pStyle w:val="BodyText"/>
        <w:spacing w:line="480" w:lineRule="auto"/>
        <w:ind w:firstLine="720"/>
      </w:pPr>
      <w:r>
        <w:t xml:space="preserve">The second threat is the binary treatment definition. DME adoption is not, in practice, a binary event. Programs adopt different tools at different fidelity levels and at different points in the project life cycle. The bound is the continuous-intensity robustness specification, which substitutes the zero-to-one intensity score for the binary indicator and re-estimates the Callaway and Sant’Anna ATT against the continuous treatment, with cohorts redefined by intensity quartile. Coding reliability is reported as Cohen’s kappa across the two raters.</w:t>
      </w:r>
    </w:p>
    <w:p>
      <w:pPr>
        <w:pStyle w:val="BodyText"/>
        <w:spacing w:line="480" w:lineRule="auto"/>
        <w:ind w:firstLine="720"/>
      </w:pPr>
      <w:r>
        <w:t xml:space="preserve">The third threat is outcome measurement. The cumulative CPI series is sensitive to baseline re-plans, which the GAO assessment series flags but which the CADRe repository does not always re-baseline mechanically [9, 16]. The bound is to report two parallel specifications. The primary specification uses the original authority-to-proceed baseline as the denominator throughout, so that re-plans show up as cost growth and not as silent re-anchoring. The secondary specification uses the GAO-flagged re-baselined denominator and reports the result alongside the primary. Programs subject to the Mars Sample Return Independent Review Board re-baseline are reported separately, on the grounds that the IRB re-baseline is sui generis and propagates through the program’s CPI record in ways that the standard re-baseline coding does not capture</w:t>
      </w:r>
      <w:r>
        <w:t xml:space="preserve"> </w:t>
      </w:r>
      <w:hyperlink w:anchor="ref-17">
        <w:r>
          <w:rPr>
            <w:rStyle w:val="Hyperlink"/>
          </w:rPr>
          <w:t xml:space="preserve">[17]</w:t>
        </w:r>
      </w:hyperlink>
      <w:r>
        <w:t xml:space="preserve">.</w:t>
      </w:r>
    </w:p>
    <w:p>
      <w:pPr>
        <w:pStyle w:val="BodyText"/>
        <w:spacing w:line="480" w:lineRule="auto"/>
        <w:ind w:firstLine="720"/>
      </w:pPr>
      <w:r>
        <w:t xml:space="preserve">The fourth threat is external validity. The estimated ATT applies to the NASA and Space Force programs of record between 2014 and 2025. Extrapolation to commercial constellation programs, where reporting discipline differs, is explicitly out of scope. Extrapolation to international programs, where cost reporting conventions vary, is also out of scope. The bound is to report the program-class composition of the matched sample alongside the ATT, so that readers can judge for themselves the population to which the estimate generalizes. The QZSS Hosted Payload pathfinder for Space Domain Awareness partnerships</w:t>
      </w:r>
      <w:r>
        <w:t xml:space="preserve"> </w:t>
      </w:r>
      <w:hyperlink w:anchor="ref-18">
        <w:r>
          <w:rPr>
            <w:rStyle w:val="Hyperlink"/>
          </w:rPr>
          <w:t xml:space="preserve">[18]</w:t>
        </w:r>
      </w:hyperlink>
      <w:r>
        <w:t xml:space="preserve"> </w:t>
      </w:r>
      <w:r>
        <w:t xml:space="preserve">illustrates the boundary case of an international hosted payload that participates in the U.S. program inventory but whose CADRe coverage is partial; such programs are reported but not used to drive the headline ATT.</w:t>
      </w:r>
    </w:p>
    <w:p>
      <w:pPr>
        <w:pStyle w:val="BodyText"/>
        <w:spacing w:line="480" w:lineRule="auto"/>
        <w:ind w:firstLine="720"/>
      </w:pPr>
      <w:r>
        <w:t xml:space="preserve">The fifth threat is spillover. A non-adopting program staffed by engineers trained on DME platforms at a prior adopting program may exhibit partial treatment. The bound is a leave-one-out estimator that drops contractor-quarter cells with documented engineer migration, as coded from prime contractor press releases and AMOS technical-paper authorship records. The leave-one-out ATT is reported alongside the headline ATT. A second spillover channel arises from contractor-level digital-thread investment that propagates across the contractor’s program portfolio; this is bounded by a specification that includes contractor-by-quarter fixed effects, which absorb contractor-level shocks at a quarterly frequency at the cost of statistical power.</w:t>
      </w:r>
    </w:p>
    <w:p>
      <w:pPr>
        <w:pStyle w:val="BodyText"/>
        <w:spacing w:line="480" w:lineRule="auto"/>
        <w:ind w:firstLine="720"/>
      </w:pPr>
      <w:r>
        <w:t xml:space="preserve">Two further considerations, which are not strictly threats to validity but which condition the inference, deserve note. The first is statistical power. The matched sample is small by social-science standards, with treated cohorts that range from three to fifteen programs depending on the cohort definition, and the event-study plot is correspondingly wide at the tails. The pre-registered minimum detectable effect is 0.05 index points on cumulative CPI at preliminary design review, and power calculations against this threshold are reported in the appendix. The second is the data provenance chain. The CADRe repository is the canonical NASA cost dataset and is the only source of record at the contract line item level</w:t>
      </w:r>
      <w:r>
        <w:t xml:space="preserve"> </w:t>
      </w:r>
      <w:hyperlink w:anchor="ref-9">
        <w:r>
          <w:rPr>
            <w:rStyle w:val="Hyperlink"/>
          </w:rPr>
          <w:t xml:space="preserve">[9]</w:t>
        </w:r>
      </w:hyperlink>
      <w:r>
        <w:t xml:space="preserve">, but access is governed by the NASA Office of the Chief Financial Officer data sharing protocol, and any line items withheld for sensitivity reasons are reported as missing-by-design rather than imputed. The GAO series provides the public counterpart, and reconciliations between the two are reported in the data architecture chapter</w:t>
      </w:r>
      <w:r>
        <w:t xml:space="preserve"> </w:t>
      </w:r>
      <w:hyperlink w:anchor="ref-16">
        <w:r>
          <w:rPr>
            <w:rStyle w:val="Hyperlink"/>
          </w:rPr>
          <w:t xml:space="preserve">[16]</w:t>
        </w:r>
      </w:hyperlink>
      <w:r>
        <w:t xml:space="preserve">.</w:t>
      </w:r>
    </w:p>
    <w:bookmarkEnd w:id="105"/>
    <w:bookmarkStart w:id="106" w:name="pre-registration-and-reporting-protocol"/>
    <w:p>
      <w:pPr>
        <w:pStyle w:val="Heading2"/>
        <w:spacing w:line="480" w:lineRule="auto"/>
      </w:pPr>
      <w:r>
        <w:t xml:space="preserve">5.8 Pre-Registration and Reporting Protocol</w:t>
      </w:r>
    </w:p>
    <w:p>
      <w:pPr>
        <w:pStyle w:val="FirstParagraph"/>
        <w:spacing w:line="480" w:lineRule="auto"/>
      </w:pPr>
      <w:r>
        <w:t xml:space="preserve">The estimand, the primary specification, the pre-registered minimum detectable effect of 0.05 index points, the covariate set, the cohort definitions, and the sensitivity bounds are pre-registered before the matched sample is unblinded for analysis. The pre-registration is filed with the Collegium archive and time-stamped against the candidate’s working repository. Robustness exercises that are not pre-registered are reported as exploratory and are not used to adjudicate H0 against H1. The reporting protocol commits to publishing the event-study plot, the Oster delta, the Cinelli and Hazlett contour, the leave-one-out ATT, and the contractor-by-quarter specification regardless of the sign or significance of the headline ATT. The asymmetric reporting failure that has historically afflicted the MBSE effectiveness literature, in which positive single-program retrospectives are published and null findings remain in working drafts, is the principal evidentiary problem that this dissertation is designed to remedy, and pre-commitment to publication of the full sensitivity suite is the procedural defense against repeating it.</w:t>
      </w:r>
    </w:p>
    <w:bookmarkEnd w:id="106"/>
    <w:bookmarkStart w:id="107" w:name="summary"/>
    <w:p>
      <w:pPr>
        <w:pStyle w:val="Heading2"/>
        <w:spacing w:line="480" w:lineRule="auto"/>
      </w:pPr>
      <w:r>
        <w:t xml:space="preserve">5.9 Summary</w:t>
      </w:r>
    </w:p>
    <w:p>
      <w:pPr>
        <w:pStyle w:val="FirstParagraph"/>
        <w:spacing w:line="480" w:lineRule="auto"/>
      </w:pPr>
      <w:r>
        <w:t xml:space="preserve">The estimation strategy combines coarsened exact matching at authority to proceed with a Callaway and Sant’Anna staggered difference-in-differences estimator on the matched sample, anchored on a single pre-registered estimand and bounded by a battery of sensitivity exercises that quantify the strength of unobserved confounding required to overturn the result. The ancillary Cox and logistic estimators carried over from the prior working papers in the pipeline supply convergent or divergent signals on schedule and on the discrete cost-breach outcome that are mechanically distinct from the primary CPI estimand</w:t>
      </w:r>
      <w:r>
        <w:t xml:space="preserve"> </w:t>
      </w:r>
      <w:hyperlink w:anchor="ref-11">
        <w:r>
          <w:rPr>
            <w:rStyle w:val="Hyperlink"/>
          </w:rPr>
          <w:t xml:space="preserve">[11]</w:t>
        </w:r>
      </w:hyperlink>
      <w:r>
        <w:t xml:space="preserve">. The identification assumptions of parallel pre-trends, no anticipation, and stable unit treatment value are foregrounded, partially tested where the data permit, and bounded where the data do not. The five principal threats to validity, selection on unobservables, the binary treatment definition, outcome measurement, external validity, and spillover, are each paired with an explicit bounding strategy, and the bounds are reported in the results chapter alongside the headline ATT regardless of sign or significance. The pre-registration and reporting protocol commits the dissertation to a symmetric evidentiary standard that the existing single-program MBSE effectiveness literature has not, to date, been organized to deliver.</w:t>
      </w:r>
    </w:p>
    <w:bookmarkEnd w:id="107"/>
    <w:bookmarkEnd w:id="108"/>
    <w:bookmarkStart w:id="112"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that constitute the quantitative core of the dissertation. Paper 1 fits a Cox proportional-hazards model to time from authority to proceed to launch on a sample of thirty NASA major projects observed across the Government Accountability Office assessment series between 2012 and 2025. Paper 2 fits a binary logistic regression on a closely related but separately constructed sample of thirty-two NASA major projects drawn from the same series, with the dependent variable defined as a fifteen-percent cost-growth breach of the confirmed life-cycle baseline. The two estimators address the two outcome dimensions on which the prospectus committed the contribution to be falsifiable, namely the schedule margin and the cost-control margin. The chapter is organized as follows. Section 6.1 reports the schedule findings from the Cox model. Section 6.2 reports the cost-breach findings from the logistic regression. Section 6.3 reads the two estimators jointly, with explicit attention to the comparative magnitudes, the relative precision, and the substantive implications for the digital-thread argument articulated in the prospectus and in the prior literature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supporting tables, regression diagnostics, event-time plots, and the row-level data extracts are deferred to Appendix A in keeping with the structural convention adopted for the dissertation, and are referenced here in the text without reproduction.</w:t>
      </w:r>
    </w:p>
    <w:bookmarkStart w:id="109" w:name="X6932f75c688bffbbe6fc1df45899fdde1670e1b"/>
    <w:p>
      <w:pPr>
        <w:pStyle w:val="Heading2"/>
        <w:spacing w:line="480" w:lineRule="auto"/>
      </w:pPr>
      <w:r>
        <w:t xml:space="preserve">6.1 Schedule findings from the Cox proportional-hazards model</w:t>
      </w:r>
    </w:p>
    <w:p>
      <w:pPr>
        <w:pStyle w:val="FirstParagraph"/>
        <w:spacing w:line="480" w:lineRule="auto"/>
      </w:pPr>
      <w:r>
        <w:t xml:space="preserve">Thirty NASA major projects enter the Cox proportional-hazards estimator, of which twenty-five reach the launch event by the most recent observable GAO assessment and five are right-censored at the most recent assessment date. The estimator therefore exploits the full launch record of the GAO portfolio in the observation window without discarding the censored programs that are still in development, which is the standard rationale for preferring a partial-likelihood survival approach over a linear duration model on a sample of this composition. The covariate set is the binary MBSE adoption indicator coded at System Requirements Review, the planned life-cycle duration in years, and the Class A risk-class indicator. Estimation uses the Breslow handling of tied event times and the asymptotic standard errors that the partial likelihood produces under the proportional-hazards assumption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estimated coefficient on the MBSE adoption indicator is 0.1129 with a standard error of 0.4726. The associated z statistic, formed as the ratio of the point estimate to the standard error, is approximately 0.24. The p value reported by the estimator is 0.8113. The implied hazard ratio, obtained by exponentiating the log-hazard coefficient, is approximately 1.12. The point estimate sits in the direction predicted by the alternative hypothesis stated in the prospectus and reaffirmed in the schedule paper, namely that programs adopting MBSE at or before SRR should experience a higher conditional hazard of reaching launch and therefore a hazard ratio above one. The standard error, however, is more than four times larger than the point estimate. The implied ninety-five percent confidence interval on the log-hazard coefficient spans roughly from negative 0.82 to positive 1.04, and the associated hazard-ratio interval spans roughly from 0.44 to 2.83. The null of no MBSE effect on the conditional hazard of launch cannot be rejected at the ten-percent level, let alone at five or one percent.</w:t>
      </w:r>
    </w:p>
    <w:p>
      <w:pPr>
        <w:pStyle w:val="BodyText"/>
        <w:spacing w:line="480" w:lineRule="auto"/>
        <w:ind w:firstLine="720"/>
      </w:pPr>
      <w:r>
        <w:t xml:space="preserve">The estimated coefficient on planned life-cycle duration in years is negative 0.6593 with a standard error of 0.1703. The associated z statistic is approximately negative 3.87 and the p value is 0.0001. The implied hazard ratio is approximately 0.52. The substantive reading is that, conditional on MBSE adoption and Class A status, each additional year of planned life-cycle duration is associated with roughly a halving of the conditional hazard of reaching launch in any given calendar month. The result has the largest effect size in the model and is the only covariate that clears any conventional significance threshold. It is also the result that should be expected from the obvious mechanism that more ambitious programs are planned to take longer and do take longer, and it functions in the model as a strong reassurance that the partial likelihood is in fact recovering signal from the duration data rather than fitting noise to a degenerate design matrix.</w:t>
      </w:r>
    </w:p>
    <w:p>
      <w:pPr>
        <w:pStyle w:val="BodyText"/>
        <w:spacing w:line="480" w:lineRule="auto"/>
        <w:ind w:firstLine="720"/>
      </w:pPr>
      <w:r>
        <w:t xml:space="preserve">The estimated coefficient on the Class A indicator is negative 0.0832 with a standard error of 0.6654. The associated z statistic is approximately negative 0.13 and the p value is 0.9005. The implied hazard ratio is approximately 0.92. The point estimate is, in substantive terms, indistinguishable from zero, and the standard error is roughly eight times the magnitude of the point estimate, which leaves the implied hazard-ratio interval wide on both sides of unity. The null of no Class A effect on the conditional hazard of launch cannot be rejected. Two readings of this null are admissible. The first is that within the thirty-program sample the Class A indicator is too coarse to separate the upper-flagship programs from the rest of the portfolio once conditions on planned life-cycle duration are held fixed. The second is that the GAO portfolio reading in which Class A and Class B programs differ more sharply on cost and risk treatment than on raw duration is correct, and that once duration is held fixed the residual Class A signal is small.</w:t>
      </w:r>
    </w:p>
    <w:p>
      <w:pPr>
        <w:pStyle w:val="BodyText"/>
        <w:spacing w:line="480" w:lineRule="auto"/>
        <w:ind w:firstLine="720"/>
      </w:pPr>
      <w:r>
        <w:t xml:space="preserve">Three implications follow from the Cox results. First, the headline finding on the primary covariate of interest is a non-rejection of the null on a small but well-defined sample. The point estimate on MBSE adoption is in the hypothesized direction and corresponds to a hazard ratio of 1.12, which would, if real, mean that MBSE-adopting programs reach launch at a rate twelve percent higher per unit time than otherwise comparable non-adopters. The standard error is too large for this estimate to be distinguished from zero. The null hypothesis stated in Section 1 of Paper 1, that the conditional coefficient on MBSE adoption is zero, is not rejected. Second, the model is identified and is not a degenerate fit. The duration coefficient is large, precisely estimated, and signed in the expected direction, which means the absence of an MBSE effect cannot be dismissed as an artifact of an unestimable specification. Third, the precision of the MBSE estimate is the binding constraint. A standard error of 0.4726 on a binary covariate in a thirty-program sample with twenty-five events implies that the minimum detectable effect at conventional power is well above the point estimate the model actually produces, which is the methodological mirror image of the substantive reading the chapter offers below.</w:t>
      </w:r>
    </w:p>
    <w:p>
      <w:pPr>
        <w:pStyle w:val="BodyText"/>
        <w:spacing w:line="480" w:lineRule="auto"/>
        <w:ind w:firstLine="720"/>
      </w:pPr>
      <w:r>
        <w:t xml:space="preserve">Two methodological caveats accompany the schedule finding and are reported here so that the joint reading in Section 6.3 is not over-interpreted. The first is that the binary MBSE indicator does not distinguish full digital-thread adoption from limited tool use confined to specific subsystems, and is therefore likely a downward-biased measure of the true treatment intensity. The second is that the proportional-hazards assumption was not formally tested in the present specification. A Schoenfeld residual check on a future replication on a larger multi-agency sample is the natural next step, and is identified this way in Section 6 of Paper 1. Neither caveat changes the present numerical reading, but both qualify the strength of the inference that may be drawn from the non-rejection.</w:t>
      </w:r>
    </w:p>
    <w:bookmarkEnd w:id="109"/>
    <w:bookmarkStart w:id="110" w:name="X0c3b05fe0211c790d7db73ab75bc078fa35eb17"/>
    <w:p>
      <w:pPr>
        <w:pStyle w:val="Heading2"/>
        <w:spacing w:line="480" w:lineRule="auto"/>
      </w:pPr>
      <w:r>
        <w:t xml:space="preserve">6.2 Cost-breach findings from the logistic regression</w:t>
      </w:r>
    </w:p>
    <w:p>
      <w:pPr>
        <w:pStyle w:val="FirstParagraph"/>
        <w:spacing w:line="480" w:lineRule="auto"/>
      </w:pPr>
      <w:r>
        <w:t xml:space="preserve">The logistic regression is fit on a sample of thirty-two NASA major projects drawn from the same GAO Annual Assessment series, with the dependent variable defined as a binary indicator equal to one if the reported cost growth from the confirmed baseline life-cycle commitment exceeded fifteen percent at the most recent observable assessment, and zero otherwise. The fifteen-percent threshold is the breach line at which NASA is statutorily required to notify Congress and rebaseline, and it is therefore the relevant decision-theoretic discontinuity for procurement reviewers and appropriators. Twelve of the thirty-two programs in the estimation sample are coded as breaches. The covariate set is the continuous Digital Mission Engineering intensity score, the baseline life-cycle cost in millions of dollars, and the ordinal complexity index drawn from NPR 8705.4 and from the GAO program descriptions</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Estimation uses the statsmodels Logit routine with the default Newton-Raphson convergence criterion and reports the maximum-likelihood asymptotic standard errors.</w:t>
      </w:r>
    </w:p>
    <w:p>
      <w:pPr>
        <w:pStyle w:val="BodyText"/>
        <w:spacing w:line="480" w:lineRule="auto"/>
        <w:ind w:firstLine="720"/>
      </w:pPr>
      <w:r>
        <w:t xml:space="preserve">Fit statistics confirm that the model converged on the full thirty-two observation sample without separation. The log-likelihood at convergence is approximately negative 15.105. The McFadden pseudo-R-squared is 0.2665, which the literature on binary models of GAO-portfolio outcomes treats as a moderate fit and which leaves substantial unexplained binary variation for unobserved program-specific factors. The model does not exhibit perfect separation on any of the three covariates, which means the maximum-likelihood estimates and their asymptotic standard errors are well defined and interpretable in the standard log-odds metric.</w:t>
      </w:r>
    </w:p>
    <w:p>
      <w:pPr>
        <w:pStyle w:val="BodyText"/>
        <w:spacing w:line="480" w:lineRule="auto"/>
        <w:ind w:firstLine="720"/>
      </w:pPr>
      <w:r>
        <w:t xml:space="preserve">The estimated coefficient on Digital Mission Engineering intensity is negative 7.4727 with a standard error of 3.477. The associated z statistic, formed as the ratio of the point estimate to the standard error, is approximately negative 2.15. The reported p value is 0.0316. The estimate clears the conventional five-percent threshold and the null of no association between Digital Mission Engineering intensity and the probability of a fifteen-percent cost-growth breach is rejected. The substantive reading is that, holding baseline cost and mission complexity fixed, an increase in the intensity score is associated with a sharply lower log-odds of breach. The log-odds metric does not lend itself directly to a percentage reading, but the magnitude is large relative to the observed range of the intensity score in the sample, and translates into a meaningful change in fitted breach probability across the observed range of the covariate for projects of comparable scale and complexity. The sign is in the direction predicted by H1 as stated in Paper 2 and is consistent with the digital-thread argument that an authoritative model collapses ambiguity between subsystem teams in formulation and reduces the late rework that drives the largest cost overruns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estimated intercept is negative 2.6396 with a standard error of 2.495. The associated z statistic is approximately negative 1.06 and the p value is 0.2901. The null that the intercept term equals zero cannot be rejected at conventional levels. In a logistic regression in which the covariates are not centered, the intercept is a baseline log-odds quantity conditional on all covariates equal to zero, and the test of significance on the intercept is not the test of theoretical interest. The negative sign is consistent with a baseline breach probability below one half in the reference category, which matches the descriptive observation that twelve of thirty-two programs in the sample are coded as breaches.</w:t>
      </w:r>
    </w:p>
    <w:p>
      <w:pPr>
        <w:pStyle w:val="BodyText"/>
        <w:spacing w:line="480" w:lineRule="auto"/>
        <w:ind w:firstLine="720"/>
      </w:pPr>
      <w:r>
        <w:t xml:space="preserve">The estimated coefficient on baseline cost in millions of dollars is 0.0002 with a standard error of 0.0002. The associated z statistic is approximately positive 0.66 and the p value is 0.5082. The point estimate is, in substantive terms, indistinguishable from zero in the log-odds scale. The null that baseline cost has no association with the probability of breach, conditional on Digital Mission Engineering intensity and the complexity index, cannot be rejected. The substantive reading is that dollar scale alone does not separate breaching from non-breaching programs once Digital Mission Engineering intensity and complexity are in the model. This is consistent with the prior literature reading that flagship programs and competed mid-class missions do not differ on breach probability along any margin that scale by itself captures, and that the channels through which complexity and tooling operate carry the explanatory weight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estimated coefficient on the complexity index is 1.2285 with a standard error of 0.7651. The associated z statistic is approximately positive 1.61 and the p value is 0.1084. The point estimate is positive in the direction expected from the prior literature on flagship cost growth, which has consistently associated higher engineering difficulty with higher breach probability, but the estimate does not clear the five-percent significance threshold on the present sample. The reading offered in the discussion section of Paper 2 is that the coefficient is suggestive but not significant at five percent on this sample size, and that the directionality is consistent with prior expectations even where the precision is insufficient to reject the null. The standard error is roughly sixty-two percent of the point estimate, which leaves the implied confidence interval on the log-odds coefficient straddling zero on the lower end and reaching a substantively large positive value on the upper end.</w:t>
      </w:r>
    </w:p>
    <w:p>
      <w:pPr>
        <w:pStyle w:val="BodyText"/>
        <w:spacing w:line="480" w:lineRule="auto"/>
        <w:ind w:firstLine="720"/>
      </w:pPr>
      <w:r>
        <w:t xml:space="preserve">The headline of the logistic regression is the negative coefficient on Digital Mission Engineering intensity, which is large in magnitude, signed as predicted by the alternative hypothesis, and statistically significant at the five-percent level on a sample of thirty-two. The fit summary, with a pseudo-R-squared of 0.2665 and a log-likelihood at convergence of negative 15.105, confirms that the model is well behaved and is not over-fitting the small sample. The control terms behave as the prior literature would predict, with baseline cost flat and complexity positive but imprecise, and neither control term displaces the headline coefficient or its significance. The result is conditional and not causal in the strict sense, since the intensity score is constructed from public documentation and the design does not address selection on unobservable program-management quality, but it is a non-trivial conditional association on a publicly sourced dataset and on a covariate set that the prior literature treats as the relevant set of observable confounders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0"/>
    <w:bookmarkStart w:id="111" w:name="joint-reading-of-the-two-estimators"/>
    <w:p>
      <w:pPr>
        <w:pStyle w:val="Heading2"/>
        <w:spacing w:line="480" w:lineRule="auto"/>
      </w:pPr>
      <w:r>
        <w:t xml:space="preserve">6.3 Joint reading of the two estimators</w:t>
      </w:r>
    </w:p>
    <w:p>
      <w:pPr>
        <w:pStyle w:val="FirstParagraph"/>
        <w:spacing w:line="480" w:lineRule="auto"/>
      </w:pPr>
      <w:r>
        <w:t xml:space="preserve">The two estimators are run on overlapping but separately constructed samples and on related but conceptually distinct outcomes, and a careful joint reading is therefore required before any combined claim is advanced. The Cox model treats time to launch from authority to proceed as a survival problem and asks whether MBSE adoption shifts the conditional hazard of reaching the launch event. The logistic regression treats the binary fifteen-percent cost-growth breach as a discrete failure event and asks whether Digital Mission Engineering intensity shifts the conditional probability of that event. The two questions are deliberately separated because the prior literature on NASA major-project performance, and the GAO assessment series in particular, has documented that schedule slip and cost growth are not redundant measures of program health</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A program may absorb scope-driven schedule pressure through cost growth without slipping to launch, or it may slip to launch without growing in cost beyond the breach threshold. The two outcomes load on partially distinct underlying program management mechanisms, and the present chapter reports them as the separate quantities they are.</w:t>
      </w:r>
    </w:p>
    <w:p>
      <w:pPr>
        <w:pStyle w:val="BodyText"/>
        <w:spacing w:line="480" w:lineRule="auto"/>
        <w:ind w:firstLine="720"/>
      </w:pPr>
      <w:r>
        <w:t xml:space="preserve">On the schedule margin, the Cox model yields a null result on the primary covariate of interest. The estimated coefficient on MBSE adoption of 0.1129 is signed in the predicted direction and corresponds to a hazard ratio of 1.12, but the standard error of 0.4726 is large enough that the null of no effect cannot be rejected at any conventional level. The duration coefficient of negative 0.6593, with a p value of 0.0001 and a hazard ratio of 0.52, dominates the model in both magnitude and precision and recovers the expected mechanism that planned mission ambition translates directly into longer realized development time. The Class A indicator returns a coefficient of negative 0.0832 with a standard error of 0.6654, which is indistinguishable from zero. The methodological reading of the Cox results is that the model is identified, recovers the dominant duration mechanism cleanly, and is precision-bound on the MBSE indicator at the present sample size.</w:t>
      </w:r>
    </w:p>
    <w:p>
      <w:pPr>
        <w:pStyle w:val="BodyText"/>
        <w:spacing w:line="480" w:lineRule="auto"/>
        <w:ind w:firstLine="720"/>
      </w:pPr>
      <w:r>
        <w:t xml:space="preserve">On the cost-breach margin, the logistic regression yields a statistically significant result on the primary covariate of interest. The estimated coefficient on Digital Mission Engineering intensity of negative 7.4727 is signed in the predicted direction, is large in the log-odds metric, and clears the conventional five-percent significance threshold at a p value of 0.0316. The baseline-cost coefficient of 0.0002 is, on the log-odds scale, indistinguishable from zero, and the complexity coefficient of 1.2285 is suggestive but does not clear five percent at a p value of 0.1084. The pseudo-R-squared of 0.2665 and the log-likelihood at convergence of negative 15.105 indicate a moderate and well-behaved fit. The methodological reading of the logistic results is that the model is well identified, that the binary outcome is sensitive to the digital-thread covariate in the predicted direction, and that the headline coefficient survives the inclusion of the standard observable confounders.</w:t>
      </w:r>
    </w:p>
    <w:p>
      <w:pPr>
        <w:pStyle w:val="BodyText"/>
        <w:spacing w:line="480" w:lineRule="auto"/>
        <w:ind w:firstLine="720"/>
      </w:pPr>
      <w:r>
        <w:t xml:space="preserve">The joint reading is therefore that the digital-thread argument receives differentiated empirical support across the two margins on which the prospectus committed the contribution to be evaluated. On cost, the conditional association between Digital Mission Engineering intensity and the probability of fifteen-percent breach is negative, large, and statistically significant at five percent. On schedule, the conditional association between MBSE adoption and the hazard of reaching launch is positive, modest, and not statistically distinguishable from zero. The combined empirical picture is consistent with three distinct substantive readings, each of which is admissible on the present evidence and each of which carries different implications for follow-on work and for policy.</w:t>
      </w:r>
    </w:p>
    <w:p>
      <w:pPr>
        <w:pStyle w:val="BodyText"/>
        <w:spacing w:line="480" w:lineRule="auto"/>
        <w:ind w:firstLine="720"/>
      </w:pPr>
      <w:r>
        <w:t xml:space="preserve">The first reading is that the digital-thread effect on NASA major projects, as it has been adopted to date, operates more strongly through the cost channel than through the schedule channel. This is consistent with the prior literature in which late rework is repeatedly identified as the single largest driver of cost growth on flagship and large strategic missions, and in which the binding schedule constraints often lie outside the surface that MBSE tools most directly touch, including instrument development, payload integration, and launch-vehicle readiness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7">
        <w:r>
          <w:rPr>
            <w:rStyle w:val="Hyperlink"/>
          </w:rPr>
          <w:t xml:space="preserve">[17]</w:t>
        </w:r>
      </w:hyperlink>
      <w:r>
        <w:t xml:space="preserve">. If this reading is correct, then the policy implication articulated in the discussion section of Paper 2, that procurement and oversight bodies should treat formulation-phase Digital Mission Engineering intensity as a candidate leading indicator of cost-control risk, is supported by the present evidence, and the parallel implication for schedule oversight is not.</w:t>
      </w:r>
    </w:p>
    <w:p>
      <w:pPr>
        <w:pStyle w:val="BodyText"/>
        <w:spacing w:line="480" w:lineRule="auto"/>
        <w:ind w:firstLine="720"/>
      </w:pPr>
      <w:r>
        <w:t xml:space="preserve">The second reading is that the binary MBSE indicator in the Cox model is too coarse a measure of the underlying treatment to detect a real schedule effect, and that the difference between the two findings reflects measurement quality rather than the underlying mechanism. The logistic regression uses a continuous intensity score that is sensitive to gradations of adoption depth, while the Cox model uses a binary indicator that is satisfied by any documented use of MBSE tooling at or before SRR. The MBSE binary is therefore likely a downward-biased measure of the true treatment intensity on the schedule margin, and the modest positive point estimate with a wide confidence interval is precisely what one would expect from a downward-biased binary on a small sample. Under this reading, a replication that codes a continuous Digital Mission Engineering intensity score for the schedule sample, of the kind already constructed for the cost sample, is the natural next step and is identified this way in Paper 1.</w:t>
      </w:r>
    </w:p>
    <w:p>
      <w:pPr>
        <w:pStyle w:val="BodyText"/>
        <w:spacing w:line="480" w:lineRule="auto"/>
        <w:ind w:firstLine="720"/>
      </w:pPr>
      <w:r>
        <w:t xml:space="preserve">The third reading is statistical. The Cox model is fit on thirty programs with twenty-five events, and the logistic regression is fit on thirty-two programs with twelve breach events. The cost-breach estimator achieves significance on its primary covariate of interest because the effect size in the log-odds metric is large enough to clear the standard error that this sample size produces. The schedule estimator does not achieve significance on its primary covariate of interest because the implied minimum detectable effect at the present sample size, given a standard error of 0.4726, is well above the point estimate the model actually returns. Under this reading, the difference between the two findings is at least partially a function of power, and a multi-agency replication that expands the sample to include NOAA, USSF, and selected DoD space programs of record, of the kind identified in the discussion section of Paper 2, would tighten the inference on both margins.</w:t>
      </w:r>
    </w:p>
    <w:p>
      <w:pPr>
        <w:pStyle w:val="BodyText"/>
        <w:spacing w:line="480" w:lineRule="auto"/>
        <w:ind w:firstLine="720"/>
      </w:pPr>
      <w:r>
        <w:t xml:space="preserve">None of the three readings is exclusive of the others. The most defensible synthesis on the present evidence is that the digital-thread argument receives qualified empirical support on the cost-control margin and an unrefuted but unsupported reading on the schedule margin, and that the two findings together are best understood as differentiated rather than as contradictory. The combined picture is consistent with the broader conclusion stated in the discussion section of Paper 1, that MBSE adoption, as measured in this sample, is more visibly associated with cost than with schedule. It is also consistent with the operational recommendations in the GAO portfolio analyses, which have repeatedly distinguished cost-growth and schedule-slip mechanisms and treated them as partially independent program-management risks</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16">
        <w:r>
          <w:rPr>
            <w:rStyle w:val="Hyperlink"/>
          </w:rPr>
          <w:t xml:space="preserve">[16]</w:t>
        </w:r>
      </w:hyperlink>
      <w:r>
        <w:t xml:space="preserve"> </w:t>
      </w:r>
      <w:hyperlink w:anchor="ref-17">
        <w:r>
          <w:rPr>
            <w:rStyle w:val="Hyperlink"/>
          </w:rPr>
          <w:t xml:space="preserve">[17]</w:t>
        </w:r>
      </w:hyperlink>
      <w:r>
        <w:t xml:space="preserve">.</w:t>
      </w:r>
    </w:p>
    <w:p>
      <w:pPr>
        <w:pStyle w:val="BodyText"/>
        <w:spacing w:line="480" w:lineRule="auto"/>
        <w:ind w:firstLine="720"/>
      </w:pPr>
      <w:r>
        <w:t xml:space="preserve">The headline numerical findings of the chapter, restated for clarity, are as follows. From the Cox model on thirty programs and twenty-five events, the coefficient on MBSE adoption is 0.1129 with a standard error of 0.4726 and a p value of 0.8113, the coefficient on planned life-cycle duration in years is negative 0.6593 with a standard error of 0.1703 and a p value of 0.0001, and the coefficient on the Class A indicator is negative 0.0832 with a standard error of 0.6654 and a p value of 0.9005. From the logistic regression on thirty-two programs and twelve breach events, with a pseudo-R-squared of 0.2665 and a log-likelihood at convergence of negative 15.105, the coefficient on Digital Mission Engineering intensity is negative 7.4727 with a standard error of 3.477 and a p value of 0.0316, the intercept is negative 2.6396 with a standard error of 2.495 and a p value of 0.2901, the coefficient on baseline cost in millions of dollars is 0.0002 with a standard error of 0.0002 and a p value of 0.5082, and the coefficient on the complexity index is 1.2285 with a standard error of 0.7651 and a p value of 0.1084. The supporting tables, the event-time visualizations, the influence diagnostics, and the row-level data extracts are reported in Appendix A. Chapter 7 takes up the interpretation, the threats to internal and external validity that condition these findings, and the implications for the policy claim around mandating Digital Mission Engineering platforms across the National Space Architecture that the prospectus identified as the stake of the inquiry.</w:t>
      </w:r>
    </w:p>
    <w:bookmarkEnd w:id="111"/>
    <w:bookmarkEnd w:id="112"/>
    <w:bookmarkStart w:id="119" w:name="X21322cb5e29cbf4eb576afddcad42f86ace4e0d"/>
    <w:p>
      <w:pPr>
        <w:pStyle w:val="Heading1"/>
        <w:spacing w:line="480" w:lineRule="auto"/>
      </w:pPr>
      <w:r>
        <w:t xml:space="preserve">Chapter 7. Discussion and Governance Implications</w:t>
      </w:r>
    </w:p>
    <w:bookmarkStart w:id="113" w:name="synthesis-of-the-empirical-record"/>
    <w:p>
      <w:pPr>
        <w:pStyle w:val="Heading2"/>
        <w:spacing w:line="480" w:lineRule="auto"/>
      </w:pPr>
      <w:r>
        <w:t xml:space="preserve">7.1 Synthesis of the Empirical Record</w:t>
      </w:r>
    </w:p>
    <w:p>
      <w:pPr>
        <w:pStyle w:val="FirstParagraph"/>
        <w:spacing w:line="480" w:lineRule="auto"/>
      </w:pPr>
      <w:r>
        <w:t xml:space="preserve">Two empirical analyses anchor this dissertation. They point in the same conceptual direction but differ in the strength with which they license inference. The logistic-regression analysis of fifteen-percent cost-growth breach across thirty-two NASA major projects observed between fiscal years 2012 and 2025 returns a negative and conventionally significant coefficient on Digital Mission Engineering intensity, with a point estimate near negative 7.47 in the log-odds metric and an associated p-value of 0.032, holding baseline life-cycle cost and a mission complexity index fixed</w:t>
      </w:r>
      <w:r>
        <w:t xml:space="preserve"> </w:t>
      </w:r>
      <w:hyperlink w:anchor="ref-11">
        <w:r>
          <w:rPr>
            <w:rStyle w:val="Hyperlink"/>
          </w:rPr>
          <w:t xml:space="preserve">[11]</w:t>
        </w:r>
      </w:hyperlink>
      <w:r>
        <w:t xml:space="preserve">. The companion Cox proportional-hazards analysis of time from authority to proceed to launch across thirty major projects in the same series returns a coefficient on the binary MBSE adoption indicator of 0.1129 with a standard error of 0.4726, a hazard ratio of 1.12, and a p-value of 0.81; the dominant signal in the same survival model is the strong negative coefficient on planned life-cycle duration, with a hazard ratio of 0.52 per planned year</w:t>
      </w:r>
      <w:r>
        <w:t xml:space="preserve"> </w:t>
      </w:r>
      <w:hyperlink w:anchor="ref-11">
        <w:r>
          <w:rPr>
            <w:rStyle w:val="Hyperlink"/>
          </w:rPr>
          <w:t xml:space="preserve">[11]</w:t>
        </w:r>
      </w:hyperlink>
      <w:r>
        <w:t xml:space="preserve">. Read together, the two papers describe a portfolio in which deeper digital engineering adoption is statistically associated with a lower probability of catastrophic cost-control failure, while the same adoption is not associated, at the sample sizes available here, with a detectable shortening of the development calendar once planned mission scope is taken into account.</w:t>
      </w:r>
    </w:p>
    <w:p>
      <w:pPr>
        <w:pStyle w:val="BodyText"/>
        <w:spacing w:line="480" w:lineRule="auto"/>
        <w:ind w:firstLine="720"/>
      </w:pPr>
      <w:r>
        <w:t xml:space="preserve">The asymmetry between the cost and schedule findings is the single most important interpretive fact of the dissertation, and it should not be smoothed away. Schedule and cost growth are not redundant measures of program health. A program may absorb scope-driven schedule pressure through cost growth without slipping to launch, by buying its way out of integration problems through additional contractor labor, parts spares, or design margin. A program may also slip its launch date without growing materially in cost, by holding the cost baseline through descoped objectives, rephased flights, or extension of the development phase under a constant burn rate. The combined picture that emerges from the two estimators is that, on the available portfolio, digital engineering intensity is more visibly associated with the cost margin than with the schedule margin. The mechanism that the digital-thread literature most often invokes, namely the collapse of ambiguity between subsystem teams in formulation and the reduction of late rework, is exactly the mechanism that a logistic model of fifteen-percent breach is best positioned to detect, because late rework is the dominant driver of the largest overruns recorded in the GAO Annual Assessment series [6, 7, 16].</w:t>
      </w:r>
    </w:p>
    <w:p>
      <w:pPr>
        <w:pStyle w:val="BodyText"/>
        <w:spacing w:line="480" w:lineRule="auto"/>
        <w:ind w:firstLine="720"/>
      </w:pPr>
      <w:r>
        <w:t xml:space="preserve">The strong negative coefficient on planned life-cycle duration in the Cox model also disciplines the reading of the schedule null. The model is in fact picking up a real and substantial signal in the duration data, in the direction that program managers would intuit, and the failure to detect an MBSE effect is therefore not an artifact of an unestimable model. The schedule constraint that binds the largest NASA programs is not the integration loop that digital engineering most directly touches but the development of the instrument suite, the integration of the payload to the bus, and the readiness of the launch vehicle. Those constraints lie outside the surface that an authoritative system model collapses, and the survival model correctly reads them as the dominant time signal.</w:t>
      </w:r>
    </w:p>
    <w:bookmarkEnd w:id="113"/>
    <w:bookmarkStart w:id="114"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For NASA, the most defensible reading of the combined evidence is that Digital Mission Engineering intensity at formulation is a candidate leading indicator of cost-control risk, and should be treated that way in the program-confirmation process. The fifteen-percent breach threshold is the threshold that procurement reviewers and appropriators monitor directly, and a statistically meaningful association between low digital engineering intensity and the probability of crossing that threshold has direct implications for the Key Decision Point B and Key Decision Point C reviews. Confirmation panels already interrogate program offices on cost estimating methods, schedule risk, and contractor performance; the logistic finding licenses adding an explicit interrogatory on the depth and authority of the digital engineering practice in use at the program office and at the prime, with a documentary trail back to the system model and the simulation pipeline.</w:t>
      </w:r>
    </w:p>
    <w:p>
      <w:pPr>
        <w:pStyle w:val="BodyText"/>
        <w:spacing w:line="480" w:lineRule="auto"/>
        <w:ind w:firstLine="720"/>
      </w:pPr>
      <w:r>
        <w:t xml:space="preserve">The reading is candidate and not dispositive for three reasons. First, the intensity score used in the logistic analysis is a coded indicator built from public technical papers and project plans, and confounding by unobserved program management practice is a legitimate concern</w:t>
      </w:r>
      <w:r>
        <w:t xml:space="preserve"> </w:t>
      </w:r>
      <w:hyperlink w:anchor="ref-11">
        <w:r>
          <w:rPr>
            <w:rStyle w:val="Hyperlink"/>
          </w:rPr>
          <w:t xml:space="preserve">[11]</w:t>
        </w:r>
      </w:hyperlink>
      <w:r>
        <w:t xml:space="preserve">. A program office that is competent enough to staff and supervise a deep digital engineering practice is the same kind of program office that is competent enough to manage cost on other margins as well, and the cross-sectional logistic estimator cannot fully separate the technology channel from selection on managerial quality. Second, the sample sizes available from the GAO Annual Assessment series, while complete with respect to the major-project population, are small relative to the number of covariates that a fully specified model of cost-growth breach would include</w:t>
      </w:r>
      <w:r>
        <w:t xml:space="preserve"> </w:t>
      </w:r>
      <w:hyperlink w:anchor="ref-16">
        <w:r>
          <w:rPr>
            <w:rStyle w:val="Hyperlink"/>
          </w:rPr>
          <w:t xml:space="preserve">[16]</w:t>
        </w:r>
      </w:hyperlink>
      <w:r>
        <w:t xml:space="preserve">. Third, the schedule null is a genuine null and cannot be papered over, and it tempers any claim that digital engineering is a general purpose cost-and-schedule countermeasure.</w:t>
      </w:r>
    </w:p>
    <w:p>
      <w:pPr>
        <w:pStyle w:val="BodyText"/>
        <w:spacing w:line="480" w:lineRule="auto"/>
        <w:ind w:firstLine="720"/>
      </w:pPr>
      <w:r>
        <w:t xml:space="preserve">For the NASA Office of the Chief Financial Officer and the Cost Analysis Division, the operational implication is narrower and more specific. The CADRe repository, which records cost, schedule, technical, and risk variables at the contract line item level across the flight project portfolio, does not currently include a structured field for digital engineering practice depth at the major reviews</w:t>
      </w:r>
      <w:r>
        <w:t xml:space="preserve"> </w:t>
      </w:r>
      <w:hyperlink w:anchor="ref-9">
        <w:r>
          <w:rPr>
            <w:rStyle w:val="Hyperlink"/>
          </w:rPr>
          <w:t xml:space="preserve">[9]</w:t>
        </w:r>
      </w:hyperlink>
      <w:r>
        <w:t xml:space="preserve">. Adding such a field, with a controlled vocabulary that distinguishes document-centric, partially modeled, model-supplemented, and model-authoritative practice at System Requirements Review and at Preliminary Design Review, would close a data gap that this dissertation had to fill with hand coding from technical papers and public statements. The logistic finding gives the Cost Analysis Division an empirical reason to invest in that field, because the field would be on the right hand side of a parametric cost model that the Division already maintains, and would carry a coefficient that the present sample finds to be both signed and significant.</w:t>
      </w:r>
    </w:p>
    <w:p>
      <w:pPr>
        <w:pStyle w:val="BodyText"/>
        <w:spacing w:line="480" w:lineRule="auto"/>
        <w:ind w:firstLine="720"/>
      </w:pPr>
      <w:r>
        <w:t xml:space="preserve">For the Office of the Chief Engineer and the Office of Safety and Mission Assurance, the implication is different. The schedule null indicates that the binding constraints on launch readiness lie in the physical critical path of instrument and launch vehicle development, not in the digital integration loop, and that mandates which speak only to digital engineering practice will not on this evidence shorten the calendar. A more productive framing for the engineering and assurance offices is to read digital engineering as a practice that compresses the verification and validation loop, reduces the population of integration discrepancies that propagate to flight, and therefore reduces the probability of late integration discoveries that drive the cost overruns visible in the logistic model, rather than as a calendar-compression tool.</w:t>
      </w:r>
    </w:p>
    <w:bookmarkEnd w:id="114"/>
    <w:bookmarkStart w:id="115"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For the Jet Propulsion Laboratory, the implications follow from JPL’s distinctive position in the portfolio. The sample analyzed in the companion papers includes the large strategic missions in which JPL has historically been the responsible NASA center, including the flagship and large strategic missions on which the GAO has documented the largest cost re-baselines [16, 17]. The empirical asymmetry between the cost finding and the schedule finding therefore carries specific weight for the laboratory’s portfolio decisions.</w:t>
      </w:r>
    </w:p>
    <w:p>
      <w:pPr>
        <w:pStyle w:val="BodyText"/>
        <w:spacing w:line="480" w:lineRule="auto"/>
        <w:ind w:firstLine="720"/>
      </w:pPr>
      <w:r>
        <w:t xml:space="preserve">The first implication is for capture and proposal practice. The negative and significant logistic coefficient on Digital Mission Engineering intensity, conditional on baseline cost and complexity, gives JPL an empirical foundation for representing model-based practice not as a discretionary investment in tooling but as a documented risk-mitigation measure against cost-growth breach. In proposals to NASA Science Mission Directorate and Space Technology Mission Directorate, and in re-baseline negotiations with the agency, the logistic evidence supports a quantified claim of the form that, conditional on baseline cost and complexity, an additional unit on the intensity score is associated with a lower probability of fifteen-percent breach at conventional significance levels. That claim is grounded in a publicly sourced sample, can be reproduced from GAO and NASA documents, and does not depend on the laboratory’s own self-reporting of savings [11, 16].</w:t>
      </w:r>
    </w:p>
    <w:p>
      <w:pPr>
        <w:pStyle w:val="BodyText"/>
        <w:spacing w:line="480" w:lineRule="auto"/>
        <w:ind w:firstLine="720"/>
      </w:pPr>
      <w:r>
        <w:t xml:space="preserve">The second implication is for internal investment. The logistic finding strengthens the case for laboratory-level investment in model authority infrastructure, including the integration of system models with cost and schedule estimating tools, the maintenance of a digital thread between mission, vehicle, and environment models, and the institutional support of cross-program reuse of architectural patterns [3, 5]. The schedule null disciplines the same case, by indicating that the return on such investment will appear on the cost-control margin, in the form of reduced probability of fifteen-percent breach, rather than on the calendar margin in the form of earlier launch. A laboratory leadership team that frames the investment as a cost-growth countermeasure is on the right empirical ground; a team that frames it as a calendar-compression countermeasure is not.</w:t>
      </w:r>
    </w:p>
    <w:p>
      <w:pPr>
        <w:pStyle w:val="BodyText"/>
        <w:spacing w:line="480" w:lineRule="auto"/>
        <w:ind w:firstLine="720"/>
      </w:pPr>
      <w:r>
        <w:t xml:space="preserve">The third implication is for the laboratory’s external posture in the FFRDC re-compete environment. The Mars Sample Return Independent Review Board Report and its accompanying GAO recovery review have placed the discipline of cost and schedule estimation, the depth of risk identification at formulation, and the authority of the system model under sustained external scrutiny</w:t>
      </w:r>
      <w:r>
        <w:t xml:space="preserve"> </w:t>
      </w:r>
      <w:hyperlink w:anchor="ref-17">
        <w:r>
          <w:rPr>
            <w:rStyle w:val="Hyperlink"/>
          </w:rPr>
          <w:t xml:space="preserve">[17]</w:t>
        </w:r>
      </w:hyperlink>
      <w:r>
        <w:t xml:space="preserve">. The combined empirical record of the dissertation supports a posture in which the laboratory acknowledges the schedule constraint as binding on physical critical path items and represents its model authority practice as the strongest available countermeasure on the cost margin, rather than as a general purpose remedy for both. That posture is more defensible under questioning than a posture that claims a digital engineering effect on both margins simultaneously, because the schedule null in the survival model will be discovered by any competent reviewer who repeats the analysis.</w:t>
      </w:r>
    </w:p>
    <w:p>
      <w:pPr>
        <w:pStyle w:val="BodyText"/>
        <w:spacing w:line="480" w:lineRule="auto"/>
        <w:ind w:firstLine="720"/>
      </w:pPr>
      <w:r>
        <w:t xml:space="preserve">The fourth implication concerns the architecture-level practice documented in the AMOS and Acta Astronautica technical-paper record on which the dissertation draws for the digital engineering intensity coding [1, 2, 3, 4, 5, 19, 20]. The architecture-level evidence on model-based trade studies for optical sensor constellations [1, 19], on CubeSat reference models [2, 23], on decision support architectures for in-space servicing</w:t>
      </w:r>
      <w:r>
        <w:t xml:space="preserve"> </w:t>
      </w:r>
      <w:hyperlink w:anchor="ref-3">
        <w:r>
          <w:rPr>
            <w:rStyle w:val="Hyperlink"/>
          </w:rPr>
          <w:t xml:space="preserve">[3]</w:t>
        </w:r>
      </w:hyperlink>
      <w:r>
        <w:t xml:space="preserve">, and on machine vision in close-proximity operations</w:t>
      </w:r>
      <w:r>
        <w:t xml:space="preserve"> </w:t>
      </w:r>
      <w:hyperlink w:anchor="ref-5">
        <w:r>
          <w:rPr>
            <w:rStyle w:val="Hyperlink"/>
          </w:rPr>
          <w:t xml:space="preserve">[5]</w:t>
        </w:r>
      </w:hyperlink>
      <w:r>
        <w:t xml:space="preserve"> </w:t>
      </w:r>
      <w:r>
        <w:t xml:space="preserve">is consistent across multiple program contexts in describing a practice in which the model collapses the trade space and shortens the architecture down-select. The dissertation’s portfolio-level finding does not contradict this architecture-level evidence. It locates the place at which the architectural benefit shows up in the program record, namely on the probability that the program crosses the fifteen-percent cost-growth threshold, and identifies the place at which it does not show up, namely on the calendar duration between authority to proceed and launch.</w:t>
      </w:r>
    </w:p>
    <w:bookmarkEnd w:id="115"/>
    <w:bookmarkStart w:id="116" w:name="implications-beyond-nasa-and-jpl"/>
    <w:p>
      <w:pPr>
        <w:pStyle w:val="Heading2"/>
        <w:spacing w:line="480" w:lineRule="auto"/>
      </w:pPr>
      <w:r>
        <w:t xml:space="preserve">7.4 Implications Beyond NASA and JPL</w:t>
      </w:r>
    </w:p>
    <w:p>
      <w:pPr>
        <w:pStyle w:val="FirstParagraph"/>
        <w:spacing w:line="480" w:lineRule="auto"/>
      </w:pPr>
      <w:r>
        <w:t xml:space="preserve">The empirical record speaks most directly to the NASA portfolio because the dependent variables are drawn from the GAO Annual Assessment series and the breach threshold is calibrated to NASA confirmation practice. The architecture-level evidence drawn into the intensity coding, however, includes Space Force pathfinder programs</w:t>
      </w:r>
      <w:r>
        <w:t xml:space="preserve"> </w:t>
      </w:r>
      <w:hyperlink w:anchor="ref-18">
        <w:r>
          <w:rPr>
            <w:rStyle w:val="Hyperlink"/>
          </w:rPr>
          <w:t xml:space="preserve">[18]</w:t>
        </w:r>
      </w:hyperlink>
      <w:r>
        <w:t xml:space="preserve">, commercial in-space servicing decision support</w:t>
      </w:r>
      <w:r>
        <w:t xml:space="preserve"> </w:t>
      </w:r>
      <w:hyperlink w:anchor="ref-3">
        <w:r>
          <w:rPr>
            <w:rStyle w:val="Hyperlink"/>
          </w:rPr>
          <w:t xml:space="preserve">[3]</w:t>
        </w:r>
      </w:hyperlink>
      <w:r>
        <w:t xml:space="preserve">, and university-led architecture and reference-model work [1, 2, 19, 20, 23]. That breadth supports a more cautious extrapolation. For the Space Force, where comparable cost-growth tracking is published but the program population differs, the logistic finding supports the use of digital engineering intensity as a candidate covariate in the equivalent oversight model, while the schedule null cautions against representing digital engineering as a calendar countermeasure for highly compressed acquisition timelines. For commercial in-space servicing and for the rapidly maturing class of small and very small spacecraft, the architecture-level evidence on model-based trade studies and on reference models is the more immediately relevant body of work [2, 3, 5, 23], and the portfolio-level finding extrapolates poorly because the cost reporting discipline is different.</w:t>
      </w:r>
    </w:p>
    <w:p>
      <w:pPr>
        <w:pStyle w:val="BodyText"/>
        <w:spacing w:line="480" w:lineRule="auto"/>
        <w:ind w:firstLine="720"/>
      </w:pPr>
      <w:r>
        <w:t xml:space="preserve">The dissertation also has implications for the cost-estimating community. The parametric cost-estimating literature has long argued that early architectural choice locks in most life-cycle cost, and that the quality of formulation-phase decisions therefore matters more than execution-phase discipline [9, 26]. The logistic coefficient on Digital Mission Engineering intensity is a quantitative ratification of that argument at the portfolio level. Parametric cost models maintained inside NASA and at the major prime contractors should consider whether a digital engineering intensity factor, coded from documented practice at System Requirements Review, would improve out-of-sample predictive accuracy for fifteen-percent breach. The companion question, whether the same factor would improve a parametric schedule model, is open on the present evidence and may need to be answered with a different right-hand-side variable than a binary indicator of MBSE adoption.</w:t>
      </w:r>
    </w:p>
    <w:bookmarkEnd w:id="116"/>
    <w:bookmarkStart w:id="117" w:name="limitations"/>
    <w:p>
      <w:pPr>
        <w:pStyle w:val="Heading2"/>
        <w:spacing w:line="480" w:lineRule="auto"/>
      </w:pPr>
      <w:r>
        <w:t xml:space="preserve">7.5 Limitations</w:t>
      </w:r>
    </w:p>
    <w:p>
      <w:pPr>
        <w:pStyle w:val="FirstParagraph"/>
        <w:spacing w:line="480" w:lineRule="auto"/>
      </w:pPr>
      <w:r>
        <w:t xml:space="preserve">The limitations of the dissertation are real and need to be stated plainly. The combined sample across the two empirical papers is on the order of thirty major projects, and the GAO Annual Assessment series, while authoritative on cost growth and schedule slip at the level the agency reports, does not record at structured-field resolution the variables that would most cleanly identify the digital engineering effect</w:t>
      </w:r>
      <w:r>
        <w:t xml:space="preserve"> </w:t>
      </w:r>
      <w:hyperlink w:anchor="ref-16">
        <w:r>
          <w:rPr>
            <w:rStyle w:val="Hyperlink"/>
          </w:rPr>
          <w:t xml:space="preserve">[16]</w:t>
        </w:r>
      </w:hyperlink>
      <w:r>
        <w:t xml:space="preserve">. The intensity score in the logistic paper is hand-coded from public technical papers, project plans, and prime contractor public statements, and the binary adoption indicator in the Cox paper is similarly hand-coded</w:t>
      </w:r>
      <w:r>
        <w:t xml:space="preserve"> </w:t>
      </w:r>
      <w:hyperlink w:anchor="ref-11">
        <w:r>
          <w:rPr>
            <w:rStyle w:val="Hyperlink"/>
          </w:rPr>
          <w:t xml:space="preserve">[11]</w:t>
        </w:r>
      </w:hyperlink>
      <w:r>
        <w:t xml:space="preserve">. The technical-paper corpus used to ground the coding is broad and includes a substantial body of AMOS and Acta Astronautica work on model-based architecture, reference models, sensor tasking, and decision support [1, 2, 3, 4, 5, 8, 18, 19, 20, 21, 22, 23, 24, 25], but coverage is uneven across programs and the coding is necessarily a coarse summary of a complex set of practices.</w:t>
      </w:r>
    </w:p>
    <w:p>
      <w:pPr>
        <w:pStyle w:val="BodyText"/>
        <w:spacing w:line="480" w:lineRule="auto"/>
        <w:ind w:firstLine="720"/>
      </w:pPr>
      <w:r>
        <w:t xml:space="preserve">Selection on unobservables is the most consequential limitation. Program offices that adopt deeper digital engineering practice may differ from non-adopters in unobserved managerial competence, technical risk appetite, contractor relationship, or political support, and the cross-sectional logistic estimator cannot fully decompose the effect of the practice from the effect of the office that chose to adopt it. The prospectus addressed this through a quasi-experimental design that combines coarsened exact matching with a staggered-adoption difference-in-differences specification, and through the use of the Oster delta and the Cinelli and Hazlett sensitivity contour to bound the strength of unobserved confounding required to overturn the estimated effect. The present analyses do not implement that quasi-experimental design; they implement the OLS-style logistic and the Cox survival models that the available sample supports, and they should be read as conditional associations rather than as identified causal estimates.</w:t>
      </w:r>
    </w:p>
    <w:p>
      <w:pPr>
        <w:pStyle w:val="BodyText"/>
        <w:spacing w:line="480" w:lineRule="auto"/>
        <w:ind w:firstLine="720"/>
      </w:pPr>
      <w:r>
        <w:t xml:space="preserve">Measurement of the dependent variables is also a limitation. The fifteen-percent breach indicator is calibrated to the NASA baseline-commitment regime and is sensitive to baseline re-plans flagged in the GAO series. The development duration variable in the Cox paper measures time from authority to proceed to launch and is sensitive to the convention used to date authority to proceed across programs of different vintages. Both choices are defensible and are documented in the source CSV files, but they constrain the strength of the inference. Treatment definition is a related concern. Digital engineering adoption is not binary in practice; programs adopt different tools at different fidelity levels and apply them to different subsets of the architecture. The intensity score in the logistic paper attempts to capture this variation; the binary adoption indicator in the Cox paper does not, and the failure to detect a schedule effect may reflect the coarseness of the schedule paper’s treatment definition as well as a genuine absence of effect.</w:t>
      </w:r>
    </w:p>
    <w:p>
      <w:pPr>
        <w:pStyle w:val="BodyText"/>
        <w:spacing w:line="480" w:lineRule="auto"/>
        <w:ind w:firstLine="720"/>
      </w:pPr>
      <w:r>
        <w:t xml:space="preserve">External validity is bounded by construction. The estimated associations apply to the NASA major-project portfolio between fiscal year 2012 and fiscal year 2025. Extrapolation to commercial constellation programs, where reporting discipline differs, is explicitly out of scope, as is extrapolation to the smallest class of CubeSat and PocketQube missions, where the architecture-level evidence is informative [2, 5, 23, 29] but the cost-and-schedule reporting record is too thin for portfolio-level estimation. Spillover is a further validity concern. A non-adopting program staffed by engineers trained on digital engineering platforms at a prior adopting program may exhibit partial treatment, and the cross-sectional estimators do not bound this contamination. The prospectus specifies a leave-one-out estimator that drops contractor-quarter cells with documented engineer migration; the present analyses do not implement it.</w:t>
      </w:r>
    </w:p>
    <w:p>
      <w:pPr>
        <w:pStyle w:val="BodyText"/>
        <w:spacing w:line="480" w:lineRule="auto"/>
        <w:ind w:firstLine="720"/>
      </w:pPr>
      <w:r>
        <w:t xml:space="preserve">Finally, the proportional-hazards assumption in the Cox model was not formally tested with a Schoenfeld residual check, and the standard errors in the logistic model are the asymptotic maximum-likelihood values that are known to be conservative on samples of thirty-two observations</w:t>
      </w:r>
      <w:r>
        <w:t xml:space="preserve"> </w:t>
      </w:r>
      <w:hyperlink w:anchor="ref-11">
        <w:r>
          <w:rPr>
            <w:rStyle w:val="Hyperlink"/>
          </w:rPr>
          <w:t xml:space="preserve">[11]</w:t>
        </w:r>
      </w:hyperlink>
      <w:r>
        <w:t xml:space="preserve">. Both choices are defensible given sample size and the scope of the dissertation, but a replication on a larger multi-agency sample with formal proportional-hazards diagnostics and bootstrap standard errors is the natural methodological extension.</w:t>
      </w:r>
    </w:p>
    <w:bookmarkEnd w:id="117"/>
    <w:bookmarkStart w:id="118" w:name="future-research"/>
    <w:p>
      <w:pPr>
        <w:pStyle w:val="Heading2"/>
        <w:spacing w:line="480" w:lineRule="auto"/>
      </w:pPr>
      <w:r>
        <w:t xml:space="preserve">7.6 Future Research</w:t>
      </w:r>
    </w:p>
    <w:p>
      <w:pPr>
        <w:pStyle w:val="FirstParagraph"/>
        <w:spacing w:line="480" w:lineRule="auto"/>
      </w:pPr>
      <w:r>
        <w:t xml:space="preserve">The most direct extension of the dissertation is the quasi-experimental design specified in the prospectus. A coarsened exact matching step on program class, prime contractor type, destination regime, pre-adoption CPI slope, and budget at completion at authority to proceed, followed by a staggered-adoption difference-in-differences estimator in the Callaway and Sant’Anna form, would carry stronger identification claims than the cross-sectional logistic and survival models that the present samples support. The Sun and Abraham interaction-weighted estimator and a synthetic control specification for the thin donor pool of large flagship programs would discipline the robustness of any portfolio-level estimate, and the Oster delta and Cinelli and Hazlett sensitivity contour would bound the strength of unobserved confounding required to overturn it. The principal obstacle to that design is data access. The CADRe repository, maintained by the NASA Office of the Chief Financial Officer Cost Analysis Division, is the obtainable source of record for CPI and SPI time series at the contract line item level, but access is governed by the CADRe data sharing protocol and is granted on a request basis</w:t>
      </w:r>
      <w:r>
        <w:t xml:space="preserve"> </w:t>
      </w:r>
      <w:hyperlink w:anchor="ref-9">
        <w:r>
          <w:rPr>
            <w:rStyle w:val="Hyperlink"/>
          </w:rPr>
          <w:t xml:space="preserve">[9]</w:t>
        </w:r>
      </w:hyperlink>
      <w:r>
        <w:t xml:space="preserve">. A successful research access agreement, combined with the GAO Annual Assessment series for the cross-check, would support the identified estimation that the present cross-sectional models cannot.</w:t>
      </w:r>
    </w:p>
    <w:p>
      <w:pPr>
        <w:pStyle w:val="BodyText"/>
        <w:spacing w:line="480" w:lineRule="auto"/>
        <w:ind w:firstLine="720"/>
      </w:pPr>
      <w:r>
        <w:t xml:space="preserve">A second extension is the construction of a finer-grained intensity measure. The present logistic paper uses an ordinal intensity score coded from technical papers and project plans, and the present Cox paper uses a binary adoption indicator. A measure that distinguishes model authority at System Requirements Review, model coverage at Preliminary Design Review, and digital-thread continuity through Critical Design Review would carry more signal than either present measure, and the technical-paper record on which the present coding is built is rich enough to support a more careful instrument [1, 2, 3, 4, 5, 19, 20, 23]. A second independent rater, with disagreement reconciled through the source documentation and inter-rater reliability reported as Cohen’s kappa, would test the robustness of the headline coefficient to coder choices.</w:t>
      </w:r>
    </w:p>
    <w:p>
      <w:pPr>
        <w:pStyle w:val="BodyText"/>
        <w:spacing w:line="480" w:lineRule="auto"/>
        <w:ind w:firstLine="720"/>
      </w:pPr>
      <w:r>
        <w:t xml:space="preserve">A third extension is the multi-agency replication. The Space Force publishes comparable cost and schedule tracking for selected programs, and the architecture-level evidence base includes Space Force pathfinder work that is directly comparable to the NASA programs in the present sample</w:t>
      </w:r>
      <w:r>
        <w:t xml:space="preserve"> </w:t>
      </w:r>
      <w:hyperlink w:anchor="ref-18">
        <w:r>
          <w:rPr>
            <w:rStyle w:val="Hyperlink"/>
          </w:rPr>
          <w:t xml:space="preserve">[18]</w:t>
        </w:r>
      </w:hyperlink>
      <w:r>
        <w:t xml:space="preserve">. A replication that pools NASA major projects, Space Force major programs of record, and selected NOAA satellite programs, with an intensity coding cross-checked against the AMOS and Acta Astronautica technical-paper corpora, would address the sample-size limitation directly and would broaden the external validity of the cost-growth finding. The schedule null in the Cox paper, in particular, is a result that needs the larger sample to test against the alternative that the binary adoption indicator is too coarse to carry signal at the present sample size.</w:t>
      </w:r>
    </w:p>
    <w:p>
      <w:pPr>
        <w:pStyle w:val="BodyText"/>
        <w:spacing w:line="480" w:lineRule="auto"/>
        <w:ind w:firstLine="720"/>
      </w:pPr>
      <w:r>
        <w:t xml:space="preserve">A fourth extension is the instrumental-variables strategy proposed in the discussion of the logistic paper, in which contractor-level digital-thread investment, observable from prime contractor public filings and from the technical-paper record, is used as an instrument for project-level intensity</w:t>
      </w:r>
      <w:r>
        <w:t xml:space="preserve"> </w:t>
      </w:r>
      <w:hyperlink w:anchor="ref-11">
        <w:r>
          <w:rPr>
            <w:rStyle w:val="Hyperlink"/>
          </w:rPr>
          <w:t xml:space="preserve">[11]</w:t>
        </w:r>
      </w:hyperlink>
      <w:r>
        <w:t xml:space="preserve">. The exclusion restriction is non-trivial and would need to be defended explicitly, but if it can be made credible the instrument would separate the technology channel from selection on managerial quality more cleanly than the cross-sectional estimators do.</w:t>
      </w:r>
    </w:p>
    <w:p>
      <w:pPr>
        <w:pStyle w:val="BodyText"/>
        <w:spacing w:line="480" w:lineRule="auto"/>
        <w:ind w:firstLine="720"/>
      </w:pPr>
      <w:r>
        <w:t xml:space="preserve">A fifth extension follows from the architecture-level evidence on space domain awareness, in-space servicing, and small spacecraft operations [1, 3, 4, 5, 8, 18, 19, 20, 22, 24, 25]. The portfolio-level analysis in the dissertation is calibrated to major-project cost and schedule outcomes; the architecture-level analysis in the technical-paper corpus is calibrated to trade-space coverage, requirement verification effort, and operations responsiveness. A research design that bridges the two levels, by linking architecture-level model-based practice metrics to program-level cost and schedule outcomes on the same set of programs, would clarify the mechanism by which the digital engineering effect propagates from the architecture down-select to the integrated program record. That bridge is at present a gap in the literature and a natural locus for the next generation of empirical work.</w:t>
      </w:r>
    </w:p>
    <w:p>
      <w:pPr>
        <w:pStyle w:val="BodyText"/>
        <w:spacing w:line="480" w:lineRule="auto"/>
        <w:ind w:firstLine="720"/>
      </w:pPr>
      <w:r>
        <w:t xml:space="preserve">A sixth extension concerns the schedule null directly. The strong negative coefficient on planned life-cycle duration in the Cox model indicates that the binding constraints on launch readiness lie on the physical critical path of instrument and launch vehicle development. A research design that decomposes development duration into instrument development, payload integration, and launch vehicle readiness phases, with separate hazard models on each phase, would test the alternative hypothesis that digital engineering compresses some but not all of the constituent phases of the development calendar. The technical-paper record on architecture-level model-based practice and on tools such as Ansys Systems Tool Kit for executable mission threading is consistent with a hypothesis that the effect is concentrated on the architecture and verification phases [1, 3, 5], and a phase-decomposed survival model would test that hypothesis directly.</w:t>
      </w:r>
    </w:p>
    <w:p>
      <w:pPr>
        <w:pStyle w:val="BodyText"/>
        <w:spacing w:line="480" w:lineRule="auto"/>
        <w:ind w:firstLine="720"/>
      </w:pPr>
      <w:r>
        <w:t xml:space="preserve">The dissertation therefore closes with a defensible conditional association on the cost margin, a defensible null on the schedule margin, and a clear program of work that would take the empirical record from conditional association to identified causal estimate. The findings, taken together, license a measured governance posture. Digital Mission Engineering intensity is a candidate leading indicator of cost-control risk at NASA program confirmation, a documented risk-mitigation measure in JPL capture and re-baseline practice, and a non-evidenced calendar-compression tool on the present sample. The next decade of NASA program management and the JPL re-compete environment will provide the policy stakes against which that posture will be tested.</w:t>
      </w:r>
    </w:p>
    <w:bookmarkEnd w:id="118"/>
    <w:bookmarkEnd w:id="119"/>
    <w:bookmarkStart w:id="177" w:name="chapter-8.-conclusion"/>
    <w:p>
      <w:pPr>
        <w:pStyle w:val="Heading1"/>
        <w:spacing w:line="480" w:lineRule="auto"/>
      </w:pPr>
      <w:r>
        <w:t xml:space="preserve">Chapter 8. Conclusion</w:t>
      </w:r>
    </w:p>
    <w:bookmarkStart w:id="120" w:name="the-question-restated"/>
    <w:p>
      <w:pPr>
        <w:pStyle w:val="Heading2"/>
        <w:spacing w:line="480" w:lineRule="auto"/>
      </w:pPr>
      <w:r>
        <w:t xml:space="preserve">8.1 The Question Restated</w:t>
      </w:r>
    </w:p>
    <w:p>
      <w:pPr>
        <w:pStyle w:val="FirstParagraph"/>
        <w:spacing w:line="480" w:lineRule="auto"/>
      </w:pPr>
      <w:r>
        <w:t xml:space="preserve">This dissertation began with a question that has accumulated weight over more than a decade of NASA portfolio assessments and Department of Defense space-acquisition reviews: does Model-Based Systems Engineering, expressed at programmatic scale as Digital Mission Engineering, in fact bend the cost-and-schedule curve of spacecraft acquisition, The question is not rhetorical. The Government Accountability Office has documented persistent cost growth and schedule slip across the NASA major-project portfolio in successive annual assessments [6, 7, 16], and the policy community has responded with a class of countermeasures that includes authoritative digital models, SysML-anchored architectures, and tool-integrated mission, vehicle, and environment threads [1, 2, 3, 4]. The advocacy literature has been confident; the identified empirical literature has been thin. The contribution of this work has been to convert a confident claim into a falsifiable one, to test it on the cleanest publicly sourced data available, and to report the result without ornament.</w:t>
      </w:r>
    </w:p>
    <w:bookmarkEnd w:id="120"/>
    <w:bookmarkStart w:id="121" w:name="synthesis-of-the-argument"/>
    <w:p>
      <w:pPr>
        <w:pStyle w:val="Heading2"/>
        <w:spacing w:line="480" w:lineRule="auto"/>
      </w:pPr>
      <w:r>
        <w:t xml:space="preserve">8.2 Synthesis of the Argument</w:t>
      </w:r>
    </w:p>
    <w:p>
      <w:pPr>
        <w:pStyle w:val="FirstParagraph"/>
        <w:spacing w:line="480" w:lineRule="auto"/>
      </w:pPr>
      <w:r>
        <w:t xml:space="preserve">The argument of the dissertation proceeds in three movements that the empirical chapters operationalize and that this conclusion now binds together.</w:t>
      </w:r>
    </w:p>
    <w:p>
      <w:pPr>
        <w:pStyle w:val="BodyText"/>
        <w:spacing w:line="480" w:lineRule="auto"/>
        <w:ind w:firstLine="720"/>
      </w:pPr>
      <w:r>
        <w:t xml:space="preserve">The first movement is a diagnostic of the evidence base. The published literature on MBSE and DME effectiveness clusters into single-program retrospectives, architecture-level trade-study demonstrations, and decision-support overlays in which DME tools are an enabling layer rather than the unit of analysis [1, 2, 3, 4, 5]. Each cluster yields plausible and locally credible findings. None of them, taken individually or in aggregate, addresses the basic identification problem: programs that adopt DME platforms differ from programs that do not on observables and almost certainly on unobservables, and the cost-and-schedule outcomes of interest are confounded by program class, prime contractor capability, destination regime, and pre-adoption performance trajectory. The diagnostic established a gap not in advocacy but in identified estimation. The prospectus committed the dissertation to closing that gap with a quasi-experimental design.</w:t>
      </w:r>
    </w:p>
    <w:p>
      <w:pPr>
        <w:pStyle w:val="BodyText"/>
        <w:spacing w:line="480" w:lineRule="auto"/>
        <w:ind w:firstLine="720"/>
      </w:pPr>
      <w:r>
        <w:t xml:space="preserve">The second movement is the empirical test on the cost margin. Using a sample of thirty-two NASA major projects observed across the GAO Annual Assessment series from fiscal year 2012 through fiscal year 2025, and coding a continuous Digital Mission Engineering intensity score from publicly released project plans and the prime-contractor technical-paper record cross-checked against the AMOS and Acta Astronautica corpora, a binary logistic regression of fifteen-percent cost-growth breach on intensity, baseline life-cycle cost, and a mission-complexity index returned a large and statistically significant negative coefficient on intensity. The McFadden pseudo-R-squared of 0.27 is moderate by the standards of GAO-portfolio binary models, the baseline-cost coefficient is indistinguishable from zero once intensity and complexity are in the model, and the complexity coefficient carries the expected positive sign at a p-value that is suggestive rather than conclusive on this sample size. The cost finding is consistent with the digital-thread argument that an authoritative model collapses ambiguity between subsystem teams in formulation and reduces the late rework that drives the largest overruns</w:t>
      </w:r>
      <w:r>
        <w:t xml:space="preserve"> </w:t>
      </w:r>
      <w:hyperlink w:anchor="ref-3">
        <w:r>
          <w:rPr>
            <w:rStyle w:val="Hyperlink"/>
          </w:rPr>
          <w:t xml:space="preserve">[3]</w:t>
        </w:r>
      </w:hyperlink>
      <w:r>
        <w:t xml:space="preserve">.</w:t>
      </w:r>
    </w:p>
    <w:p>
      <w:pPr>
        <w:pStyle w:val="BodyText"/>
        <w:spacing w:line="480" w:lineRule="auto"/>
        <w:ind w:firstLine="720"/>
      </w:pPr>
      <w:r>
        <w:t xml:space="preserve">The third movement is the empirical test on the schedule margin. Treating ATP as the origin and launch as the event of interest, with programs still in development at the most recent assessment as right-censored observations, a Cox proportional-hazards model on the same thirty-program frame returned a positive but statistically null coefficient on MBSE adoption at or before SRR. The point estimate corresponds to a hazard ratio of approximately 1.12, in the direction predicted by H1, but the standard error is large enough that the null of no effect cannot be rejected at any conventional level. The strong negative coefficient on planned life-cycle duration, with a p-value near 0.0001 and a hazard ratio of about 0.52, confirms that the model is in fact picking up a real signal in the duration data, which makes the absence of an MBSE effect a substantive null rather than an artifact of an unestimable specification.</w:t>
      </w:r>
    </w:p>
    <w:p>
      <w:pPr>
        <w:pStyle w:val="BodyText"/>
        <w:spacing w:line="480" w:lineRule="auto"/>
        <w:ind w:firstLine="720"/>
      </w:pPr>
      <w:r>
        <w:t xml:space="preserve">Taken together, the two empirical chapters resolve the headline question with productive asymmetry. The evidence supports a cost-margin effect of Digital Mission Engineering intensity on the binary outcome that procurement reviewers and appropriators monitor directly, and it does not support a schedule-margin effect on the survival outcome that launch operators track. Schedule and cost growth are not redundant measures of program health. A program may absorb scope-driven schedule pressure through cost growth without slipping to launch, or it may slip to launch without growing in cost. The combined picture is that MBSE adoption, as measured in this sample, is more visibly associated with cost discipline than with schedule acceleration, and the policy and theoretical implications of that asymmetry are the substance of the contribution.</w:t>
      </w:r>
    </w:p>
    <w:bookmarkEnd w:id="121"/>
    <w:bookmarkStart w:id="122" w:name="contribution-to-knowledge"/>
    <w:p>
      <w:pPr>
        <w:pStyle w:val="Heading2"/>
        <w:spacing w:line="480" w:lineRule="auto"/>
      </w:pPr>
      <w:r>
        <w:t xml:space="preserve">8.3 Contribution to Knowledge</w:t>
      </w:r>
    </w:p>
    <w:p>
      <w:pPr>
        <w:pStyle w:val="FirstParagraph"/>
        <w:spacing w:line="480" w:lineRule="auto"/>
      </w:pPr>
      <w:r>
        <w:t xml:space="preserve">The dissertation makes four contributions that, in combination, advance the literature beyond the position it occupied at the time of the prospectus.</w:t>
      </w:r>
    </w:p>
    <w:p>
      <w:pPr>
        <w:pStyle w:val="BodyText"/>
        <w:spacing w:line="480" w:lineRule="auto"/>
        <w:ind w:firstLine="720"/>
      </w:pPr>
      <w:r>
        <w:t xml:space="preserve">The first contribution is methodological. The work is, to the best of the candidate’s knowledge after the literature sweep recorded in Chapter 2 and the targeted re-sweeps for the two empirical chapters, the first portfolio-scale program-level evaluation of MBSE and DME effectiveness that explicitly treats DME adoption as a treatment variable, addresses selection on observables with a documented coding and matching protocol, and reports outcomes against a pre-registered effect threshold. The two-paper architecture, in which the binary cost-breach outcome and the continuous time-to-launch outcome are estimated under separate but compatible specifications, is a template that the empirical literature on digital engineering effectiveness has not previously employed. It allows the cost and schedule margins to be reported with their own appropriate estimators and to be interpreted jointly without forcing one outcome to inherit the estimation choices of the other.</w:t>
      </w:r>
    </w:p>
    <w:p>
      <w:pPr>
        <w:pStyle w:val="BodyText"/>
        <w:spacing w:line="480" w:lineRule="auto"/>
        <w:ind w:firstLine="720"/>
      </w:pPr>
      <w:r>
        <w:t xml:space="preserve">The second contribution is substantive. Consider the cost-margin finding. It is the first reported point estimate, with conventional inference and a moderate pseudo-R-squared, of the conditional association between Digital Mission Engineering intensity and the probability of fifteen-percent cost-growth breach in the NASA major-project portfolio. The schedule-margin null is the first reported survival-model test, with documented covariate controls and right-censoring, of the same hypothesis on the time-to-launch outcome. The asymmetry of the two findings is itself a contribution. The literature has tended to assume that cost and schedule benefits travel together. The evidence here does not support that assumption on this sample, and it specifies a research agenda that distinguishes the two channels rather than aggregating them.</w:t>
      </w:r>
    </w:p>
    <w:p>
      <w:pPr>
        <w:pStyle w:val="BodyText"/>
        <w:spacing w:line="480" w:lineRule="auto"/>
        <w:ind w:firstLine="720"/>
      </w:pPr>
      <w:r>
        <w:t xml:space="preserve">The third contribution is to the policy literature on acquisition reform. The cost result implies that procurement and oversight bodies should treat formulation-phase Digital Mission Engineering intensity as a candidate leading indicator of cost-control risk and ask explicitly about model-based practice during program confirmation, which is consistent with the operational recommendations in the GAO portfolio analyses [7, 16, 17] and with the broader cost-growth literature on flagship and large strategic missions [14, 15]. The schedule null carries equal weight. It implies that the case for mandating DME on the strength of an asserted schedule benefit is not supported by the evidence assembled here, and that justifications resting on schedule acceleration should be received with a measure of skepticism until a larger multi-agency sample with an intensity coding and a Schoenfeld residual check of the proportional-hazards assumption can be brought to bear.</w:t>
      </w:r>
    </w:p>
    <w:p>
      <w:pPr>
        <w:pStyle w:val="BodyText"/>
        <w:spacing w:line="480" w:lineRule="auto"/>
        <w:ind w:firstLine="720"/>
      </w:pPr>
      <w:r>
        <w:t xml:space="preserve">The fourth contribution is to the systems-engineering theory literature. The cost-channel result is consistent with the digital-thread argument that authoritative models reduce the late rework that drives the largest overruns</w:t>
      </w:r>
      <w:r>
        <w:t xml:space="preserve"> </w:t>
      </w:r>
      <w:hyperlink w:anchor="ref-3">
        <w:r>
          <w:rPr>
            <w:rStyle w:val="Hyperlink"/>
          </w:rPr>
          <w:t xml:space="preserve">[3]</w:t>
        </w:r>
      </w:hyperlink>
      <w:r>
        <w:t xml:space="preserve"> </w:t>
      </w:r>
      <w:r>
        <w:t xml:space="preserve">and with the architecture-level trade-study evidence that model-based workflows widen the trade space at fixed engineering effort [1, 19]. The schedule-channel null is consistent with the program-management reading that the binding schedule constraints in NASA major projects, namely instrument development, payload integration, and launch vehicle readiness, lie outside the surface that MBSE most directly touches. The combined reading is that MBSE acts on the cost margin through the rework-and-ambiguity channel and does not, on this evidence, act on the schedule margin through that channel. Theories of digital engineering effectiveness that postulate joint cost and schedule benefits should be revised to specify the channel of action and to predict the asymmetry that this dissertation documents.</w:t>
      </w:r>
    </w:p>
    <w:bookmarkEnd w:id="122"/>
    <w:bookmarkStart w:id="123" w:name="limits-worth-naming-plainly"/>
    <w:p>
      <w:pPr>
        <w:pStyle w:val="Heading2"/>
        <w:spacing w:line="480" w:lineRule="auto"/>
      </w:pPr>
      <w:r>
        <w:t xml:space="preserve">8.4 Limits Worth Naming Plainly</w:t>
      </w:r>
    </w:p>
    <w:p>
      <w:pPr>
        <w:pStyle w:val="FirstParagraph"/>
        <w:spacing w:line="480" w:lineRule="auto"/>
      </w:pPr>
      <w:r>
        <w:t xml:space="preserve">The dissertation is bounded in three respects that the contribution does not survive without acknowledgement.</w:t>
      </w:r>
    </w:p>
    <w:p>
      <w:pPr>
        <w:pStyle w:val="BodyText"/>
        <w:spacing w:line="480" w:lineRule="auto"/>
        <w:ind w:firstLine="720"/>
      </w:pPr>
      <w:r>
        <w:t xml:space="preserve">The first limit is sample size. Thirty and thirty-two programs are small samples for detecting moderate effects in a survival model with three covariates and in a logistic model with three regressors. The schedule null in particular is consistent with either a true zero or a real but modest acceleration that the sample lacks the power to detect. A replication on a larger multi-agency sample that incorporates NOAA, USSF, and selected DoD space programs where comparable cost-growth tracking is published is the natural next step and was already pre-registered as a follow-on move in the cost paper.</w:t>
      </w:r>
    </w:p>
    <w:p>
      <w:pPr>
        <w:pStyle w:val="BodyText"/>
        <w:spacing w:line="480" w:lineRule="auto"/>
        <w:ind w:firstLine="720"/>
      </w:pPr>
      <w:r>
        <w:t xml:space="preserve">The second limit is treatment definition. DME adoption is not binary in practice, and the intensity score, although coded from publicly released project plans and the technical-paper record [1, 2, 3, 4, 5] and cross-checked against the AMOS and Acta Astronautica corpora, remains a coder-derived measure. A hand-coded second pass by a second independent rater, with disagreement reconciled through the source GAO and NASA documentation and inter-rater reliability reported as Cohen’s kappa, is the natural robustness step on the intensity variable. An instrumental-variables strategy that uses contractor-level digital-thread investment, observable from prime-contractor public filings and AMOS technical papers, as an instrument for project-level intensity would help separate the technology channel from selection on managerial quality.</w:t>
      </w:r>
    </w:p>
    <w:p>
      <w:pPr>
        <w:pStyle w:val="BodyText"/>
        <w:spacing w:line="480" w:lineRule="auto"/>
        <w:ind w:firstLine="720"/>
      </w:pPr>
      <w:r>
        <w:t xml:space="preserve">The third limit is identification. The two empirical chapters are quasi-experimental rather than experimental. The cost-margin result is a conditional association that survives a moderate pseudo-R-squared and a non-trivial complexity control but is not, on its own, a causal claim. The prospectus committed the broader research program to a coarsened exact matching plus staggered difference-in-differences design on the NASA CADRe repository, with sensitivity bounds computed using the Oster delta and the Cinelli and Hazlett sensitivity contour. The two empirical chapters report findings that are consistent with the directional prediction of that larger design and that justify pursuing it, but they do not substitute for it. The full causal estimate awaits CADRe access and the staggered-adoption analysis the prospectus specified.</w:t>
      </w:r>
    </w:p>
    <w:bookmarkEnd w:id="123"/>
    <w:bookmarkStart w:id="124" w:name="a-research-agenda-the-findings-earn"/>
    <w:p>
      <w:pPr>
        <w:pStyle w:val="Heading2"/>
        <w:spacing w:line="480" w:lineRule="auto"/>
      </w:pPr>
      <w:r>
        <w:t xml:space="preserve">8.5 A Research Agenda the Findings Earn</w:t>
      </w:r>
    </w:p>
    <w:p>
      <w:pPr>
        <w:pStyle w:val="FirstParagraph"/>
        <w:spacing w:line="480" w:lineRule="auto"/>
      </w:pPr>
      <w:r>
        <w:t xml:space="preserve">The findings earn a research agenda that is more disciplined than the one the literature currently sustains.</w:t>
      </w:r>
    </w:p>
    <w:p>
      <w:pPr>
        <w:pStyle w:val="BodyText"/>
        <w:spacing w:line="480" w:lineRule="auto"/>
        <w:ind w:firstLine="720"/>
      </w:pPr>
      <w:r>
        <w:t xml:space="preserve">The first item on that agenda is the CADRe-based staggered difference-in-differences estimation specified in the prospectus, with the Callaway and Sant’Anna estimator as the primary specification, the Sun and Abraham interaction-weighted estimator and program-class-by-quarter fixed effects as robustness, and a synthetic control specification for the thin-donor subset of large flagship programs. The cost-margin association reported here is a strong prior for that design; the schedule null is a caution against overclaiming.</w:t>
      </w:r>
    </w:p>
    <w:p>
      <w:pPr>
        <w:pStyle w:val="BodyText"/>
        <w:spacing w:line="480" w:lineRule="auto"/>
        <w:ind w:firstLine="720"/>
      </w:pPr>
      <w:r>
        <w:t xml:space="preserve">The second item is a channel-decomposition study that distinguishes MBSE acting through the rework-and-ambiguity channel, where the cost evidence is consistent, from MBSE acting through a notional schedule-compression channel, where the evidence on this sample is not. Channel decomposition requires variables that the present dataset does not carry, including phase-resolved requirement-change counts, late-rework hour bookings, and integration-and-test anomaly rates, and it points toward partnership with NASA OCFO and the prime contractors who hold those data.</w:t>
      </w:r>
    </w:p>
    <w:p>
      <w:pPr>
        <w:pStyle w:val="BodyText"/>
        <w:spacing w:line="480" w:lineRule="auto"/>
        <w:ind w:firstLine="720"/>
      </w:pPr>
      <w:r>
        <w:t xml:space="preserve">The third item is a multi-agency extension that brings USSF and selected DoD space programs into the frame, both to increase statistical power on the schedule margin and to test the external validity of the NASA cost-margin finding in an acquisition environment with different reporting discipline and different contracting conventions. Partnerships between USSF and partner-nation hosted-payload programs are an example of the kind of multi-agency surface where DME adoption is observable and outcome data are tractable</w:t>
      </w:r>
      <w:r>
        <w:t xml:space="preserve"> </w:t>
      </w:r>
      <w:hyperlink w:anchor="ref-18">
        <w:r>
          <w:rPr>
            <w:rStyle w:val="Hyperlink"/>
          </w:rPr>
          <w:t xml:space="preserve">[18]</w:t>
        </w:r>
      </w:hyperlink>
      <w:r>
        <w:t xml:space="preserve">.</w:t>
      </w:r>
    </w:p>
    <w:p>
      <w:pPr>
        <w:pStyle w:val="BodyText"/>
        <w:spacing w:line="480" w:lineRule="auto"/>
        <w:ind w:firstLine="720"/>
      </w:pPr>
      <w:r>
        <w:t xml:space="preserve">The fourth item is a methodological audit of the intensity coding using a second independent rater, with Cohen’s kappa reported and disagreements reconciled through source documentation, to establish the reliability of the intensity variable as a measurement instrument before it propagates into the larger causal design.</w:t>
      </w:r>
    </w:p>
    <w:bookmarkEnd w:id="124"/>
    <w:bookmarkStart w:id="125" w:name="closing-statement"/>
    <w:p>
      <w:pPr>
        <w:pStyle w:val="Heading2"/>
        <w:spacing w:line="480" w:lineRule="auto"/>
      </w:pPr>
      <w:r>
        <w:t xml:space="preserve">8.6 Closing Statement</w:t>
      </w:r>
    </w:p>
    <w:p>
      <w:pPr>
        <w:pStyle w:val="FirstParagraph"/>
        <w:spacing w:line="480" w:lineRule="auto"/>
      </w:pPr>
      <w:r>
        <w:t xml:space="preserve">The dissertation arrives at a result that is neither the triumphant confirmation that DME advocacy has anticipated nor the deflationary null that DME skepticism has predicted. The cost margin yields a conditional association consistent with the digital-thread argument and large enough in log-odds units to matter to procurement reviewers and appropriators. The schedule margin yields a substantive null that, far from being an estimation failure, sharpens the theory of how MBSE acts on program outcomes and where its binding constraints lie. The two findings together support a more precise claim than the literature has previously sustained: Digital Mission Engineering intensity is associated with a lower probability of major cost-growth breach in the NASA major-project portfolio, and it is not, on the evidence assembled here, associated with a shortening of the time from authority to proceed to launch.</w:t>
      </w:r>
    </w:p>
    <w:p>
      <w:pPr>
        <w:pStyle w:val="BodyText"/>
        <w:spacing w:line="480" w:lineRule="auto"/>
        <w:ind w:firstLine="720"/>
      </w:pPr>
      <w:r>
        <w:t xml:space="preserve">That precision is the contribution. It replaces an undifferentiated advocacy claim with a channel-specific empirical finding. It earns a policy posture that promotes DME on the cost-discipline ground that the evidence supports and that holds in reserve the schedule-acceleration claim that the evidence does not yet support. It earns a research posture that pursues the CADRe-based staggered difference-in-differences design with confidence that the cost margin is the right place to look, and with discipline about what a strengthened identification strategy can and cannot adjudicate on the schedule margin. It earns, finally, a theoretical posture that takes the asymmetry of the two findings as data about the mechanism rather than as noise to be averaged away.</w:t>
      </w:r>
    </w:p>
    <w:p>
      <w:pPr>
        <w:pStyle w:val="BodyText"/>
        <w:spacing w:line="480" w:lineRule="auto"/>
        <w:ind w:firstLine="720"/>
      </w:pPr>
      <w:r>
        <w:t xml:space="preserve">The cost-and-schedule curve of spacecraft acquisition will not be bent by a single tool, a single methodology, or a single contractual mandate. It will be bent, if at all, by the accumulation of channel-specific interventions whose effects on the cost and schedule margins are estimated separately, reported honestly, and synthesized carefully. This dissertation has tried to make one such estimate and one such report and to model the kind of synthesis the literature now needs. The work is offered in that spirit and with the expectation that the larger design it points toward will be carried forward by the candidate, by the Collegium, and by the program-management research community whose attention the persistent overrun record continues, properly, to command [6, 7, 16, 17].</w:t>
      </w:r>
    </w:p>
    <w:bookmarkEnd w:id="125"/>
    <w:bookmarkStart w:id="176" w:name="references"/>
    <w:p>
      <w:pPr>
        <w:pStyle w:val="Heading2"/>
        <w:spacing w:line="480" w:lineRule="auto"/>
      </w:pPr>
      <w:r>
        <w:t xml:space="preserve">References</w:t>
      </w:r>
    </w:p>
    <w:p>
      <w:pPr>
        <w:pStyle w:val="FirstParagraph"/>
        <w:spacing w:line="480" w:lineRule="auto"/>
      </w:pPr>
      <w:bookmarkStart w:id="126" w:name="ref-1"/>
      <w:bookmarkEnd w:id="126"/>
      <w:r>
        <w:t xml:space="preserve">1. M. Kirshner and E. Pearce,</w:t>
      </w:r>
      <w:r>
        <w:t xml:space="preserve"> </w:t>
      </w:r>
      <w:r>
        <w:t xml:space="preserve">“Developing Optical Sensor Constellation Architectures for Space Domain Awareness through Model-Based Trade Studies,”</w:t>
      </w:r>
      <w:r>
        <w:t xml:space="preserve"> </w:t>
      </w:r>
      <w:r>
        <w:rPr>
          <w:i/>
          <w:iCs/>
        </w:rPr>
        <w:t xml:space="preserve">Proc. Advanced Maui Optical and Space Surveillance Technologies (AMOS) Conference</w:t>
      </w:r>
      <w:r>
        <w:t xml:space="preserve">, 2024. doi:</w:t>
      </w:r>
      <w:r>
        <w:t xml:space="preserve"> </w:t>
      </w:r>
      <w:hyperlink r:id="rId127">
        <w:r>
          <w:rPr>
            <w:rStyle w:val="Hyperlink"/>
          </w:rPr>
          <w:t xml:space="preserve">10.64861/FHSX9637</w:t>
        </w:r>
      </w:hyperlink>
    </w:p>
    <w:p>
      <w:pPr>
        <w:pStyle w:val="BodyText"/>
        <w:spacing w:line="480" w:lineRule="auto"/>
        <w:ind w:firstLine="720"/>
      </w:pPr>
      <w:bookmarkStart w:id="128" w:name="ref-2"/>
      <w:bookmarkEnd w:id="128"/>
      <w:r>
        <w:t xml:space="preserve">2. A. Chandra, M. Lutfi, and D. Gross,</w:t>
      </w:r>
      <w:r>
        <w:t xml:space="preserve"> </w:t>
      </w:r>
      <w:r>
        <w:t xml:space="preserve">“Leveraging the Emerging CubeSat Reference Model for Space Situational Awareness,”</w:t>
      </w:r>
      <w:r>
        <w:t xml:space="preserve"> </w:t>
      </w:r>
      <w:r>
        <w:rPr>
          <w:i/>
          <w:iCs/>
        </w:rPr>
        <w:t xml:space="preserve">Proc. Advanced Maui Optical and Space Surveillance Technologies (AMOS) Conference</w:t>
      </w:r>
      <w:r>
        <w:t xml:space="preserve">, 2018.</w:t>
      </w:r>
    </w:p>
    <w:p>
      <w:pPr>
        <w:pStyle w:val="BodyText"/>
        <w:spacing w:line="480" w:lineRule="auto"/>
        <w:ind w:firstLine="720"/>
      </w:pPr>
      <w:bookmarkStart w:id="129" w:name="ref-3"/>
      <w:bookmarkEnd w:id="129"/>
      <w:r>
        <w:t xml:space="preserve">3. J. H. Smith, M. Jah, and D. Wood,</w:t>
      </w:r>
      <w:r>
        <w:t xml:space="preserve"> </w:t>
      </w:r>
      <w:r>
        <w:t xml:space="preserve">“Architecting a decision support system for continuing supervision of commercial in-space servicing,”</w:t>
      </w:r>
      <w:r>
        <w:t xml:space="preserve"> </w:t>
      </w:r>
      <w:r>
        <w:rPr>
          <w:i/>
          <w:iCs/>
        </w:rPr>
        <w:t xml:space="preserve">Acta Astronautica</w:t>
      </w:r>
      <w:r>
        <w:t xml:space="preserve">, vol. 235, 2025. doi:</w:t>
      </w:r>
      <w:r>
        <w:t xml:space="preserve"> </w:t>
      </w:r>
      <w:hyperlink r:id="rId130">
        <w:r>
          <w:rPr>
            <w:rStyle w:val="Hyperlink"/>
          </w:rPr>
          <w:t xml:space="preserve">10.1016/j.actaastro.2025.05.036</w:t>
        </w:r>
      </w:hyperlink>
    </w:p>
    <w:p>
      <w:pPr>
        <w:pStyle w:val="BodyText"/>
        <w:spacing w:line="480" w:lineRule="auto"/>
        <w:ind w:firstLine="720"/>
      </w:pPr>
      <w:bookmarkStart w:id="131" w:name="ref-4"/>
      <w:bookmarkEnd w:id="131"/>
      <w:r>
        <w:t xml:space="preserve">4. A. Mutholib, N. Abdul Rahim, and T. S. Gunawan,</w:t>
      </w:r>
      <w:r>
        <w:t xml:space="preserve"> </w:t>
      </w:r>
      <w:r>
        <w:t xml:space="preserve">“Prototype Development of Web AI-Based Decision Support System: Insights and Recommendations for Satellite Anomaly Identification,”</w:t>
      </w:r>
      <w:r>
        <w:t xml:space="preserve"> </w:t>
      </w:r>
      <w:r>
        <w:rPr>
          <w:i/>
          <w:iCs/>
        </w:rPr>
        <w:t xml:space="preserve">Proc. Advanced Maui Optical and Space Surveillance Technologies (AMOS) Conference</w:t>
      </w:r>
      <w:r>
        <w:t xml:space="preserve">, 2025. doi:</w:t>
      </w:r>
      <w:r>
        <w:t xml:space="preserve"> </w:t>
      </w:r>
      <w:hyperlink r:id="rId132">
        <w:r>
          <w:rPr>
            <w:rStyle w:val="Hyperlink"/>
          </w:rPr>
          <w:t xml:space="preserve">10.64861/TJUV7381</w:t>
        </w:r>
      </w:hyperlink>
    </w:p>
    <w:p>
      <w:pPr>
        <w:pStyle w:val="BodyText"/>
        <w:spacing w:line="480" w:lineRule="auto"/>
        <w:ind w:firstLine="720"/>
      </w:pPr>
      <w:bookmarkStart w:id="133" w:name="ref-5"/>
      <w:bookmarkEnd w:id="133"/>
      <w:r>
        <w:t xml:space="preserve">5. N. Sajjad, A. Price, M. Mirshams, and M. Salzmann,</w:t>
      </w:r>
      <w:r>
        <w:t xml:space="preserve"> </w:t>
      </w:r>
      <w:r>
        <w:t xml:space="preserve">“Tiny satellites, big challenges: A feasibility study of machine vision pose estimation for PocketQubes during conjunctions,”</w:t>
      </w:r>
      <w:r>
        <w:t xml:space="preserve"> </w:t>
      </w:r>
      <w:r>
        <w:rPr>
          <w:i/>
          <w:iCs/>
        </w:rPr>
        <w:t xml:space="preserve">Acta Astronautica</w:t>
      </w:r>
      <w:r>
        <w:t xml:space="preserve">, vol. 228, 2024. doi:</w:t>
      </w:r>
      <w:r>
        <w:t xml:space="preserve"> </w:t>
      </w:r>
      <w:hyperlink r:id="rId134">
        <w:r>
          <w:rPr>
            <w:rStyle w:val="Hyperlink"/>
          </w:rPr>
          <w:t xml:space="preserve">10.1016/j.actaastro.2024.12.034</w:t>
        </w:r>
      </w:hyperlink>
    </w:p>
    <w:p>
      <w:pPr>
        <w:pStyle w:val="BodyText"/>
        <w:spacing w:line="480" w:lineRule="auto"/>
        <w:ind w:firstLine="720"/>
      </w:pPr>
      <w:bookmarkStart w:id="135" w:name="ref-6"/>
      <w:bookmarkEnd w:id="135"/>
      <w:r>
        <w:t xml:space="preserve">6. U.S. Government Accountability Office. NASA: Assessments of Selected Large-Scale Projects. GAO-12-207SP, 2012.</w:t>
      </w:r>
    </w:p>
    <w:p>
      <w:pPr>
        <w:pStyle w:val="BodyText"/>
        <w:spacing w:line="480" w:lineRule="auto"/>
        <w:ind w:firstLine="720"/>
      </w:pPr>
      <w:bookmarkStart w:id="136" w:name="ref-7"/>
      <w:bookmarkEnd w:id="136"/>
      <w:r>
        <w:t xml:space="preserve">7. U.S. Government Accountability Office. NASA: Assessments of Major Projects. GAO-19-262SP, 2019.</w:t>
      </w:r>
    </w:p>
    <w:p>
      <w:pPr>
        <w:pStyle w:val="BodyText"/>
        <w:spacing w:line="480" w:lineRule="auto"/>
        <w:ind w:firstLine="720"/>
      </w:pPr>
      <w:bookmarkStart w:id="137" w:name="ref-8"/>
      <w:bookmarkEnd w:id="137"/>
      <w:r>
        <w:t xml:space="preserve">8. A. Herz,</w:t>
      </w:r>
      <w:r>
        <w:t xml:space="preserve"> </w:t>
      </w:r>
      <w:r>
        <w:t xml:space="preserve">“SSA Sensor Tasking Approach for Improved Orbit Determination Accuracies and More Efficient Use of Ground Assets,”</w:t>
      </w:r>
      <w:r>
        <w:t xml:space="preserve"> </w:t>
      </w:r>
      <w:r>
        <w:t xml:space="preserve">in Proc. AMOS Conference, 2013.</w:t>
      </w:r>
    </w:p>
    <w:p>
      <w:pPr>
        <w:pStyle w:val="BodyText"/>
        <w:spacing w:line="480" w:lineRule="auto"/>
        <w:ind w:firstLine="720"/>
      </w:pPr>
      <w:bookmarkStart w:id="138" w:name="ref-9"/>
      <w:bookmarkEnd w:id="138"/>
      <w:r>
        <w:t xml:space="preserve">9. NASA Cost Analysis Division and Office of the Chief Financial Officer, NASA Cost Estimating Handbook, current edition, NASA, Washington, DC.</w:t>
      </w:r>
    </w:p>
    <w:p>
      <w:pPr>
        <w:pStyle w:val="BodyText"/>
        <w:spacing w:line="480" w:lineRule="auto"/>
        <w:ind w:firstLine="720"/>
      </w:pPr>
      <w:bookmarkStart w:id="139" w:name="ref-10"/>
      <w:bookmarkEnd w:id="139"/>
      <w:r>
        <w:t xml:space="preserve">10. National Aeronautics and Space Administration, NPR 8705.4: Risk Classification for NASA Payloads, current revision.</w:t>
      </w:r>
    </w:p>
    <w:p>
      <w:pPr>
        <w:pStyle w:val="BodyText"/>
        <w:spacing w:line="480" w:lineRule="auto"/>
        <w:ind w:firstLine="720"/>
      </w:pPr>
      <w:bookmarkStart w:id="140" w:name="ref-11"/>
      <w:bookmarkEnd w:id="140"/>
      <w:r>
        <w:t xml:space="preserve">11. S. Eze,</w:t>
      </w:r>
      <w:r>
        <w:t xml:space="preserve"> </w:t>
      </w:r>
      <w:r>
        <w:t xml:space="preserve">“Estimating the Effect of Digital Mission Engineering Intensity on Spacecraft Cost Growth: An OLS Cross-Program Analysis,”</w:t>
      </w:r>
      <w:r>
        <w:t xml:space="preserve"> </w:t>
      </w:r>
      <w:r>
        <w:t xml:space="preserve">Collegium working paper, JPL_MGMT_SMA_TECH_10, P2, 2026.</w:t>
      </w:r>
    </w:p>
    <w:p>
      <w:pPr>
        <w:pStyle w:val="BodyText"/>
        <w:spacing w:line="480" w:lineRule="auto"/>
        <w:ind w:firstLine="720"/>
      </w:pPr>
      <w:bookmarkStart w:id="141" w:name="ref-12"/>
      <w:bookmarkEnd w:id="141"/>
      <w:r>
        <w:t xml:space="preserve">12. J. Hon and M. R. Emami, Optimization Framework for Low-Thrust Active Debris Removal Missions with Multiple Selected Targets, Proceedings of the Advanced Maui Optical and Space Surveillance Technologies Conference, 2022.</w:t>
      </w:r>
    </w:p>
    <w:p>
      <w:pPr>
        <w:pStyle w:val="BodyText"/>
        <w:spacing w:line="480" w:lineRule="auto"/>
        <w:ind w:firstLine="720"/>
      </w:pPr>
      <w:bookmarkStart w:id="142" w:name="ref-13"/>
      <w:bookmarkEnd w:id="142"/>
      <w:r>
        <w:t xml:space="preserve">13. G. Dalmarco, R. A. de Lourenco Roriz Mendes, A. Correia Simoes, and A. M. S. Avila, 3D Printing Lift-Off? The Use of Additive Manufacturing in Spacecraft Components, Acta Astronautica, vol. 246, 2026, doi:</w:t>
      </w:r>
      <w:r>
        <w:t xml:space="preserve"> </w:t>
      </w:r>
      <w:hyperlink r:id="rId143">
        <w:r>
          <w:rPr>
            <w:rStyle w:val="Hyperlink"/>
          </w:rPr>
          <w:t xml:space="preserve">10.1016/j.actaastro.2026.03.057</w:t>
        </w:r>
      </w:hyperlink>
    </w:p>
    <w:p>
      <w:pPr>
        <w:pStyle w:val="BodyText"/>
        <w:spacing w:line="480" w:lineRule="auto"/>
        <w:ind w:firstLine="720"/>
      </w:pPr>
      <w:bookmarkStart w:id="144" w:name="ref-14"/>
      <w:bookmarkEnd w:id="144"/>
      <w:r>
        <w:t xml:space="preserve">14. S. Dorrington and J. Olsen, Parametric Economic Modelling of Asteroid Mining Architectures, Acta Astronautica, vol. 241, 2025, doi:</w:t>
      </w:r>
      <w:r>
        <w:t xml:space="preserve"> </w:t>
      </w:r>
      <w:hyperlink r:id="rId145">
        <w:r>
          <w:rPr>
            <w:rStyle w:val="Hyperlink"/>
          </w:rPr>
          <w:t xml:space="preserve">10.1016/j.actaastro.2025.11.006</w:t>
        </w:r>
      </w:hyperlink>
    </w:p>
    <w:p>
      <w:pPr>
        <w:pStyle w:val="BodyText"/>
        <w:spacing w:line="480" w:lineRule="auto"/>
        <w:ind w:firstLine="720"/>
      </w:pPr>
      <w:bookmarkStart w:id="146" w:name="ref-15"/>
      <w:bookmarkEnd w:id="146"/>
      <w:r>
        <w:t xml:space="preserve">15. D. Wu and R. Linares, Unlocking the Value of Space Debris: An Investigation on Multi-shell Source-Sink Physical-Economical Model and Space Debris Value Definition, Proceedings of the Advanced Maui Optical and Space Surveillance Technologies Conference, 2023, doi:</w:t>
      </w:r>
      <w:r>
        <w:t xml:space="preserve"> </w:t>
      </w:r>
      <w:hyperlink r:id="rId147">
        <w:r>
          <w:rPr>
            <w:rStyle w:val="Hyperlink"/>
          </w:rPr>
          <w:t xml:space="preserve">10.64861/IGYM9299</w:t>
        </w:r>
      </w:hyperlink>
    </w:p>
    <w:p>
      <w:pPr>
        <w:pStyle w:val="BodyText"/>
        <w:spacing w:line="480" w:lineRule="auto"/>
        <w:ind w:firstLine="720"/>
      </w:pPr>
      <w:bookmarkStart w:id="148" w:name="ref-16"/>
      <w:bookmarkEnd w:id="148"/>
      <w:r>
        <w:t xml:space="preserve">16. Government Accountability Office. NASA: Assessments of Major Projects (annual series), reports GAO-13-276SP through GAO-25-107591. Washington, DC: GAO, 2013-2025.</w:t>
      </w:r>
    </w:p>
    <w:p>
      <w:pPr>
        <w:pStyle w:val="BodyText"/>
        <w:spacing w:line="480" w:lineRule="auto"/>
        <w:ind w:firstLine="720"/>
      </w:pPr>
      <w:bookmarkStart w:id="149" w:name="ref-17"/>
      <w:bookmarkEnd w:id="149"/>
      <w:r>
        <w:t xml:space="preserve">17. Government Accountability Office. NASA: Mars Sample Return Independent Review Board Report Recommendations and Project Status, GAO-24-107473. Washington, DC: GAO, 2024.</w:t>
      </w:r>
    </w:p>
    <w:p>
      <w:pPr>
        <w:pStyle w:val="BodyText"/>
        <w:spacing w:line="480" w:lineRule="auto"/>
        <w:ind w:firstLine="720"/>
      </w:pPr>
      <w:bookmarkStart w:id="150" w:name="ref-18"/>
      <w:bookmarkEnd w:id="150"/>
      <w:r>
        <w:t xml:space="preserve">18. Sophia McCollum, USSF Space Systems Command; Brandon Hammond, USSF Space Systems Command; Brynn Feighery, USSF Space Systems Command. Quasi-Zenith Satellite System Hosted Payload (QZSS-HP): Pathfinder to Space Domain Awareness (SDA) Partnerships (2025). doi:</w:t>
      </w:r>
      <w:r>
        <w:t xml:space="preserve"> </w:t>
      </w:r>
      <w:hyperlink r:id="rId151">
        <w:r>
          <w:rPr>
            <w:rStyle w:val="Hyperlink"/>
          </w:rPr>
          <w:t xml:space="preserve">10.64861/DBWY9393</w:t>
        </w:r>
      </w:hyperlink>
    </w:p>
    <w:p>
      <w:pPr>
        <w:pStyle w:val="BodyText"/>
        <w:spacing w:line="480" w:lineRule="auto"/>
        <w:ind w:firstLine="720"/>
      </w:pPr>
      <w:bookmarkStart w:id="152" w:name="ref-19"/>
      <w:bookmarkEnd w:id="152"/>
      <w:r>
        <w:t xml:space="preserve">19.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127">
        <w:r>
          <w:rPr>
            <w:rStyle w:val="Hyperlink"/>
          </w:rPr>
          <w:t xml:space="preserve">10.64861/FHSX9637</w:t>
        </w:r>
      </w:hyperlink>
    </w:p>
    <w:p>
      <w:pPr>
        <w:pStyle w:val="BodyText"/>
        <w:spacing w:line="480" w:lineRule="auto"/>
        <w:ind w:firstLine="720"/>
      </w:pPr>
      <w:bookmarkStart w:id="153" w:name="ref-20"/>
      <w:bookmarkEnd w:id="153"/>
      <w:r>
        <w:t xml:space="preserve">20. Michael Klonowski, University of Colorado at Boulder; Casey Heidrich, University of Colorado at Boulder; Naomi Owens-Fahrner, BAE Systems, Inc.; Marcus Holzinger, University of Colorado at Boulder. Analysis of Persistent Detection Corridors for Cislunar Space Situational Awareness (2024). doi:</w:t>
      </w:r>
      <w:r>
        <w:t xml:space="preserve"> </w:t>
      </w:r>
      <w:hyperlink r:id="rId154">
        <w:r>
          <w:rPr>
            <w:rStyle w:val="Hyperlink"/>
          </w:rPr>
          <w:t xml:space="preserve">10.64861/TAQT8870</w:t>
        </w:r>
      </w:hyperlink>
    </w:p>
    <w:p>
      <w:pPr>
        <w:pStyle w:val="BodyText"/>
        <w:spacing w:line="480" w:lineRule="auto"/>
        <w:ind w:firstLine="720"/>
      </w:pPr>
      <w:bookmarkStart w:id="155" w:name="ref-21"/>
      <w:bookmarkEnd w:id="155"/>
      <w:r>
        <w:t xml:space="preserve">21. Mark Ackermann (Sandia National Laboratories), John T. McGraw (University of New Mexico). Large-Aperture, Three-Mirror Telescopes for Near-Earth (2007).</w:t>
      </w:r>
    </w:p>
    <w:p>
      <w:pPr>
        <w:pStyle w:val="BodyText"/>
        <w:spacing w:line="480" w:lineRule="auto"/>
        <w:ind w:firstLine="720"/>
      </w:pPr>
      <w:bookmarkStart w:id="156" w:name="ref-22"/>
      <w:bookmarkEnd w:id="156"/>
      <w:r>
        <w:t xml:space="preserve">22. Dick Stottler, Stottler Henke Associates, Inc.. Improved Space Surveillance Network (SSN) Scheduling using Artificial Intelligence Techniques (2015).</w:t>
      </w:r>
    </w:p>
    <w:p>
      <w:pPr>
        <w:pStyle w:val="BodyText"/>
        <w:spacing w:line="480" w:lineRule="auto"/>
        <w:ind w:firstLine="720"/>
      </w:pPr>
      <w:bookmarkStart w:id="157" w:name="ref-23"/>
      <w:bookmarkEnd w:id="157"/>
      <w:r>
        <w:t xml:space="preserve">23. Aman Chandra, University of Arizona; Mostafa Lutfi, University of Arizona; David Gross, University of Arizona. Leveraging the Emerging CubeSat Reference Model for Space Situational Awareness (2018).</w:t>
      </w:r>
    </w:p>
    <w:p>
      <w:pPr>
        <w:pStyle w:val="BodyText"/>
        <w:spacing w:line="480" w:lineRule="auto"/>
        <w:ind w:firstLine="720"/>
      </w:pPr>
      <w:bookmarkStart w:id="158" w:name="ref-24"/>
      <w:bookmarkEnd w:id="158"/>
      <w:r>
        <w:t xml:space="preserve">24. Dick Stottler, Stottler Henke Associates, Inc.H, Kyle Mahan, Stottler Henke Associates, Inc.. Automatic, Rapid Replanning of Satellite Operations for Space Situational Awareness (SSA) (2015).</w:t>
      </w:r>
    </w:p>
    <w:p>
      <w:pPr>
        <w:pStyle w:val="BodyText"/>
        <w:spacing w:line="480" w:lineRule="auto"/>
        <w:ind w:firstLine="720"/>
      </w:pPr>
      <w:bookmarkStart w:id="159" w:name="ref-25"/>
      <w:bookmarkEnd w:id="159"/>
      <w:r>
        <w:t xml:space="preserve">25.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132">
        <w:r>
          <w:rPr>
            <w:rStyle w:val="Hyperlink"/>
          </w:rPr>
          <w:t xml:space="preserve">10.64861/TJUV7381</w:t>
        </w:r>
      </w:hyperlink>
    </w:p>
    <w:p>
      <w:pPr>
        <w:pStyle w:val="BodyText"/>
        <w:spacing w:line="480" w:lineRule="auto"/>
        <w:ind w:firstLine="720"/>
      </w:pPr>
      <w:bookmarkStart w:id="160" w:name="ref-26"/>
      <w:bookmarkEnd w:id="160"/>
      <w:r>
        <w:t xml:space="preserve">26. Nicole Viola; Roberta Fusaro; Davide Ferretto; Valeria Vercella. Research, development and production costs prediction parametric model for future civil hypersonic aircraft (2022). doi:</w:t>
      </w:r>
      <w:r>
        <w:t xml:space="preserve"> </w:t>
      </w:r>
      <w:hyperlink r:id="rId161">
        <w:r>
          <w:rPr>
            <w:rStyle w:val="Hyperlink"/>
          </w:rPr>
          <w:t xml:space="preserve">10.1016/j.actaastro.2022.12.036</w:t>
        </w:r>
      </w:hyperlink>
    </w:p>
    <w:p>
      <w:pPr>
        <w:pStyle w:val="BodyText"/>
        <w:spacing w:line="480" w:lineRule="auto"/>
        <w:ind w:firstLine="720"/>
      </w:pPr>
      <w:bookmarkStart w:id="162" w:name="ref-27"/>
      <w:bookmarkEnd w:id="162"/>
      <w:r>
        <w:t xml:space="preserve">27. Leonardo Kessler Slongo; Sara Vega Martínez; Bruno Vale Barbosa Eiterer; Thalia Gonçalves Pereira; Eduardo Augusto Bezerra; Kleber Vieira de Paiva. Energy-driven scheduling algorithm for nanosatellite energy harvesting maximization (2018). doi:</w:t>
      </w:r>
      <w:r>
        <w:t xml:space="preserve"> </w:t>
      </w:r>
      <w:hyperlink r:id="rId163">
        <w:r>
          <w:rPr>
            <w:rStyle w:val="Hyperlink"/>
          </w:rPr>
          <w:t xml:space="preserve">10.1016/j.actaastro.2018.03.052</w:t>
        </w:r>
      </w:hyperlink>
    </w:p>
    <w:p>
      <w:pPr>
        <w:pStyle w:val="BodyText"/>
        <w:spacing w:line="480" w:lineRule="auto"/>
        <w:ind w:firstLine="720"/>
      </w:pPr>
      <w:bookmarkStart w:id="164" w:name="ref-28"/>
      <w:bookmarkEnd w:id="164"/>
      <w:r>
        <w:t xml:space="preserve">28. Nicole Viola; Roberta Fusaro; Valeria Vercella. Technology roadmapping methodology for future hypersonic transportation systems (2022). doi:</w:t>
      </w:r>
      <w:r>
        <w:t xml:space="preserve"> </w:t>
      </w:r>
      <w:hyperlink r:id="rId165">
        <w:r>
          <w:rPr>
            <w:rStyle w:val="Hyperlink"/>
          </w:rPr>
          <w:t xml:space="preserve">10.1016/j.actaastro.2022.03.038</w:t>
        </w:r>
      </w:hyperlink>
    </w:p>
    <w:p>
      <w:pPr>
        <w:pStyle w:val="BodyText"/>
        <w:spacing w:line="480" w:lineRule="auto"/>
        <w:ind w:firstLine="720"/>
      </w:pPr>
      <w:bookmarkStart w:id="166" w:name="ref-29"/>
      <w:bookmarkEnd w:id="166"/>
      <w:r>
        <w:t xml:space="preserve">29. Tjorben Griemsmann; Joel Patzwald; Chetan Chawda; T. Eismann; Arvid Abel; Nicole Emminghaus; Jörg Hermsdorf; Enrico Stoll; Ludger Overmeyer. Influence of ambient pressure on laser beam melting of lunar regolith simulant (2024). doi:</w:t>
      </w:r>
      <w:r>
        <w:t xml:space="preserve"> </w:t>
      </w:r>
      <w:hyperlink r:id="rId167">
        <w:r>
          <w:rPr>
            <w:rStyle w:val="Hyperlink"/>
          </w:rPr>
          <w:t xml:space="preserve">10.1016/j.actaastro.2024.11.057</w:t>
        </w:r>
      </w:hyperlink>
    </w:p>
    <w:p>
      <w:pPr>
        <w:pStyle w:val="BodyText"/>
        <w:spacing w:line="480" w:lineRule="auto"/>
        <w:ind w:firstLine="720"/>
      </w:pPr>
      <w:bookmarkStart w:id="168" w:name="ref-30"/>
      <w:bookmarkEnd w:id="168"/>
      <w:r>
        <w:t xml:space="preserve">30. Nicos A. Kalapodis; Georgios Kampas; Olga‐Joan Ktenidou. A review towards the design of extraterrestrial structures: From regolith to human outposts (2020). doi:</w:t>
      </w:r>
      <w:r>
        <w:t xml:space="preserve"> </w:t>
      </w:r>
      <w:hyperlink r:id="rId169">
        <w:r>
          <w:rPr>
            <w:rStyle w:val="Hyperlink"/>
          </w:rPr>
          <w:t xml:space="preserve">10.1016/j.actaastro.2020.05.038</w:t>
        </w:r>
      </w:hyperlink>
    </w:p>
    <w:p>
      <w:pPr>
        <w:pStyle w:val="BodyText"/>
        <w:spacing w:line="480" w:lineRule="auto"/>
        <w:ind w:firstLine="720"/>
      </w:pPr>
      <w:bookmarkStart w:id="170" w:name="ref-31"/>
      <w:bookmarkEnd w:id="170"/>
      <w:r>
        <w:t xml:space="preserve">31. Rannveig Marie Færgestad; Jens Kristian Holmen; T. Berstad; Tiziana Cardone; Kevin A. Ford; Tore Børvik. Coupled finite element-discrete element method (FEM/DEM) for modelling hypervelocity impacts (2022). doi:</w:t>
      </w:r>
      <w:r>
        <w:t xml:space="preserve"> </w:t>
      </w:r>
      <w:hyperlink r:id="rId171">
        <w:r>
          <w:rPr>
            <w:rStyle w:val="Hyperlink"/>
          </w:rPr>
          <w:t xml:space="preserve">10.1016/j.actaastro.2022.11.026</w:t>
        </w:r>
      </w:hyperlink>
    </w:p>
    <w:p>
      <w:pPr>
        <w:pStyle w:val="BodyText"/>
        <w:spacing w:line="480" w:lineRule="auto"/>
        <w:ind w:firstLine="720"/>
      </w:pPr>
      <w:bookmarkStart w:id="172" w:name="ref-32"/>
      <w:bookmarkEnd w:id="172"/>
      <w:r>
        <w:t xml:space="preserve">32. Nishanth Pushparaj; Nicola Baresi; Yasuhiro Kawakatsu. Optimization of MMX relative quasi-satellite transfer trajectories using primer vector theory (2024). doi:</w:t>
      </w:r>
      <w:r>
        <w:t xml:space="preserve"> </w:t>
      </w:r>
      <w:hyperlink r:id="rId173">
        <w:r>
          <w:rPr>
            <w:rStyle w:val="Hyperlink"/>
          </w:rPr>
          <w:t xml:space="preserve">10.1016/j.actaastro.2024.09.031</w:t>
        </w:r>
      </w:hyperlink>
    </w:p>
    <w:p>
      <w:pPr>
        <w:pStyle w:val="BodyText"/>
        <w:spacing w:line="480" w:lineRule="auto"/>
        <w:ind w:firstLine="720"/>
      </w:pPr>
      <w:bookmarkStart w:id="174" w:name="ref-33"/>
      <w:bookmarkEnd w:id="174"/>
      <w:r>
        <w:t xml:space="preserve">33. E. Zhibo; Renhe Shi; Lan Gan; Hexi Baoyin; Junfeng Li. Multi-satellites imaging scheduling using individual reconfiguration based integer coding genetic algorithm (2020). doi:</w:t>
      </w:r>
      <w:r>
        <w:t xml:space="preserve"> </w:t>
      </w:r>
      <w:hyperlink r:id="rId175">
        <w:r>
          <w:rPr>
            <w:rStyle w:val="Hyperlink"/>
          </w:rPr>
          <w:t xml:space="preserve">10.1016/j.actaastro.2020.08.041</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eae4a37521e4ca24818289b506496a6a81e003b"/>
    <w:p>
      <w:pPr>
        <w:pStyle w:val="Heading2"/>
        <w:spacing w:line="480" w:lineRule="auto"/>
      </w:pPr>
      <w:r>
        <w:t xml:space="preserve">A.1 Does Model-Based Systems Engineering Shorten Schedule Slip? A Cox Proportional-Hazards Analysis of NASA Major Projects, 2012-2025</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M</m:t>
              </m:r>
              <m:r>
                <m:rPr>
                  <m:sty m:val="p"/>
                </m:rPr>
                <m:t>B</m:t>
              </m:r>
              <m:r>
                <m:rPr>
                  <m:sty m:val="p"/>
                </m:rPr>
                <m:t>S</m:t>
              </m:r>
              <m:r>
                <m:rPr>
                  <m:sty m:val="p"/>
                </m:rPr>
                <m:t>E</m:t>
              </m:r>
            </m:e>
            <m:sub>
              <m:r>
                <m:t>i</m:t>
              </m:r>
            </m:sub>
          </m:sSub>
          <m:r>
            <m:rPr>
              <m:sty m:val="p"/>
            </m:rPr>
            <m:t>+</m:t>
          </m:r>
          <m:sSub>
            <m:e>
              <m:r>
                <m:t>β</m:t>
              </m:r>
            </m:e>
            <m:sub>
              <m:r>
                <m:t>2</m:t>
              </m:r>
            </m:sub>
          </m:sSub>
          <m:sSub>
            <m:e>
              <m:r>
                <m:rPr>
                  <m:sty m:val="p"/>
                </m:rPr>
                <m:t>L</m:t>
              </m:r>
              <m:r>
                <m:rPr>
                  <m:sty m:val="p"/>
                </m:rPr>
                <m:t>i</m:t>
              </m:r>
              <m:r>
                <m:rPr>
                  <m:sty m:val="p"/>
                </m:rPr>
                <m:t>f</m:t>
              </m:r>
              <m:r>
                <m:rPr>
                  <m:sty m:val="p"/>
                </m:rPr>
                <m:t>e</m:t>
              </m:r>
              <m:r>
                <m:rPr>
                  <m:sty m:val="p"/>
                </m:rPr>
                <m:t>C</m:t>
              </m:r>
              <m:r>
                <m:rPr>
                  <m:sty m:val="p"/>
                </m:rPr>
                <m:t>y</m:t>
              </m:r>
              <m:r>
                <m:rPr>
                  <m:sty m:val="p"/>
                </m:rPr>
                <m:t>c</m:t>
              </m:r>
              <m:r>
                <m:rPr>
                  <m:sty m:val="p"/>
                </m:rPr>
                <m:t>l</m:t>
              </m:r>
              <m:r>
                <m:rPr>
                  <m:sty m:val="p"/>
                </m:rPr>
                <m:t>e</m:t>
              </m:r>
            </m:e>
            <m:sub>
              <m:r>
                <m:t>i</m:t>
              </m:r>
            </m:sub>
          </m:sSub>
          <m:r>
            <m:rPr>
              <m:sty m:val="p"/>
            </m:rPr>
            <m:t>+</m:t>
          </m:r>
          <m:sSub>
            <m:e>
              <m:r>
                <m:t>β</m:t>
              </m:r>
            </m:e>
            <m:sub>
              <m:r>
                <m:t>3</m:t>
              </m:r>
            </m:sub>
          </m:sSub>
          <m:sSub>
            <m:e>
              <m:r>
                <m:rPr>
                  <m:sty m:val="p"/>
                </m:rPr>
                <m:t>C</m:t>
              </m:r>
              <m:r>
                <m:rPr>
                  <m:sty m:val="p"/>
                </m:rPr>
                <m:t>l</m:t>
              </m:r>
              <m:r>
                <m:rPr>
                  <m:sty m:val="p"/>
                </m:rPr>
                <m:t>a</m:t>
              </m:r>
              <m:r>
                <m:rPr>
                  <m:sty m:val="p"/>
                </m:rPr>
                <m:t>s</m:t>
              </m:r>
              <m:r>
                <m:rPr>
                  <m:sty m:val="p"/>
                </m:rPr>
                <m:t>s</m:t>
              </m:r>
              <m:r>
                <m:rPr>
                  <m:sty m:val="p"/>
                </m:rPr>
                <m:t>A</m:t>
              </m:r>
            </m:e>
            <m:sub>
              <m:r>
                <m:t>i</m:t>
              </m:r>
            </m:sub>
          </m:sSub>
          <m:r>
            <m:rPr>
              <m:sty m:val="p"/>
            </m:rPr>
            <m:t>)</m:t>
          </m:r>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0.4726</w:t>
            </w:r>
          </w:p>
        </w:tc>
        <w:tc>
          <w:tcPr>
            <w:tcW w:w="0" w:type="auto"/>
          </w:tcPr>
          <w:p>
            <w:pPr>
              <w:spacing w:line="240" w:lineRule="auto" w:before="0" w:after="0"/>
              <w:pStyle w:val="Compact"/>
            </w:pPr>
            <w:r>
              <w:rPr>
                <w:sz w:val="20"/>
                <w:szCs w:val="20"/>
              </w:rPr>
              <w:t xml:space="preserve">0.2388</w:t>
            </w:r>
          </w:p>
        </w:tc>
        <w:tc>
          <w:tcPr>
            <w:tcW w:w="0" w:type="auto"/>
          </w:tcPr>
          <w:p>
            <w:pPr>
              <w:spacing w:line="240" w:lineRule="auto" w:before="0" w:after="0"/>
              <w:pStyle w:val="Compact"/>
            </w:pPr>
            <w:r>
              <w:rPr>
                <w:sz w:val="20"/>
                <w:szCs w:val="20"/>
              </w:rPr>
              <w:t xml:space="preserve">0.8113</w:t>
            </w:r>
          </w:p>
        </w:tc>
        <w:tc>
          <w:tcPr>
            <w:tcW w:w="0" w:type="auto"/>
          </w:tcPr>
          <w:p>
            <w:pPr>
              <w:spacing w:line="240" w:lineRule="auto" w:before="0" w:after="0"/>
              <w:pStyle w:val="Compact"/>
            </w:pPr>
            <w:r>
              <w:rPr>
                <w:sz w:val="20"/>
                <w:szCs w:val="20"/>
              </w:rPr>
              <w:t xml:space="preserve">[-0.8134, 1.0391]</w:t>
            </w:r>
          </w:p>
        </w:tc>
        <w:tc>
          <w:tcPr>
            <w:tcW w:w="0" w:type="auto"/>
          </w:tcPr>
          <w:p>
            <w:pPr>
              <w:spacing w:line="240" w:lineRule="auto" w:before="0" w:after="0"/>
              <w:pStyle w:val="Compact"/>
            </w:pPr>
            <w:r>
              <w:rPr>
                <w:sz w:val="20"/>
                <w:szCs w:val="20"/>
              </w:rPr>
              <w:t xml:space="preserve">1.1195</w:t>
            </w:r>
          </w:p>
        </w:tc>
      </w:tr>
      <w:tr>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-0.6593</w:t>
            </w:r>
          </w:p>
        </w:tc>
        <w:tc>
          <w:tcPr>
            <w:tcW w:w="0" w:type="auto"/>
          </w:tcPr>
          <w:p>
            <w:pPr>
              <w:spacing w:line="240" w:lineRule="auto" w:before="0" w:after="0"/>
              <w:pStyle w:val="Compact"/>
            </w:pPr>
            <w:r>
              <w:rPr>
                <w:sz w:val="20"/>
                <w:szCs w:val="20"/>
              </w:rPr>
              <w:t xml:space="preserve">0.1703</w:t>
            </w:r>
          </w:p>
        </w:tc>
        <w:tc>
          <w:tcPr>
            <w:tcW w:w="0" w:type="auto"/>
          </w:tcPr>
          <w:p>
            <w:pPr>
              <w:spacing w:line="240" w:lineRule="auto" w:before="0" w:after="0"/>
              <w:pStyle w:val="Compact"/>
            </w:pPr>
            <w:r>
              <w:rPr>
                <w:sz w:val="20"/>
                <w:szCs w:val="20"/>
              </w:rPr>
              <w:t xml:space="preserve">-3.8717</w:t>
            </w:r>
          </w:p>
        </w:tc>
        <w:tc>
          <w:tcPr>
            <w:tcW w:w="0" w:type="auto"/>
          </w:tcPr>
          <w:p>
            <w:pPr>
              <w:spacing w:line="240" w:lineRule="auto" w:before="0" w:after="0"/>
              <w:pStyle w:val="Compact"/>
            </w:pPr>
            <w:r>
              <w:rPr>
                <w:sz w:val="20"/>
                <w:szCs w:val="20"/>
              </w:rPr>
              <w:t xml:space="preserve">0.0001081</w:t>
            </w:r>
          </w:p>
        </w:tc>
        <w:tc>
          <w:tcPr>
            <w:tcW w:w="0" w:type="auto"/>
          </w:tcPr>
          <w:p>
            <w:pPr>
              <w:spacing w:line="240" w:lineRule="auto" w:before="0" w:after="0"/>
              <w:pStyle w:val="Compact"/>
            </w:pPr>
            <w:r>
              <w:rPr>
                <w:sz w:val="20"/>
                <w:szCs w:val="20"/>
              </w:rPr>
              <w:t xml:space="preserve">[-0.993, -0.3255]</w:t>
            </w:r>
          </w:p>
        </w:tc>
        <w:tc>
          <w:tcPr>
            <w:tcW w:w="0" w:type="auto"/>
          </w:tcPr>
          <w:p>
            <w:pPr>
              <w:spacing w:line="240" w:lineRule="auto" w:before="0" w:after="0"/>
              <w:pStyle w:val="Compact"/>
            </w:pPr>
            <w:r>
              <w:rPr>
                <w:sz w:val="20"/>
                <w:szCs w:val="20"/>
              </w:rPr>
              <w:t xml:space="preserve">0.5172</w:t>
            </w:r>
          </w:p>
        </w:tc>
      </w:tr>
      <w:tr>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-0.0832</w:t>
            </w:r>
          </w:p>
        </w:tc>
        <w:tc>
          <w:tcPr>
            <w:tcW w:w="0" w:type="auto"/>
          </w:tcPr>
          <w:p>
            <w:pPr>
              <w:spacing w:line="240" w:lineRule="auto" w:before="0" w:after="0"/>
              <w:pStyle w:val="Compact"/>
            </w:pPr>
            <w:r>
              <w:rPr>
                <w:sz w:val="20"/>
                <w:szCs w:val="20"/>
              </w:rPr>
              <w:t xml:space="preserve">0.6654</w:t>
            </w:r>
          </w:p>
        </w:tc>
        <w:tc>
          <w:tcPr>
            <w:tcW w:w="0" w:type="auto"/>
          </w:tcPr>
          <w:p>
            <w:pPr>
              <w:spacing w:line="240" w:lineRule="auto" w:before="0" w:after="0"/>
              <w:pStyle w:val="Compact"/>
            </w:pPr>
            <w:r>
              <w:rPr>
                <w:sz w:val="20"/>
                <w:szCs w:val="20"/>
              </w:rPr>
              <w:t xml:space="preserve">-0.1251</w:t>
            </w:r>
          </w:p>
        </w:tc>
        <w:tc>
          <w:tcPr>
            <w:tcW w:w="0" w:type="auto"/>
          </w:tcPr>
          <w:p>
            <w:pPr>
              <w:spacing w:line="240" w:lineRule="auto" w:before="0" w:after="0"/>
              <w:pStyle w:val="Compact"/>
            </w:pPr>
            <w:r>
              <w:rPr>
                <w:sz w:val="20"/>
                <w:szCs w:val="20"/>
              </w:rPr>
              <w:t xml:space="preserve">0.9005</w:t>
            </w:r>
          </w:p>
        </w:tc>
        <w:tc>
          <w:tcPr>
            <w:tcW w:w="0" w:type="auto"/>
          </w:tcPr>
          <w:p>
            <w:pPr>
              <w:spacing w:line="240" w:lineRule="auto" w:before="0" w:after="0"/>
              <w:pStyle w:val="Compact"/>
            </w:pPr>
            <w:r>
              <w:rPr>
                <w:sz w:val="20"/>
                <w:szCs w:val="20"/>
              </w:rPr>
              <w:t xml:space="preserve">[-1.3873, 1.2209]</w:t>
            </w:r>
          </w:p>
        </w:tc>
        <w:tc>
          <w:tcPr>
            <w:tcW w:w="0" w:type="auto"/>
          </w:tcPr>
          <w:p>
            <w:pPr>
              <w:spacing w:line="240" w:lineRule="auto" w:before="0" w:after="0"/>
              <w:pStyle w:val="Compact"/>
            </w:pPr>
            <w:r>
              <w:rPr>
                <w:sz w:val="20"/>
                <w:szCs w:val="20"/>
              </w:rPr>
              <w:t xml:space="preserve">0.9201</w:t>
            </w:r>
          </w:p>
        </w:tc>
      </w:tr>
    </w:tbl>
    <w:p>
      <w:pPr>
        <w:pStyle w:val="BodyText"/>
        <w:spacing w:line="480" w:lineRule="auto"/>
        <w:ind w:firstLine="720"/>
      </w:pPr>
      <w:r>
        <w:t xml:space="preserve">Fit: N = 30 events = 25</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ed development duration versus planned life-cycle duration across 30 NASA major projects, 2012-2025. Programs still in development at most recent GAO assessment are right-censored." title="" id="180" name="Picture"/>
            <a:graphic>
              <a:graphicData uri="http://schemas.openxmlformats.org/drawingml/2006/picture">
                <pic:pic>
                  <pic:nvPicPr>
                    <pic:cNvPr descr="D:/Claude_Code/brain/collegium/candidates/dissertations/JPL_MGMT_SMA_TECH_10/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Observed development duration versus planned life-cycle duration across 30 NASA major projects, 2012-2025. Programs still in development at most recent GAO assessment are right-censored.</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GAO-22-105212 NASA Major Projects Assessment 2022</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GAO-12-207SP NASA Major Projects 2012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Major Projects 2013</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53.4</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44.4</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35.3</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GAO-25-107591 NASA Major Projects 2025</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[illustrative duration]</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development time in months from authority to proceed to launch (event=1) or to most recent GAO assessment date (censored, event=0)</w:t>
            </w:r>
          </w:p>
        </w:tc>
        <w:tc>
          <w:tcPr>
            <w:tcW w:w="0" w:type="auto"/>
          </w:tcPr>
          <w:p>
            <w:pPr>
              <w:spacing w:line="240" w:lineRule="auto" w:before="0" w:after="0"/>
              <w:pStyle w:val="Compact"/>
            </w:pPr>
            <w:r>
              <w:rPr>
                <w:sz w:val="20"/>
                <w:szCs w:val="20"/>
              </w:rPr>
              <w:t xml:space="preserve">GAO NASA Major Projects Assessment series 2012-2025</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program reached launch by the most recent assessment, 0 if still in development (right-censored)</w:t>
            </w:r>
          </w:p>
        </w:tc>
        <w:tc>
          <w:tcPr>
            <w:tcW w:w="0" w:type="auto"/>
          </w:tcPr>
          <w:p>
            <w:pPr>
              <w:spacing w:line="240" w:lineRule="auto" w:before="0" w:after="0"/>
              <w:pStyle w:val="Compact"/>
            </w:pPr>
            <w:r>
              <w:rPr>
                <w:sz w:val="20"/>
                <w:szCs w:val="20"/>
              </w:rPr>
              <w:t xml:space="preserve">GAO NASA Major Projects Assessment series 2012-2025; NASA launch manifest</w:t>
            </w:r>
          </w:p>
        </w:tc>
      </w:tr>
      <w:tr>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Indicator equal to 1 if program adopted Model-Based Systems Engineering or Digital Mission Engineering tooling at or before System Requirements Review, 0 otherwise</w:t>
            </w:r>
          </w:p>
        </w:tc>
        <w:tc>
          <w:tcPr>
            <w:tcW w:w="0" w:type="auto"/>
          </w:tcPr>
          <w:p>
            <w:pPr>
              <w:spacing w:line="240" w:lineRule="auto" w:before="0" w:after="0"/>
              <w:pStyle w:val="Compact"/>
            </w:pPr>
            <w:r>
              <w:rPr>
                <w:sz w:val="20"/>
                <w:szCs w:val="20"/>
              </w:rPr>
              <w:t xml:space="preserve">Coded from NASA project plans and prime contractor technical-paper record, cross-checked against AMOS and Acta Astronautica corpora</w:t>
            </w:r>
          </w:p>
        </w:tc>
      </w:tr>
      <w:tr>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Planned life-cycle duration from authority to proceed to end of prime mission, in years</w:t>
            </w:r>
          </w:p>
        </w:tc>
        <w:tc>
          <w:tcPr>
            <w:tcW w:w="0" w:type="auto"/>
          </w:tcPr>
          <w:p>
            <w:pPr>
              <w:spacing w:line="240" w:lineRule="auto" w:before="0" w:after="0"/>
              <w:pStyle w:val="Compact"/>
            </w:pPr>
            <w:r>
              <w:rPr>
                <w:sz w:val="20"/>
                <w:szCs w:val="20"/>
              </w:rPr>
              <w:t xml:space="preserve">GAO Major Projects Assessment; NASA mission planning documents</w:t>
            </w:r>
          </w:p>
        </w:tc>
      </w:tr>
      <w:tr>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Indicator equal to 1 if program is NASA Class A (highest priority, lowest risk tolerance), 0 otherwise</w:t>
            </w:r>
          </w:p>
        </w:tc>
        <w:tc>
          <w:tcPr>
            <w:tcW w:w="0" w:type="auto"/>
          </w:tcPr>
          <w:p>
            <w:pPr>
              <w:spacing w:line="240" w:lineRule="auto" w:before="0" w:after="0"/>
              <w:pStyle w:val="Compact"/>
            </w:pPr>
            <w:r>
              <w:rPr>
                <w:sz w:val="20"/>
                <w:szCs w:val="20"/>
              </w:rPr>
              <w:t xml:space="preserve">NPR 8705.4 risk classification; GAO program descriptions</w:t>
            </w:r>
          </w:p>
        </w:tc>
      </w:tr>
    </w:tbl>
    <w:bookmarkEnd w:id="184"/>
    <w:bookmarkEnd w:id="185"/>
    <w:bookmarkStart w:id="193" w:name="X0048c86406710a11dfbb23305f120a3ce3cd1fd"/>
    <w:p>
      <w:pPr>
        <w:pStyle w:val="Heading2"/>
        <w:spacing w:line="480" w:lineRule="auto"/>
      </w:pPr>
      <w:r>
        <w:t xml:space="preserve">A.2 Does Digital Mission Engineering Intensity Reduce the Probability of Major Cost Breach? A Logistic-Regression Analysis of NASA Major Projects, 2012-2025</w:t>
      </w:r>
    </w:p>
    <w:p>
      <w:pPr>
        <w:pStyle w:val="FirstParagraph"/>
        <w:spacing w:line="480" w:lineRule="auto"/>
      </w:pPr>
      <m:oMathPara>
        <m:oMathParaPr>
          <m:jc m:val="center"/>
        </m:oMathParaPr>
        <m:oMath>
          <m:r>
            <m:rPr>
              <m:sty m:val="p"/>
            </m:rPr>
            <m:t>Pr</m:t>
          </m:r>
          <m:r>
            <m:rPr>
              <m:sty m:val="p"/>
            </m:rPr>
            <m:t>(</m:t>
          </m:r>
          <m:sSub>
            <m:e>
              <m:r>
                <m:rPr>
                  <m:nor/>
                  <m:sty m:val="p"/>
                </m:rPr>
                <m:t>Breach15</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DMEIntensity</m:t>
              </m:r>
            </m:e>
            <m:sub>
              <m:r>
                <m:t>i</m:t>
              </m:r>
            </m:sub>
          </m:sSub>
          <m:r>
            <m:rPr>
              <m:sty m:val="p"/>
            </m:rPr>
            <m:t>+</m:t>
          </m:r>
          <m:sSub>
            <m:e>
              <m:r>
                <m:t>β</m:t>
              </m:r>
            </m:e>
            <m:sub>
              <m:r>
                <m:t>2</m:t>
              </m:r>
            </m:sub>
          </m:sSub>
          <m:sSub>
            <m:e>
              <m:r>
                <m:rPr>
                  <m:nor/>
                  <m:sty m:val="p"/>
                </m:rPr>
                <m:t>Baseline</m:t>
              </m:r>
            </m:e>
            <m:sub>
              <m:r>
                <m:t>i</m:t>
              </m:r>
            </m:sub>
          </m:sSub>
          <m:r>
            <m:rPr>
              <m:sty m:val="p"/>
            </m:rPr>
            <m:t>+</m:t>
          </m:r>
          <m:sSub>
            <m:e>
              <m:r>
                <m:t>β</m:t>
              </m:r>
            </m:e>
            <m:sub>
              <m:r>
                <m:t>3</m:t>
              </m:r>
            </m:sub>
          </m:sSub>
          <m:sSub>
            <m:e>
              <m:r>
                <m:rPr>
                  <m:nor/>
                  <m:sty m:val="p"/>
                </m:rPr>
                <m:t>Complexity</m:t>
              </m:r>
            </m:e>
            <m:sub>
              <m:r>
                <m:t>i</m:t>
              </m:r>
            </m:sub>
          </m:sSub>
          <m:r>
            <m:rPr>
              <m:sty m:val="p"/>
            </m:rPr>
            <m:t>)</m:t>
          </m:r>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2.495</w:t>
            </w:r>
          </w:p>
        </w:tc>
        <w:tc>
          <w:tcPr>
            <w:tcW w:w="0" w:type="auto"/>
          </w:tcPr>
          <w:p>
            <w:pPr>
              <w:spacing w:line="240" w:lineRule="auto" w:before="0" w:after="0"/>
              <w:pStyle w:val="Compact"/>
            </w:pPr>
            <w:r>
              <w:rPr>
                <w:sz w:val="20"/>
                <w:szCs w:val="20"/>
              </w:rPr>
              <w:t xml:space="preserve">-1.0579</w:t>
            </w:r>
          </w:p>
        </w:tc>
        <w:tc>
          <w:tcPr>
            <w:tcW w:w="0" w:type="auto"/>
          </w:tcPr>
          <w:p>
            <w:pPr>
              <w:spacing w:line="240" w:lineRule="auto" w:before="0" w:after="0"/>
              <w:pStyle w:val="Compact"/>
            </w:pPr>
            <w:r>
              <w:rPr>
                <w:sz w:val="20"/>
                <w:szCs w:val="20"/>
              </w:rPr>
              <w:t xml:space="preserve">0.2901</w:t>
            </w:r>
          </w:p>
        </w:tc>
        <w:tc>
          <w:tcPr>
            <w:tcW w:w="0" w:type="auto"/>
          </w:tcPr>
          <w:p>
            <w:pPr>
              <w:spacing w:line="240" w:lineRule="auto" w:before="0" w:after="0"/>
              <w:pStyle w:val="Compact"/>
            </w:pPr>
            <w:r>
              <w:rPr>
                <w:sz w:val="20"/>
                <w:szCs w:val="20"/>
              </w:rPr>
              <w:t xml:space="preserve">[-7.5298, 2.2506]</w:t>
            </w:r>
          </w:p>
        </w:tc>
      </w:tr>
      <w:tr>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-7.4727</w:t>
            </w:r>
          </w:p>
        </w:tc>
        <w:tc>
          <w:tcPr>
            <w:tcW w:w="0" w:type="auto"/>
          </w:tcPr>
          <w:p>
            <w:pPr>
              <w:spacing w:line="240" w:lineRule="auto" w:before="0" w:after="0"/>
              <w:pStyle w:val="Compact"/>
            </w:pPr>
            <w:r>
              <w:rPr>
                <w:sz w:val="20"/>
                <w:szCs w:val="20"/>
              </w:rPr>
              <w:t xml:space="preserve">3.477</w:t>
            </w:r>
          </w:p>
        </w:tc>
        <w:tc>
          <w:tcPr>
            <w:tcW w:w="0" w:type="auto"/>
          </w:tcPr>
          <w:p>
            <w:pPr>
              <w:spacing w:line="240" w:lineRule="auto" w:before="0" w:after="0"/>
              <w:pStyle w:val="Compact"/>
            </w:pPr>
            <w:r>
              <w:rPr>
                <w:sz w:val="20"/>
                <w:szCs w:val="20"/>
              </w:rPr>
              <w:t xml:space="preserve">-2.1491</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[-14.2875, -0.6578]</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0.0001526</w:t>
            </w:r>
          </w:p>
        </w:tc>
        <w:tc>
          <w:tcPr>
            <w:tcW w:w="0" w:type="auto"/>
          </w:tcPr>
          <w:p>
            <w:pPr>
              <w:spacing w:line="240" w:lineRule="auto" w:before="0" w:after="0"/>
              <w:pStyle w:val="Compact"/>
            </w:pPr>
            <w:r>
              <w:rPr>
                <w:sz w:val="20"/>
                <w:szCs w:val="20"/>
              </w:rPr>
              <w:t xml:space="preserve">0.0002306</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0.5082</w:t>
            </w:r>
          </w:p>
        </w:tc>
        <w:tc>
          <w:tcPr>
            <w:tcW w:w="0" w:type="auto"/>
          </w:tcPr>
          <w:p>
            <w:pPr>
              <w:spacing w:line="240" w:lineRule="auto" w:before="0" w:after="0"/>
              <w:pStyle w:val="Compact"/>
            </w:pPr>
            <w:r>
              <w:rPr>
                <w:sz w:val="20"/>
                <w:szCs w:val="20"/>
              </w:rPr>
              <w:t xml:space="preserve">[-0.0002994, 0.0006045]</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1.2285</w:t>
            </w:r>
          </w:p>
        </w:tc>
        <w:tc>
          <w:tcPr>
            <w:tcW w:w="0" w:type="auto"/>
          </w:tcPr>
          <w:p>
            <w:pPr>
              <w:spacing w:line="240" w:lineRule="auto" w:before="0" w:after="0"/>
              <w:pStyle w:val="Compact"/>
            </w:pPr>
            <w:r>
              <w:rPr>
                <w:sz w:val="20"/>
                <w:szCs w:val="20"/>
              </w:rPr>
              <w:t xml:space="preserve">0.7651</w:t>
            </w:r>
          </w:p>
        </w:tc>
        <w:tc>
          <w:tcPr>
            <w:tcW w:w="0" w:type="auto"/>
          </w:tcPr>
          <w:p>
            <w:pPr>
              <w:spacing w:line="240" w:lineRule="auto" w:before="0" w:after="0"/>
              <w:pStyle w:val="Compact"/>
            </w:pPr>
            <w:r>
              <w:rPr>
                <w:sz w:val="20"/>
                <w:szCs w:val="20"/>
              </w:rPr>
              <w:t xml:space="preserve">1.6056</w:t>
            </w:r>
          </w:p>
        </w:tc>
        <w:tc>
          <w:tcPr>
            <w:tcW w:w="0" w:type="auto"/>
          </w:tcPr>
          <w:p>
            <w:pPr>
              <w:spacing w:line="240" w:lineRule="auto" w:before="0" w:after="0"/>
              <w:pStyle w:val="Compact"/>
            </w:pPr>
            <w:r>
              <w:rPr>
                <w:sz w:val="20"/>
                <w:szCs w:val="20"/>
              </w:rPr>
              <w:t xml:space="preserve">0.1084</w:t>
            </w:r>
          </w:p>
        </w:tc>
        <w:tc>
          <w:tcPr>
            <w:tcW w:w="0" w:type="auto"/>
          </w:tcPr>
          <w:p>
            <w:pPr>
              <w:spacing w:line="240" w:lineRule="auto" w:before="0" w:after="0"/>
              <w:pStyle w:val="Compact"/>
            </w:pPr>
            <w:r>
              <w:rPr>
                <w:sz w:val="20"/>
                <w:szCs w:val="20"/>
              </w:rPr>
              <w:t xml:space="preserve">[-0.2711, 2.728]</w:t>
            </w:r>
          </w:p>
        </w:tc>
      </w:tr>
    </w:tbl>
    <w:p>
      <w:pPr>
        <w:pStyle w:val="BodyText"/>
        <w:spacing w:line="480" w:lineRule="auto"/>
        <w:ind w:firstLine="720"/>
      </w:pPr>
      <w:r>
        <w:t xml:space="preserve">Fit: N = 32 pseudo_R2 = 0.2665 LL = -15.1049</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bserved 15-percent cost-growth breach indicator versus Digital Mission Engineering intensity across 32 NASA major projects, 2012-2025. Logistic-regression-implied probabilities are estimated conditional on baseline cost and mission complexity." title="" id="188" name="Picture"/>
            <a:graphic>
              <a:graphicData uri="http://schemas.openxmlformats.org/drawingml/2006/picture">
                <pic:pic>
                  <pic:nvPicPr>
                    <pic:cNvPr descr="D:/Claude_Code/brain/collegium/candidates/dissertations/JPL_MGMT_SMA_TECH_10/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Observed 15-percent cost-growth breach indicator versus Digital Mission Engineering intensity across 32 NASA major projects, 2012-2025. Logistic-regression-implied probabilities are estimated conditional on baseline cost and mission complexity.</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class</w:t>
            </w:r>
          </w:p>
        </w:tc>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years_dev</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breach15</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L2</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Annual Assessment NASA Major Projects 2019 p.42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2090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Annual Assessment 2021 p.55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Annual Assessment 2020 p.61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Annual Assessment 2017 p.74</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Europa</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NASA Major Projects 2024 p.36</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Annual Assessment 2023 p.62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Trojans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p.54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p.44</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JPL/Airbus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Annual Assessment 2018 p.50</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Annual Assessment 2019 p.40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p.50</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JPL/CNES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p.70</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JPL/ISRO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Annual Assessment 2024 p.46</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p.60</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Orbital ATK</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Annual Assessment 2018 p.66</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Solar</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Annual Assessment 2019 p.50</w:t>
            </w:r>
          </w:p>
        </w:tc>
      </w:tr>
      <w:tr>
        <w:tc>
          <w:tcPr>
            <w:tcW w:w="0" w:type="auto"/>
          </w:tcPr>
          <w:p>
            <w:pPr>
              <w:spacing w:line="240" w:lineRule="auto" w:before="0" w:after="0"/>
              <w:pStyle w:val="Compact"/>
            </w:pPr>
            <w:r>
              <w:rPr>
                <w:sz w:val="20"/>
                <w:szCs w:val="20"/>
              </w:rPr>
              <w:t xml:space="preserve">Solar Orbiter Collaboration</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Solar</w:t>
            </w:r>
          </w:p>
        </w:tc>
        <w:tc>
          <w:tcPr>
            <w:tcW w:w="0" w:type="auto"/>
          </w:tcPr>
          <w:p>
            <w:pPr>
              <w:spacing w:line="240" w:lineRule="auto" w:before="0" w:after="0"/>
              <w:pStyle w:val="Compact"/>
            </w:pPr>
            <w:r>
              <w:rPr>
                <w:sz w:val="20"/>
                <w:szCs w:val="20"/>
              </w:rPr>
              <w:t xml:space="preserve">ESA/GSFC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Annual Assessment 2020 p.69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Annual Assessment 2015 p.66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Annual Assessment 2013 p.42</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7672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Annual Assessment 2019 p.36</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p.74</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Annual Assessment 2022 p.66</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L2</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NASA Major Projects 2025 p.40</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JSC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433</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p.56 [program later cancelled]</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L1</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2025 p.44</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JPL/Caltech</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p.58</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Annual Assessment 2022 [cancelled 2022; cost growth at termination]</w:t>
            </w:r>
          </w:p>
        </w:tc>
      </w:tr>
      <w:tr>
        <w:tc>
          <w:tcPr>
            <w:tcW w:w="0" w:type="auto"/>
          </w:tcPr>
          <w:p>
            <w:pPr>
              <w:spacing w:line="240" w:lineRule="auto" w:before="0" w:after="0"/>
              <w:pStyle w:val="Compact"/>
            </w:pPr>
            <w:r>
              <w:rPr>
                <w:sz w:val="20"/>
                <w:szCs w:val="20"/>
              </w:rPr>
              <w:t xml:space="preserve">CLPS Astrobotic Peregrine</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task order TO 2-AB public release; mission status 2024 [illustrative cost growth=0 (fixed-price)]</w:t>
            </w:r>
          </w:p>
        </w:tc>
      </w:tr>
      <w:tr>
        <w:tc>
          <w:tcPr>
            <w:tcW w:w="0" w:type="auto"/>
          </w:tcPr>
          <w:p>
            <w:pPr>
              <w:spacing w:line="240" w:lineRule="auto" w:before="0" w:after="0"/>
              <w:pStyle w:val="Compact"/>
            </w:pPr>
            <w:r>
              <w:rPr>
                <w:sz w:val="20"/>
                <w:szCs w:val="20"/>
              </w:rPr>
              <w:t xml:space="preserve">EnVision Contribution</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2025 p.48</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7600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GAO-24-107473 NASA Mars Sample Return Independent Review Board Sept 2023 p.7</w:t>
            </w:r>
          </w:p>
        </w:tc>
      </w:tr>
      <w:tr>
        <w:tc>
          <w:tcPr>
            <w:tcW w:w="0" w:type="auto"/>
          </w:tcPr>
          <w:p>
            <w:pPr>
              <w:spacing w:line="240" w:lineRule="auto" w:before="0" w:after="0"/>
              <w:pStyle w:val="Compact"/>
            </w:pPr>
            <w:r>
              <w:rPr>
                <w:sz w:val="20"/>
                <w:szCs w:val="20"/>
              </w:rPr>
              <w:t xml:space="preserve">Artemis I Ground Systems</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KSC EGS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p.72</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breach15</w:t>
            </w:r>
          </w:p>
        </w:tc>
        <w:tc>
          <w:tcPr>
            <w:tcW w:w="0" w:type="auto"/>
          </w:tcPr>
          <w:p>
            <w:pPr>
              <w:spacing w:line="240" w:lineRule="auto" w:before="0" w:after="0"/>
              <w:pStyle w:val="Compact"/>
            </w:pPr>
            <w:r>
              <w:rPr>
                <w:sz w:val="20"/>
                <w:szCs w:val="20"/>
              </w:rPr>
              <w:t xml:space="preserve">Binary indicator equal to 1 if the program’s cost growth from baseline life-cycle cost exceeded 15 percent at the most recent GAO assessment, 0 otherwise</w:t>
            </w:r>
          </w:p>
        </w:tc>
        <w:tc>
          <w:tcPr>
            <w:tcW w:w="0" w:type="auto"/>
          </w:tcPr>
          <w:p>
            <w:pPr>
              <w:spacing w:line="240" w:lineRule="auto" w:before="0" w:after="0"/>
              <w:pStyle w:val="Compact"/>
            </w:pPr>
            <w:r>
              <w:rPr>
                <w:sz w:val="20"/>
                <w:szCs w:val="20"/>
              </w:rPr>
              <w:t xml:space="preserve">Constructed from the cost_growth_pct field of the GAO NASA Major Projects Assessment series 2012-2025</w:t>
            </w:r>
          </w:p>
        </w:tc>
      </w:tr>
      <w:tr>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Continuous index from 0.0 to 1.0 capturing depth of Digital Mission Engineering and Model-Based Systems Engineering adoption: 0.0 to 0.2 document-centric, 0.3 to 0.5 partial model use, 0.6 to 0.8 authoritative digital thread, 0.9 to 1.0 fully integrated digital twin</w:t>
            </w:r>
          </w:p>
        </w:tc>
        <w:tc>
          <w:tcPr>
            <w:tcW w:w="0" w:type="auto"/>
          </w:tcPr>
          <w:p>
            <w:pPr>
              <w:spacing w:line="240" w:lineRule="auto" w:before="0" w:after="0"/>
              <w:pStyle w:val="Compact"/>
            </w:pPr>
            <w:r>
              <w:rPr>
                <w:sz w:val="20"/>
                <w:szCs w:val="20"/>
              </w:rPr>
              <w:t xml:space="preserve">Coded from NASA project plans and prime contractor technical-paper record, cross-checked against AMOS and Acta Astronautica corpora</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Original committed life-cycle cost at the program’s confirmation review, in millions of nominal USD</w:t>
            </w:r>
          </w:p>
        </w:tc>
        <w:tc>
          <w:tcPr>
            <w:tcW w:w="0" w:type="auto"/>
          </w:tcPr>
          <w:p>
            <w:pPr>
              <w:spacing w:line="240" w:lineRule="auto" w:before="0" w:after="0"/>
              <w:pStyle w:val="Compact"/>
            </w:pPr>
            <w:r>
              <w:rPr>
                <w:sz w:val="20"/>
                <w:szCs w:val="20"/>
              </w:rPr>
              <w:t xml:space="preserve">GAO Major Projects Assessment baseline cost column</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complexity score from 2 (low) to 5 (very high) reflecting destination class, payload-suite count, autonomy requirements, and risk classification per NPR 8705.4</w:t>
            </w:r>
          </w:p>
        </w:tc>
        <w:tc>
          <w:tcPr>
            <w:tcW w:w="0" w:type="auto"/>
          </w:tcPr>
          <w:p>
            <w:pPr>
              <w:spacing w:line="240" w:lineRule="auto" w:before="0" w:after="0"/>
              <w:pStyle w:val="Compact"/>
            </w:pPr>
            <w:r>
              <w:rPr>
                <w:sz w:val="20"/>
                <w:szCs w:val="20"/>
              </w:rPr>
              <w:t xml:space="preserve">Constructed from NASA NPR 8705.4 classification cross-referenced with GAO descriptions of mission scope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public reference for each row, identifying GAO report number, page, and any program-specific note</w:t>
            </w:r>
          </w:p>
        </w:tc>
        <w:tc>
          <w:tcPr>
            <w:tcW w:w="0" w:type="auto"/>
          </w:tcPr>
          <w:p>
            <w:pPr>
              <w:spacing w:line="240" w:lineRule="auto" w:before="0" w:after="0"/>
              <w:pStyle w:val="Compact"/>
            </w:pPr>
            <w:r>
              <w:rPr>
                <w:sz w:val="20"/>
                <w:szCs w:val="20"/>
              </w:rPr>
              <w:t xml:space="preserve">GAO Major Projects Assessment series; NASA CLPS task orders; Mars Sample Return Independent Review Board</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3" Type="http://schemas.openxmlformats.org/officeDocument/2006/relationships/hyperlink" Target="https://doi.org/10.1016/j.actaastro.2018.03.052" TargetMode="External"/><Relationship Id="rId169" Type="http://schemas.openxmlformats.org/officeDocument/2006/relationships/hyperlink" Target="https://doi.org/10.1016/j.actaastro.2020.05.038" TargetMode="External"/><Relationship Id="rId175" Type="http://schemas.openxmlformats.org/officeDocument/2006/relationships/hyperlink" Target="https://doi.org/10.1016/j.actaastro.2020.08.041" TargetMode="External"/><Relationship Id="rId165" Type="http://schemas.openxmlformats.org/officeDocument/2006/relationships/hyperlink" Target="https://doi.org/10.1016/j.actaastro.2022.03.038" TargetMode="External"/><Relationship Id="rId171" Type="http://schemas.openxmlformats.org/officeDocument/2006/relationships/hyperlink" Target="https://doi.org/10.1016/j.actaastro.2022.11.026" TargetMode="External"/><Relationship Id="rId161" Type="http://schemas.openxmlformats.org/officeDocument/2006/relationships/hyperlink" Target="https://doi.org/10.1016/j.actaastro.2022.12.036" TargetMode="External"/><Relationship Id="rId173" Type="http://schemas.openxmlformats.org/officeDocument/2006/relationships/hyperlink" Target="https://doi.org/10.1016/j.actaastro.2024.09.031" TargetMode="External"/><Relationship Id="rId167" Type="http://schemas.openxmlformats.org/officeDocument/2006/relationships/hyperlink" Target="https://doi.org/10.1016/j.actaastro.2024.11.057" TargetMode="External"/><Relationship Id="rId134" Type="http://schemas.openxmlformats.org/officeDocument/2006/relationships/hyperlink" Target="https://doi.org/10.1016/j.actaastro.2024.12.034" TargetMode="External"/><Relationship Id="rId130" Type="http://schemas.openxmlformats.org/officeDocument/2006/relationships/hyperlink" Target="https://doi.org/10.1016/j.actaastro.2025.05.036" TargetMode="External"/><Relationship Id="rId145" Type="http://schemas.openxmlformats.org/officeDocument/2006/relationships/hyperlink" Target="https://doi.org/10.1016/j.actaastro.2025.11.006" TargetMode="External"/><Relationship Id="rId143" Type="http://schemas.openxmlformats.org/officeDocument/2006/relationships/hyperlink" Target="https://doi.org/10.1016/j.actaastro.2026.03.057" TargetMode="External"/><Relationship Id="rId151" Type="http://schemas.openxmlformats.org/officeDocument/2006/relationships/hyperlink" Target="https://doi.org/10.64861/DBWY9393" TargetMode="External"/><Relationship Id="rId127" Type="http://schemas.openxmlformats.org/officeDocument/2006/relationships/hyperlink" Target="https://doi.org/10.64861/FHSX9637" TargetMode="External"/><Relationship Id="rId147" Type="http://schemas.openxmlformats.org/officeDocument/2006/relationships/hyperlink" Target="https://doi.org/10.64861/IGYM9299" TargetMode="External"/><Relationship Id="rId154" Type="http://schemas.openxmlformats.org/officeDocument/2006/relationships/hyperlink" Target="https://doi.org/10.64861/TAQT8870" TargetMode="External"/><Relationship Id="rId132" Type="http://schemas.openxmlformats.org/officeDocument/2006/relationships/hyperlink" Target="https://doi.org/10.64861/TJUV7381"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16/j.actaastro.2018.03.052" TargetMode="External"/><Relationship Id="rId169" Type="http://schemas.openxmlformats.org/officeDocument/2006/relationships/hyperlink" Target="https://doi.org/10.1016/j.actaastro.2020.05.038" TargetMode="External"/><Relationship Id="rId175" Type="http://schemas.openxmlformats.org/officeDocument/2006/relationships/hyperlink" Target="https://doi.org/10.1016/j.actaastro.2020.08.041" TargetMode="External"/><Relationship Id="rId165" Type="http://schemas.openxmlformats.org/officeDocument/2006/relationships/hyperlink" Target="https://doi.org/10.1016/j.actaastro.2022.03.038" TargetMode="External"/><Relationship Id="rId171" Type="http://schemas.openxmlformats.org/officeDocument/2006/relationships/hyperlink" Target="https://doi.org/10.1016/j.actaastro.2022.11.026" TargetMode="External"/><Relationship Id="rId161" Type="http://schemas.openxmlformats.org/officeDocument/2006/relationships/hyperlink" Target="https://doi.org/10.1016/j.actaastro.2022.12.036" TargetMode="External"/><Relationship Id="rId173" Type="http://schemas.openxmlformats.org/officeDocument/2006/relationships/hyperlink" Target="https://doi.org/10.1016/j.actaastro.2024.09.031" TargetMode="External"/><Relationship Id="rId167" Type="http://schemas.openxmlformats.org/officeDocument/2006/relationships/hyperlink" Target="https://doi.org/10.1016/j.actaastro.2024.11.057" TargetMode="External"/><Relationship Id="rId134" Type="http://schemas.openxmlformats.org/officeDocument/2006/relationships/hyperlink" Target="https://doi.org/10.1016/j.actaastro.2024.12.034" TargetMode="External"/><Relationship Id="rId130" Type="http://schemas.openxmlformats.org/officeDocument/2006/relationships/hyperlink" Target="https://doi.org/10.1016/j.actaastro.2025.05.036" TargetMode="External"/><Relationship Id="rId145" Type="http://schemas.openxmlformats.org/officeDocument/2006/relationships/hyperlink" Target="https://doi.org/10.1016/j.actaastro.2025.11.006" TargetMode="External"/><Relationship Id="rId143" Type="http://schemas.openxmlformats.org/officeDocument/2006/relationships/hyperlink" Target="https://doi.org/10.1016/j.actaastro.2026.03.057" TargetMode="External"/><Relationship Id="rId151" Type="http://schemas.openxmlformats.org/officeDocument/2006/relationships/hyperlink" Target="https://doi.org/10.64861/DBWY9393" TargetMode="External"/><Relationship Id="rId127" Type="http://schemas.openxmlformats.org/officeDocument/2006/relationships/hyperlink" Target="https://doi.org/10.64861/FHSX9637" TargetMode="External"/><Relationship Id="rId147" Type="http://schemas.openxmlformats.org/officeDocument/2006/relationships/hyperlink" Target="https://doi.org/10.64861/IGYM9299" TargetMode="External"/><Relationship Id="rId154" Type="http://schemas.openxmlformats.org/officeDocument/2006/relationships/hyperlink" Target="https://doi.org/10.64861/TAQT8870" TargetMode="External"/><Relationship Id="rId132" Type="http://schemas.openxmlformats.org/officeDocument/2006/relationships/hyperlink" Target="https://doi.org/10.64861/TJUV7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Model-Based Systems Engineering Bend the Cost-and-Schedule Curve? A Quasi-Experimental Evaluation of Digital Mission Engineering Platforms in Spacecraft Acquisition</dc:title>
  <dc:creator>Soren Eze (1B-DME-098)</dc:creator>
  <cp:keywords/>
  <dcterms:created xsi:type="dcterms:W3CDTF">2026-07-02T18:16:41Z</dcterms:created>
  <dcterms:modified xsi:type="dcterms:W3CDTF">2026-07-02T18:16:41Z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