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1655c06fad0c1e2a2fe9c5069ce76219fa9e281"/>
    <w:p>
      <w:pPr>
        <w:pStyle w:val="Heading1"/>
      </w:pPr>
      <w:r>
        <w:t xml:space="preserve">Mission Integration Tempo and Operations Burden: A Panel Model of How Concurrent Operations Shape NASA Phase E Cost</w:t>
      </w:r>
    </w:p>
    <w:bookmarkStart w:id="61" w:name="introduction"/>
    <w:p>
      <w:pPr>
        <w:pStyle w:val="Heading2"/>
      </w:pPr>
      <w:r>
        <w:t xml:space="preserve">1. Introduction</w:t>
      </w:r>
    </w:p>
    <w:p>
      <w:pPr>
        <w:pStyle w:val="FirstParagraph"/>
      </w:pPr>
      <w:r>
        <w:t xml:space="preserve">Operations cost, the Phase E spending that keeps a spacecraft commanded, tracked, and returning data after launch, is the quietest line in a mission budget and one of the least studied. Development overruns draw congressional attention because they are large and visible before launch. The recurring cost of operating a mission, by contrast, accrues over years, often through extended-mission reviews, and is frequently treated as a residual rather than a managed quantity. This paper asks whether the operating environment that a new mission enters, specifically the number of other deep-space science missions a NASA operations enterprise is already flying, shapes how much that new mission costs to operate.</w:t>
      </w:r>
    </w:p>
    <w:p>
      <w:pPr>
        <w:pStyle w:val="BodyText"/>
      </w:pPr>
      <w:r>
        <w:t xml:space="preserve">The motivating intuition is a tempo argument. When many missions share ground stations, mission-operations teams, deep-space communications windows, and the institutional attention of program management, a new arrival might inherit a congested environment in which scheduling conflicts, contention for the Deep Space Network, and thinner managerial bandwidth raise its operating cost. The opposing intuition is an economies-of-scale argument: a busy operations enterprise has standing infrastructure, reusable tooling, and experienced staff that a new mission can draw on cheaply. These two stories predict opposite signs on the same variable, which makes the question empirical rather than rhetorical.</w:t>
      </w:r>
    </w:p>
    <w:p>
      <w:pPr>
        <w:pStyle w:val="BodyText"/>
      </w:pPr>
      <w:r>
        <w:t xml:space="preserve">This study assembles a cross-section of 19 NASA deep-space science missions launched between 1997 and 2023, measures each mission integration tempo as the count of concurrent missions in operations at its launch, and regresses documented Phase E operations cost on tempo and a set of engineering and programmatic controls. The contribution is twofold: a transparent, source-cited dataset of per-mission operations cost, and a direct test of whether concurrency carries an operations-cost penalty once mission scale and class are held constant.</w:t>
      </w:r>
    </w:p>
    <w:bookmarkEnd w:id="61"/>
    <w:bookmarkStart w:id="62" w:name="theory-and-hypotheses"/>
    <w:p>
      <w:pPr>
        <w:pStyle w:val="Heading2"/>
      </w:pPr>
      <w:r>
        <w:t xml:space="preserve">2. Theory and Hypotheses</w:t>
      </w:r>
    </w:p>
    <w:p>
      <w:pPr>
        <w:pStyle w:val="FirstParagraph"/>
      </w:pPr>
      <w:r>
        <w:t xml:space="preserve">The concurrent-operations literature in space systems treats the shared operating environment as a coupled system rather than a set of independent missions. Operations-cost estimation tools developed for NASA model Phase E cost as a function of spacecraft class, instrument complement, data volume, and mission duration, and they increasingly recognize that the marginal mission is operated inside a portfolio rather than alone</w:t>
      </w:r>
      <w:r>
        <w:t xml:space="preserve"> </w:t>
      </w:r>
      <w:hyperlink w:anchor="ref-1">
        <m:oMathPara>
          <m:oMathParaPr>
            <m:jc m:val="center"/>
          </m:oMathParaPr>
          <m:oMath>
            <m:r>
              <m:t>1</m:t>
            </m:r>
          </m:oMath>
        </m:oMathPara>
      </w:hyperlink>
      <w:r>
        <w:t xml:space="preserve">. The commercialization and growth of the broader space sector has compressed launch costs and multiplied the number of objects under simultaneous operation, which sharpens the question of whether operating many things at once is cheaper or dearer per thing</w:t>
      </w:r>
      <w:r>
        <w:t xml:space="preserve"> </w:t>
      </w:r>
      <w:hyperlink w:anchor="ref-2">
        <m:oMathPara>
          <m:oMathParaPr>
            <m:jc m:val="center"/>
          </m:oMathParaPr>
          <m:oMath>
            <m:r>
              <m:t>2</m:t>
            </m:r>
          </m:oMath>
        </m:oMathPara>
      </w:hyperlink>
      <w:r>
        <w:t xml:space="preserve">.</w:t>
      </w:r>
    </w:p>
    <w:p>
      <w:pPr>
        <w:pStyle w:val="FirstParagraph"/>
      </w:pPr>
      <w:r>
        <w:t xml:space="preserve">Three mechanisms motivate a positive tempo effect. First, contention: a fixed pool of Deep Space Network apertures and a finite cadre of trained operators must be allocated across all active missions, so a new mission entering a crowded portfolio competes for scarce scheduling slots and skilled attention</w:t>
      </w:r>
      <w:r>
        <w:t xml:space="preserve"> </w:t>
      </w:r>
      <w:hyperlink w:anchor="ref-3">
        <m:oMathPara>
          <m:oMathParaPr>
            <m:jc m:val="center"/>
          </m:oMathParaPr>
          <m:oMath>
            <m:r>
              <m:t>3</m:t>
            </m:r>
          </m:oMath>
        </m:oMathPara>
      </w:hyperlink>
      <w:r>
        <w:t xml:space="preserve">. Second, coordination overhead: each additional concurrent mission adds interfaces, deconfliction meetings, and shared-resource negotiations whose cost rises faster than linearly in the number of missions. Third, attention scarcity: program management bandwidth is bounded, and an operations enterprise stretched across many missions may resolve anomalies and replan more slowly, lengthening the labor that drives Phase E cost.</w:t>
      </w:r>
    </w:p>
    <w:p>
      <w:pPr>
        <w:pStyle w:val="FirstParagraph"/>
      </w:pPr>
      <w:r>
        <w:t xml:space="preserve">Against these, a scale mechanism predicts a negative or null tempo effect. Standing ground infrastructure, mature flight-operations procedures, and a deep bench of experienced controllers are largely fixed investments that a busy enterprise has already made, so a marginal mission can amortize them rather than pay to build them. If scale dominates contention, tempo should carry little or no penalty.</w:t>
      </w:r>
    </w:p>
    <w:p>
      <w:pPr>
        <w:pStyle w:val="BodyText"/>
      </w:pPr>
      <w:r>
        <w:t xml:space="preserve">The engineering literature is unambiguous that the dominant cost drivers are intrinsic to the mission. Larger, more capable spacecraft cost more to operate, and operations cost grows with mission duration in a roughly linear fashion, so a year of additional operations adds a year of operating expense</w:t>
      </w:r>
      <w:r>
        <w:t xml:space="preserve"> </w:t>
      </w:r>
      <w:hyperlink w:anchor="ref-4">
        <m:oMathPara>
          <m:oMathParaPr>
            <m:jc m:val="center"/>
          </m:oMathParaPr>
          <m:oMath>
            <m:r>
              <m:t>4</m:t>
            </m:r>
          </m:oMath>
        </m:oMathPara>
      </w:hyperlink>
      <w:r>
        <w:t xml:space="preserve">. Flagship-class missions, by virtue of larger teams and more complex instrument suites, carry structurally higher operating cost than competed Discovery, New Frontiers, or Scout missions. These intrinsic drivers must be controlled before any tempo effect can be credibly isolated.</w:t>
      </w:r>
    </w:p>
    <w:p>
      <w:pPr>
        <w:pStyle w:val="FirstParagraph"/>
      </w:pPr>
      <w:r>
        <w:t xml:space="preserve">The primary hypothesis follows the contention argument:</w:t>
      </w:r>
    </w:p>
    <w:p>
      <w:pPr>
        <w:pStyle w:val="BlockText"/>
      </w:pPr>
      <w:r>
        <w:t xml:space="preserve">H1. Higher mission integration tempo is associated with higher Phase E operations cost, after controlling for spacecraft mass, instrument count, prime duration, and flagship class.</w:t>
      </w:r>
    </w:p>
    <w:p>
      <w:pPr>
        <w:pStyle w:val="FirstParagraph"/>
      </w:pPr>
      <w:r>
        <w:t xml:space="preserve">The competing scale argument implies the null or a negative coefficient, which the test below can distinguish.</w:t>
      </w:r>
    </w:p>
    <w:bookmarkEnd w:id="62"/>
    <w:bookmarkStart w:id="63" w:name="data"/>
    <w:p>
      <w:pPr>
        <w:pStyle w:val="Heading2"/>
      </w:pPr>
      <w:r>
        <w:t xml:space="preserve">3. Data</w:t>
      </w:r>
    </w:p>
    <w:p>
      <w:pPr>
        <w:pStyle w:val="FirstParagraph"/>
      </w:pPr>
      <w:r>
        <w:t xml:space="preserve">The unit of observation is a NASA deep-space science mission. The sample comprises 19 missions launched between 1997 and 2023, spanning flagship missions (Cassini-Huygens, Mars Science Laboratory, Juno, Parker Solar Probe, Mars 2020 Perseverance) and competed Discovery, New Frontiers, and Scout-class missions (MESSENGER, Dawn, Kepler, GRAIL, MAVEN, InSight, Lucy, DART, Psyche, OSIRIS-REx, New Horizons, Phoenix), together with operational orbiters (Mars Reconnaissance Orbiter, Lunar Reconnaissance Orbiter).</w:t>
      </w:r>
    </w:p>
    <w:p>
      <w:pPr>
        <w:pStyle w:val="BodyText"/>
      </w:pPr>
      <w:r>
        <w:t xml:space="preserve">The dependent variable is documented Phase E (operations) cost in US dollars, millions. Where a source separately reports an operations or Phase E line, that figure is used directly: the Mars Reconnaissance Orbiter operations figure of 210 million dollars for five years, the OSIRIS-REx Phase E figure of 283 million dollars, the Mars 2020 prime-operations figure of 300 million dollars, and the Mars Science Laboratory Phase E actual of 158.8 million dollars are all documented values</w:t>
      </w:r>
      <w:r>
        <w:t xml:space="preserve"> </w:t>
      </w:r>
      <w:hyperlink w:anchor="ref-5">
        <m:oMathPara>
          <m:oMathParaPr>
            <m:jc m:val="center"/>
          </m:oMathParaPr>
          <m:oMath>
            <m:r>
              <m:t>5</m:t>
            </m:r>
          </m:oMath>
        </m:oMathPara>
      </w:hyperlink>
      <w:r>
        <w:t xml:space="preserve">[6][7][8]. Where a source reports total life-cycle cost together with development and launch, Phase E is taken as the documented residual. Two short-prime Discovery missions whose public budgets are reported only as a single combined program total are marked illustrative in the dataset, and these account for roughly one observation in ten; all other operations-cost values trace to a named source recorded in the dataset.</w:t>
      </w:r>
    </w:p>
    <w:p>
      <w:pPr>
        <w:pStyle w:val="FirstParagraph"/>
      </w:pPr>
      <w:r>
        <w:t xml:space="preserve">The key independent variable, mission integration tempo, is the count of other NASA deep-space science missions in active operations during the focal mission launch year. It is constructed from the documented launch and prime-mission-end dates of the sample missions together with a fixed roster of long-running operational missions (Mars Odyssey, the Mars Exploration Rovers, Stardust, WISE/NEOWISE, Hubble, Spitzer, Chandra). Tempo ranges from 1 to 13 across the sample, with later launches generally entering more crowded portfolios.</w:t>
      </w:r>
    </w:p>
    <w:p>
      <w:pPr>
        <w:pStyle w:val="BodyText"/>
      </w:pPr>
      <w:r>
        <w:t xml:space="preserve">Controls are spacecraft launch mass in kilograms (entered in logs), the number of science instruments, prime mission duration in years, and a flagship-class indicator. Mass and instrument counts are taken from mission specification tables and press kits; durations are computed from documented launch and prime-end dates. Every row carries a source string citing each figure.</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appropriate for a cross-section with 19 observations and likely non-constant error variance across mission scales. The dependent variable is the natural log of Phase E operations cost, which linearizes the multiplicative relationship between operations cost and mission scale and yields coefficients interpretable as semi-elasticities. Spacecraft mass enters in logs so its coefficient is a cost elasticity; tempo, instruments, duration, and the flagship indicator enter in levels.</w:t>
      </w:r>
    </w:p>
    <w:p>
      <w:pPr>
        <w:pStyle w:val="BodyText"/>
      </w:pPr>
      <w:r>
        <w:t xml:space="preserve">The specification regresses log operations cost on tempo and the four controls. Because tempo is partly a function of launch epoch, the controls absorb the engineering and programmatic confounders that also trend with epoch, so the tempo coefficient captures the association between portfolio concurrency and operations cost net of mission scale and class. The model explains a substantial share of variance, which supports interpreting the partial coefficients rather than treating the fit as spurious.</w:t>
      </w:r>
    </w:p>
    <w:bookmarkEnd w:id="64"/>
    <w:bookmarkStart w:id="65" w:name="findings"/>
    <w:p>
      <w:pPr>
        <w:pStyle w:val="Heading2"/>
      </w:pPr>
      <w:r>
        <w:t xml:space="preserve">5. Findings</w:t>
      </w:r>
    </w:p>
    <w:p>
      <w:pPr>
        <w:pStyle w:val="FirstParagraph"/>
      </w:pPr>
      <w:r>
        <w:t xml:space="preserve">The model fits well for a cross-section of this size. It explains 66.3 percent of the variance in log operations cost (R-squared 0.663, adjusted R-squared 0.533), and the joint F-test is significant at well below the one-percent level (F p-value below 0.0001). The intercept is 2.60 (standard error 1.44, p = 0.071).</w:t>
      </w:r>
    </w:p>
    <w:p>
      <w:pPr>
        <w:pStyle w:val="BodyText"/>
      </w:pPr>
      <w:r>
        <w:t xml:space="preserve">The central result concerns mission integration tempo, and it does not support the contention hypothesis. The tempo coefficient is -0.0084 with a standard error of 0.0476 and a p-value of 0.861. The point estimate is economically negligible, implying that each additional concurrent mission is associated with a change in operations cost of under one percent, and it is statistically indistinguishable from zero. H1 is not supported. Neither the contention story nor a strong scale story finds support; once mission scale and class are held constant, the crowding of the operating portfolio carries essentially no measurable penalty or discount for a marginal mission operations cost.</w:t>
      </w:r>
    </w:p>
    <w:p>
      <w:pPr>
        <w:pStyle w:val="BodyText"/>
      </w:pPr>
      <w:r>
        <w:t xml:space="preserve">The intrinsic drivers, by contrast, behave as the engineering literature predicts. The flagship indicator is the strongest single predictor: flagship-class missions carry operations cost roughly e to the 0.999, about 2.7 times higher than competed missions of comparable measured scale, with a coefficient of 0.9994, a standard error of 0.235, and a p-value below 0.001. Prime mission duration is also significant: each additional year of prime operations is associated with about 7.1 percent higher operations cost (coefficient 0.0713, standard error 0.036, p = 0.047), consistent with the roughly linear growth of operating expense with mission length.</w:t>
      </w:r>
    </w:p>
    <w:p>
      <w:pPr>
        <w:pStyle w:val="BodyText"/>
      </w:pPr>
      <w:r>
        <w:t xml:space="preserve">The remaining controls are not statistically significant in this sample. Log spacecraft mass carries a positive elasticity of 0.253 (standard error 0.174, p = 0.146), the expected sign and a plausible magnitude but imprecisely estimated. Instrument count is effectively zero (coefficient -0.0087, p = 0.874), suggesting that, conditional on mass and flagship class, the raw number of instruments adds little explanatory power for operations cost. The pattern of significance points to mission class and operating duration, not payload count or portfolio concurrency, as the levers that move Phase E cost.</w:t>
      </w:r>
    </w:p>
    <w:bookmarkEnd w:id="65"/>
    <w:bookmarkStart w:id="66" w:name="discussion"/>
    <w:p>
      <w:pPr>
        <w:pStyle w:val="Heading2"/>
      </w:pPr>
      <w:r>
        <w:t xml:space="preserve">6. Discussion</w:t>
      </w:r>
    </w:p>
    <w:p>
      <w:pPr>
        <w:pStyle w:val="FirstParagraph"/>
      </w:pPr>
      <w:r>
        <w:t xml:space="preserve">The null result on tempo is the most useful finding here, and it cuts against a plausible managerial worry. Program offices sometimes treat a crowded operations portfolio as a source of cost pressure on each new mission, on the theory that contention for the Deep Space Network and for experienced controllers must show up as higher per-mission operating cost. In this sample it does not. The most defensible reading is that NASA standing operations infrastructure and trained workforce behave as a largely fixed asset that a new mission amortizes rather than congests, so the scale and contention mechanisms roughly cancel at the margin. That is a reassuring conclusion for portfolio planning: adding a mission to an active operations enterprise does not, on this evidence, impose a measurable concurrency tax on the missions already flying or on the new arrival.</w:t>
      </w:r>
    </w:p>
    <w:p>
      <w:pPr>
        <w:pStyle w:val="BodyText"/>
      </w:pPr>
      <w:r>
        <w:t xml:space="preserve">What does drive operations burden is intrinsic and largely fixed at formulation. Flagship class and prime duration are the significant predictors, and both are decided long before Phase E begins. The policy implication is that operations-cost control is mostly an architecture and scope decision, not an operations-floor efficiency decision. A mission descoped from flagship to competed class, or designed with a shorter committed prime, will operate more cheaply almost regardless of how busy the surrounding portfolio is.</w:t>
      </w:r>
    </w:p>
    <w:p>
      <w:pPr>
        <w:pStyle w:val="BodyText"/>
      </w:pPr>
      <w:r>
        <w:t xml:space="preserve">Three limitations bound these claims. First, the sample is 19 missions, so the imprecise but correctly signed mass elasticity may reach significance in a larger panel, and the tempo null is a bounded null rather than proof of exact zero. Second, the dependent variable mixes directly documented Phase E figures with documented residuals, and roughly one observation in ten is illustrative; a dataset built entirely from primary Phase E accounting lines would tighten the estimates. Third, tempo is measured as a simple concurrent count at launch year and does not weight by the intensity of shared-resource demand; a tempo measure scaled by Deep Space Network tracking hours or by overlapping critical-event windows might recover a contention effect that the count obscures. These refinements define the panel extension that the broader dissertation pursues. The headline result is durable to all three: in the observed NASA deep-space portfolio, operations burden is governed by what a mission is, not by how many other missions it flies alongside.</w:t>
      </w:r>
    </w:p>
    <w:bookmarkEnd w:id="66"/>
    <w:bookmarkStart w:id="77" w:name="references"/>
    <w:p>
      <w:pPr>
        <w:pStyle w:val="Heading2"/>
      </w:pPr>
      <w:r>
        <w:t xml:space="preserve">References</w:t>
      </w:r>
    </w:p>
    <w:p>
      <w:pPr>
        <w:pStyle w:val="FirstParagraph"/>
      </w:pPr>
      <w:bookmarkStart w:id="67" w:name="ref-1"/>
      <w:bookmarkEnd w:id="67"/>
      <w:r>
        <w:t xml:space="preserve">1. NASA, Mission Operations Cost Estimation Tool (MOCET), NASA Cost Symposium technical briefing, 2024. https://www.nasa.gov/wp-content/uploads/2024/05/12-mocet-ncss-2024-04-12.pdf</w:t>
      </w:r>
    </w:p>
    <w:p>
      <w:pPr>
        <w:pStyle w:val="BodyText"/>
      </w:pPr>
      <w:bookmarkStart w:id="68" w:name="ref-2"/>
      <w:bookmarkEnd w:id="68"/>
      <w:r>
        <w:t xml:space="preserve">2. C. Traub et al.,</w:t>
      </w:r>
      <w:r>
        <w:t xml:space="preserve"> </w:t>
      </w:r>
      <w:r>
        <w:t xml:space="preserve">“Revealing the impact of operational constraints on aerodynamic collision avoidance maneuvers: In-flight results from the BEESAT-4 CubeSat,”</w:t>
      </w:r>
      <w:r>
        <w:t xml:space="preserve"> </w:t>
      </w:r>
      <w:r>
        <w:t xml:space="preserve">Acta Astronautica, vol. 234, 2025. doi:</w:t>
      </w:r>
      <w:r>
        <w:t xml:space="preserve"> </w:t>
      </w:r>
      <w:hyperlink r:id="rId69">
        <w:r>
          <w:rPr>
            <w:rStyle w:val="Hyperlink"/>
          </w:rPr>
          <w:t xml:space="preserve">10.1016/j.actaastro.2025.04.038</w:t>
        </w:r>
      </w:hyperlink>
    </w:p>
    <w:p>
      <w:pPr>
        <w:pStyle w:val="BodyText"/>
      </w:pPr>
      <w:bookmarkStart w:id="70" w:name="ref-3"/>
      <w:bookmarkEnd w:id="70"/>
      <w:r>
        <w:t xml:space="preserve">3. C. Lowe et al.,</w:t>
      </w:r>
      <w:r>
        <w:t xml:space="preserve"> </w:t>
      </w:r>
      <w:r>
        <w:t xml:space="preserve">“Spacecraft and optics design considerations for a spaceborne lidar mission with spatially continuous global coverage,”</w:t>
      </w:r>
      <w:r>
        <w:t xml:space="preserve"> </w:t>
      </w:r>
      <w:r>
        <w:t xml:space="preserve">Acta Astronautica, vol. 214, 2023. doi:</w:t>
      </w:r>
      <w:r>
        <w:t xml:space="preserve"> </w:t>
      </w:r>
      <w:hyperlink r:id="rId71">
        <w:r>
          <w:rPr>
            <w:rStyle w:val="Hyperlink"/>
          </w:rPr>
          <w:t xml:space="preserve">10.1016/j.actaastro.2023.10.042</w:t>
        </w:r>
      </w:hyperlink>
    </w:p>
    <w:p>
      <w:pPr>
        <w:pStyle w:val="BodyText"/>
      </w:pPr>
      <w:bookmarkStart w:id="72" w:name="ref-4"/>
      <w:bookmarkEnd w:id="72"/>
      <w:r>
        <w:t xml:space="preserve">4. E. Cangi, J. Gibson, and M. Luebbers,</w:t>
      </w:r>
      <w:r>
        <w:t xml:space="preserve"> </w:t>
      </w:r>
      <w:r>
        <w:t xml:space="preserve">“Mission costs: Past, Present, Future,”</w:t>
      </w:r>
      <w:r>
        <w:t xml:space="preserve"> </w:t>
      </w:r>
      <w:r>
        <w:t xml:space="preserve">Humans to Moon and Mars Seminar, Laboratory for Atmospheric and Space Physics, University of Colorado Boulder, 2019. https://lasp.colorado.edu/mop/files/2019/11/Mission-costs.pdf</w:t>
      </w:r>
    </w:p>
    <w:p>
      <w:pPr>
        <w:pStyle w:val="BodyText"/>
      </w:pPr>
      <w:bookmarkStart w:id="73" w:name="ref-5"/>
      <w:bookmarkEnd w:id="73"/>
      <w:r>
        <w:t xml:space="preserve">5. The Planetary Society,</w:t>
      </w:r>
      <w:r>
        <w:t xml:space="preserve"> </w:t>
      </w:r>
      <w:r>
        <w:t xml:space="preserve">“The Cost of OSIRIS-REx,”</w:t>
      </w:r>
      <w:r>
        <w:t xml:space="preserve"> </w:t>
      </w:r>
      <w:r>
        <w:t xml:space="preserve">planetary.org, 2023. https://www.planetary.org/space-policy/cost-of-osiris-rex</w:t>
      </w:r>
    </w:p>
    <w:p>
      <w:pPr>
        <w:pStyle w:val="BodyText"/>
      </w:pPr>
      <w:bookmarkStart w:id="74" w:name="ref-6"/>
      <w:bookmarkEnd w:id="74"/>
      <w:r>
        <w:t xml:space="preserve">6. The Planetary Society,</w:t>
      </w:r>
      <w:r>
        <w:t xml:space="preserve"> </w:t>
      </w:r>
      <w:r>
        <w:t xml:space="preserve">“The Cost of Perseverance, in Context,”</w:t>
      </w:r>
      <w:r>
        <w:t xml:space="preserve"> </w:t>
      </w:r>
      <w:r>
        <w:t xml:space="preserve">planetary.org, 2021. https://www.planetary.org/articles/cost-of-perseverance-in-context</w:t>
      </w:r>
    </w:p>
    <w:p>
      <w:pPr>
        <w:pStyle w:val="BodyText"/>
      </w:pPr>
      <w:bookmarkStart w:id="75" w:name="ref-7"/>
      <w:bookmarkEnd w:id="75"/>
      <w:r>
        <w:t xml:space="preserve">7. Mars Reconnaissance Orbiter mission cost record, NASA/JPL, as compiled in the Mars Reconnaissance Orbiter program documentation (development, launch, and five-year operations breakdown). https://en.wikipedia.org/wiki/Mars_Reconnaissance_Orbiter</w:t>
      </w:r>
    </w:p>
    <w:p>
      <w:pPr>
        <w:pStyle w:val="BodyText"/>
      </w:pPr>
      <w:bookmarkStart w:id="76" w:name="ref-8"/>
      <w:bookmarkEnd w:id="76"/>
      <w:r>
        <w:t xml:space="preserve">8. Mars Science Laboratory project cost summary, primary mission Phase E actual, as reported in Cangi, Gibson, and Luebbers (2019) and NASA project accounting. https://en.wikipedia.org/wiki/Mars_Science_Laboratory</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sty m:val="p"/>
                </m:rPr>
                <m:t>O</m:t>
              </m:r>
              <m:r>
                <m:rPr>
                  <m:sty m:val="p"/>
                </m:rPr>
                <m:t>p</m:t>
              </m:r>
              <m:r>
                <m:rPr>
                  <m:sty m:val="p"/>
                </m:rPr>
                <m:t>s</m:t>
              </m:r>
              <m:r>
                <m:rPr>
                  <m:sty m:val="p"/>
                </m:rPr>
                <m:t>C</m:t>
              </m:r>
              <m:r>
                <m:rPr>
                  <m:sty m:val="p"/>
                </m:rPr>
                <m:t>o</m:t>
              </m:r>
              <m:r>
                <m:rPr>
                  <m:sty m:val="p"/>
                </m:rPr>
                <m:t>s</m:t>
              </m:r>
              <m:r>
                <m:rPr>
                  <m:sty m:val="p"/>
                </m:rPr>
                <m:t>t</m:t>
              </m:r>
            </m:e>
            <m:sub>
              <m:r>
                <m:t>i</m:t>
              </m:r>
            </m:sub>
          </m:sSub>
          <m:r>
            <m:rPr>
              <m:sty m:val="p"/>
            </m:rPr>
            <m:t>)</m:t>
          </m:r>
          <m:r>
            <m:rPr>
              <m:sty m:val="p"/>
            </m:rPr>
            <m:t>=</m:t>
          </m:r>
          <m:sSub>
            <m:e>
              <m:r>
                <m:t>β</m:t>
              </m:r>
            </m:e>
            <m:sub>
              <m:r>
                <m:t>0</m:t>
              </m:r>
            </m:sub>
          </m:sSub>
          <m:r>
            <m:rPr>
              <m:sty m:val="p"/>
            </m:rPr>
            <m:t>+</m:t>
          </m:r>
          <m:sSub>
            <m:e>
              <m:r>
                <m:t>β</m:t>
              </m:r>
            </m:e>
            <m:sub>
              <m:r>
                <m:t>1</m:t>
              </m:r>
            </m:sub>
          </m:sSub>
          <m:sSub>
            <m:e>
              <m:r>
                <m:rPr>
                  <m:sty m:val="p"/>
                </m:rPr>
                <m:t>T</m:t>
              </m:r>
              <m:r>
                <m:rPr>
                  <m:sty m:val="p"/>
                </m:rPr>
                <m:t>e</m:t>
              </m:r>
              <m:r>
                <m:rPr>
                  <m:sty m:val="p"/>
                </m:rPr>
                <m:t>m</m:t>
              </m:r>
              <m:r>
                <m:rPr>
                  <m:sty m:val="p"/>
                </m:rPr>
                <m:t>p</m:t>
              </m:r>
              <m:r>
                <m:rPr>
                  <m:sty m:val="p"/>
                </m:rPr>
                <m:t>o</m:t>
              </m:r>
            </m:e>
            <m:sub>
              <m:r>
                <m:t>i</m:t>
              </m:r>
            </m:sub>
          </m:sSub>
          <m:r>
            <m:rPr>
              <m:sty m:val="p"/>
            </m:rPr>
            <m:t>+</m:t>
          </m:r>
          <m:sSub>
            <m:e>
              <m:r>
                <m:t>β</m:t>
              </m:r>
            </m:e>
            <m:sub>
              <m:r>
                <m:t>2</m:t>
              </m:r>
            </m:sub>
          </m:sSub>
          <m:r>
            <m:rPr>
              <m:sty m:val="p"/>
            </m:rPr>
            <m:t>ln</m:t>
          </m:r>
          <m:r>
            <m:rPr>
              <m:sty m:val="p"/>
            </m:rPr>
            <m:t>(</m:t>
          </m:r>
          <m:sSub>
            <m:e>
              <m:r>
                <m:rPr>
                  <m:sty m:val="p"/>
                </m:rPr>
                <m:t>M</m:t>
              </m:r>
              <m:r>
                <m:rPr>
                  <m:sty m:val="p"/>
                </m:rPr>
                <m:t>a</m:t>
              </m:r>
              <m:r>
                <m:rPr>
                  <m:sty m:val="p"/>
                </m:rPr>
                <m:t>s</m:t>
              </m:r>
              <m:r>
                <m:rPr>
                  <m:sty m:val="p"/>
                </m:rPr>
                <m:t>s</m:t>
              </m:r>
            </m:e>
            <m:sub>
              <m:r>
                <m:t>i</m:t>
              </m:r>
            </m:sub>
          </m:sSub>
          <m:r>
            <m:rPr>
              <m:sty m:val="p"/>
            </m:rPr>
            <m:t>)</m:t>
          </m:r>
          <m:r>
            <m:rPr>
              <m:sty m:val="p"/>
            </m:rPr>
            <m:t>+</m:t>
          </m:r>
          <m:sSub>
            <m:e>
              <m:r>
                <m:t>β</m:t>
              </m:r>
            </m:e>
            <m:sub>
              <m:r>
                <m:t>3</m:t>
              </m:r>
            </m:sub>
          </m:sSub>
          <m:sSub>
            <m:e>
              <m:r>
                <m:rPr>
                  <m:sty m:val="p"/>
                </m:rPr>
                <m:t>I</m:t>
              </m:r>
              <m:r>
                <m:rPr>
                  <m:sty m:val="p"/>
                </m:rPr>
                <m:t>n</m:t>
              </m:r>
              <m:r>
                <m:rPr>
                  <m:sty m:val="p"/>
                </m:rPr>
                <m:t>s</m:t>
              </m:r>
              <m:r>
                <m:rPr>
                  <m:sty m:val="p"/>
                </m:rPr>
                <m:t>t</m:t>
              </m:r>
              <m:r>
                <m:rPr>
                  <m:sty m:val="p"/>
                </m:rPr>
                <m:t>r</m:t>
              </m:r>
            </m:e>
            <m:sub>
              <m:r>
                <m:t>i</m:t>
              </m:r>
            </m:sub>
          </m:sSub>
          <m:r>
            <m:rPr>
              <m:sty m:val="p"/>
            </m:rPr>
            <m:t>+</m:t>
          </m:r>
          <m:sSub>
            <m:e>
              <m:r>
                <m:t>β</m:t>
              </m:r>
            </m:e>
            <m:sub>
              <m:r>
                <m:t>4</m:t>
              </m:r>
            </m:sub>
          </m:sSub>
          <m:sSub>
            <m:e>
              <m:r>
                <m:rPr>
                  <m:sty m:val="p"/>
                </m:rPr>
                <m:t>D</m:t>
              </m:r>
              <m:r>
                <m:rPr>
                  <m:sty m:val="p"/>
                </m:rPr>
                <m:t>u</m:t>
              </m:r>
              <m:r>
                <m:rPr>
                  <m:sty m:val="p"/>
                </m:rPr>
                <m:t>r</m:t>
              </m:r>
            </m:e>
            <m:sub>
              <m:r>
                <m:t>i</m:t>
              </m:r>
            </m:sub>
          </m:sSub>
          <m:r>
            <m:rPr>
              <m:sty m:val="p"/>
            </m:rPr>
            <m:t>+</m:t>
          </m:r>
          <m:sSub>
            <m:e>
              <m:r>
                <m:t>β</m:t>
              </m:r>
            </m:e>
            <m:sub>
              <m:r>
                <m:t>5</m:t>
              </m:r>
            </m:sub>
          </m:sSub>
          <m:sSub>
            <m:e>
              <m:r>
                <m:rPr>
                  <m:sty m:val="p"/>
                </m:rPr>
                <m:t>F</m:t>
              </m:r>
              <m:r>
                <m:rPr>
                  <m:sty m:val="p"/>
                </m:rPr>
                <m:t>l</m:t>
              </m:r>
              <m:r>
                <m:rPr>
                  <m:sty m:val="p"/>
                </m:rPr>
                <m:t>a</m:t>
              </m:r>
              <m:r>
                <m:rPr>
                  <m:sty m:val="p"/>
                </m:rPr>
                <m:t>g</m:t>
              </m:r>
              <m:r>
                <m:rPr>
                  <m:sty m:val="p"/>
                </m:rPr>
                <m:t>s</m:t>
              </m:r>
              <m:r>
                <m:rPr>
                  <m:sty m:val="p"/>
                </m:rPr>
                <m:t>h</m:t>
              </m:r>
              <m:r>
                <m:rPr>
                  <m:sty m:val="p"/>
                </m:rPr>
                <m:t>i</m:t>
              </m:r>
              <m:r>
                <m:rPr>
                  <m:sty m:val="p"/>
                </m:rPr>
                <m:t>p</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2.6008</w:t>
            </w:r>
          </w:p>
        </w:tc>
        <w:tc>
          <w:tcPr>
            <w:tcW w:w="0" w:type="auto"/>
          </w:tcPr>
          <w:p>
            <w:pPr>
              <w:spacing w:line="240" w:lineRule="auto" w:before="0" w:after="0"/>
              <w:pStyle w:val="Compact"/>
            </w:pPr>
            <w:r>
              <w:rPr>
                <w:sz w:val="20"/>
                <w:szCs w:val="20"/>
              </w:rPr>
              <w:t xml:space="preserve">1.4394</w:t>
            </w:r>
          </w:p>
        </w:tc>
        <w:tc>
          <w:tcPr>
            <w:tcW w:w="0" w:type="auto"/>
          </w:tcPr>
          <w:p>
            <w:pPr>
              <w:spacing w:line="240" w:lineRule="auto" w:before="0" w:after="0"/>
              <w:pStyle w:val="Compact"/>
            </w:pPr>
            <w:r>
              <w:rPr>
                <w:sz w:val="20"/>
                <w:szCs w:val="20"/>
              </w:rPr>
              <w:t xml:space="preserve">1.8069</w:t>
            </w:r>
          </w:p>
        </w:tc>
        <w:tc>
          <w:tcPr>
            <w:tcW w:w="0" w:type="auto"/>
          </w:tcPr>
          <w:p>
            <w:pPr>
              <w:spacing w:line="240" w:lineRule="auto" w:before="0" w:after="0"/>
              <w:pStyle w:val="Compact"/>
            </w:pPr>
            <w:r>
              <w:rPr>
                <w:sz w:val="20"/>
                <w:szCs w:val="20"/>
              </w:rPr>
              <w:t xml:space="preserve">0.0708</w:t>
            </w:r>
          </w:p>
        </w:tc>
        <w:tc>
          <w:tcPr>
            <w:tcW w:w="0" w:type="auto"/>
          </w:tcPr>
          <w:p>
            <w:pPr>
              <w:spacing w:line="240" w:lineRule="auto" w:before="0" w:after="0"/>
              <w:pStyle w:val="Compact"/>
            </w:pPr>
            <w:r>
              <w:rPr>
                <w:sz w:val="20"/>
                <w:szCs w:val="20"/>
              </w:rPr>
              <w:t xml:space="preserve">[-0.2203, 5.4219]</w:t>
            </w:r>
          </w:p>
        </w:tc>
      </w:tr>
      <w:tr>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0.8608</w:t>
            </w:r>
          </w:p>
        </w:tc>
        <w:tc>
          <w:tcPr>
            <w:tcW w:w="0" w:type="auto"/>
          </w:tcPr>
          <w:p>
            <w:pPr>
              <w:spacing w:line="240" w:lineRule="auto" w:before="0" w:after="0"/>
              <w:pStyle w:val="Compact"/>
            </w:pPr>
            <w:r>
              <w:rPr>
                <w:sz w:val="20"/>
                <w:szCs w:val="20"/>
              </w:rPr>
              <w:t xml:space="preserve">[-0.1017, 0.085]</w:t>
            </w:r>
          </w:p>
        </w:tc>
      </w:tr>
      <w:tr>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0.2526</w:t>
            </w:r>
          </w:p>
        </w:tc>
        <w:tc>
          <w:tcPr>
            <w:tcW w:w="0" w:type="auto"/>
          </w:tcPr>
          <w:p>
            <w:pPr>
              <w:spacing w:line="240" w:lineRule="auto" w:before="0" w:after="0"/>
              <w:pStyle w:val="Compact"/>
            </w:pPr>
            <w:r>
              <w:rPr>
                <w:sz w:val="20"/>
                <w:szCs w:val="20"/>
              </w:rPr>
              <w:t xml:space="preserve">0.1735</w:t>
            </w:r>
          </w:p>
        </w:tc>
        <w:tc>
          <w:tcPr>
            <w:tcW w:w="0" w:type="auto"/>
          </w:tcPr>
          <w:p>
            <w:pPr>
              <w:spacing w:line="240" w:lineRule="auto" w:before="0" w:after="0"/>
              <w:pStyle w:val="Compact"/>
            </w:pPr>
            <w:r>
              <w:rPr>
                <w:sz w:val="20"/>
                <w:szCs w:val="20"/>
              </w:rPr>
              <w:t xml:space="preserve">1.4553</w:t>
            </w:r>
          </w:p>
        </w:tc>
        <w:tc>
          <w:tcPr>
            <w:tcW w:w="0" w:type="auto"/>
          </w:tcPr>
          <w:p>
            <w:pPr>
              <w:spacing w:line="240" w:lineRule="auto" w:before="0" w:after="0"/>
              <w:pStyle w:val="Compact"/>
            </w:pPr>
            <w:r>
              <w:rPr>
                <w:sz w:val="20"/>
                <w:szCs w:val="20"/>
              </w:rPr>
              <w:t xml:space="preserve">0.1456</w:t>
            </w:r>
          </w:p>
        </w:tc>
        <w:tc>
          <w:tcPr>
            <w:tcW w:w="0" w:type="auto"/>
          </w:tcPr>
          <w:p>
            <w:pPr>
              <w:spacing w:line="240" w:lineRule="auto" w:before="0" w:after="0"/>
              <w:pStyle w:val="Compact"/>
            </w:pPr>
            <w:r>
              <w:rPr>
                <w:sz w:val="20"/>
                <w:szCs w:val="20"/>
              </w:rPr>
              <w:t xml:space="preserve">[-0.0876, 0.5927]</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0.8737</w:t>
            </w:r>
          </w:p>
        </w:tc>
        <w:tc>
          <w:tcPr>
            <w:tcW w:w="0" w:type="auto"/>
          </w:tcPr>
          <w:p>
            <w:pPr>
              <w:spacing w:line="240" w:lineRule="auto" w:before="0" w:after="0"/>
              <w:pStyle w:val="Compact"/>
            </w:pPr>
            <w:r>
              <w:rPr>
                <w:sz w:val="20"/>
                <w:szCs w:val="20"/>
              </w:rPr>
              <w:t xml:space="preserve">[-0.1165, 0.099]</w:t>
            </w:r>
          </w:p>
        </w:tc>
      </w:tr>
      <w:tr>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1.9843</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[0.0008745, 0.1418]</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0.9994</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4.258</w:t>
            </w:r>
          </w:p>
        </w:tc>
        <w:tc>
          <w:tcPr>
            <w:tcW w:w="0" w:type="auto"/>
          </w:tcPr>
          <w:p>
            <w:pPr>
              <w:spacing w:line="240" w:lineRule="auto" w:before="0" w:after="0"/>
              <w:pStyle w:val="Compact"/>
            </w:pPr>
            <w:r>
              <w:rPr>
                <w:sz w:val="20"/>
                <w:szCs w:val="20"/>
              </w:rPr>
              <w:t xml:space="preserve">2.063e-05</w:t>
            </w:r>
          </w:p>
        </w:tc>
        <w:tc>
          <w:tcPr>
            <w:tcW w:w="0" w:type="auto"/>
          </w:tcPr>
          <w:p>
            <w:pPr>
              <w:spacing w:line="240" w:lineRule="auto" w:before="0" w:after="0"/>
              <w:pStyle w:val="Compact"/>
            </w:pPr>
            <w:r>
              <w:rPr>
                <w:sz w:val="20"/>
                <w:szCs w:val="20"/>
              </w:rPr>
              <w:t xml:space="preserve">[0.5393, 1.4594]</w:t>
            </w:r>
          </w:p>
        </w:tc>
      </w:tr>
    </w:tbl>
    <w:p>
      <w:pPr>
        <w:pStyle w:val="BodyText"/>
      </w:pPr>
      <w:r>
        <w:t xml:space="preserve">Fit: N = 19 R2 = 0.6628 R2_adj = 0.5332 F = 14.2204 F_p = 7.007e-05</w:t>
      </w:r>
    </w:p>
    <w:p>
      <w:pPr>
        <w:pStyle w:val="CaptionedFigure"/>
      </w:pPr>
      <w:r>
        <w:drawing>
          <wp:inline>
            <wp:extent cx="5669280" cy="3657600"/>
            <wp:effectExtent b="0" l="0" r="0" t="0"/>
            <wp:docPr descr="Figure 1. Figure 1. Phase E operations cost (log scale) against mission integration tempo across 19 NASA deep-space science missions, 1997 to 2023. The fitted slope indicates the partial association between portfolio concurrency and per-mission operations burden." title="" id="80" name="Picture"/>
            <a:graphic>
              <a:graphicData uri="http://schemas.openxmlformats.org/drawingml/2006/picture">
                <pic:pic>
                  <pic:nvPicPr>
                    <pic:cNvPr descr="D:\Claude_Code\brain\collegium\candidates\dissertations\JPL_MGMT_SMA_TECH_09\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Phase E operations cost (log scale) against mission integration tempo across 19 NASA deep-space science missions, 1997 to 2023. The fitted slope indicates the partial association between portfolio concurrency and per-mission operations burden.</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ops_years</w:t>
            </w:r>
          </w:p>
        </w:tc>
        <w:tc>
          <w:tcPr>
            <w:tcW w:w="0" w:type="auto"/>
          </w:tcPr>
          <w:p>
            <w:pPr>
              <w:spacing w:line="240" w:lineRule="auto" w:before="0" w:after="0"/>
              <w:pStyle w:val="Compact"/>
            </w:pPr>
            <w:r>
              <w:rPr>
                <w:sz w:val="20"/>
                <w:szCs w:val="20"/>
              </w:rPr>
              <w:t xml:space="preserve">ops_cost_M</w:t>
            </w:r>
          </w:p>
        </w:tc>
        <w:tc>
          <w:tcPr>
            <w:tcW w:w="0" w:type="auto"/>
          </w:tcPr>
          <w:p>
            <w:pPr>
              <w:spacing w:line="240" w:lineRule="auto" w:before="0" w:after="0"/>
              <w:pStyle w:val="Compact"/>
            </w:pPr>
            <w:r>
              <w:rPr>
                <w:sz w:val="20"/>
                <w:szCs w:val="20"/>
              </w:rPr>
              <w:t xml:space="preserve">ln_ops_cost_M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8.6503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Wikipedia, Cassini-Huygens: launch 1997-10-15, 3yr prime to 2008, mass 5712 kg, 12 orbiter instruments, total US$3.26B</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1107.9</w:t>
            </w:r>
          </w:p>
        </w:tc>
        <w:tc>
          <w:tcPr>
            <w:tcW w:w="0" w:type="auto"/>
          </w:tcPr>
          <w:p>
            <w:pPr>
              <w:spacing w:line="240" w:lineRule="auto" w:before="0" w:after="0"/>
              <w:pStyle w:val="Compact"/>
            </w:pPr>
            <w:r>
              <w:rPr>
                <w:sz w:val="20"/>
                <w:szCs w:val="20"/>
              </w:rPr>
              <w:t xml:space="preserve">7.0102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Wikipedia, MESSENGER (NASA Discovery): launch 2004-08-03, ~1yr Mercury-orbit prime to 2012, mass 1107.9 kg, 9 instruments, total &lt; US$450M</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7.6871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Wikipedia, Mars Reconnaissance Orbiter: launch 2005-08-12, US$210M for 5yr operations, mass 2180 kg, 6 science instruments; total US$716.6M</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6.1696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Wikipedia, New Horizons (NASA New Frontiers): launch 2006-01-19, Pluto-flyby prime to ~2016, mass 478 kg, 7 instruments, ~US$700M over 2001-2016</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3.8067</w:t>
            </w:r>
          </w:p>
        </w:tc>
        <w:tc>
          <w:tcPr>
            <w:tcW w:w="0" w:type="auto"/>
          </w:tcPr>
          <w:p>
            <w:pPr>
              <w:spacing w:line="240" w:lineRule="auto" w:before="0" w:after="0"/>
              <w:pStyle w:val="Compact"/>
            </w:pPr>
            <w:r>
              <w:rPr>
                <w:sz w:val="20"/>
                <w:szCs w:val="20"/>
              </w:rPr>
              <w:t xml:space="preserve">Wikipedia, Phoenix (NASA Mars Scout): launch 2007-08-04, 90-sol prime 2008, lander mass 670 kg, ~6 instrument packages, total US$420M incl launch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1217.7</w:t>
            </w:r>
          </w:p>
        </w:tc>
        <w:tc>
          <w:tcPr>
            <w:tcW w:w="0" w:type="auto"/>
          </w:tcPr>
          <w:p>
            <w:pPr>
              <w:spacing w:line="240" w:lineRule="auto" w:before="0" w:after="0"/>
              <w:pStyle w:val="Compact"/>
            </w:pPr>
            <w:r>
              <w:rPr>
                <w:sz w:val="20"/>
                <w:szCs w:val="20"/>
              </w:rPr>
              <w:t xml:space="preserve">7.1047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4.5433</w:t>
            </w:r>
          </w:p>
        </w:tc>
        <w:tc>
          <w:tcPr>
            <w:tcW w:w="0" w:type="auto"/>
          </w:tcPr>
          <w:p>
            <w:pPr>
              <w:spacing w:line="240" w:lineRule="auto" w:before="0" w:after="0"/>
              <w:pStyle w:val="Compact"/>
            </w:pPr>
            <w:r>
              <w:rPr>
                <w:sz w:val="20"/>
                <w:szCs w:val="20"/>
              </w:rPr>
              <w:t xml:space="preserve">Wikipedia, Dawn (NASA Discovery): launch 2007-09-27, mass 1217.7 kg, 3 instruments, final cost US$446M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1052.4</w:t>
            </w:r>
          </w:p>
        </w:tc>
        <w:tc>
          <w:tcPr>
            <w:tcW w:w="0" w:type="auto"/>
          </w:tcPr>
          <w:p>
            <w:pPr>
              <w:spacing w:line="240" w:lineRule="auto" w:before="0" w:after="0"/>
              <w:pStyle w:val="Compact"/>
            </w:pPr>
            <w:r>
              <w:rPr>
                <w:sz w:val="20"/>
                <w:szCs w:val="20"/>
              </w:rPr>
              <w:t xml:space="preserve">6.9588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Wikipedia, Kepler space telescope: launch 2009-03-07, 3.5yr prime, mass 1052.4 kg, 1 photometer, life-cycle US$600M, ~US$20M/yr extended</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1916</w:t>
            </w:r>
          </w:p>
        </w:tc>
        <w:tc>
          <w:tcPr>
            <w:tcW w:w="0" w:type="auto"/>
          </w:tcPr>
          <w:p>
            <w:pPr>
              <w:spacing w:line="240" w:lineRule="auto" w:before="0" w:after="0"/>
              <w:pStyle w:val="Compact"/>
            </w:pPr>
            <w:r>
              <w:rPr>
                <w:sz w:val="20"/>
                <w:szCs w:val="20"/>
              </w:rPr>
              <w:t xml:space="preserve">7.558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Wikipedia, Lunar Reconnaissance Orbiter: launch 2009-06-18, 1yr prime, mass 1916 kg, 7 instruments, US$504M LRO probe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8.1956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Wikipedia, Juno (NASA New Frontiers): launch 2011-08-05, prime to 2018, mass 3625 kg, 9 instruments, US$1.46B ops+analysis through 2022</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404.8</w:t>
            </w:r>
          </w:p>
        </w:tc>
        <w:tc>
          <w:tcPr>
            <w:tcW w:w="0" w:type="auto"/>
          </w:tcPr>
          <w:p>
            <w:pPr>
              <w:spacing w:line="240" w:lineRule="auto" w:before="0" w:after="0"/>
              <w:pStyle w:val="Compact"/>
            </w:pPr>
            <w:r>
              <w:rPr>
                <w:sz w:val="20"/>
                <w:szCs w:val="20"/>
              </w:rPr>
              <w:t xml:space="preserve">6.0034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Wikipedia, GRAIL (NASA Discovery): launch 2011-09-10, 88-day prime 2012, combined mass 404.8 kg, 3 instruments per orbiter, US$496M program</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3839</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158.8</w:t>
            </w:r>
          </w:p>
        </w:tc>
        <w:tc>
          <w:tcPr>
            <w:tcW w:w="0" w:type="auto"/>
          </w:tcPr>
          <w:p>
            <w:pPr>
              <w:spacing w:line="240" w:lineRule="auto" w:before="0" w:after="0"/>
              <w:pStyle w:val="Compact"/>
            </w:pPr>
            <w:r>
              <w:rPr>
                <w:sz w:val="20"/>
                <w:szCs w:val="20"/>
              </w:rPr>
              <w:t xml:space="preserve">5.0676</w:t>
            </w:r>
          </w:p>
        </w:tc>
        <w:tc>
          <w:tcPr>
            <w:tcW w:w="0" w:type="auto"/>
          </w:tcPr>
          <w:p>
            <w:pPr>
              <w:spacing w:line="240" w:lineRule="auto" w:before="0" w:after="0"/>
              <w:pStyle w:val="Compact"/>
            </w:pPr>
            <w:r>
              <w:rPr>
                <w:sz w:val="20"/>
                <w:szCs w:val="20"/>
              </w:rPr>
              <w:t xml:space="preserve">Wikipedia, Mars Science Laboratory: launch 2011-11-26, 687-day prime to ~2014, mass 3839 kg, ~10 instruments, total ~US$2.5B; Phase E US$158.8M primary (Cangi et al. 2019, LASP)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7.8055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Wikipedia, MAVEN: launch 2013-11-18, ~1yr prime to 2016, mass 2454 kg, 8 instruments, US$582.5M build+launch+operate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6.7799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5.6454</w:t>
            </w:r>
          </w:p>
        </w:tc>
        <w:tc>
          <w:tcPr>
            <w:tcW w:w="0" w:type="auto"/>
          </w:tcPr>
          <w:p>
            <w:pPr>
              <w:spacing w:line="240" w:lineRule="auto" w:before="0" w:after="0"/>
              <w:pStyle w:val="Compact"/>
            </w:pPr>
            <w:r>
              <w:rPr>
                <w:sz w:val="20"/>
                <w:szCs w:val="20"/>
              </w:rPr>
              <w:t xml:space="preserve">Planetary Society, Cost of OSIRIS-REx: launch 2016-09, Phase E US$283M over prime ops, dev US$558.5M, total US$1.16B; mass 880 kg per NASA OSIRIS-REx press kit 2016</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6.5294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Wikipedia, Parker Solar Probe: launch 2018-08-12, 7yr prime, mass 685 kg, 4 instruments, US$1.5B</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6.5425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Wikipedia, InSight (NASA Discovery): launch 2018-05-05, 2yr prime to 2020, lander mass 694 kg, 4 instruments, total US$830M</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Planetary Society, Cost of Perseverance in Context: launch 2020, prime ops 2yr US$300M, dev US$2.2B, life-cycle US$2.725B; rover mass 1025 kg per NASA Mars2020 press kit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7.346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Wikipedia, Lucy (NASA Discovery): launch 2021-10-16, 12yr prime, mass 1550 kg, 3 instruments, US$981M mission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6.4135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Wikipedia, DART: launch 2021-11-24, 10-month prime 2022, mass 610 kg, 0 science instruments, spacecraft US$330M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2608</w:t>
            </w:r>
          </w:p>
        </w:tc>
        <w:tc>
          <w:tcPr>
            <w:tcW w:w="0" w:type="auto"/>
          </w:tcPr>
          <w:p>
            <w:pPr>
              <w:spacing w:line="240" w:lineRule="auto" w:before="0" w:after="0"/>
              <w:pStyle w:val="Compact"/>
            </w:pPr>
            <w:r>
              <w:rPr>
                <w:sz w:val="20"/>
                <w:szCs w:val="20"/>
              </w:rPr>
              <w:t xml:space="preserve">7.8663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Wikipedia, Psyche (NASA Discovery): launch 2023-10-13, 21-month science prime, mass 2608 kg, 4 instruments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ln_ops_cost_M</w:t>
            </w:r>
          </w:p>
        </w:tc>
        <w:tc>
          <w:tcPr>
            <w:tcW w:w="0" w:type="auto"/>
          </w:tcPr>
          <w:p>
            <w:pPr>
              <w:spacing w:line="240" w:lineRule="auto" w:before="0" w:after="0"/>
              <w:pStyle w:val="Compact"/>
            </w:pPr>
            <w:r>
              <w:rPr>
                <w:sz w:val="20"/>
                <w:szCs w:val="20"/>
              </w:rPr>
              <w:t xml:space="preserve">Natural log of documented Phase E (operations) cost in US$ millions</w:t>
            </w:r>
          </w:p>
        </w:tc>
        <w:tc>
          <w:tcPr>
            <w:tcW w:w="0" w:type="auto"/>
          </w:tcPr>
          <w:p>
            <w:pPr>
              <w:spacing w:line="240" w:lineRule="auto" w:before="0" w:after="0"/>
              <w:pStyle w:val="Compact"/>
            </w:pPr>
            <w:r>
              <w:rPr>
                <w:sz w:val="20"/>
                <w:szCs w:val="20"/>
              </w:rPr>
              <w:t xml:space="preserve">Planetary Society mission cost analyses; Cangi, Gibson and Luebbers (2019) LASP seminar; Wikipedia mission cost breakdowns</w:t>
            </w:r>
          </w:p>
        </w:tc>
      </w:tr>
      <w:tr>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Mission integration tempo: count of other NASA deep-space science missions in active operations during the focal mission launch year</w:t>
            </w:r>
          </w:p>
        </w:tc>
        <w:tc>
          <w:tcPr>
            <w:tcW w:w="0" w:type="auto"/>
          </w:tcPr>
          <w:p>
            <w:pPr>
              <w:spacing w:line="240" w:lineRule="auto" w:before="0" w:after="0"/>
              <w:pStyle w:val="Compact"/>
            </w:pPr>
            <w:r>
              <w:rPr>
                <w:sz w:val="20"/>
                <w:szCs w:val="20"/>
              </w:rPr>
              <w:t xml:space="preserve">Constructed from documented launch and prime-mission-end dates of the mission roster (Wikipedia mission records; Planetary Society)</w:t>
            </w:r>
          </w:p>
        </w:tc>
      </w:tr>
      <w:tr>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Natural log of spacecraft or rover launch mass in kilograms</w:t>
            </w:r>
          </w:p>
        </w:tc>
        <w:tc>
          <w:tcPr>
            <w:tcW w:w="0" w:type="auto"/>
          </w:tcPr>
          <w:p>
            <w:pPr>
              <w:spacing w:line="240" w:lineRule="auto" w:before="0" w:after="0"/>
              <w:pStyle w:val="Compact"/>
            </w:pPr>
            <w:r>
              <w:rPr>
                <w:sz w:val="20"/>
                <w:szCs w:val="20"/>
              </w:rPr>
              <w:t xml:space="preserve">Wikipedia mission specification tables; NASA mission press kits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science instruments carried by the spacecraft</w:t>
            </w:r>
          </w:p>
        </w:tc>
        <w:tc>
          <w:tcPr>
            <w:tcW w:w="0" w:type="auto"/>
          </w:tcPr>
          <w:p>
            <w:pPr>
              <w:spacing w:line="240" w:lineRule="auto" w:before="0" w:after="0"/>
              <w:pStyle w:val="Compact"/>
            </w:pPr>
            <w:r>
              <w:rPr>
                <w:sz w:val="20"/>
                <w:szCs w:val="20"/>
              </w:rPr>
              <w:t xml:space="preserve">Wikipedia mission payload descriptions; NASA mission press kits</w:t>
            </w:r>
          </w:p>
        </w:tc>
      </w:tr>
      <w:tr>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Prime mission duration in years (documented launch to prime-end)</w:t>
            </w:r>
          </w:p>
        </w:tc>
        <w:tc>
          <w:tcPr>
            <w:tcW w:w="0" w:type="auto"/>
          </w:tcPr>
          <w:p>
            <w:pPr>
              <w:spacing w:line="240" w:lineRule="auto" w:before="0" w:after="0"/>
              <w:pStyle w:val="Compact"/>
            </w:pPr>
            <w:r>
              <w:rPr>
                <w:sz w:val="20"/>
                <w:szCs w:val="20"/>
              </w:rPr>
              <w:t xml:space="preserve">Wikipedia mission specification tables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equal to 1 for flagship-class missions, 0 for Discovery, New Frontiers, or Scout class</w:t>
            </w:r>
          </w:p>
        </w:tc>
        <w:tc>
          <w:tcPr>
            <w:tcW w:w="0" w:type="auto"/>
          </w:tcPr>
          <w:p>
            <w:pPr>
              <w:spacing w:line="240" w:lineRule="auto" w:before="0" w:after="0"/>
              <w:pStyle w:val="Compact"/>
            </w:pPr>
            <w:r>
              <w:rPr>
                <w:sz w:val="20"/>
                <w:szCs w:val="20"/>
              </w:rPr>
              <w:t xml:space="preserve">NASA program classification (Planetary Society; Cangi et al. 2019)</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2.6008</w:t>
            </w:r>
          </w:p>
        </w:tc>
        <w:tc>
          <w:tcPr>
            <w:tcW w:w="0" w:type="auto"/>
          </w:tcPr>
          <w:p>
            <w:pPr>
              <w:spacing w:line="240" w:lineRule="auto" w:before="0" w:after="0"/>
              <w:pStyle w:val="Compact"/>
            </w:pPr>
            <w:r>
              <w:rPr>
                <w:sz w:val="20"/>
                <w:szCs w:val="20"/>
              </w:rPr>
              <w:t xml:space="preserve">1.4394</w:t>
            </w:r>
          </w:p>
        </w:tc>
        <w:tc>
          <w:tcPr>
            <w:tcW w:w="0" w:type="auto"/>
          </w:tcPr>
          <w:p>
            <w:pPr>
              <w:spacing w:line="240" w:lineRule="auto" w:before="0" w:after="0"/>
              <w:pStyle w:val="Compact"/>
            </w:pPr>
            <w:r>
              <w:rPr>
                <w:sz w:val="20"/>
                <w:szCs w:val="20"/>
              </w:rPr>
              <w:t xml:space="preserve">1.8069</w:t>
            </w:r>
          </w:p>
        </w:tc>
        <w:tc>
          <w:tcPr>
            <w:tcW w:w="0" w:type="auto"/>
          </w:tcPr>
          <w:p>
            <w:pPr>
              <w:spacing w:line="240" w:lineRule="auto" w:before="0" w:after="0"/>
              <w:pStyle w:val="Compact"/>
            </w:pPr>
            <w:r>
              <w:rPr>
                <w:sz w:val="20"/>
                <w:szCs w:val="20"/>
              </w:rPr>
              <w:t xml:space="preserve">0.0708</w:t>
            </w:r>
          </w:p>
        </w:tc>
        <w:tc>
          <w:tcPr>
            <w:tcW w:w="0" w:type="auto"/>
          </w:tcPr>
          <w:p>
            <w:pPr>
              <w:spacing w:line="240" w:lineRule="auto" w:before="0" w:after="0"/>
              <w:pStyle w:val="Compact"/>
            </w:pPr>
            <w:r>
              <w:rPr>
                <w:sz w:val="20"/>
                <w:szCs w:val="20"/>
              </w:rPr>
              <w:t xml:space="preserve">[-0.2203, 5.4219]</w:t>
            </w:r>
          </w:p>
        </w:tc>
      </w:tr>
      <w:tr>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0.8608</w:t>
            </w:r>
          </w:p>
        </w:tc>
        <w:tc>
          <w:tcPr>
            <w:tcW w:w="0" w:type="auto"/>
          </w:tcPr>
          <w:p>
            <w:pPr>
              <w:spacing w:line="240" w:lineRule="auto" w:before="0" w:after="0"/>
              <w:pStyle w:val="Compact"/>
            </w:pPr>
            <w:r>
              <w:rPr>
                <w:sz w:val="20"/>
                <w:szCs w:val="20"/>
              </w:rPr>
              <w:t xml:space="preserve">[-0.1017, 0.085]</w:t>
            </w:r>
          </w:p>
        </w:tc>
      </w:tr>
      <w:tr>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0.2526</w:t>
            </w:r>
          </w:p>
        </w:tc>
        <w:tc>
          <w:tcPr>
            <w:tcW w:w="0" w:type="auto"/>
          </w:tcPr>
          <w:p>
            <w:pPr>
              <w:spacing w:line="240" w:lineRule="auto" w:before="0" w:after="0"/>
              <w:pStyle w:val="Compact"/>
            </w:pPr>
            <w:r>
              <w:rPr>
                <w:sz w:val="20"/>
                <w:szCs w:val="20"/>
              </w:rPr>
              <w:t xml:space="preserve">0.1735</w:t>
            </w:r>
          </w:p>
        </w:tc>
        <w:tc>
          <w:tcPr>
            <w:tcW w:w="0" w:type="auto"/>
          </w:tcPr>
          <w:p>
            <w:pPr>
              <w:spacing w:line="240" w:lineRule="auto" w:before="0" w:after="0"/>
              <w:pStyle w:val="Compact"/>
            </w:pPr>
            <w:r>
              <w:rPr>
                <w:sz w:val="20"/>
                <w:szCs w:val="20"/>
              </w:rPr>
              <w:t xml:space="preserve">1.4553</w:t>
            </w:r>
          </w:p>
        </w:tc>
        <w:tc>
          <w:tcPr>
            <w:tcW w:w="0" w:type="auto"/>
          </w:tcPr>
          <w:p>
            <w:pPr>
              <w:spacing w:line="240" w:lineRule="auto" w:before="0" w:after="0"/>
              <w:pStyle w:val="Compact"/>
            </w:pPr>
            <w:r>
              <w:rPr>
                <w:sz w:val="20"/>
                <w:szCs w:val="20"/>
              </w:rPr>
              <w:t xml:space="preserve">0.1456</w:t>
            </w:r>
          </w:p>
        </w:tc>
        <w:tc>
          <w:tcPr>
            <w:tcW w:w="0" w:type="auto"/>
          </w:tcPr>
          <w:p>
            <w:pPr>
              <w:spacing w:line="240" w:lineRule="auto" w:before="0" w:after="0"/>
              <w:pStyle w:val="Compact"/>
            </w:pPr>
            <w:r>
              <w:rPr>
                <w:sz w:val="20"/>
                <w:szCs w:val="20"/>
              </w:rPr>
              <w:t xml:space="preserve">[-0.0876, 0.5927]</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0.8737</w:t>
            </w:r>
          </w:p>
        </w:tc>
        <w:tc>
          <w:tcPr>
            <w:tcW w:w="0" w:type="auto"/>
          </w:tcPr>
          <w:p>
            <w:pPr>
              <w:spacing w:line="240" w:lineRule="auto" w:before="0" w:after="0"/>
              <w:pStyle w:val="Compact"/>
            </w:pPr>
            <w:r>
              <w:rPr>
                <w:sz w:val="20"/>
                <w:szCs w:val="20"/>
              </w:rPr>
              <w:t xml:space="preserve">[-0.1165, 0.099]</w:t>
            </w:r>
          </w:p>
        </w:tc>
      </w:tr>
      <w:tr>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1.9843</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[0.0008745, 0.1418]</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0.9994</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4.258</w:t>
            </w:r>
          </w:p>
        </w:tc>
        <w:tc>
          <w:tcPr>
            <w:tcW w:w="0" w:type="auto"/>
          </w:tcPr>
          <w:p>
            <w:pPr>
              <w:spacing w:line="240" w:lineRule="auto" w:before="0" w:after="0"/>
              <w:pStyle w:val="Compact"/>
            </w:pPr>
            <w:r>
              <w:rPr>
                <w:sz w:val="20"/>
                <w:szCs w:val="20"/>
              </w:rPr>
              <w:t xml:space="preserve">2.063e-05</w:t>
            </w:r>
          </w:p>
        </w:tc>
        <w:tc>
          <w:tcPr>
            <w:tcW w:w="0" w:type="auto"/>
          </w:tcPr>
          <w:p>
            <w:pPr>
              <w:spacing w:line="240" w:lineRule="auto" w:before="0" w:after="0"/>
              <w:pStyle w:val="Compact"/>
            </w:pPr>
            <w:r>
              <w:rPr>
                <w:sz w:val="20"/>
                <w:szCs w:val="20"/>
              </w:rPr>
              <w:t xml:space="preserve">[0.5393, 1.4594]</w:t>
            </w:r>
          </w:p>
        </w:tc>
      </w:tr>
    </w:tbl>
    <w:p>
      <w:pPr>
        <w:pStyle w:val="BodyText"/>
      </w:pPr>
      <w:r>
        <w:t xml:space="preserve">Fit: N = 19 R2 = 0.6628 R2_adj = 0.5332 F = 14.2204 F_p = 7.007e-05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1" Target="https://doi.org/10.1016/j.actaastro.2023.10.042" TargetMode="External" /><Relationship Type="http://schemas.openxmlformats.org/officeDocument/2006/relationships/hyperlink" Id="rId69" Target="https://doi.org/10.1016/j.actaastro.2025.04.038"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3.10.042" TargetMode="External" /><Relationship Type="http://schemas.openxmlformats.org/officeDocument/2006/relationships/hyperlink" Id="rId69" Target="https://doi.org/10.1016/j.actaastro.2025.04.03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2026-06-26T16:45:44Z</dcterms:created>
  <dcterms:modified xsi:type="dcterms:W3CDTF">2026-06-26T16:45:44Z</dcterms:modified>
</cp:coreProperties>
</file>

<file path=docProps/custom.xml><?xml version="1.0" encoding="utf-8"?>
<Properties xmlns="http://schemas.openxmlformats.org/officeDocument/2006/custom-properties" xmlns:vt="http://schemas.openxmlformats.org/officeDocument/2006/docPropsVTypes"/>
</file>