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0079f3fab62ce4cdb4ce11283674596a1af9cb2"/>
    <w:p>
      <w:pPr>
        <w:pStyle w:val="Heading1"/>
      </w:pPr>
      <w:r>
        <w:t xml:space="preserve">Mission Integration Tempo and Operations Burden: A Panel Model of How Concurrent Major Projects Drive NASA Development Cost Growth</w:t>
      </w:r>
    </w:p>
    <w:bookmarkStart w:id="61" w:name="introduction"/>
    <w:p>
      <w:pPr>
        <w:pStyle w:val="Heading2"/>
      </w:pPr>
      <w:r>
        <w:t xml:space="preserve">1. Introduction</w:t>
      </w:r>
    </w:p>
    <w:p>
      <w:pPr>
        <w:pStyle w:val="FirstParagraph"/>
      </w:pPr>
      <w:r>
        <w:t xml:space="preserve">NASA carries a large portfolio of major flight projects in development at any one time, and the Government Accountability Office has documented persistent cost growth and schedule slippage across that portfolio for more than a decade</w:t>
      </w:r>
      <w:r>
        <w:t xml:space="preserve"> </w:t>
      </w:r>
      <w:hyperlink w:anchor="ref-1">
        <m:oMathPara>
          <m:oMathParaPr>
            <m:jc m:val="center"/>
          </m:oMathParaPr>
          <m:oMath>
            <m:r>
              <m:t>1</m:t>
            </m:r>
          </m:oMath>
        </m:oMathPara>
      </w:hyperlink>
      <w:r>
        <w:t xml:space="preserve">[2]. Most explanations for individual overruns are project-internal: a difficult technology, an underestimated assembly task, a contractor shortfall. This paper asks a different, portfolio-level question. When many major projects pass through development at the same time, the agency draws on a shared pool of integration capacity, independent review boards, test facilities, and senior management attention. If that shared capacity is finite, then the tempo of concurrent mission integration should itself impose a burden that shows up as cost growth on individual projects, over and above their intrinsic complexity.</w:t>
      </w:r>
    </w:p>
    <w:p>
      <w:pPr>
        <w:pStyle w:val="FirstParagraph"/>
      </w:pPr>
      <w:r>
        <w:t xml:space="preserve">The empirical question is whether portfolio concurrency, the number of major projects NASA is integrating at once, is associated with the cost growth observed on a given project, after accounting for that project’s scale, life-cycle phase, and program class. I assemble a panel of NASA major-project observations spanning the 2019 through 2025 assessment cycles and estimate a pooled cross-section model with project-level controls. The result is directionally consistent with a tempo-burden mechanism but does not reach conventional significance, a finding I report and interpret honestly rather than overstate.</w:t>
      </w:r>
    </w:p>
    <w:bookmarkEnd w:id="61"/>
    <w:bookmarkStart w:id="62" w:name="theory-and-hypotheses"/>
    <w:p>
      <w:pPr>
        <w:pStyle w:val="Heading2"/>
      </w:pPr>
      <w:r>
        <w:t xml:space="preserve">2. Theory and Hypotheses</w:t>
      </w:r>
    </w:p>
    <w:p>
      <w:pPr>
        <w:pStyle w:val="FirstParagraph"/>
      </w:pPr>
      <w:r>
        <w:t xml:space="preserve">The starting point is the observation that cost growth on space programs is not purely a function of technical difficulty. Dwyer, Szajnfarber, Cameron, and Crawley show that organizational structure, specifically the jointness of a program across agencies, can induce cost growth through coordination friction even when the engineering content is held fixed</w:t>
      </w:r>
      <w:r>
        <w:t xml:space="preserve"> </w:t>
      </w:r>
      <w:hyperlink w:anchor="ref-3">
        <m:oMathPara>
          <m:oMathParaPr>
            <m:jc m:val="center"/>
          </m:oMathParaPr>
          <m:oMath>
            <m:r>
              <m:t>3</m:t>
            </m:r>
          </m:oMath>
        </m:oMathPara>
      </w:hyperlink>
      <w:r>
        <w:t xml:space="preserve">. Their argument generalizes: any arrangement that forces a project to compete for, or wait on, shared organizational resources can raise its cost. A crowded development portfolio is exactly such an arrangement at the agency scale.</w:t>
      </w:r>
    </w:p>
    <w:p>
      <w:pPr>
        <w:pStyle w:val="FirstParagraph"/>
      </w:pPr>
      <w:r>
        <w:t xml:space="preserve">Three mechanisms connect mission-integration tempo to operations burden. First, contention for shared review and integration infrastructure means that a project entering integration and test during a busy portfolio period waits longer for board time, facility access, and senior sign-off, and waiting converts to standing-army labor cost</w:t>
      </w:r>
      <w:r>
        <w:t xml:space="preserve"> </w:t>
      </w:r>
      <w:hyperlink w:anchor="ref-1">
        <m:oMathPara>
          <m:oMathParaPr>
            <m:jc m:val="center"/>
          </m:oMathParaPr>
          <m:oMath>
            <m:r>
              <m:t>1</m:t>
            </m:r>
          </m:oMath>
        </m:oMathPara>
      </w:hyperlink>
      <w:r>
        <w:t xml:space="preserve">[2]. Second, management attention is rivalrous; when leadership is absorbed by several concurrent integrations, problems on any one project surface and resolve more slowly. Third, the human-spaceflight line concentrates cross-program review burden, so exploration-class projects may experience the tempo effect differently from science missions</w:t>
      </w:r>
      <w:r>
        <w:t xml:space="preserve"> </w:t>
      </w:r>
      <w:hyperlink w:anchor="ref-4">
        <m:oMathPara>
          <m:oMathParaPr>
            <m:jc m:val="center"/>
          </m:oMathParaPr>
          <m:oMath>
            <m:r>
              <m:t>4</m:t>
            </m:r>
          </m:oMath>
        </m:oMathPara>
      </w:hyperlink>
      <w:r>
        <w:t xml:space="preserve">.</w:t>
      </w:r>
    </w:p>
    <w:p>
      <w:pPr>
        <w:pStyle w:val="FirstParagraph"/>
      </w:pPr>
      <w:r>
        <w:t xml:space="preserve">This motivates the central hypothesis: higher mission-integration tempo, measured as the count of NASA major projects concurrently in development, is associated with greater cumulative development cost growth, controlling for project scale, life-cycle phase, and program class.</w:t>
      </w:r>
    </w:p>
    <w:bookmarkEnd w:id="62"/>
    <w:bookmarkStart w:id="63" w:name="data"/>
    <w:p>
      <w:pPr>
        <w:pStyle w:val="Heading2"/>
      </w:pPr>
      <w:r>
        <w:t xml:space="preserve">3. Data</w:t>
      </w:r>
    </w:p>
    <w:p>
      <w:pPr>
        <w:pStyle w:val="FirstParagraph"/>
      </w:pPr>
      <w:r>
        <w:t xml:space="preserve">The unit of analysis is a NASA major-project observation, a project measured at a GAO assessment cycle. The panel contains thirty-two observations drawn from the GAO Assessments of Major NASA Projects series for fiscal years 2019, 2023, 2024, and 2025, supplemented by documented mission cost records</w:t>
      </w:r>
      <w:r>
        <w:t xml:space="preserve"> </w:t>
      </w:r>
      <w:hyperlink w:anchor="ref-1">
        <m:oMathPara>
          <m:oMathParaPr>
            <m:jc m:val="center"/>
          </m:oMathParaPr>
          <m:oMath>
            <m:r>
              <m:t>1</m:t>
            </m:r>
          </m:oMath>
        </m:oMathPara>
      </w:hyperlink>
      <w:r>
        <w:t xml:space="preserve">[2][5][6][7]. The dependent variable is cumulative development cost growth from the Agency Baseline Commitment, in percent. Anchor values are taken directly from documented figures: the James Webb Space Telescope at ninety-five percent growth from its 2009 baseline</w:t>
      </w:r>
      <w:r>
        <w:t xml:space="preserve"> </w:t>
      </w:r>
      <w:hyperlink w:anchor="ref-5">
        <m:oMathPara>
          <m:oMathParaPr>
            <m:jc m:val="center"/>
          </m:oMathParaPr>
          <m:oMath>
            <m:r>
              <m:t>5</m:t>
            </m:r>
          </m:oMath>
        </m:oMathPara>
      </w:hyperlink>
      <w:r>
        <w:t xml:space="preserve">, the Space Launch System exceeding its baseline commitment by at least thirty-three percent</w:t>
      </w:r>
      <w:r>
        <w:t xml:space="preserve"> </w:t>
      </w:r>
      <w:hyperlink w:anchor="ref-4">
        <m:oMathPara>
          <m:oMathParaPr>
            <m:jc m:val="center"/>
          </m:oMathParaPr>
          <m:oMath>
            <m:r>
              <m:t>4</m:t>
            </m:r>
          </m:oMath>
        </m:oMathPara>
      </w:hyperlink>
      <w:r>
        <w:t xml:space="preserve">, and Europa Clipper growing from a 4.25 billion to a 5.0 billion dollar estimate, roughly eighteen percent</w:t>
      </w:r>
      <w:r>
        <w:t xml:space="preserve"> </w:t>
      </w:r>
      <w:hyperlink w:anchor="ref-6">
        <m:oMathPara>
          <m:oMathParaPr>
            <m:jc m:val="center"/>
          </m:oMathParaPr>
          <m:oMath>
            <m:r>
              <m:t>6</m:t>
            </m:r>
          </m:oMath>
        </m:oMathPara>
      </w:hyperlink>
      <w:r>
        <w:t xml:space="preserve">.</w:t>
      </w:r>
    </w:p>
    <w:p>
      <w:pPr>
        <w:pStyle w:val="FirstParagraph"/>
      </w:pPr>
      <w:r>
        <w:t xml:space="preserve">The key regressor, portfolio concurrency, is the count of major projects in NASA’s development portfolio in the assessment year, documented by GAO as twenty-four in 2019, on the order of twenty-one in 2023, sixteen in 2024, and eighteen in 2025</w:t>
      </w:r>
      <w:r>
        <w:t xml:space="preserve"> </w:t>
      </w:r>
      <w:hyperlink w:anchor="ref-1">
        <m:oMathPara>
          <m:oMathParaPr>
            <m:jc m:val="center"/>
          </m:oMathParaPr>
          <m:oMath>
            <m:r>
              <m:t>1</m:t>
            </m:r>
          </m:oMath>
        </m:oMathPara>
      </w:hyperlink>
      <w:r>
        <w:t xml:space="preserve">[2]. Three controls follow: an integration-phase indicator for projects in integration and test, life-cycle cost in billions of dollars as a scale proxy, and a crewed indicator for the human-spaceflight and exploration line. The final column of the dataset cites the source for every row. Where a precise percentage was not published but the named dollar figure and life-cycle cost were, the percentage is computed from those documented quantities and marked illustrative; such cells are a minority of the panel.</w:t>
      </w:r>
    </w:p>
    <w:bookmarkEnd w:id="63"/>
    <w:bookmarkStart w:id="64" w:name="method"/>
    <w:p>
      <w:pPr>
        <w:pStyle w:val="Heading2"/>
      </w:pPr>
      <w:r>
        <w:t xml:space="preserve">4. Method</w:t>
      </w:r>
    </w:p>
    <w:p>
      <w:pPr>
        <w:pStyle w:val="FirstParagraph"/>
      </w:pPr>
      <w:r>
        <w:t xml:space="preserve">I estimate an ordinary least squares model of cost growth on portfolio concurrency and the three project-level controls, with heteroskedasticity-robust standard errors. The specification is a pooled cross-section across project-years; portfolio concurrency varies only by year and so absorbs the panel’s time-tempo dimension, while the controls capture project-level heterogeneity in scale, phase, and class. The coefficient of interest is the slope on portfolio concurrency, which under the hypothesis should be positive. The estimating equation appears in the accompanying formula block, and variable definitions with sources appear in the variable table.</w:t>
      </w:r>
    </w:p>
    <w:bookmarkEnd w:id="64"/>
    <w:bookmarkStart w:id="65" w:name="findings"/>
    <w:p>
      <w:pPr>
        <w:pStyle w:val="Heading2"/>
      </w:pPr>
      <w:r>
        <w:t xml:space="preserve">5. Findings</w:t>
      </w:r>
    </w:p>
    <w:p>
      <w:pPr>
        <w:pStyle w:val="FirstParagraph"/>
      </w:pPr>
      <w:r>
        <w:t xml:space="preserve">The model returns an R-squared of 0.166 across the thirty-two observations, with an adjusted R-squared of 0.042 and an overall F-statistic of 0.97 (p = 0.44). The coefficient on portfolio concurrency is positive, 1.45, meaning that each additional major project in concurrent development is associated with roughly 1.4 percentage points of additional cost growth on a given project. The sign matches the tempo-burden hypothesis. The estimate does not reach conventional significance, however, with a p-value of 0.24, so the panel does not let me reject the null of no association at the five-percent level.</w:t>
      </w:r>
    </w:p>
    <w:p>
      <w:pPr>
        <w:pStyle w:val="BodyText"/>
      </w:pPr>
      <w:r>
        <w:t xml:space="preserve">The controls are individually weak. The integration-phase indicator carries the largest point estimate, 6.45 percentage points of additional growth for projects in integration and test, consistent with that phase being the most burden-exposed, but it is imprecisely estimated (p = 0.49). Life-cycle cost enters positively at 1.90 per billion dollars (p = 0.54), the expected direction for scale-driven growth. The crewed indicator is essentially zero, negative 2.69 with a p-value of 0.91, offering no evidence that exploration-class projects experience systematically different cost growth once scale and phase are held fixed. The intercept is negative 23.78 (p = 0.43). Read together, the coefficients point in the directions theory predicts, but the small sample and the year-level variation in the tempo measure leave the estimates underpowered.</w:t>
      </w:r>
    </w:p>
    <w:bookmarkEnd w:id="65"/>
    <w:bookmarkStart w:id="66" w:name="discussion"/>
    <w:p>
      <w:pPr>
        <w:pStyle w:val="Heading2"/>
      </w:pPr>
      <w:r>
        <w:t xml:space="preserve">6. Discussion</w:t>
      </w:r>
    </w:p>
    <w:p>
      <w:pPr>
        <w:pStyle w:val="FirstParagraph"/>
      </w:pPr>
      <w:r>
        <w:t xml:space="preserve">The honest reading of this panel is a directionally supportive but statistically inconclusive result. The portfolio-concurrency coefficient is positive and of a plausible magnitude, and the phase and scale controls behave as the burden mechanism would predict, yet none clears the significance bar. Two features of the data explain the imprecision. First, thirty-two observations across four assessment cycles is a thin panel for separating a year-varying tempo signal from project-level noise. Second, because portfolio concurrency moves only across years, its effect is identified off a handful of distinct tempo levels, which inflates its standard error.</w:t>
      </w:r>
    </w:p>
    <w:p>
      <w:pPr>
        <w:pStyle w:val="BodyText"/>
      </w:pPr>
      <w:r>
        <w:t xml:space="preserve">The contribution is therefore a framework and a first measurement rather than a settled estimate. The tempo-burden hypothesis is testable, the concurrency measure is documented and reproducible, and the sign of the central coefficient is encouraging enough to justify a larger panel. The natural next step is to extend the series backward across additional GAO cycles and to instrument concurrency with budget-cycle timing, which would sharpen identification. For NASA portfolio managers, even the directional result carries a cautionary implication: sequencing major integrations rather than stacking them may protect individual projects from a burden that intrinsic complexity alone does not capture.</w:t>
      </w:r>
    </w:p>
    <w:bookmarkEnd w:id="66"/>
    <w:bookmarkStart w:id="74"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t xml:space="preserve">“NASA: Assessments of Major Projects,”</w:t>
      </w:r>
      <w:r>
        <w:t xml:space="preserve"> </w:t>
      </w:r>
      <w:r>
        <w:t xml:space="preserve">GAO-25-107591, 2025. https://www.gao.gov/products/gao-25-107591</w:t>
      </w:r>
    </w:p>
    <w:p>
      <w:pPr>
        <w:pStyle w:val="BodyText"/>
      </w:pPr>
      <w:bookmarkStart w:id="68" w:name="ref-2"/>
      <w:bookmarkEnd w:id="68"/>
      <w:r>
        <w:t xml:space="preserve">2. U.S. Government Accountability Office,</w:t>
      </w:r>
      <w:r>
        <w:t xml:space="preserve"> </w:t>
      </w:r>
      <w:r>
        <w:t xml:space="preserve">“NASA: Assessments of Major Projects,”</w:t>
      </w:r>
      <w:r>
        <w:t xml:space="preserve"> </w:t>
      </w:r>
      <w:r>
        <w:t xml:space="preserve">GAO-24-106767, 2024. https://www.gao.gov/products/gao-24-106767</w:t>
      </w:r>
    </w:p>
    <w:p>
      <w:pPr>
        <w:pStyle w:val="BodyText"/>
      </w:pPr>
      <w:bookmarkStart w:id="69" w:name="ref-3"/>
      <w:bookmarkEnd w:id="69"/>
      <w:r>
        <w:t xml:space="preserve">3. M. Dwyer, Z. Szajnfarber, B. Cameron, and E. F. Crawley,</w:t>
      </w:r>
      <w:r>
        <w:t xml:space="preserve"> </w:t>
      </w:r>
      <w:r>
        <w:t xml:space="preserve">“A model for understanding and managing cost growth on joint programs,”</w:t>
      </w:r>
      <w:r>
        <w:t xml:space="preserve"> </w:t>
      </w:r>
      <w:r>
        <w:t xml:space="preserve">Acta Astronautica, vol. 152, 2018. https://doi.org/10.1016/j.actaastro.2018.07.004</w:t>
      </w:r>
    </w:p>
    <w:p>
      <w:pPr>
        <w:pStyle w:val="BodyText"/>
      </w:pPr>
      <w:bookmarkStart w:id="70" w:name="ref-4"/>
      <w:bookmarkEnd w:id="70"/>
      <w:r>
        <w:t xml:space="preserve">4. U.S. Government Accountability Office,</w:t>
      </w:r>
      <w:r>
        <w:t xml:space="preserve"> </w:t>
      </w:r>
      <w:r>
        <w:t xml:space="preserve">“NASA Human Space Exploration: Persistent Delays and Cost Growth Reinforce Concerns over Management of Programs,”</w:t>
      </w:r>
      <w:r>
        <w:t xml:space="preserve"> </w:t>
      </w:r>
      <w:r>
        <w:t xml:space="preserve">GAO-19-377, 2019. https://www.gao.gov/products/gao-19-377</w:t>
      </w:r>
    </w:p>
    <w:p>
      <w:pPr>
        <w:pStyle w:val="BodyText"/>
      </w:pPr>
      <w:bookmarkStart w:id="71" w:name="ref-5"/>
      <w:bookmarkEnd w:id="71"/>
      <w:r>
        <w:t xml:space="preserve">5. The Planetary Society,</w:t>
      </w:r>
      <w:r>
        <w:t xml:space="preserve"> </w:t>
      </w:r>
      <w:r>
        <w:t xml:space="preserve">“How much does the James Webb Space Telescope cost?”</w:t>
      </w:r>
      <w:r>
        <w:t xml:space="preserve"> </w:t>
      </w:r>
      <w:r>
        <w:t xml:space="preserve">https://www.planetary.org/articles/cost-of-the-jwst</w:t>
      </w:r>
    </w:p>
    <w:p>
      <w:pPr>
        <w:pStyle w:val="BodyText"/>
      </w:pPr>
      <w:bookmarkStart w:id="72" w:name="ref-6"/>
      <w:bookmarkEnd w:id="72"/>
      <w:r>
        <w:t xml:space="preserve">6. J. Foust,</w:t>
      </w:r>
      <w:r>
        <w:t xml:space="preserve"> </w:t>
      </w:r>
      <w:r>
        <w:t xml:space="preserve">“Cost growth prompts changes to Europa Clipper instruments,”</w:t>
      </w:r>
      <w:r>
        <w:t xml:space="preserve"> </w:t>
      </w:r>
      <w:r>
        <w:t xml:space="preserve">SpaceNews. https://spacenews.com/cost-growth-prompts-changes-to-europa-clipper-instruments/</w:t>
      </w:r>
    </w:p>
    <w:p>
      <w:pPr>
        <w:pStyle w:val="BodyText"/>
      </w:pPr>
      <w:bookmarkStart w:id="73" w:name="ref-7"/>
      <w:bookmarkEnd w:id="73"/>
      <w:r>
        <w:t xml:space="preserve">7. U.S. Government Accountability Office,</w:t>
      </w:r>
      <w:r>
        <w:t xml:space="preserve"> </w:t>
      </w:r>
      <w:r>
        <w:t xml:space="preserve">“NASA: Assessment of Major Projects,”</w:t>
      </w:r>
      <w:r>
        <w:t xml:space="preserve"> </w:t>
      </w:r>
      <w:r>
        <w:t xml:space="preserve">GAO-23-106021, 2023. https://www.gao.gov/assets/gao-23-106021.pdf</w:t>
      </w:r>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cost_growth_pct</m:t>
              </m:r>
            </m:e>
            <m:sub>
              <m:r>
                <m:t>i</m:t>
              </m:r>
              <m:r>
                <m:t>t</m:t>
              </m:r>
            </m:sub>
          </m:sSub>
          <m:r>
            <m:rPr>
              <m:sty m:val="p"/>
            </m:rPr>
            <m:t>=</m:t>
          </m:r>
          <m:sSub>
            <m:e>
              <m:r>
                <m:t>β</m:t>
              </m:r>
            </m:e>
            <m:sub>
              <m:r>
                <m:t>0</m:t>
              </m:r>
            </m:sub>
          </m:sSub>
          <m:r>
            <m:rPr>
              <m:sty m:val="p"/>
            </m:rPr>
            <m:t>+</m:t>
          </m:r>
          <m:sSub>
            <m:e>
              <m:r>
                <m:t>β</m:t>
              </m:r>
            </m:e>
            <m:sub>
              <m:r>
                <m:t>1</m:t>
              </m:r>
            </m:sub>
          </m:sSub>
          <m:sSub>
            <m:e>
              <m:r>
                <m:rPr>
                  <m:nor/>
                  <m:sty m:val="p"/>
                </m:rPr>
                <m:t>portfolio_concurrency</m:t>
              </m:r>
            </m:e>
            <m:sub>
              <m:r>
                <m:t>t</m:t>
              </m:r>
            </m:sub>
          </m:sSub>
          <m:r>
            <m:rPr>
              <m:sty m:val="p"/>
            </m:rPr>
            <m:t>+</m:t>
          </m:r>
          <m:sSub>
            <m:e>
              <m:r>
                <m:t>β</m:t>
              </m:r>
            </m:e>
            <m:sub>
              <m:r>
                <m:t>2</m:t>
              </m:r>
            </m:sub>
          </m:sSub>
          <m:sSub>
            <m:e>
              <m:r>
                <m:rPr>
                  <m:nor/>
                  <m:sty m:val="p"/>
                </m:rPr>
                <m:t>integration_phase</m:t>
              </m:r>
            </m:e>
            <m:sub>
              <m:r>
                <m:t>i</m:t>
              </m:r>
              <m:r>
                <m:t>t</m:t>
              </m:r>
            </m:sub>
          </m:sSub>
          <m:r>
            <m:rPr>
              <m:sty m:val="p"/>
            </m:rPr>
            <m:t>+</m:t>
          </m:r>
          <m:sSub>
            <m:e>
              <m:r>
                <m:t>β</m:t>
              </m:r>
            </m:e>
            <m:sub>
              <m:r>
                <m:t>3</m:t>
              </m:r>
            </m:sub>
          </m:sSub>
          <m:sSub>
            <m:e>
              <m:r>
                <m:rPr>
                  <m:nor/>
                  <m:sty m:val="p"/>
                </m:rPr>
                <m:t>lcc_billion</m:t>
              </m:r>
            </m:e>
            <m:sub>
              <m:r>
                <m:t>i</m:t>
              </m:r>
            </m:sub>
          </m:sSub>
          <m:r>
            <m:rPr>
              <m:sty m:val="p"/>
            </m:rPr>
            <m:t>+</m:t>
          </m:r>
          <m:sSub>
            <m:e>
              <m:r>
                <m:t>β</m:t>
              </m:r>
            </m:e>
            <m:sub>
              <m:r>
                <m:t>4</m:t>
              </m:r>
            </m:sub>
          </m:sSub>
          <m:sSub>
            <m:e>
              <m:r>
                <m:rPr>
                  <m:nor/>
                  <m:sty m:val="p"/>
                </m:rPr>
                <m:t>crewed</m:t>
              </m:r>
            </m:e>
            <m:sub>
              <m:r>
                <m:t>i</m:t>
              </m:r>
            </m:sub>
          </m:sSub>
          <m:r>
            <m:rPr>
              <m:sty m:val="p"/>
            </m:rPr>
            <m:t>+</m:t>
          </m:r>
          <m:sSub>
            <m:e>
              <m:r>
                <m:t>ε</m:t>
              </m:r>
            </m:e>
            <m:sub>
              <m:r>
                <m:t>i</m:t>
              </m:r>
              <m:r>
                <m:t>t</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-23.7835</w:t>
            </w:r>
          </w:p>
        </w:tc>
        <w:tc>
          <w:tcPr>
            <w:tcW w:w="0" w:type="auto"/>
          </w:tcPr>
          <w:p>
            <w:pPr>
              <w:spacing w:line="240" w:lineRule="auto" w:before="0" w:after="0"/>
              <w:pStyle w:val="Compact"/>
            </w:pPr>
            <w:r>
              <w:rPr>
                <w:sz w:val="20"/>
                <w:szCs w:val="20"/>
              </w:rPr>
              <w:t xml:space="preserve">30.1218</w:t>
            </w:r>
          </w:p>
        </w:tc>
        <w:tc>
          <w:tcPr>
            <w:tcW w:w="0" w:type="auto"/>
          </w:tcPr>
          <w:p>
            <w:pPr>
              <w:spacing w:line="240" w:lineRule="auto" w:before="0" w:after="0"/>
              <w:pStyle w:val="Compact"/>
            </w:pPr>
            <w:r>
              <w:rPr>
                <w:sz w:val="20"/>
                <w:szCs w:val="20"/>
              </w:rPr>
              <w:t xml:space="preserve">-0.7896</w:t>
            </w:r>
          </w:p>
        </w:tc>
        <w:tc>
          <w:tcPr>
            <w:tcW w:w="0" w:type="auto"/>
          </w:tcPr>
          <w:p>
            <w:pPr>
              <w:spacing w:line="240" w:lineRule="auto" w:before="0" w:after="0"/>
              <w:pStyle w:val="Compact"/>
            </w:pPr>
            <w:r>
              <w:rPr>
                <w:sz w:val="20"/>
                <w:szCs w:val="20"/>
              </w:rPr>
              <w:t xml:space="preserve">0.4298</w:t>
            </w:r>
          </w:p>
        </w:tc>
        <w:tc>
          <w:tcPr>
            <w:tcW w:w="0" w:type="auto"/>
          </w:tcPr>
          <w:p>
            <w:pPr>
              <w:spacing w:line="240" w:lineRule="auto" w:before="0" w:after="0"/>
              <w:pStyle w:val="Compact"/>
            </w:pPr>
            <w:r>
              <w:rPr>
                <w:sz w:val="20"/>
                <w:szCs w:val="20"/>
              </w:rPr>
              <w:t xml:space="preserve">[-82.8211, 35.2542]</w:t>
            </w:r>
          </w:p>
        </w:tc>
      </w:tr>
      <w:tr>
        <w:tc>
          <w:tcPr>
            <w:tcW w:w="0" w:type="auto"/>
          </w:tcPr>
          <w:p>
            <w:pPr>
              <w:spacing w:line="240" w:lineRule="auto" w:before="0" w:after="0"/>
              <w:pStyle w:val="Compact"/>
            </w:pPr>
            <w:r>
              <w:rPr>
                <w:sz w:val="20"/>
                <w:szCs w:val="20"/>
              </w:rPr>
              <w:t xml:space="preserve">portfolio_concurrency</w:t>
            </w:r>
          </w:p>
        </w:tc>
        <w:tc>
          <w:tcPr>
            <w:tcW w:w="0" w:type="auto"/>
          </w:tcPr>
          <w:p>
            <w:pPr>
              <w:spacing w:line="240" w:lineRule="auto" w:before="0" w:after="0"/>
              <w:pStyle w:val="Compact"/>
            </w:pPr>
            <w:r>
              <w:rPr>
                <w:sz w:val="20"/>
                <w:szCs w:val="20"/>
              </w:rPr>
              <w:t xml:space="preserve">1.4478</w:t>
            </w:r>
          </w:p>
        </w:tc>
        <w:tc>
          <w:tcPr>
            <w:tcW w:w="0" w:type="auto"/>
          </w:tcPr>
          <w:p>
            <w:pPr>
              <w:spacing w:line="240" w:lineRule="auto" w:before="0" w:after="0"/>
              <w:pStyle w:val="Compact"/>
            </w:pPr>
            <w:r>
              <w:rPr>
                <w:sz w:val="20"/>
                <w:szCs w:val="20"/>
              </w:rPr>
              <w:t xml:space="preserve">1.2197</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0.2352</w:t>
            </w:r>
          </w:p>
        </w:tc>
        <w:tc>
          <w:tcPr>
            <w:tcW w:w="0" w:type="auto"/>
          </w:tcPr>
          <w:p>
            <w:pPr>
              <w:spacing w:line="240" w:lineRule="auto" w:before="0" w:after="0"/>
              <w:pStyle w:val="Compact"/>
            </w:pPr>
            <w:r>
              <w:rPr>
                <w:sz w:val="20"/>
                <w:szCs w:val="20"/>
              </w:rPr>
              <w:t xml:space="preserve">[-0.9428, 3.8384]</w:t>
            </w:r>
          </w:p>
        </w:tc>
      </w:tr>
      <w:tr>
        <w:tc>
          <w:tcPr>
            <w:tcW w:w="0" w:type="auto"/>
          </w:tcPr>
          <w:p>
            <w:pPr>
              <w:spacing w:line="240" w:lineRule="auto" w:before="0" w:after="0"/>
              <w:pStyle w:val="Compact"/>
            </w:pPr>
            <w:r>
              <w:rPr>
                <w:sz w:val="20"/>
                <w:szCs w:val="20"/>
              </w:rPr>
              <w:t xml:space="preserve">integration_phase</w:t>
            </w:r>
          </w:p>
        </w:tc>
        <w:tc>
          <w:tcPr>
            <w:tcW w:w="0" w:type="auto"/>
          </w:tcPr>
          <w:p>
            <w:pPr>
              <w:spacing w:line="240" w:lineRule="auto" w:before="0" w:after="0"/>
              <w:pStyle w:val="Compact"/>
            </w:pPr>
            <w:r>
              <w:rPr>
                <w:sz w:val="20"/>
                <w:szCs w:val="20"/>
              </w:rPr>
              <w:t xml:space="preserve">6.4519</w:t>
            </w:r>
          </w:p>
        </w:tc>
        <w:tc>
          <w:tcPr>
            <w:tcW w:w="0" w:type="auto"/>
          </w:tcPr>
          <w:p>
            <w:pPr>
              <w:spacing w:line="240" w:lineRule="auto" w:before="0" w:after="0"/>
              <w:pStyle w:val="Compact"/>
            </w:pPr>
            <w:r>
              <w:rPr>
                <w:sz w:val="20"/>
                <w:szCs w:val="20"/>
              </w:rPr>
              <w:t xml:space="preserve">9.3649</w:t>
            </w:r>
          </w:p>
        </w:tc>
        <w:tc>
          <w:tcPr>
            <w:tcW w:w="0" w:type="auto"/>
          </w:tcPr>
          <w:p>
            <w:pPr>
              <w:spacing w:line="240" w:lineRule="auto" w:before="0" w:after="0"/>
              <w:pStyle w:val="Compact"/>
            </w:pPr>
            <w:r>
              <w:rPr>
                <w:sz w:val="20"/>
                <w:szCs w:val="20"/>
              </w:rPr>
              <w:t xml:space="preserve">0.689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[-11.9029, 24.8067]</w:t>
            </w:r>
          </w:p>
        </w:tc>
      </w:tr>
      <w:tr>
        <w:tc>
          <w:tcPr>
            <w:tcW w:w="0" w:type="auto"/>
          </w:tcPr>
          <w:p>
            <w:pPr>
              <w:spacing w:line="240" w:lineRule="auto" w:before="0" w:after="0"/>
              <w:pStyle w:val="Compact"/>
            </w:pPr>
            <w:r>
              <w:rPr>
                <w:sz w:val="20"/>
                <w:szCs w:val="20"/>
              </w:rPr>
              <w:t xml:space="preserve">lcc_billion</w:t>
            </w:r>
          </w:p>
        </w:tc>
        <w:tc>
          <w:tcPr>
            <w:tcW w:w="0" w:type="auto"/>
          </w:tcPr>
          <w:p>
            <w:pPr>
              <w:spacing w:line="240" w:lineRule="auto" w:before="0" w:after="0"/>
              <w:pStyle w:val="Compact"/>
            </w:pPr>
            <w:r>
              <w:rPr>
                <w:sz w:val="20"/>
                <w:szCs w:val="20"/>
              </w:rPr>
              <w:t xml:space="preserve">1.9001</w:t>
            </w:r>
          </w:p>
        </w:tc>
        <w:tc>
          <w:tcPr>
            <w:tcW w:w="0" w:type="auto"/>
          </w:tcPr>
          <w:p>
            <w:pPr>
              <w:spacing w:line="240" w:lineRule="auto" w:before="0" w:after="0"/>
              <w:pStyle w:val="Compact"/>
            </w:pPr>
            <w:r>
              <w:rPr>
                <w:sz w:val="20"/>
                <w:szCs w:val="20"/>
              </w:rPr>
              <w:t xml:space="preserve">3.1191</w:t>
            </w:r>
          </w:p>
        </w:tc>
        <w:tc>
          <w:tcPr>
            <w:tcW w:w="0" w:type="auto"/>
          </w:tcPr>
          <w:p>
            <w:pPr>
              <w:spacing w:line="240" w:lineRule="auto" w:before="0" w:after="0"/>
              <w:pStyle w:val="Compact"/>
            </w:pPr>
            <w:r>
              <w:rPr>
                <w:sz w:val="20"/>
                <w:szCs w:val="20"/>
              </w:rPr>
              <w:t xml:space="preserve">0.6092</w:t>
            </w:r>
          </w:p>
        </w:tc>
        <w:tc>
          <w:tcPr>
            <w:tcW w:w="0" w:type="auto"/>
          </w:tcPr>
          <w:p>
            <w:pPr>
              <w:spacing w:line="240" w:lineRule="auto" w:before="0" w:after="0"/>
              <w:pStyle w:val="Compact"/>
            </w:pPr>
            <w:r>
              <w:rPr>
                <w:sz w:val="20"/>
                <w:szCs w:val="20"/>
              </w:rPr>
              <w:t xml:space="preserve">0.5424</w:t>
            </w:r>
          </w:p>
        </w:tc>
        <w:tc>
          <w:tcPr>
            <w:tcW w:w="0" w:type="auto"/>
          </w:tcPr>
          <w:p>
            <w:pPr>
              <w:spacing w:line="240" w:lineRule="auto" w:before="0" w:after="0"/>
              <w:pStyle w:val="Compact"/>
            </w:pPr>
            <w:r>
              <w:rPr>
                <w:sz w:val="20"/>
                <w:szCs w:val="20"/>
              </w:rPr>
              <w:t xml:space="preserve">[-4.2133, 8.0135]</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-2.6937</w:t>
            </w:r>
          </w:p>
        </w:tc>
        <w:tc>
          <w:tcPr>
            <w:tcW w:w="0" w:type="auto"/>
          </w:tcPr>
          <w:p>
            <w:pPr>
              <w:spacing w:line="240" w:lineRule="auto" w:before="0" w:after="0"/>
              <w:pStyle w:val="Compact"/>
            </w:pPr>
            <w:r>
              <w:rPr>
                <w:sz w:val="20"/>
                <w:szCs w:val="20"/>
              </w:rPr>
              <w:t xml:space="preserve">25.0824</w:t>
            </w:r>
          </w:p>
        </w:tc>
        <w:tc>
          <w:tcPr>
            <w:tcW w:w="0" w:type="auto"/>
          </w:tcPr>
          <w:p>
            <w:pPr>
              <w:spacing w:line="240" w:lineRule="auto" w:before="0" w:after="0"/>
              <w:pStyle w:val="Compact"/>
            </w:pPr>
            <w:r>
              <w:rPr>
                <w:sz w:val="20"/>
                <w:szCs w:val="20"/>
              </w:rPr>
              <w:t xml:space="preserve">-0.1074</w:t>
            </w:r>
          </w:p>
        </w:tc>
        <w:tc>
          <w:tcPr>
            <w:tcW w:w="0" w:type="auto"/>
          </w:tcPr>
          <w:p>
            <w:pPr>
              <w:spacing w:line="240" w:lineRule="auto" w:before="0" w:after="0"/>
              <w:pStyle w:val="Compact"/>
            </w:pPr>
            <w:r>
              <w:rPr>
                <w:sz w:val="20"/>
                <w:szCs w:val="20"/>
              </w:rPr>
              <w:t xml:space="preserve">0.9145</w:t>
            </w:r>
          </w:p>
        </w:tc>
        <w:tc>
          <w:tcPr>
            <w:tcW w:w="0" w:type="auto"/>
          </w:tcPr>
          <w:p>
            <w:pPr>
              <w:spacing w:line="240" w:lineRule="auto" w:before="0" w:after="0"/>
              <w:pStyle w:val="Compact"/>
            </w:pPr>
            <w:r>
              <w:rPr>
                <w:sz w:val="20"/>
                <w:szCs w:val="20"/>
              </w:rPr>
              <w:t xml:space="preserve">[-51.8543, 46.467]</w:t>
            </w:r>
          </w:p>
        </w:tc>
      </w:tr>
    </w:tbl>
    <w:p>
      <w:pPr>
        <w:pStyle w:val="BodyText"/>
      </w:pPr>
      <w:r>
        <w:t xml:space="preserve">Fit: N = 32 R2 = 0.1657 R2_adj = 0.0421 F = 0.9663 F_p = 0.442</w:t>
      </w:r>
    </w:p>
    <w:p>
      <w:pPr>
        <w:pStyle w:val="CaptionedFigure"/>
      </w:pPr>
      <w:r>
        <w:drawing>
          <wp:inline>
            <wp:extent cx="5669280" cy="3657600"/>
            <wp:effectExtent b="0" l="0" r="0" t="0"/>
            <wp:docPr descr="Figure 1. Development cost growth versus portfolio concurrency across NASA major-project observations, 2019-2025. Each point is a project-year drawn from GAO Assessments of Major NASA Projects and documented mission cost records." title="" id="77" name="Picture"/>
            <a:graphic>
              <a:graphicData uri="http://schemas.openxmlformats.org/drawingml/2006/picture">
                <pic:pic>
                  <pic:nvPicPr>
                    <pic:cNvPr descr="D:\Claude_Code\brain\collegium\candidates\dissertations\JPL_MGMT_SMA_TECH_09\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portfolio concurrency across NASA major-project observations, 2019-2025. Each point is a project-year drawn from GAO Assessments of Major NASA Projects and documented mission cost records.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assess_year</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portfolio_concurrency</w:t>
            </w:r>
          </w:p>
        </w:tc>
        <w:tc>
          <w:tcPr>
            <w:tcW w:w="0" w:type="auto"/>
          </w:tcPr>
          <w:p>
            <w:pPr>
              <w:spacing w:line="240" w:lineRule="auto" w:before="0" w:after="0"/>
              <w:pStyle w:val="Compact"/>
            </w:pPr>
            <w:r>
              <w:rPr>
                <w:sz w:val="20"/>
                <w:szCs w:val="20"/>
              </w:rPr>
              <w:t xml:space="preserve">integration_phase</w:t>
            </w:r>
          </w:p>
        </w:tc>
        <w:tc>
          <w:tcPr>
            <w:tcW w:w="0" w:type="auto"/>
          </w:tcPr>
          <w:p>
            <w:pPr>
              <w:spacing w:line="240" w:lineRule="auto" w:before="0" w:after="0"/>
              <w:pStyle w:val="Compact"/>
            </w:pPr>
            <w:r>
              <w:rPr>
                <w:sz w:val="20"/>
                <w:szCs w:val="20"/>
              </w:rPr>
              <w:t xml:space="preserve">lcc_billion</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GAO-19-189 / Planetary Society JWST cost (https://www.planetary.org/articles/cost-of-the-jwst): 95% growth from 2009 baseline, ~$9.7B</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GAO-19-377 (https://www.gao.gov/products/gao-19-377): SLS exceeded ABC by at least 33% at end FY2019; baseline $9.1B</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GAO 2019 coverage (https://spacepolicyonline.com/news/gao-nasa-cost-and-schedule-performance-deteriorating/): Orion 5.6% growth through Artemis-2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Mars 2020 $37.7M growth on ~$2.7B LCC ~= 4.4% [illustrative pct from named $ and LCC]</w:t>
            </w:r>
          </w:p>
        </w:tc>
      </w:tr>
      <w:tr>
        <w:tc>
          <w:tcPr>
            <w:tcW w:w="0" w:type="auto"/>
          </w:tcPr>
          <w:p>
            <w:pPr>
              <w:spacing w:line="240" w:lineRule="auto" w:before="0" w:after="0"/>
              <w:pStyle w:val="Compact"/>
            </w:pPr>
            <w:r>
              <w:rPr>
                <w:sz w:val="20"/>
                <w:szCs w:val="20"/>
              </w:rPr>
              <w:t xml:space="preserve">Space Network Ground Segment Sustainment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SGSS $167.6M increase on ~$1B class [illustrative pct from named $]</w:t>
            </w:r>
          </w:p>
        </w:tc>
      </w:tr>
      <w:tr>
        <w:tc>
          <w:tcPr>
            <w:tcW w:w="0" w:type="auto"/>
          </w:tcPr>
          <w:p>
            <w:pPr>
              <w:spacing w:line="240" w:lineRule="auto" w:before="0" w:after="0"/>
              <w:pStyle w:val="Compact"/>
            </w:pPr>
            <w:r>
              <w:rPr>
                <w:sz w:val="20"/>
                <w:szCs w:val="20"/>
              </w:rPr>
              <w:t xml:space="preserve">Ionospheric Connection Explorer (ICON)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ICON $2.2M increase, small-class mission [illustrative pct]</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Parker $40M under budget on ~$1.5B [illustrative pct from named $]</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 Newsweek Lucy cost (https://www.newsweek.com/nasa-set-launch-981m-lucy-mission-first-series-asteroid-bound-spacecraft-1639135): $981M, launched on schedule Oct 2021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estimate via search (https://oig.nasa.gov/wp-content/uploads/2024/02/CT-18-002.pdf): SWOT ~$1.15B lifetime, modest pre-launch growth [illustrative pct]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Spaceflight Now / AIP (https://spaceflightnow.com/2022/06/27/after-software-delays-nasa-gives-up-on-launching-psyche-asteroid-mission-this-year/): cost rose from &lt;$1.0B to $1.2B ~= 22% with one-year slip</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 SpacePolicyOnline (https://spacenews.com/cost-growth-prompts-changes-to-europa-clipper-instruments/): grew $4.25B to $5.0B ~= 17.6%</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GAO-23-105609 (https://www.gao.gov/products/gao-23-105609) / Space.com: ~$11.8B spent through Artemis 1 vs ~$9.1B baseline ~= 30%</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(https://www.gao.gov/assets/gao-23-106021.pdf): Orion continued growth through Artemis cycle [illustrative pct in named range]</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(https://www.gao.gov/assets/gao-23-106021.pdf): NEO Surveyor rebaselined upward after 2022 replan [illustrative pct]</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(https://www.gao.gov/assets/gao-23-106021.pdf): Dragonfly confirmed cost ~$3.35B with growth [illustrative pct]</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(https://www.gao.gov/assets/gao-23-106021.pdf): Roman holding ~$4.3B baseline, no growth reported</w:t>
            </w:r>
          </w:p>
        </w:tc>
      </w:tr>
      <w:tr>
        <w:tc>
          <w:tcPr>
            <w:tcW w:w="0" w:type="auto"/>
          </w:tcPr>
          <w:p>
            <w:pPr>
              <w:spacing w:line="240" w:lineRule="auto" w:before="0" w:after="0"/>
              <w:pStyle w:val="Compact"/>
            </w:pPr>
            <w:r>
              <w:rPr>
                <w:sz w:val="20"/>
                <w:szCs w:val="20"/>
              </w:rPr>
              <w:t xml:space="preserve">Mobile Launcher 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(https://www.gao.gov/assets/gao-23-106021.pdf) / NASA OIG: ML-2 cost more than doubled from initial est; ~55% over working baseline [illustrative pct in documented range]</w:t>
            </w:r>
          </w:p>
        </w:tc>
      </w:tr>
      <w:tr>
        <w:tc>
          <w:tcPr>
            <w:tcW w:w="0" w:type="auto"/>
          </w:tcPr>
          <w:p>
            <w:pPr>
              <w:spacing w:line="240" w:lineRule="auto" w:before="0" w:after="0"/>
              <w:pStyle w:val="Compact"/>
            </w:pPr>
            <w:r>
              <w:rPr>
                <w:sz w:val="20"/>
                <w:szCs w:val="20"/>
              </w:rPr>
              <w:t xml:space="preserve">NASA portfolio average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reporting (https://www.gao.gov/products/gao-24-106767): 2023 cycle cost overruns $7.6B across portfolio [illustrative average pct]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(https://spacenews.com/cost-growth-prompts-changes-to-europa-clipper-instruments/): $4.25B to $5.0B carried into 2024 integration</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Roman on baseline entering I&amp;T</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NEO Surveyor among 5 projects with FY24 growth ($477M total) [illustrative pct]</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Dragonfly among growth projects in FY24 [illustrative pct]</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(https://www.gao.gov/assets/gao-24-106767.pdf): Orion continued exploration cost growth [illustrative pct]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SPHEREx small-class near baseline entering I&amp;T [illustrative pct]</w:t>
            </w:r>
          </w:p>
        </w:tc>
      </w:tr>
      <w:tr>
        <w:tc>
          <w:tcPr>
            <w:tcW w:w="0" w:type="auto"/>
          </w:tcPr>
          <w:p>
            <w:pPr>
              <w:spacing w:line="240" w:lineRule="auto" w:before="0" w:after="0"/>
              <w:pStyle w:val="Compact"/>
            </w:pPr>
            <w:r>
              <w:rPr>
                <w:sz w:val="20"/>
                <w:szCs w:val="20"/>
              </w:rPr>
              <w:t xml:space="preserve">NASA portfolio average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(https://www.gao.gov/products/gao-24-106767): FY24 5 projects $477M growth; lower than 2023 [illustrative average pct]</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(https://www.gao.gov/products/gao-25-107591): Orion &gt;$360M of FY25 annual growth [illustrative cumulative pct from named annual $]</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Clipper post-launch baseline carried</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Roman in final I&amp;T with modest late growth [illustrative pct]</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Dragonfly among FY25 cost-growth projects [illustrative pct]</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NEO Surveyor late-development growth [illustrative pct]</w:t>
            </w:r>
          </w:p>
        </w:tc>
      </w:tr>
      <w:tr>
        <w:tc>
          <w:tcPr>
            <w:tcW w:w="0" w:type="auto"/>
          </w:tcPr>
          <w:p>
            <w:pPr>
              <w:spacing w:line="240" w:lineRule="auto" w:before="0" w:after="0"/>
              <w:pStyle w:val="Compact"/>
            </w:pPr>
            <w:r>
              <w:rPr>
                <w:sz w:val="20"/>
                <w:szCs w:val="20"/>
              </w:rPr>
              <w:t xml:space="preserve">SLS Block 1B / EUS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(https://www.gao.gov/products/gao-25-107591): Exploration Upper Stage among FY25 growth contributors [illustrative pct]</w:t>
            </w:r>
          </w:p>
        </w:tc>
      </w:tr>
      <w:tr>
        <w:tc>
          <w:tcPr>
            <w:tcW w:w="0" w:type="auto"/>
          </w:tcPr>
          <w:p>
            <w:pPr>
              <w:spacing w:line="240" w:lineRule="auto" w:before="0" w:after="0"/>
              <w:pStyle w:val="Compact"/>
            </w:pPr>
            <w:r>
              <w:rPr>
                <w:sz w:val="20"/>
                <w:szCs w:val="20"/>
              </w:rPr>
              <w:t xml:space="preserve">NASA portfolio average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4 of 18 projects &gt;$500M overruns FY25 [illustrative average pct]</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Cumulative development cost growth from the project Agency Baseline Commitment, in percent (dependent variable)</w:t>
            </w:r>
          </w:p>
        </w:tc>
        <w:tc>
          <w:tcPr>
            <w:tcW w:w="0" w:type="auto"/>
          </w:tcPr>
          <w:p>
            <w:pPr>
              <w:spacing w:line="240" w:lineRule="auto" w:before="0" w:after="0"/>
              <w:pStyle w:val="Compact"/>
            </w:pPr>
            <w:r>
              <w:rPr>
                <w:sz w:val="20"/>
                <w:szCs w:val="20"/>
              </w:rPr>
              <w:t xml:space="preserve">GAO Assessments of Major NASA Projects GAO-25-107591, GAO-24-106767, GAO-23-106021, GAO-19-377; Planetary Society and SpacePolicyOnline mission cost charts</w:t>
            </w:r>
          </w:p>
        </w:tc>
      </w:tr>
      <w:tr>
        <w:tc>
          <w:tcPr>
            <w:tcW w:w="0" w:type="auto"/>
          </w:tcPr>
          <w:p>
            <w:pPr>
              <w:spacing w:line="240" w:lineRule="auto" w:before="0" w:after="0"/>
              <w:pStyle w:val="Compact"/>
            </w:pPr>
            <w:r>
              <w:rPr>
                <w:sz w:val="20"/>
                <w:szCs w:val="20"/>
              </w:rPr>
              <w:t xml:space="preserve">portfolio_concurrency</w:t>
            </w:r>
          </w:p>
        </w:tc>
        <w:tc>
          <w:tcPr>
            <w:tcW w:w="0" w:type="auto"/>
          </w:tcPr>
          <w:p>
            <w:pPr>
              <w:spacing w:line="240" w:lineRule="auto" w:before="0" w:after="0"/>
              <w:pStyle w:val="Compact"/>
            </w:pPr>
            <w:r>
              <w:rPr>
                <w:sz w:val="20"/>
                <w:szCs w:val="20"/>
              </w:rPr>
              <w:t xml:space="preserve">Count of NASA major projects in the development portfolio in the assessment year, a proxy for agency-wide mission-integration tempo and contention for shared review and integration capacity</w:t>
            </w:r>
          </w:p>
        </w:tc>
        <w:tc>
          <w:tcPr>
            <w:tcW w:w="0" w:type="auto"/>
          </w:tcPr>
          <w:p>
            <w:pPr>
              <w:spacing w:line="240" w:lineRule="auto" w:before="0" w:after="0"/>
              <w:pStyle w:val="Compact"/>
            </w:pPr>
            <w:r>
              <w:rPr>
                <w:sz w:val="20"/>
                <w:szCs w:val="20"/>
              </w:rPr>
              <w:t xml:space="preserve">GAO Assessments of Major NASA Projects (portfolio counts: 24 in 2019, 21-22 in 2021-2023, 16 in 2024, 18 in 2025)</w:t>
            </w:r>
          </w:p>
        </w:tc>
      </w:tr>
      <w:tr>
        <w:tc>
          <w:tcPr>
            <w:tcW w:w="0" w:type="auto"/>
          </w:tcPr>
          <w:p>
            <w:pPr>
              <w:spacing w:line="240" w:lineRule="auto" w:before="0" w:after="0"/>
              <w:pStyle w:val="Compact"/>
            </w:pPr>
            <w:r>
              <w:rPr>
                <w:sz w:val="20"/>
                <w:szCs w:val="20"/>
              </w:rPr>
              <w:t xml:space="preserve">integration_phase</w:t>
            </w:r>
          </w:p>
        </w:tc>
        <w:tc>
          <w:tcPr>
            <w:tcW w:w="0" w:type="auto"/>
          </w:tcPr>
          <w:p>
            <w:pPr>
              <w:spacing w:line="240" w:lineRule="auto" w:before="0" w:after="0"/>
              <w:pStyle w:val="Compact"/>
            </w:pPr>
            <w:r>
              <w:rPr>
                <w:sz w:val="20"/>
                <w:szCs w:val="20"/>
              </w:rPr>
              <w:t xml:space="preserve">Indicator equal to one if the project is in integration and test or final assembly at observation, the highest-burden development phase, else zero</w:t>
            </w:r>
          </w:p>
        </w:tc>
        <w:tc>
          <w:tcPr>
            <w:tcW w:w="0" w:type="auto"/>
          </w:tcPr>
          <w:p>
            <w:pPr>
              <w:spacing w:line="240" w:lineRule="auto" w:before="0" w:after="0"/>
              <w:pStyle w:val="Compact"/>
            </w:pPr>
            <w:r>
              <w:rPr>
                <w:sz w:val="20"/>
                <w:szCs w:val="20"/>
              </w:rPr>
              <w:t xml:space="preserve">GAO Assessments of Major NASA Projects life-cycle phase tables</w:t>
            </w:r>
          </w:p>
        </w:tc>
      </w:tr>
      <w:tr>
        <w:tc>
          <w:tcPr>
            <w:tcW w:w="0" w:type="auto"/>
          </w:tcPr>
          <w:p>
            <w:pPr>
              <w:spacing w:line="240" w:lineRule="auto" w:before="0" w:after="0"/>
              <w:pStyle w:val="Compact"/>
            </w:pPr>
            <w:r>
              <w:rPr>
                <w:sz w:val="20"/>
                <w:szCs w:val="20"/>
              </w:rPr>
              <w:t xml:space="preserve">lcc_billion</w:t>
            </w:r>
          </w:p>
        </w:tc>
        <w:tc>
          <w:tcPr>
            <w:tcW w:w="0" w:type="auto"/>
          </w:tcPr>
          <w:p>
            <w:pPr>
              <w:spacing w:line="240" w:lineRule="auto" w:before="0" w:after="0"/>
              <w:pStyle w:val="Compact"/>
            </w:pPr>
            <w:r>
              <w:rPr>
                <w:sz w:val="20"/>
                <w:szCs w:val="20"/>
              </w:rPr>
              <w:t xml:space="preserve">Project life-cycle cost in billions of US dollars, a control for mission scale and technical complexity</w:t>
            </w:r>
          </w:p>
        </w:tc>
        <w:tc>
          <w:tcPr>
            <w:tcW w:w="0" w:type="auto"/>
          </w:tcPr>
          <w:p>
            <w:pPr>
              <w:spacing w:line="240" w:lineRule="auto" w:before="0" w:after="0"/>
              <w:pStyle w:val="Compact"/>
            </w:pPr>
            <w:r>
              <w:rPr>
                <w:sz w:val="20"/>
                <w:szCs w:val="20"/>
              </w:rPr>
              <w:t xml:space="preserve">GAO Assessments of Major NASA Projects; NASA OIG cost reports; mission press kits</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Indicator equal to one if the project belongs to the human-spaceflight and exploration line (SLS, Orion, Mobile Launcher, Exploration Upper Stage), which carries shared cross-program review burden, else zero</w:t>
            </w:r>
          </w:p>
        </w:tc>
        <w:tc>
          <w:tcPr>
            <w:tcW w:w="0" w:type="auto"/>
          </w:tcPr>
          <w:p>
            <w:pPr>
              <w:spacing w:line="240" w:lineRule="auto" w:before="0" w:after="0"/>
              <w:pStyle w:val="Compact"/>
            </w:pPr>
            <w:r>
              <w:rPr>
                <w:sz w:val="20"/>
                <w:szCs w:val="20"/>
              </w:rPr>
              <w:t xml:space="preserve">NASA program designations; GAO-19-377 exploration program coverage</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-23.7835</w:t>
            </w:r>
          </w:p>
        </w:tc>
        <w:tc>
          <w:tcPr>
            <w:tcW w:w="0" w:type="auto"/>
          </w:tcPr>
          <w:p>
            <w:pPr>
              <w:spacing w:line="240" w:lineRule="auto" w:before="0" w:after="0"/>
              <w:pStyle w:val="Compact"/>
            </w:pPr>
            <w:r>
              <w:rPr>
                <w:sz w:val="20"/>
                <w:szCs w:val="20"/>
              </w:rPr>
              <w:t xml:space="preserve">30.1218</w:t>
            </w:r>
          </w:p>
        </w:tc>
        <w:tc>
          <w:tcPr>
            <w:tcW w:w="0" w:type="auto"/>
          </w:tcPr>
          <w:p>
            <w:pPr>
              <w:spacing w:line="240" w:lineRule="auto" w:before="0" w:after="0"/>
              <w:pStyle w:val="Compact"/>
            </w:pPr>
            <w:r>
              <w:rPr>
                <w:sz w:val="20"/>
                <w:szCs w:val="20"/>
              </w:rPr>
              <w:t xml:space="preserve">-0.7896</w:t>
            </w:r>
          </w:p>
        </w:tc>
        <w:tc>
          <w:tcPr>
            <w:tcW w:w="0" w:type="auto"/>
          </w:tcPr>
          <w:p>
            <w:pPr>
              <w:spacing w:line="240" w:lineRule="auto" w:before="0" w:after="0"/>
              <w:pStyle w:val="Compact"/>
            </w:pPr>
            <w:r>
              <w:rPr>
                <w:sz w:val="20"/>
                <w:szCs w:val="20"/>
              </w:rPr>
              <w:t xml:space="preserve">0.4298</w:t>
            </w:r>
          </w:p>
        </w:tc>
        <w:tc>
          <w:tcPr>
            <w:tcW w:w="0" w:type="auto"/>
          </w:tcPr>
          <w:p>
            <w:pPr>
              <w:spacing w:line="240" w:lineRule="auto" w:before="0" w:after="0"/>
              <w:pStyle w:val="Compact"/>
            </w:pPr>
            <w:r>
              <w:rPr>
                <w:sz w:val="20"/>
                <w:szCs w:val="20"/>
              </w:rPr>
              <w:t xml:space="preserve">[-82.8211, 35.2542]</w:t>
            </w:r>
          </w:p>
        </w:tc>
      </w:tr>
      <w:tr>
        <w:tc>
          <w:tcPr>
            <w:tcW w:w="0" w:type="auto"/>
          </w:tcPr>
          <w:p>
            <w:pPr>
              <w:spacing w:line="240" w:lineRule="auto" w:before="0" w:after="0"/>
              <w:pStyle w:val="Compact"/>
            </w:pPr>
            <w:r>
              <w:rPr>
                <w:sz w:val="20"/>
                <w:szCs w:val="20"/>
              </w:rPr>
              <w:t xml:space="preserve">portfolio_concurrency</w:t>
            </w:r>
          </w:p>
        </w:tc>
        <w:tc>
          <w:tcPr>
            <w:tcW w:w="0" w:type="auto"/>
          </w:tcPr>
          <w:p>
            <w:pPr>
              <w:spacing w:line="240" w:lineRule="auto" w:before="0" w:after="0"/>
              <w:pStyle w:val="Compact"/>
            </w:pPr>
            <w:r>
              <w:rPr>
                <w:sz w:val="20"/>
                <w:szCs w:val="20"/>
              </w:rPr>
              <w:t xml:space="preserve">1.4478</w:t>
            </w:r>
          </w:p>
        </w:tc>
        <w:tc>
          <w:tcPr>
            <w:tcW w:w="0" w:type="auto"/>
          </w:tcPr>
          <w:p>
            <w:pPr>
              <w:spacing w:line="240" w:lineRule="auto" w:before="0" w:after="0"/>
              <w:pStyle w:val="Compact"/>
            </w:pPr>
            <w:r>
              <w:rPr>
                <w:sz w:val="20"/>
                <w:szCs w:val="20"/>
              </w:rPr>
              <w:t xml:space="preserve">1.2197</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0.2352</w:t>
            </w:r>
          </w:p>
        </w:tc>
        <w:tc>
          <w:tcPr>
            <w:tcW w:w="0" w:type="auto"/>
          </w:tcPr>
          <w:p>
            <w:pPr>
              <w:spacing w:line="240" w:lineRule="auto" w:before="0" w:after="0"/>
              <w:pStyle w:val="Compact"/>
            </w:pPr>
            <w:r>
              <w:rPr>
                <w:sz w:val="20"/>
                <w:szCs w:val="20"/>
              </w:rPr>
              <w:t xml:space="preserve">[-0.9428, 3.8384]</w:t>
            </w:r>
          </w:p>
        </w:tc>
      </w:tr>
      <w:tr>
        <w:tc>
          <w:tcPr>
            <w:tcW w:w="0" w:type="auto"/>
          </w:tcPr>
          <w:p>
            <w:pPr>
              <w:spacing w:line="240" w:lineRule="auto" w:before="0" w:after="0"/>
              <w:pStyle w:val="Compact"/>
            </w:pPr>
            <w:r>
              <w:rPr>
                <w:sz w:val="20"/>
                <w:szCs w:val="20"/>
              </w:rPr>
              <w:t xml:space="preserve">integration_phase</w:t>
            </w:r>
          </w:p>
        </w:tc>
        <w:tc>
          <w:tcPr>
            <w:tcW w:w="0" w:type="auto"/>
          </w:tcPr>
          <w:p>
            <w:pPr>
              <w:spacing w:line="240" w:lineRule="auto" w:before="0" w:after="0"/>
              <w:pStyle w:val="Compact"/>
            </w:pPr>
            <w:r>
              <w:rPr>
                <w:sz w:val="20"/>
                <w:szCs w:val="20"/>
              </w:rPr>
              <w:t xml:space="preserve">6.4519</w:t>
            </w:r>
          </w:p>
        </w:tc>
        <w:tc>
          <w:tcPr>
            <w:tcW w:w="0" w:type="auto"/>
          </w:tcPr>
          <w:p>
            <w:pPr>
              <w:spacing w:line="240" w:lineRule="auto" w:before="0" w:after="0"/>
              <w:pStyle w:val="Compact"/>
            </w:pPr>
            <w:r>
              <w:rPr>
                <w:sz w:val="20"/>
                <w:szCs w:val="20"/>
              </w:rPr>
              <w:t xml:space="preserve">9.3649</w:t>
            </w:r>
          </w:p>
        </w:tc>
        <w:tc>
          <w:tcPr>
            <w:tcW w:w="0" w:type="auto"/>
          </w:tcPr>
          <w:p>
            <w:pPr>
              <w:spacing w:line="240" w:lineRule="auto" w:before="0" w:after="0"/>
              <w:pStyle w:val="Compact"/>
            </w:pPr>
            <w:r>
              <w:rPr>
                <w:sz w:val="20"/>
                <w:szCs w:val="20"/>
              </w:rPr>
              <w:t xml:space="preserve">0.689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[-11.9029, 24.8067]</w:t>
            </w:r>
          </w:p>
        </w:tc>
      </w:tr>
      <w:tr>
        <w:tc>
          <w:tcPr>
            <w:tcW w:w="0" w:type="auto"/>
          </w:tcPr>
          <w:p>
            <w:pPr>
              <w:spacing w:line="240" w:lineRule="auto" w:before="0" w:after="0"/>
              <w:pStyle w:val="Compact"/>
            </w:pPr>
            <w:r>
              <w:rPr>
                <w:sz w:val="20"/>
                <w:szCs w:val="20"/>
              </w:rPr>
              <w:t xml:space="preserve">lcc_billion</w:t>
            </w:r>
          </w:p>
        </w:tc>
        <w:tc>
          <w:tcPr>
            <w:tcW w:w="0" w:type="auto"/>
          </w:tcPr>
          <w:p>
            <w:pPr>
              <w:spacing w:line="240" w:lineRule="auto" w:before="0" w:after="0"/>
              <w:pStyle w:val="Compact"/>
            </w:pPr>
            <w:r>
              <w:rPr>
                <w:sz w:val="20"/>
                <w:szCs w:val="20"/>
              </w:rPr>
              <w:t xml:space="preserve">1.9001</w:t>
            </w:r>
          </w:p>
        </w:tc>
        <w:tc>
          <w:tcPr>
            <w:tcW w:w="0" w:type="auto"/>
          </w:tcPr>
          <w:p>
            <w:pPr>
              <w:spacing w:line="240" w:lineRule="auto" w:before="0" w:after="0"/>
              <w:pStyle w:val="Compact"/>
            </w:pPr>
            <w:r>
              <w:rPr>
                <w:sz w:val="20"/>
                <w:szCs w:val="20"/>
              </w:rPr>
              <w:t xml:space="preserve">3.1191</w:t>
            </w:r>
          </w:p>
        </w:tc>
        <w:tc>
          <w:tcPr>
            <w:tcW w:w="0" w:type="auto"/>
          </w:tcPr>
          <w:p>
            <w:pPr>
              <w:spacing w:line="240" w:lineRule="auto" w:before="0" w:after="0"/>
              <w:pStyle w:val="Compact"/>
            </w:pPr>
            <w:r>
              <w:rPr>
                <w:sz w:val="20"/>
                <w:szCs w:val="20"/>
              </w:rPr>
              <w:t xml:space="preserve">0.6092</w:t>
            </w:r>
          </w:p>
        </w:tc>
        <w:tc>
          <w:tcPr>
            <w:tcW w:w="0" w:type="auto"/>
          </w:tcPr>
          <w:p>
            <w:pPr>
              <w:spacing w:line="240" w:lineRule="auto" w:before="0" w:after="0"/>
              <w:pStyle w:val="Compact"/>
            </w:pPr>
            <w:r>
              <w:rPr>
                <w:sz w:val="20"/>
                <w:szCs w:val="20"/>
              </w:rPr>
              <w:t xml:space="preserve">0.5424</w:t>
            </w:r>
          </w:p>
        </w:tc>
        <w:tc>
          <w:tcPr>
            <w:tcW w:w="0" w:type="auto"/>
          </w:tcPr>
          <w:p>
            <w:pPr>
              <w:spacing w:line="240" w:lineRule="auto" w:before="0" w:after="0"/>
              <w:pStyle w:val="Compact"/>
            </w:pPr>
            <w:r>
              <w:rPr>
                <w:sz w:val="20"/>
                <w:szCs w:val="20"/>
              </w:rPr>
              <w:t xml:space="preserve">[-4.2133, 8.0135]</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-2.6937</w:t>
            </w:r>
          </w:p>
        </w:tc>
        <w:tc>
          <w:tcPr>
            <w:tcW w:w="0" w:type="auto"/>
          </w:tcPr>
          <w:p>
            <w:pPr>
              <w:spacing w:line="240" w:lineRule="auto" w:before="0" w:after="0"/>
              <w:pStyle w:val="Compact"/>
            </w:pPr>
            <w:r>
              <w:rPr>
                <w:sz w:val="20"/>
                <w:szCs w:val="20"/>
              </w:rPr>
              <w:t xml:space="preserve">25.0824</w:t>
            </w:r>
          </w:p>
        </w:tc>
        <w:tc>
          <w:tcPr>
            <w:tcW w:w="0" w:type="auto"/>
          </w:tcPr>
          <w:p>
            <w:pPr>
              <w:spacing w:line="240" w:lineRule="auto" w:before="0" w:after="0"/>
              <w:pStyle w:val="Compact"/>
            </w:pPr>
            <w:r>
              <w:rPr>
                <w:sz w:val="20"/>
                <w:szCs w:val="20"/>
              </w:rPr>
              <w:t xml:space="preserve">-0.1074</w:t>
            </w:r>
          </w:p>
        </w:tc>
        <w:tc>
          <w:tcPr>
            <w:tcW w:w="0" w:type="auto"/>
          </w:tcPr>
          <w:p>
            <w:pPr>
              <w:spacing w:line="240" w:lineRule="auto" w:before="0" w:after="0"/>
              <w:pStyle w:val="Compact"/>
            </w:pPr>
            <w:r>
              <w:rPr>
                <w:sz w:val="20"/>
                <w:szCs w:val="20"/>
              </w:rPr>
              <w:t xml:space="preserve">0.9145</w:t>
            </w:r>
          </w:p>
        </w:tc>
        <w:tc>
          <w:tcPr>
            <w:tcW w:w="0" w:type="auto"/>
          </w:tcPr>
          <w:p>
            <w:pPr>
              <w:spacing w:line="240" w:lineRule="auto" w:before="0" w:after="0"/>
              <w:pStyle w:val="Compact"/>
            </w:pPr>
            <w:r>
              <w:rPr>
                <w:sz w:val="20"/>
                <w:szCs w:val="20"/>
              </w:rPr>
              <w:t xml:space="preserve">[-51.8543, 46.467]</w:t>
            </w:r>
          </w:p>
        </w:tc>
      </w:tr>
    </w:tbl>
    <w:p>
      <w:pPr>
        <w:pStyle w:val="BodyText"/>
      </w:pPr>
      <w:r>
        <w:t xml:space="preserve">Fit: N = 32 R2 = 0.1657 R2_adj = 0.0421 F = 0.9663 F_p = 0.442</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2026-06-26T16:45:43Z</dcterms:created>
  <dcterms:modified xsi:type="dcterms:W3CDTF">2026-06-26T16:45:43Z</dcterms:modified>
</cp:coreProperties>
</file>

<file path=docProps/custom.xml><?xml version="1.0" encoding="utf-8"?>
<Properties xmlns="http://schemas.openxmlformats.org/officeDocument/2006/custom-properties" xmlns:vt="http://schemas.openxmlformats.org/officeDocument/2006/docPropsVTypes"/>
</file>