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MISSION INTEGRATION TEMPO AND OPERATIONS BURDEN: A PANEL MODEL OF HOW CONCURRENT CAMPAIGN LOAD SHAPES OPERATOR WORKLOAD AND MISSION COST</w:t>
      </w:r>
    </w:p>
    <w:p>
      <w:pPr>
        <w:jc w:val="center"/>
      </w:pPr>
    </w:p>
    <w:p>
      <w:pPr>
        <w:jc w:val="center"/>
      </w:pPr>
      <w:r>
        <w:rPr>
          <w:rFonts w:ascii="Times New Roman" w:hAnsi="Times New Roman"/>
          <w:sz w:val="24"/>
        </w:rPr>
        <w:t>by</w:t>
      </w:r>
    </w:p>
    <w:p>
      <w:pPr>
        <w:jc w:val="center"/>
      </w:pPr>
      <w:r>
        <w:rPr>
          <w:rFonts w:ascii="Times New Roman" w:hAnsi="Times New Roman"/>
          <w:b/>
          <w:sz w:val="28"/>
        </w:rPr>
        <w:t>Eleanor Yoon</w:t>
      </w:r>
    </w:p>
    <w:p>
      <w:pPr>
        <w:jc w:val="center"/>
      </w:pPr>
      <w:r>
        <w:rPr>
          <w:rFonts w:ascii="Times New Roman" w:hAnsi="Times New Roman"/>
          <w:sz w:val="24"/>
        </w:rPr>
        <w:t>1B-MIC-064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NASA and the Jet Propulsion Laboratory carry, at any given moment, a portfolio of flight projects in various stages of development and operations. The Government Accountability Office has documented for more than a decade that this portfolio absorbs persistent cost growth and schedule slippage across nearly every assessment cycle, and that the explanations offered for individual overruns are almost always project-internal: an unanticipated technology problem, a contractor shortfall, an underestimated integration task</w:t>
      </w:r>
      <w:r>
        <w:t xml:space="preserve"> </w:t>
      </w:r>
      <w:hyperlink w:anchor="ref-7">
        <w:r>
          <w:rPr>
            <w:rStyle w:val="Hyperlink"/>
          </w:rPr>
          <w:t xml:space="preserve">[7]</w:t>
        </w:r>
      </w:hyperlink>
      <w:r>
        <w:t xml:space="preserve">[12]. The portfolio-level question, namely whether the simultaneous presence of many concurrent campaigns inside a single integration enterprise itself contributes to the burden borne by any one project, has been asserted by program managers and operations leads for decades but never estimated as a separable effect from the data. This dissertation closes that gap.</w:t>
      </w:r>
    </w:p>
    <w:p>
      <w:pPr>
        <w:pStyle w:val="BodyText"/>
        <w:spacing w:line="480" w:lineRule="auto"/>
        <w:ind w:firstLine="720"/>
      </w:pPr>
      <w:r>
        <w:t xml:space="preserve">The stakes for NASA and for JPL are concrete and managerial rather than abstract. Mission-integration organizations decide every year how many campaigns to hold concurrently open, how much to invest in automation that would relieve operator workload, and how aggressively to cap or to stagger campaign onboarding. Those decisions presume a functional form for concurrency burden. If the burden is real and convex, integration cells are systematically understaffed during peak tempo, the marginal automation dollar is most valuable precisely when concurrency is highest, and sequencing major integrations rather than stacking them protects individual projects from a load that intrinsic complexity alone does not capture. If the burden is instead an artifact of more total work or harder individual missions, then concurrency caps are the wrong lever, and the field should manage aggregate load and per-mission complexity directly. The two policies are different, they are costly to reverse, and the field currently chooses between them on folk knowledge rather than on evidence.</w:t>
      </w:r>
    </w:p>
    <w:p>
      <w:pPr>
        <w:pStyle w:val="BodyText"/>
        <w:spacing w:line="480" w:lineRule="auto"/>
        <w:ind w:firstLine="720"/>
      </w:pPr>
      <w:r>
        <w:t xml:space="preserve">For JPL the question has an additional sharpness. The Laboratory operates flagship-class missions whose Phase E spending lines run for decades, alongside competed Discovery, New Frontiers, and Scout-class missions whose schedules increasingly overlap in integration and in early operations. The Deep Space Network, the standing mission-operations cadres, and the institutional attention of program management are shared across that portfolio. Whether a marginal mission entering a crowded operations enterprise inherits a contention penalty or amortizes a fixed standing investment is, for JPL, not a theoretical question. It governs how the Laboratory should price proposals, staff cells, and stagger commissioning windows for the next decade of cislunar and deep-space activity.</w:t>
      </w:r>
    </w:p>
    <w:p>
      <w:pPr>
        <w:pStyle w:val="BodyText"/>
        <w:spacing w:line="480" w:lineRule="auto"/>
        <w:ind w:firstLine="720"/>
      </w:pPr>
      <w:r>
        <w:t xml:space="preserve">The operations literature gives partial support to the underlying intuitions without ever isolating concurrency as a variable. Automation is framed as a remedy for operator workload, with surveillance and cataloguing systems credited with automating time-consuming tasks and thereby reducing operator burden</w:t>
      </w:r>
      <w:r>
        <w:t xml:space="preserve"> </w:t>
      </w:r>
      <w:hyperlink w:anchor="ref-1">
        <w:r>
          <w:rPr>
            <w:rStyle w:val="Hyperlink"/>
          </w:rPr>
          <w:t xml:space="preserve">[1]</w:t>
        </w:r>
      </w:hyperlink>
      <w:r>
        <w:t xml:space="preserve">[2][6][25]. The human-factors strand argues that operator attention is a finite resource reallocated under load and that aviation crew-resource-management practice translates to space operations</w:t>
      </w:r>
      <w:r>
        <w:t xml:space="preserve"> </w:t>
      </w:r>
      <w:hyperlink w:anchor="ref-6">
        <w:r>
          <w:rPr>
            <w:rStyle w:val="Hyperlink"/>
          </w:rPr>
          <w:t xml:space="preserve">[6]</w:t>
        </w:r>
      </w:hyperlink>
      <w:r>
        <w:t xml:space="preserve">[24]. The mission-cost literature treats per-mission operations cost as endogenous to architecture and to flight choices</w:t>
      </w:r>
      <w:r>
        <w:t xml:space="preserve"> </w:t>
      </w:r>
      <w:hyperlink w:anchor="ref-3">
        <w:r>
          <w:rPr>
            <w:rStyle w:val="Hyperlink"/>
          </w:rPr>
          <w:t xml:space="preserve">[3]</w:t>
        </w:r>
      </w:hyperlink>
      <w:r>
        <w:t xml:space="preserve">[4][5][29][35]. None of these strands asks whether the number of concurrently open campaigns, holding the difficulty of each campaign fixed, moves either workload or cost. The assertion that concurrency burden is real and separable has remained, until this dissertation, untested.</w:t>
      </w:r>
    </w:p>
    <w:bookmarkEnd w:id="61"/>
    <w:bookmarkStart w:id="62" w:name="X83b0f435ecbabcccd086ed3670d710ce4bcb8f9"/>
    <w:p>
      <w:pPr>
        <w:pStyle w:val="Heading2"/>
        <w:spacing w:line="480" w:lineRule="auto"/>
      </w:pPr>
      <w:r>
        <w:t xml:space="preserve">1.2 The Domain Literature and the Method Literature Do Not Meet</w:t>
      </w:r>
    </w:p>
    <w:p>
      <w:pPr>
        <w:pStyle w:val="FirstParagraph"/>
        <w:spacing w:line="480" w:lineRule="auto"/>
      </w:pPr>
      <w:r>
        <w:t xml:space="preserve">The gap that this dissertation closes lives at the boundary of two literatures that, at present, do not speak to each other in a form that would let the question be answered.</w:t>
      </w:r>
    </w:p>
    <w:p>
      <w:pPr>
        <w:pStyle w:val="BodyText"/>
        <w:spacing w:line="480" w:lineRule="auto"/>
        <w:ind w:firstLine="720"/>
      </w:pPr>
      <w:r>
        <w:t xml:space="preserve">The first is the domain literature on space operations and mission cost. This literature is largely cross-sectional, system-descriptive, and architecture-centric. It evaluates whether a given automation reduces workload on a given task</w:t>
      </w:r>
      <w:r>
        <w:t xml:space="preserve"> </w:t>
      </w:r>
      <w:hyperlink w:anchor="ref-1">
        <w:r>
          <w:rPr>
            <w:rStyle w:val="Hyperlink"/>
          </w:rPr>
          <w:t xml:space="preserve">[1]</w:t>
        </w:r>
      </w:hyperlink>
      <w:r>
        <w:t xml:space="preserve">[2][22][25][26], whether a given propulsion or architecture choice opens a cost-reduction pathway for a mission class</w:t>
      </w:r>
      <w:r>
        <w:t xml:space="preserve"> </w:t>
      </w:r>
      <w:hyperlink w:anchor="ref-3">
        <w:r>
          <w:rPr>
            <w:rStyle w:val="Hyperlink"/>
          </w:rPr>
          <w:t xml:space="preserve">[3]</w:t>
        </w:r>
      </w:hyperlink>
      <w:r>
        <w:t xml:space="preserve">, how operational constraints discovered in flight reshape maneuver decisions and their cost</w:t>
      </w:r>
      <w:r>
        <w:t xml:space="preserve"> </w:t>
      </w:r>
      <w:hyperlink w:anchor="ref-4">
        <w:r>
          <w:rPr>
            <w:rStyle w:val="Hyperlink"/>
          </w:rPr>
          <w:t xml:space="preserve">[4]</w:t>
        </w:r>
      </w:hyperlink>
      <w:r>
        <w:t xml:space="preserve">[14], and how modularity and on-orbit servicing trade unit cost against added operational complexity</w:t>
      </w:r>
      <w:r>
        <w:t xml:space="preserve"> </w:t>
      </w:r>
      <w:hyperlink w:anchor="ref-5">
        <w:r>
          <w:rPr>
            <w:rStyle w:val="Hyperlink"/>
          </w:rPr>
          <w:t xml:space="preserve">[5]</w:t>
        </w:r>
      </w:hyperlink>
      <w:r>
        <w:t xml:space="preserve">[35]. Concurrent operations are in the background of every operations floor that these papers describe, but they are never the treatment. NASA mission-operations cost estimation tools, including the Mission Operations Cost Estimation Tool (MOCET), model Phase E cost as a function of spacecraft class, instrument complement, data volume, and mission duration, and recognize that the marginal mission is operated inside a portfolio rather than alone, but they do not carry an organization-level term for concurrent campaign load</w:t>
      </w:r>
      <w:r>
        <w:t xml:space="preserve"> </w:t>
      </w:r>
      <w:hyperlink w:anchor="ref-13">
        <w:r>
          <w:rPr>
            <w:rStyle w:val="Hyperlink"/>
          </w:rPr>
          <w:t xml:space="preserve">[13]</w:t>
        </w:r>
      </w:hyperlink>
      <w:r>
        <w:t xml:space="preserve">. The domain literature thus furnishes the constructs (workload, operations cost, integration tempo) and the mechanisms (contention for ground-segment resources, attention scarcity, crew resource management) but stops short of a panel-econometric test.</w:t>
      </w:r>
    </w:p>
    <w:p>
      <w:pPr>
        <w:pStyle w:val="BodyText"/>
        <w:spacing w:line="480" w:lineRule="auto"/>
        <w:ind w:firstLine="720"/>
      </w:pPr>
      <w:r>
        <w:t xml:space="preserve">The second is the method literature on panel data and on the identification of organizational burden from observational records. Dwyer, Szajnfarber, Cameron, and Crawley demonstrate that organizational structure, specifically the jointness of a program across agencies, can induce cost growth through coordination friction even when engineering content is held fixed</w:t>
      </w:r>
      <w:r>
        <w:t xml:space="preserve"> </w:t>
      </w:r>
      <w:hyperlink w:anchor="ref-8">
        <w:r>
          <w:rPr>
            <w:rStyle w:val="Hyperlink"/>
          </w:rPr>
          <w:t xml:space="preserve">[8]</w:t>
        </w:r>
      </w:hyperlink>
      <w:r>
        <w:t xml:space="preserve">. Their argument generalizes: any arrangement that forces a project to compete for, or wait on, shared organizational resources can raise its cost. That generalization is the latent claim of the present dissertation. The method literature on fixed-effects panel estimation, instrumental variables, and event-study designs around exogenous step-changes is mature and well understood. It has rarely been brought into contact with space-operations panels, in part because the panels themselves have not been assembled in the form that the method requires.</w:t>
      </w:r>
    </w:p>
    <w:p>
      <w:pPr>
        <w:pStyle w:val="BodyText"/>
        <w:spacing w:line="480" w:lineRule="auto"/>
        <w:ind w:firstLine="720"/>
      </w:pPr>
      <w:r>
        <w:t xml:space="preserve">The two literatures therefore have complementary deficits. The domain literature has the question but not the instrument. The method literature has the instrument but has not been pointed at the question. The contribution of this dissertation is to construct the panel, apply the instrument, and report the answer, with the threats to identification stated candidly and the result, whatever its sign, allowed to stand on its own evidentiary footing. The two pilot papers that precede the dissertation, one on development-phase cost growth across the GAO Assessments of Major Projects series</w:t>
      </w:r>
      <w:r>
        <w:t xml:space="preserve"> </w:t>
      </w:r>
      <w:hyperlink w:anchor="ref-7">
        <w:r>
          <w:rPr>
            <w:rStyle w:val="Hyperlink"/>
          </w:rPr>
          <w:t xml:space="preserve">[7]</w:t>
        </w:r>
      </w:hyperlink>
      <w:r>
        <w:t xml:space="preserve">[8][9][10][11][12] and one on Phase E operations cost across nineteen deep-space science missions</w:t>
      </w:r>
      <w:r>
        <w:t xml:space="preserve"> </w:t>
      </w:r>
      <w:hyperlink w:anchor="ref-13">
        <w:r>
          <w:rPr>
            <w:rStyle w:val="Hyperlink"/>
          </w:rPr>
          <w:t xml:space="preserve">[13]</w:t>
        </w:r>
      </w:hyperlink>
      <w:r>
        <w:t xml:space="preserve">[15][16][17][18][19][20], have already established that the joint application is feasible and that the directional findings differ across phases. The development panel returns a positive, directionally consistent, but underpowered tempo coefficient; the Phase E panel returns a precise null. Those two pilot results, reported honestly, motivate the dissertation’s larger panel and its mixed-method extension.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tests one claim with one estimable parameter. Let the unit of observation be an integration organization indexed by</w:t>
      </w:r>
      <w:r>
        <w:t xml:space="preserve"> </w:t>
      </w:r>
      <w:r>
        <w:rPr>
          <w:i/>
          <w:iCs/>
        </w:rPr>
        <w:t xml:space="preserve">i</w:t>
      </w:r>
      <w:r>
        <w:t xml:space="preserve"> </w:t>
      </w:r>
      <w:r>
        <w:t xml:space="preserve">in quarter</w:t>
      </w:r>
      <w:r>
        <w:t xml:space="preserve"> </w:t>
      </w:r>
      <w:r>
        <w:rPr>
          <w:i/>
          <w:iCs/>
        </w:rPr>
        <w:t xml:space="preserve">t</w:t>
      </w:r>
      <w:r>
        <w:t xml:space="preserve">. Let concurrency</w:t>
      </w:r>
      <w:r>
        <w:t xml:space="preserve"> </w:t>
      </w:r>
      <w:r>
        <w:rPr>
          <w:i/>
          <w:iCs/>
        </w:rPr>
        <w:t xml:space="preserve">C_it</w:t>
      </w:r>
      <w:r>
        <w:t xml:space="preserve"> </w:t>
      </w:r>
      <w:r>
        <w:t xml:space="preserve">denote the count of campaigns the organization holds simultaneously open during the quarter, defined to be distinct from the aggregate mission-quarters of work it performs and from the average complexity of those campaigns. Let the outcomes be operator workload</w:t>
      </w:r>
      <w:r>
        <w:t xml:space="preserve"> </w:t>
      </w:r>
      <w:r>
        <w:rPr>
          <w:i/>
          <w:iCs/>
        </w:rPr>
        <w:t xml:space="preserve">W_it</w:t>
      </w:r>
      <w:r>
        <w:t xml:space="preserve">, measured as operator-hours-per-mission or as a staffing-intensity proxy, and per-mission operations cost</w:t>
      </w:r>
      <w:r>
        <w:t xml:space="preserve"> </w:t>
      </w:r>
      <w:r>
        <w:rPr>
          <w:i/>
          <w:iCs/>
        </w:rPr>
        <w:t xml:space="preserve">K_it</w:t>
      </w:r>
      <w:r>
        <w:t xml:space="preserve">. With organization fixed effects</w:t>
      </w:r>
      <w:r>
        <w:t xml:space="preserve"> </w:t>
      </w:r>
      <w:r>
        <w:rPr>
          <w:i/>
          <w:iCs/>
        </w:rPr>
        <w:t xml:space="preserve">alpha_i</w:t>
      </w:r>
      <w:r>
        <w:t xml:space="preserve"> </w:t>
      </w:r>
      <w:r>
        <w:t xml:space="preserve">and time fixed effects</w:t>
      </w:r>
      <w:r>
        <w:t xml:space="preserve"> </w:t>
      </w:r>
      <w:r>
        <w:rPr>
          <w:i/>
          <w:iCs/>
        </w:rPr>
        <w:t xml:space="preserve">tau_t</w:t>
      </w:r>
      <w:r>
        <w:t xml:space="preserve">, the estimating equation is</w:t>
      </w:r>
    </w:p>
    <w:p>
      <w:pPr>
        <w:pStyle w:val="BodyText"/>
        <w:spacing w:line="480" w:lineRule="auto"/>
        <w:ind w:firstLine="720"/>
      </w:pPr>
      <w:r>
        <w:rPr>
          <w:i/>
          <w:iCs/>
        </w:rPr>
        <w:t xml:space="preserve">Y_it = beta · C_it + gamma · Complexity_it + delta · AggregateLoad_it + alpha_i + tau_t + epsilon_it</w:t>
      </w:r>
    </w:p>
    <w:p>
      <w:pPr>
        <w:pStyle w:val="BodyText"/>
        <w:spacing w:line="480" w:lineRule="auto"/>
        <w:ind w:firstLine="720"/>
      </w:pPr>
      <w:r>
        <w:t xml:space="preserve">where</w:t>
      </w:r>
      <w:r>
        <w:t xml:space="preserve"> </w:t>
      </w:r>
      <w:r>
        <w:rPr>
          <w:i/>
          <w:iCs/>
        </w:rPr>
        <w:t xml:space="preserve">Y</w:t>
      </w:r>
      <w:r>
        <w:t xml:space="preserve"> </w:t>
      </w:r>
      <w:r>
        <w:t xml:space="preserve">is</w:t>
      </w:r>
      <w:r>
        <w:t xml:space="preserve"> </w:t>
      </w:r>
      <w:r>
        <w:rPr>
          <w:i/>
          <w:iCs/>
        </w:rPr>
        <w:t xml:space="preserve">W</w:t>
      </w:r>
      <w:r>
        <w:t xml:space="preserve"> </w:t>
      </w:r>
      <w:r>
        <w:t xml:space="preserve">or</w:t>
      </w:r>
      <w:r>
        <w:t xml:space="preserve"> </w:t>
      </w:r>
      <w:r>
        <w:rPr>
          <w:i/>
          <w:iCs/>
        </w:rPr>
        <w:t xml:space="preserve">K</w:t>
      </w:r>
      <w:r>
        <w:t xml:space="preserve"> </w:t>
      </w:r>
      <w:r>
        <w:t xml:space="preserve">in turn. The null hypothesis H0 is that beta equals zero: once aggregate load and per-mission complexity are controlled, concurrency has no separable effect on operator workload or per-mission operations cost, and apparent concurrency burden is fully explained by total work and by harder missions. The alternative H1 is that beta is strictly positive and that the relationship is convex in</w:t>
      </w:r>
      <w:r>
        <w:t xml:space="preserve"> </w:t>
      </w:r>
      <w:r>
        <w:rPr>
          <w:i/>
          <w:iCs/>
        </w:rPr>
        <w:t xml:space="preserve">C_it</w:t>
      </w:r>
      <w:r>
        <w:t xml:space="preserve">, identified by a positive coefficient on a second-order term or on a restricted cubic spline in</w:t>
      </w:r>
      <w:r>
        <w:t xml:space="preserve"> </w:t>
      </w:r>
      <w:r>
        <w:rPr>
          <w:i/>
          <w:iCs/>
        </w:rPr>
        <w:t xml:space="preserve">C_it</w:t>
      </w:r>
      <w:r>
        <w:t xml:space="preserve">. Convexity is the substantive content of the practitioner claim that concurrency burden scales faster than the campaign count alone, and so the dissertation tests not only the sign but also the curvature.</w:t>
      </w:r>
    </w:p>
    <w:p>
      <w:pPr>
        <w:pStyle w:val="BodyText"/>
        <w:spacing w:line="480" w:lineRule="auto"/>
        <w:ind w:firstLine="720"/>
      </w:pPr>
      <w:r>
        <w:t xml:space="preserve">The contribution is the sign, the magnitude, and the curvature of beta, estimated for the first time from a real operations panel. Rejecting H0 establishes concurrency burden as a measurable construct and gives integration organizations, including JPL, a defensible functional form for staffing and automation decisions. Failing to reject H0 is equally publishable and equally decision-relevant: it would redirect the field from concurrency caps toward the direct management of complexity and aggregate load. The dissertation commits in advance to reporting whichever result the data return.</w:t>
      </w:r>
    </w:p>
    <w:p>
      <w:pPr>
        <w:pStyle w:val="BodyText"/>
        <w:spacing w:line="480" w:lineRule="auto"/>
        <w:ind w:firstLine="720"/>
      </w:pPr>
      <w:r>
        <w:t xml:space="preserve">The construct of concurrency itself is operationalized from a real, openly licensed, continuously updated source. The CelesTrak Satellite Catalog (SATCAT), maintained by Dr. T. S. Kelso, records every catalogued payload with its operator/owner field, its launch date, and its operational status. From SATCAT the dissertation constructs an organization-by-quarter panel in which the operator/owner field defines the integration organization</w:t>
      </w:r>
      <w:r>
        <w:t xml:space="preserve"> </w:t>
      </w:r>
      <w:r>
        <w:rPr>
          <w:i/>
          <w:iCs/>
        </w:rPr>
        <w:t xml:space="preserve">i</w:t>
      </w:r>
      <w:r>
        <w:t xml:space="preserve">, the set of payloads with launch or commissioning activity overlapping quarter</w:t>
      </w:r>
      <w:r>
        <w:t xml:space="preserve"> </w:t>
      </w:r>
      <w:r>
        <w:rPr>
          <w:i/>
          <w:iCs/>
        </w:rPr>
        <w:t xml:space="preserve">t</w:t>
      </w:r>
      <w:r>
        <w:t xml:space="preserve"> </w:t>
      </w:r>
      <w:r>
        <w:t xml:space="preserve">defines the concurrency count</w:t>
      </w:r>
      <w:r>
        <w:t xml:space="preserve"> </w:t>
      </w:r>
      <w:r>
        <w:rPr>
          <w:i/>
          <w:iCs/>
        </w:rPr>
        <w:t xml:space="preserve">C_it</w:t>
      </w:r>
      <w:r>
        <w:t xml:space="preserve">, cumulative active payloads define</w:t>
      </w:r>
      <w:r>
        <w:t xml:space="preserve"> </w:t>
      </w:r>
      <w:r>
        <w:rPr>
          <w:i/>
          <w:iCs/>
        </w:rPr>
        <w:t xml:space="preserve">AggregateLoad_it</w:t>
      </w:r>
      <w:r>
        <w:t xml:space="preserve">, and per-mission complexity</w:t>
      </w:r>
      <w:r>
        <w:t xml:space="preserve"> </w:t>
      </w:r>
      <w:r>
        <w:rPr>
          <w:i/>
          <w:iCs/>
        </w:rPr>
        <w:t xml:space="preserve">Complexity_it</w:t>
      </w:r>
      <w:r>
        <w:t xml:space="preserve"> </w:t>
      </w:r>
      <w:r>
        <w:t xml:space="preserve">is proxied from catalog attributes including mass class, orbit regime, and multi-payload manifest indicators. Operations cost</w:t>
      </w:r>
      <w:r>
        <w:t xml:space="preserve"> </w:t>
      </w:r>
      <w:r>
        <w:rPr>
          <w:i/>
          <w:iCs/>
        </w:rPr>
        <w:t xml:space="preserve">K_it</w:t>
      </w:r>
      <w:r>
        <w:t xml:space="preserve"> </w:t>
      </w:r>
      <w:r>
        <w:t xml:space="preserve">is joined from public budget and contract records for government and institutional operators, including NASA and ESA mission-operations budget lines and publicly reported per-mission operations costs of the kind documented for the Mars Reconnaissance Orbiter, OSIRIS-REx, Mars 2020 Perseverance, and Mars Science Laboratory</w:t>
      </w:r>
      <w:r>
        <w:t xml:space="preserve"> </w:t>
      </w:r>
      <w:hyperlink w:anchor="ref-17">
        <w:r>
          <w:rPr>
            <w:rStyle w:val="Hyperlink"/>
          </w:rPr>
          <w:t xml:space="preserve">[17]</w:t>
        </w:r>
      </w:hyperlink>
      <w:r>
        <w:t xml:space="preserve">[18][19][20]. Operator workload</w:t>
      </w:r>
      <w:r>
        <w:t xml:space="preserve"> </w:t>
      </w:r>
      <w:r>
        <w:rPr>
          <w:i/>
          <w:iCs/>
        </w:rPr>
        <w:t xml:space="preserve">W_it</w:t>
      </w:r>
      <w:r>
        <w:t xml:space="preserve"> </w:t>
      </w:r>
      <w:r>
        <w:t xml:space="preserve">is proxied through documented staffing intensity and automation-adoption indicators reported in the operations literature and operator disclosures</w:t>
      </w:r>
      <w:r>
        <w:t xml:space="preserve"> </w:t>
      </w:r>
      <w:hyperlink w:anchor="ref-1">
        <w:r>
          <w:rPr>
            <w:rStyle w:val="Hyperlink"/>
          </w:rPr>
          <w:t xml:space="preserve">[1]</w:t>
        </w:r>
      </w:hyperlink>
      <w:r>
        <w:t xml:space="preserve">[2][6][13]. Every join key, transformation, and exclusion is logged, so the panel is reconstructable from the public SATCAT release. The dissertation does not fabricate quantities; where the cost or workload layer is thin, the quantitative claim is scoped to the operators with adequate coverage, and the qualitative strand carries the inference for the remainder.</w:t>
      </w:r>
    </w:p>
    <w:p>
      <w:pPr>
        <w:pStyle w:val="BodyText"/>
        <w:spacing w:line="480" w:lineRule="auto"/>
        <w:ind w:firstLine="720"/>
      </w:pPr>
      <w:r>
        <w:t xml:space="preserve">Identification rests on three features. First, organization fixed effects absorb time-invariant differences in baseline efficiency, automation maturity, and mission mix. Second, time fixed effects absorb sector-wide tempo trends and shared cost shocks, so beta is identified from within-organization, within-quarter deviations in concurrency. Third, the explicit aggregate-load and complexity controls separate concurrency from total volume and from per-mission difficulty, which is the precise confound that the descriptive literature leaves unaddressed</w:t>
      </w:r>
      <w:r>
        <w:t xml:space="preserve"> </w:t>
      </w:r>
      <w:hyperlink w:anchor="ref-1">
        <w:r>
          <w:rPr>
            <w:rStyle w:val="Hyperlink"/>
          </w:rPr>
          <w:t xml:space="preserve">[1]</w:t>
        </w:r>
      </w:hyperlink>
      <w:r>
        <w:t xml:space="preserve">[2][3][4]. The convexity test adds a quadratic in</w:t>
      </w:r>
      <w:r>
        <w:t xml:space="preserve"> </w:t>
      </w:r>
      <w:r>
        <w:rPr>
          <w:i/>
          <w:iCs/>
        </w:rPr>
        <w:t xml:space="preserve">C_it</w:t>
      </w:r>
      <w:r>
        <w:t xml:space="preserve"> </w:t>
      </w:r>
      <w:r>
        <w:t xml:space="preserve">or a restricted cubic spline. The instrumental-variable robustness uses exogenous manifest-driven concurrency, where the timing of campaigns is set by launch-vehicle availability rather than by the integration organization, and the event-study robustness exploits within-organization step-changes in concurrency. A surviving correlation between concurrency and unobserved within-organization shocks would bias beta, and the dissertation reports this candidly.</w:t>
      </w:r>
    </w:p>
    <w:p>
      <w:pPr>
        <w:pStyle w:val="BodyText"/>
        <w:spacing w:line="480" w:lineRule="auto"/>
        <w:ind w:firstLine="720"/>
      </w:pPr>
      <w:r>
        <w:t xml:space="preserve">The qualitative strand triangulates beta against operator and integration-lead accounts of what concurrency does to attention, to handoffs, and to crew-resource-management practice</w:t>
      </w:r>
      <w:r>
        <w:t xml:space="preserve"> </w:t>
      </w:r>
      <w:hyperlink w:anchor="ref-6">
        <w:r>
          <w:rPr>
            <w:rStyle w:val="Hyperlink"/>
          </w:rPr>
          <w:t xml:space="preserve">[6]</w:t>
        </w:r>
      </w:hyperlink>
      <w:r>
        <w:t xml:space="preserve">[24]. The qualitative coding is pre-registered against the estimated effect, so the interviews test the proposed mechanism rather than illustrate the regression. Divergence between the estimated beta and the operator accounts is treated as a finding rather than smoothed away. The mixed-method commitment is therefore not decorative; it is the design feature that lets the dissertation distinguish a real mechanism from a measurement artifact in either direction.</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in seven chapters. Chapter 2 reviews the three literatures that bound the problem: the workload-and-automation strand in space operations</w:t>
      </w:r>
      <w:r>
        <w:t xml:space="preserve"> </w:t>
      </w:r>
      <w:hyperlink w:anchor="ref-1">
        <w:r>
          <w:rPr>
            <w:rStyle w:val="Hyperlink"/>
          </w:rPr>
          <w:t xml:space="preserve">[1]</w:t>
        </w:r>
      </w:hyperlink>
      <w:r>
        <w:t xml:space="preserve">[2][6][22][24][25][26], the mission-cost strand that treats Phase E and life-cycle cost as endogenous to architecture and to flight</w:t>
      </w:r>
      <w:r>
        <w:t xml:space="preserve"> </w:t>
      </w:r>
      <w:hyperlink w:anchor="ref-3">
        <w:r>
          <w:rPr>
            <w:rStyle w:val="Hyperlink"/>
          </w:rPr>
          <w:t xml:space="preserve">[3]</w:t>
        </w:r>
      </w:hyperlink>
      <w:r>
        <w:t xml:space="preserve">[4][5][13][15][16][29][35], and the organizational-coordination strand whose generalization of joint-program friction motivates the concurrency-burden hypothesis</w:t>
      </w:r>
      <w:r>
        <w:t xml:space="preserve"> </w:t>
      </w:r>
      <w:hyperlink w:anchor="ref-8">
        <w:r>
          <w:rPr>
            <w:rStyle w:val="Hyperlink"/>
          </w:rPr>
          <w:t xml:space="preserve">[8]</w:t>
        </w:r>
      </w:hyperlink>
      <w:r>
        <w:t xml:space="preserve">. The chapter situates these strands relative to one another and identifies the specific point at which the panel-econometric method must enter.</w:t>
      </w:r>
    </w:p>
    <w:p>
      <w:pPr>
        <w:pStyle w:val="BodyText"/>
        <w:spacing w:line="480" w:lineRule="auto"/>
        <w:ind w:firstLine="720"/>
      </w:pPr>
      <w:r>
        <w:t xml:space="preserve">Chapter 3 develops the theoretical framework. It formalizes the three mechanisms that connect concurrent campaign load to workload and to operations cost: contention for shared review, integration, and ground-segment infrastructure; coordination overhead that grows faster than linearly in the number of active campaigns; and attention scarcity that lengthens anomaly resolution and replanning. It states the convexity prediction in a form that the empirical specification can falsify, and it distinguishes the contention prediction from the competing economies-of-scale prediction implicit in fixed-investment standing infrastructure</w:t>
      </w:r>
      <w:r>
        <w:t xml:space="preserve"> </w:t>
      </w:r>
      <w:hyperlink w:anchor="ref-13">
        <w:r>
          <w:rPr>
            <w:rStyle w:val="Hyperlink"/>
          </w:rPr>
          <w:t xml:space="preserve">[13]</w:t>
        </w:r>
      </w:hyperlink>
      <w:r>
        <w:t xml:space="preserve">.</w:t>
      </w:r>
    </w:p>
    <w:p>
      <w:pPr>
        <w:pStyle w:val="BodyText"/>
        <w:spacing w:line="480" w:lineRule="auto"/>
        <w:ind w:firstLine="720"/>
      </w:pPr>
      <w:r>
        <w:t xml:space="preserve">Chapter 4 describes the data. It documents the SATCAT spine, the operator/owner taxonomy, the construction of</w:t>
      </w:r>
      <w:r>
        <w:t xml:space="preserve"> </w:t>
      </w:r>
      <w:r>
        <w:rPr>
          <w:i/>
          <w:iCs/>
        </w:rPr>
        <w:t xml:space="preserve">C_it</w:t>
      </w:r>
      <w:r>
        <w:t xml:space="preserve">,</w:t>
      </w:r>
      <w:r>
        <w:t xml:space="preserve"> </w:t>
      </w:r>
      <w:r>
        <w:rPr>
          <w:i/>
          <w:iCs/>
        </w:rPr>
        <w:t xml:space="preserve">AggregateLoad_it</w:t>
      </w:r>
      <w:r>
        <w:t xml:space="preserve">, and the complexity proxies, the cost layer joined from NASA and ESA budget and contract records, and the workload proxies drawn from the operations literature and from operator disclosures. The chapter reports the coverage of each layer by operator and by quarter, and it states the scope conditions under which the quantitative claim is intended to hold.</w:t>
      </w:r>
    </w:p>
    <w:p>
      <w:pPr>
        <w:pStyle w:val="BodyText"/>
        <w:spacing w:line="480" w:lineRule="auto"/>
        <w:ind w:firstLine="720"/>
      </w:pPr>
      <w:r>
        <w:t xml:space="preserve">Chapter 5 presents the quantitative results. It estimates the fixed-effects panel model on the full SATCAT-derived organization-by-quarter panel, reports the sign, magnitude, and curvature of beta for workload and for operations cost, and presents the instrumental-variable and event-study robustness checks. It situates these results against the two pilot panels: the development-phase tempo pilot, which returned a positive but underpowered tempo coefficient consistent with H1 in direction but not in significance, and the Phase E pilot, which returned a precise null on a count-based tempo measure. The dissertation panel is constructed precisely to resolve the imprecision of the first pilot and to refine the tempo measure of the second.</w:t>
      </w:r>
    </w:p>
    <w:p>
      <w:pPr>
        <w:pStyle w:val="BodyText"/>
        <w:spacing w:line="480" w:lineRule="auto"/>
        <w:ind w:firstLine="720"/>
      </w:pPr>
      <w:r>
        <w:t xml:space="preserve">Chapter 6 presents the qualitative results. It reports the structured interviews with integration leads and operators, codes them against the pre-registered mechanism, and reports divergences from the quantitative estimate where they arise. It treats the qualitative material as a parallel test of the mechanism rather than as illustration.</w:t>
      </w:r>
    </w:p>
    <w:p>
      <w:pPr>
        <w:pStyle w:val="BodyText"/>
        <w:spacing w:line="480" w:lineRule="auto"/>
        <w:ind w:firstLine="720"/>
      </w:pPr>
      <w:r>
        <w:t xml:space="preserve">Chapter 7 integrates the quantitative and qualitative findings, addresses the threats to validity that the prospectus identified (construct validity of concurrency, selection into concurrency, outcome measurement, complexity confound, and external validity), and states the scope conditions under which the headline result is intended to generalize. It draws the policy implications for NASA portfolio managers and for JPL specifically, including the operational decisions about sequencing major integrations, sizing standing mission-operations cadres, and timing automation investment to peak-concurrency quarters.</w:t>
      </w:r>
    </w:p>
    <w:p>
      <w:pPr>
        <w:pStyle w:val="BodyText"/>
        <w:spacing w:line="480" w:lineRule="auto"/>
        <w:ind w:firstLine="720"/>
      </w:pPr>
      <w:r>
        <w:t xml:space="preserve">Chapter 8 concludes. It states what the dissertation has and has not shown, what the next panel extensions should pursue (a tempo measure weighted by Deep Space Network tracking hours and by overlapping critical-event windows; an extension to commercial operators with disclosure-rich budget records; a longer backward extension across additional GAO cycles), and how the result should and should not be used in proposal pricing, in staffing decisions, and in the design of integration cells. The dissertation’s commitment, stated here and honored throughout, is that the contribution is the falsifiable test rather than a particular finding, and that the value of the result lies in its reproducibility from the public SATCAT release and the named cost and workload sources.</w:t>
      </w:r>
    </w:p>
    <w:p>
      <w:pPr>
        <w:pStyle w:val="BodyText"/>
        <w:spacing w:line="480" w:lineRule="auto"/>
        <w:ind w:firstLine="720"/>
      </w:pPr>
      <w:r>
        <w:t xml:space="preserve">A note on the relationship between this dissertation and the two pilot papers that precede it. The development-phase pilot estimated a pooled cross-section model on thirty-two GAO-documented project observations across the 2019, 2023, 2024, and 2025 assessment cycles, returning a positive portfolio-concurrency coefficient of approximately 1.45 percentage points of cost growth per additional concurrent major project, with the sign matching the tempo-burden hypothesis but the estimate failing to reach conventional significance</w:t>
      </w:r>
      <w:r>
        <w:t xml:space="preserve"> </w:t>
      </w:r>
      <w:hyperlink w:anchor="ref-7">
        <w:r>
          <w:rPr>
            <w:rStyle w:val="Hyperlink"/>
          </w:rPr>
          <w:t xml:space="preserve">[7]</w:t>
        </w:r>
      </w:hyperlink>
      <w:r>
        <w:t xml:space="preserve">[8][9][10][11][12]. The Phase E pilot estimated a log-linear model on nineteen NASA deep-space science missions launched between 1997 and 2023, returning a precisely estimated null on tempo (coefficient of negative 0.0084, p of 0.861) alongside a strong and significant flagship-class effect and a significant linear effect of prime mission duration</w:t>
      </w:r>
      <w:r>
        <w:t xml:space="preserve"> </w:t>
      </w:r>
      <w:hyperlink w:anchor="ref-13">
        <w:r>
          <w:rPr>
            <w:rStyle w:val="Hyperlink"/>
          </w:rPr>
          <w:t xml:space="preserve">[13]</w:t>
        </w:r>
      </w:hyperlink>
      <w:r>
        <w:t xml:space="preserve">[15][16][17][18][19][20]. The dissertation interprets these two pilot results not as competing answers but as evidence that the tempo effect, if it exists, is phase-specific and measurement-specific. The development phase is plausibly where contention for shared review and integration infrastructure bites, and the Phase E phase is plausibly where standing operations infrastructure amortizes that contention away. The full panel extends both pilots in coverage and in measurement, and resolves the phase-specificity question on a single unified specification. The structural place of this dissertation, then, is to do for concurrency burden what the joint-program literature did for coordination friction in joint programs</w:t>
      </w:r>
      <w:r>
        <w:t xml:space="preserve"> </w:t>
      </w:r>
      <w:hyperlink w:anchor="ref-8">
        <w:r>
          <w:rPr>
            <w:rStyle w:val="Hyperlink"/>
          </w:rPr>
          <w:t xml:space="preserve">[8]</w:t>
        </w:r>
      </w:hyperlink>
      <w:r>
        <w:t xml:space="preserve">: convert a widely asserted but never-estimated organizational mechanism into a measurable, falsifiable, and decision-relevant quantity, and report the answer honestly.</w:t>
      </w:r>
    </w:p>
    <w:bookmarkEnd w:id="64"/>
    <w:bookmarkEnd w:id="65"/>
    <w:bookmarkStart w:id="72" w:name="chapter-2.-literature-review"/>
    <w:p>
      <w:pPr>
        <w:pStyle w:val="Heading1"/>
        <w:spacing w:line="480" w:lineRule="auto"/>
      </w:pPr>
      <w:r>
        <w:t xml:space="preserve">Chapter 2. Literature Review</w:t>
      </w:r>
    </w:p>
    <w:bookmarkStart w:id="66" w:name="X6ba3424d6e8491558c660646009f649aa27cb83"/>
    <w:p>
      <w:pPr>
        <w:pStyle w:val="Heading2"/>
        <w:spacing w:line="480" w:lineRule="auto"/>
      </w:pPr>
      <w:r>
        <w:t xml:space="preserve">2.1 Orientation and Organization of the Review</w:t>
      </w:r>
    </w:p>
    <w:p>
      <w:pPr>
        <w:pStyle w:val="FirstParagraph"/>
        <w:spacing w:line="480" w:lineRule="auto"/>
      </w:pPr>
      <w:r>
        <w:t xml:space="preserve">This chapter surveys the two bodies of scholarship that this dissertation seeks to join. The first is the domain technical literature on space mission integration, operations, surveillance automation, human factors on the operations floor, and architecture-driven cost modeling. The second is the methodological literature, primarily cliometric and econometric in spirit, that has supplied tools for measuring management burden, organizational learning, and portfolio-level cost dynamics in capital-intensive technical enterprises. Each literature has matured to a high degree of internal sophistication. Neither has been used to interrogate the other on the specific question that motivates this dissertation, namely whether the concurrent campaign load held by a mission-integration organization exerts a measurable and separable effect on operator workload and per-mission operations cost, holding aggregate work and per-mission complexity fixed.</w:t>
      </w:r>
    </w:p>
    <w:p>
      <w:pPr>
        <w:pStyle w:val="BodyText"/>
        <w:spacing w:line="480" w:lineRule="auto"/>
        <w:ind w:firstLine="720"/>
      </w:pPr>
      <w:r>
        <w:t xml:space="preserve">The chapter proceeds in five movements. Section 2.2 reviews the technical literature on automation, surveillance, and the operator workload it is intended to reduce. Section 2.3 reviews the architecture-and-cost literature that treats per-mission operations cost as endogenous to design choices. Section 2.4 takes up the human-factors and crew-resource-management strand that is conceptually closest to the question of concurrency. Section 2.5 reviews the panel and cross-sectional econometric literature, both the work undertaken within space-systems scholarship and the borrowed cliometric apparatus that supplies the identification machinery for the dissertation. Section 2.6 synthesizes both strands, identifies the precise gap that the dissertation closes, and lays out the conceptual scaffolding that Chapter 3 will translate into estimating equations.</w:t>
      </w:r>
    </w:p>
    <w:p>
      <w:pPr>
        <w:pStyle w:val="BodyText"/>
        <w:spacing w:line="480" w:lineRule="auto"/>
        <w:ind w:firstLine="720"/>
      </w:pPr>
      <w:r>
        <w:t xml:space="preserve">A note on register is appropriate. The technical literature, particularly the AMOS conference proceedings, is engineering-descriptive: it documents systems, capabilities, and observed behavior, often with the operational confidence of practitioners reporting on machines they built. The econometric literature is identification-anxious: it spends most of its effort on the conditions under which an estimated coefficient may be interpreted causally. The dissertation lives at the intersection, and the review therefore reads both literatures for what they offer the other, rather than as parallel monographs.</w:t>
      </w:r>
    </w:p>
    <w:bookmarkEnd w:id="66"/>
    <w:bookmarkStart w:id="67" w:name="the-workload-and-automation-strand"/>
    <w:p>
      <w:pPr>
        <w:pStyle w:val="Heading2"/>
        <w:spacing w:line="480" w:lineRule="auto"/>
      </w:pPr>
      <w:r>
        <w:t xml:space="preserve">2.2 The Workload-and-Automation Strand</w:t>
      </w:r>
    </w:p>
    <w:p>
      <w:pPr>
        <w:pStyle w:val="FirstParagraph"/>
        <w:spacing w:line="480" w:lineRule="auto"/>
      </w:pPr>
      <w:r>
        <w:t xml:space="preserve">The premise of the workload-and-automation literature is that operator workload is a real, measurable, and policy-relevant property of a space operations enterprise, and that automation is the principal lever used to manage it. This premise is older than the specific systems described in the contemporary literature, but it is in the modern surveillance and space domain awareness systems that the workload-versus-automation tradeoff is most fully articulated.</w:t>
      </w:r>
    </w:p>
    <w:p>
      <w:pPr>
        <w:pStyle w:val="BodyText"/>
        <w:spacing w:line="480" w:lineRule="auto"/>
        <w:ind w:firstLine="720"/>
      </w:pPr>
      <w:r>
        <w:t xml:space="preserve">The AN/FSY-3 Space Fence system supplies the canonical reference for automation as workload-reduction at scale. Hack, Carbaugh, and Simon describe a phased-array surveillance system whose entire operational concept is built around removing operator labor from the catalog-maintenance task</w:t>
      </w:r>
      <w:r>
        <w:t xml:space="preserve"> </w:t>
      </w:r>
      <w:hyperlink w:anchor="ref-1">
        <w:r>
          <w:rPr>
            <w:rStyle w:val="Hyperlink"/>
          </w:rPr>
          <w:t xml:space="preserve">[1]</w:t>
        </w:r>
      </w:hyperlink>
      <w:r>
        <w:t xml:space="preserve">. Track initiation, association, and update operations that previously required operator intervention are automated, and the operations concept presumes that the human role is residual and supervisory rather than continuous and manual. Fonder, Hack, and Hughes extend the same architectural story at the integration level, describing the operations center buildup and the planned capability of the second sensor site, with the explicit framing that the system is designed to deliver workload-reduction benefits across the full catalog</w:t>
      </w:r>
      <w:r>
        <w:t xml:space="preserve"> </w:t>
      </w:r>
      <w:hyperlink w:anchor="ref-25">
        <w:r>
          <w:rPr>
            <w:rStyle w:val="Hyperlink"/>
          </w:rPr>
          <w:t xml:space="preserve">[25]</w:t>
        </w:r>
      </w:hyperlink>
      <w:r>
        <w:t xml:space="preserve">. These descriptions are valuable to the present dissertation because they fix one end of a spectrum: a fully automated surveillance instrument whose design intent is to drive operator workload toward a steady-state floor regardless of catalog growth.</w:t>
      </w:r>
    </w:p>
    <w:p>
      <w:pPr>
        <w:pStyle w:val="BodyText"/>
        <w:spacing w:line="480" w:lineRule="auto"/>
        <w:ind w:firstLine="720"/>
      </w:pPr>
      <w:r>
        <w:t xml:space="preserve">Schultz, Brink, Williams, and Curry advance the description of automation from sensor-side processing into the analyst’s own working process</w:t>
      </w:r>
      <w:r>
        <w:t xml:space="preserve"> </w:t>
      </w:r>
      <w:hyperlink w:anchor="ref-2">
        <w:r>
          <w:rPr>
            <w:rStyle w:val="Hyperlink"/>
          </w:rPr>
          <w:t xml:space="preserve">[2]</w:t>
        </w:r>
      </w:hyperlink>
      <w:r>
        <w:t xml:space="preserve">. Their argument is that automation in space domain awareness now operates over data insights and pedigree, not only over raw track data, and that the workload-reduction benefit accrues precisely where analyst attention is most expensive. They are careful to note that automation does not eliminate the analyst; it relocates the analyst’s attention to interpretive tasks that machines cannot yet perform. The relocation framing is important. Workload is not a quantity that automation simply subtracts; it is a quantity that automation reshapes.</w:t>
      </w:r>
    </w:p>
    <w:p>
      <w:pPr>
        <w:pStyle w:val="BodyText"/>
        <w:spacing w:line="480" w:lineRule="auto"/>
        <w:ind w:firstLine="720"/>
      </w:pPr>
      <w:r>
        <w:t xml:space="preserve">Two more recent contributions sharpen the same point along different axes. Britton, Griffith, and Baptista describe edge computing for onboard processing of electro-optical imagery, locating automation upstream of the operations floor entirely</w:t>
      </w:r>
      <w:r>
        <w:t xml:space="preserve"> </w:t>
      </w:r>
      <w:hyperlink w:anchor="ref-28">
        <w:r>
          <w:rPr>
            <w:rStyle w:val="Hyperlink"/>
          </w:rPr>
          <w:t xml:space="preserve">[28]</w:t>
        </w:r>
      </w:hyperlink>
      <w:r>
        <w:t xml:space="preserve">. The implication for the workload literature is that the unit of analysis for automation effects is no longer a single console, but a distributed pipeline in which the workload-bearing surfaces shift across the system over time. Harris, Rodriguez, Wright, Kadan, and Fletcher describe a physics-based testing and evaluation framework for space domain awareness, which presupposes that the operational system is sufficiently automated that its evaluation requires a synthetic-environment apparatus</w:t>
      </w:r>
      <w:r>
        <w:t xml:space="preserve"> </w:t>
      </w:r>
      <w:hyperlink w:anchor="ref-26">
        <w:r>
          <w:rPr>
            <w:rStyle w:val="Hyperlink"/>
          </w:rPr>
          <w:t xml:space="preserve">[26]</w:t>
        </w:r>
      </w:hyperlink>
      <w:r>
        <w:t xml:space="preserve">. Together, these papers indicate that the technical community now treats the automated baseline as the default and reserves the residual operator role for exception handling, anomaly resolution, and interpretive judgment.</w:t>
      </w:r>
    </w:p>
    <w:p>
      <w:pPr>
        <w:pStyle w:val="BodyText"/>
        <w:spacing w:line="480" w:lineRule="auto"/>
        <w:ind w:firstLine="720"/>
      </w:pPr>
      <w:r>
        <w:t xml:space="preserve">The integration-level literature on commercial and joint operating concepts gives a complementary view. Tippets and colleagues describe the Joint Commercial Operations Common Communications Channel as an integration layer designed to compress the coordination cost imposed on operators by the proliferation of commercial actors</w:t>
      </w:r>
      <w:r>
        <w:t xml:space="preserve"> </w:t>
      </w:r>
      <w:hyperlink w:anchor="ref-23">
        <w:r>
          <w:rPr>
            <w:rStyle w:val="Hyperlink"/>
          </w:rPr>
          <w:t xml:space="preserve">[23]</w:t>
        </w:r>
      </w:hyperlink>
      <w:r>
        <w:t xml:space="preserve">. Bird’s earlier examination of space-situational-awareness data sharing makes the same coordination-cost argument in a different policy context</w:t>
      </w:r>
      <w:r>
        <w:t xml:space="preserve"> </w:t>
      </w:r>
      <w:hyperlink w:anchor="ref-27">
        <w:r>
          <w:rPr>
            <w:rStyle w:val="Hyperlink"/>
          </w:rPr>
          <w:t xml:space="preserve">[27]</w:t>
        </w:r>
      </w:hyperlink>
      <w:r>
        <w:t xml:space="preserve">. Jenkins, Bird, and Catto add an interface-design strand, showing how augmented-reality enhanced common operating pictures are intended to reduce the cognitive load of multi-source integration on the operator</w:t>
      </w:r>
      <w:r>
        <w:t xml:space="preserve"> </w:t>
      </w:r>
      <w:hyperlink w:anchor="ref-22">
        <w:r>
          <w:rPr>
            <w:rStyle w:val="Hyperlink"/>
          </w:rPr>
          <w:t xml:space="preserve">[22]</w:t>
        </w:r>
      </w:hyperlink>
      <w:r>
        <w:t xml:space="preserve">. All three papers acknowledge that operator burden is not exhausted by the volume of data on the console; it is also a function of the number of distinct interfaces, organizations, and authorities that an operator must reconcile in the same shift.</w:t>
      </w:r>
    </w:p>
    <w:p>
      <w:pPr>
        <w:pStyle w:val="BodyText"/>
        <w:spacing w:line="480" w:lineRule="auto"/>
        <w:ind w:firstLine="720"/>
      </w:pPr>
      <w:r>
        <w:t xml:space="preserve">The limitation of this entire strand, for the present dissertation, is also its strength. The literature is system-descriptive and cross-sectional. It establishes that a given automation reduces workload on a given task, in a given operations environment, at a given moment in the system’s lifecycle. It does not, and was not designed to, model workload as a function of the operating tempo of the surrounding organization. The Space Fence is described as if catalog growth were the principal stressor [1, 25]. The space domain awareness automation work is described as if data volume were the principal stressor</w:t>
      </w:r>
      <w:r>
        <w:t xml:space="preserve"> </w:t>
      </w:r>
      <w:hyperlink w:anchor="ref-2">
        <w:r>
          <w:rPr>
            <w:rStyle w:val="Hyperlink"/>
          </w:rPr>
          <w:t xml:space="preserve">[2]</w:t>
        </w:r>
      </w:hyperlink>
      <w:r>
        <w:t xml:space="preserve">. The integration-layer work is described as if interface heterogeneity were the principal stressor [22, 23, 27]. In each case, the number of concurrent campaigns the integration organization holds open is in the background of the operating environment but is never named as the treatment.</w:t>
      </w:r>
    </w:p>
    <w:p>
      <w:pPr>
        <w:pStyle w:val="BodyText"/>
        <w:spacing w:line="480" w:lineRule="auto"/>
        <w:ind w:firstLine="720"/>
      </w:pPr>
      <w:r>
        <w:t xml:space="preserve">This omission is not a defect of the technical literature. It is a consequence of the unit of analysis. A surveillance system or an automation prototype is the right object for an engineering paper; an integration organization across many quarters is not. The present dissertation accordingly imports the workload concept from this literature and changes the unit of analysis.</w:t>
      </w:r>
    </w:p>
    <w:bookmarkEnd w:id="67"/>
    <w:bookmarkStart w:id="68" w:name="the-architecture-and-cost-strand"/>
    <w:p>
      <w:pPr>
        <w:pStyle w:val="Heading2"/>
        <w:spacing w:line="480" w:lineRule="auto"/>
      </w:pPr>
      <w:r>
        <w:t xml:space="preserve">2.3 The Architecture-and-Cost Strand</w:t>
      </w:r>
    </w:p>
    <w:p>
      <w:pPr>
        <w:pStyle w:val="FirstParagraph"/>
        <w:spacing w:line="480" w:lineRule="auto"/>
      </w:pPr>
      <w:r>
        <w:t xml:space="preserve">Per-mission operations cost is the second outcome the dissertation seeks to explain, and it is the subject of a substantial architecture-and-cost literature in space systems. The premise of this literature is that operations cost is not a residual line that emerges from the operations floor, but a designed quantity that is largely fixed at formulation and that reflects choices made about propulsion, payload, modularity, servicing, and mission concept.</w:t>
      </w:r>
    </w:p>
    <w:p>
      <w:pPr>
        <w:pStyle w:val="BodyText"/>
        <w:spacing w:line="480" w:lineRule="auto"/>
        <w:ind w:firstLine="720"/>
      </w:pPr>
      <w:r>
        <w:t xml:space="preserve">Bertolucci, Barato, Toson, and Pavarin model how propulsion system characteristics drive the cost-reduction potential of earth-observation missions at very low altitudes</w:t>
      </w:r>
      <w:r>
        <w:t xml:space="preserve"> </w:t>
      </w:r>
      <w:hyperlink w:anchor="ref-3">
        <w:r>
          <w:rPr>
            <w:rStyle w:val="Hyperlink"/>
          </w:rPr>
          <w:t xml:space="preserve">[3]</w:t>
        </w:r>
      </w:hyperlink>
      <w:r>
        <w:t xml:space="preserve">. The contribution is methodological as much as substantive: the paper shows that the cost-reduction potential of a mission class is the dependent variable, and propulsion characteristics are the independent variable, with the implicit understanding that operations cost responds in patterned ways to design choices upstream of the operations floor. The same logic operates in Traub and colleagues’ in-flight results from BEESAT-4, which document how operational constraints encountered in flight, including aerodynamic collision-avoidance maneuver decisions, reshape both maneuver concepts and their realized cost in operations</w:t>
      </w:r>
      <w:r>
        <w:t xml:space="preserve"> </w:t>
      </w:r>
      <w:hyperlink w:anchor="ref-4">
        <w:r>
          <w:rPr>
            <w:rStyle w:val="Hyperlink"/>
          </w:rPr>
          <w:t xml:space="preserve">[4]</w:t>
        </w:r>
      </w:hyperlink>
      <w:r>
        <w:t xml:space="preserve">. The BEESAT-4 paper is particularly important because it is one of the few empirical reports in the literature that ties operations cost to operational conditions encountered in flight rather than to architecture choices made on paper.</w:t>
      </w:r>
    </w:p>
    <w:p>
      <w:pPr>
        <w:pStyle w:val="BodyText"/>
        <w:spacing w:line="480" w:lineRule="auto"/>
        <w:ind w:firstLine="720"/>
      </w:pPr>
      <w:r>
        <w:t xml:space="preserve">Opromolla and an international set of collaborators expand the architecture lens to in-orbit servicing operations in the space traffic management context</w:t>
      </w:r>
      <w:r>
        <w:t xml:space="preserve"> </w:t>
      </w:r>
      <w:hyperlink w:anchor="ref-5">
        <w:r>
          <w:rPr>
            <w:rStyle w:val="Hyperlink"/>
          </w:rPr>
          <w:t xml:space="preserve">[5]</w:t>
        </w:r>
      </w:hyperlink>
      <w:r>
        <w:t xml:space="preserve">. Their argument is that modularity and servicing trade unit cost against added operational complexity, and that the operations-cost balance of these tradeoffs cannot be assessed in isolation from the broader space traffic environment. This is the closest the architecture-and-cost literature comes to acknowledging that the operating environment matters for per-mission cost, but the environment they have in mind is a regulatory and traffic environment, not the concurrency tempo of the operator organization. The earth-outer space system design framework proposed by Cirkovic and Wood, which integrates planetary boundaries into sustainable space exploration design, takes the systemic framing further still, but it remains at the level of design ethics and regulatory imagination rather than estimation</w:t>
      </w:r>
      <w:r>
        <w:t xml:space="preserve"> </w:t>
      </w:r>
      <w:hyperlink w:anchor="ref-30">
        <w:r>
          <w:rPr>
            <w:rStyle w:val="Hyperlink"/>
          </w:rPr>
          <w:t xml:space="preserve">[30]</w:t>
        </w:r>
      </w:hyperlink>
      <w:r>
        <w:t xml:space="preserve">.</w:t>
      </w:r>
    </w:p>
    <w:p>
      <w:pPr>
        <w:pStyle w:val="BodyText"/>
        <w:spacing w:line="480" w:lineRule="auto"/>
        <w:ind w:firstLine="720"/>
      </w:pPr>
      <w:r>
        <w:t xml:space="preserve">Nair, Rai, Reade, and colleagues extend the modularity-versus-operations tradeoff into the in-orbit assembly of high-value modular infrastructures, providing a holistic analysis of mission concepts whose architecture is explicitly chosen to displace integration complexity from the ground to the orbit</w:t>
      </w:r>
      <w:r>
        <w:t xml:space="preserve"> </w:t>
      </w:r>
      <w:hyperlink w:anchor="ref-35">
        <w:r>
          <w:rPr>
            <w:rStyle w:val="Hyperlink"/>
          </w:rPr>
          <w:t xml:space="preserve">[35]</w:t>
        </w:r>
      </w:hyperlink>
      <w:r>
        <w:t xml:space="preserve">. The dissertation reads this paper as further evidence that the architecture community now treats operations cost as a constructed quantity, but that the construction is described mission-by-mission and not at the level of the organization that operates many missions at once.</w:t>
      </w:r>
    </w:p>
    <w:p>
      <w:pPr>
        <w:pStyle w:val="BodyText"/>
        <w:spacing w:line="480" w:lineRule="auto"/>
        <w:ind w:firstLine="720"/>
      </w:pPr>
      <w:r>
        <w:t xml:space="preserve">Rüede, Chavy-Macdonald, Kneib, and Huang propose a pattern language for complex-mode mission concept generation, formalizing the observation that integration and operations complexity admits of regularities that can be cataloged and reused</w:t>
      </w:r>
      <w:r>
        <w:t xml:space="preserve"> </w:t>
      </w:r>
      <w:hyperlink w:anchor="ref-29">
        <w:r>
          <w:rPr>
            <w:rStyle w:val="Hyperlink"/>
          </w:rPr>
          <w:t xml:space="preserve">[29]</w:t>
        </w:r>
      </w:hyperlink>
      <w:r>
        <w:t xml:space="preserve">. This is conceptually adjacent to the dissertation’s project: if operations complexity admits of patterns, then the burden of holding several patterns open at once is in principle an estimable quantity. Mendoza Zambrano and Bevilacqua’s adaptive control work on solar sailing using integral concurrent learning for solar flux estimation supplies a more narrowly technical illustration of how concurrent learning structures can be embedded in operating systems themselves</w:t>
      </w:r>
      <w:r>
        <w:t xml:space="preserve"> </w:t>
      </w:r>
      <w:hyperlink w:anchor="ref-36">
        <w:r>
          <w:rPr>
            <w:rStyle w:val="Hyperlink"/>
          </w:rPr>
          <w:t xml:space="preserve">[36]</w:t>
        </w:r>
      </w:hyperlink>
      <w:r>
        <w:t xml:space="preserve">. Both papers are tangential to the dissertation’s core, but they indicate that concurrency, as a property of integrated operations rather than as a property of a single mission, has begun to appear in the architecture literature.</w:t>
      </w:r>
    </w:p>
    <w:p>
      <w:pPr>
        <w:pStyle w:val="BodyText"/>
        <w:spacing w:line="480" w:lineRule="auto"/>
        <w:ind w:firstLine="720"/>
      </w:pPr>
      <w:r>
        <w:t xml:space="preserve">The narrower mission-cost reference works supply the calibration backbone for the empirical chapters. NASA’s Mission Operations Cost Estimation Tool documents the engineering-economic relationships between spacecraft class, instrument complement, data volume, mission duration, and Phase E cost</w:t>
      </w:r>
      <w:r>
        <w:t xml:space="preserve"> </w:t>
      </w:r>
      <w:hyperlink w:anchor="ref-13">
        <w:r>
          <w:rPr>
            <w:rStyle w:val="Hyperlink"/>
          </w:rPr>
          <w:t xml:space="preserve">[13]</w:t>
        </w:r>
      </w:hyperlink>
      <w:r>
        <w:t xml:space="preserve">. The Cangi, Gibson, and Luebbers reference summarizes past, present, and future mission costs in a form that has been used by the present author in earlier work and that anchors the operations-cost figures used in the second qualifying paper</w:t>
      </w:r>
      <w:r>
        <w:t xml:space="preserve"> </w:t>
      </w:r>
      <w:hyperlink w:anchor="ref-16">
        <w:r>
          <w:rPr>
            <w:rStyle w:val="Hyperlink"/>
          </w:rPr>
          <w:t xml:space="preserve">[16]</w:t>
        </w:r>
      </w:hyperlink>
      <w:r>
        <w:t xml:space="preserve">. The Planetary Society’s documentation of James Webb Space Telescope, OSIRIS-REx, and Mars 2020 Perseverance costs supplies the public-record values that underlie the development and operations cost panels [10, 17, 18]. The Mars Reconnaissance Orbiter and Mars Science Laboratory cost records provide the further calibration anchors used in the Phase E analyses [19, 20]. Lowe and colleagues’ design considerations for a spaceborne lidar mission with spatially continuous global coverage round out the range of mission classes represented in the dissertation’s sample</w:t>
      </w:r>
      <w:r>
        <w:t xml:space="preserve"> </w:t>
      </w:r>
      <w:hyperlink w:anchor="ref-15">
        <w:r>
          <w:rPr>
            <w:rStyle w:val="Hyperlink"/>
          </w:rPr>
          <w:t xml:space="preserve">[15]</w:t>
        </w:r>
      </w:hyperlink>
      <w:r>
        <w:t xml:space="preserve">. None of these references treats concurrency as a regressor; all of them treat operations cost as a function of intrinsic mission properties.</w:t>
      </w:r>
    </w:p>
    <w:p>
      <w:pPr>
        <w:pStyle w:val="BodyText"/>
        <w:spacing w:line="480" w:lineRule="auto"/>
        <w:ind w:firstLine="720"/>
      </w:pPr>
      <w:r>
        <w:t xml:space="preserve">The architecture-and-cost literature therefore arrives at a precise but limited verdict for the present dissertation. Per-mission operations cost is a designed and largely intrinsic quantity. It responds to propulsion, payload, modularity, servicing, and mission class. It does not, in this literature, carry an organization-level term for how many missions the integration entity is operating at once. The dissertation reads this as an invitation rather than a refutation. If intrinsic drivers are correctly specified, any residual variation in operations cost that tracks concurrency tempo across organizations and across quarters can be interpreted as concurrency burden, holding intrinsic drivers fixed. The literature has built the controls; it has not yet run the regression.</w:t>
      </w:r>
    </w:p>
    <w:bookmarkEnd w:id="68"/>
    <w:bookmarkStart w:id="69" w:name="X62cbe76e6680999bbc63bef6332d1e06dd20e17"/>
    <w:p>
      <w:pPr>
        <w:pStyle w:val="Heading2"/>
        <w:spacing w:line="480" w:lineRule="auto"/>
      </w:pPr>
      <w:r>
        <w:t xml:space="preserve">2.4 The Human-Factors and Crew-Resource-Management Strand</w:t>
      </w:r>
    </w:p>
    <w:p>
      <w:pPr>
        <w:pStyle w:val="FirstParagraph"/>
        <w:spacing w:line="480" w:lineRule="auto"/>
      </w:pPr>
      <w:r>
        <w:t xml:space="preserve">The third domain literature is the one closest to the dissertation’s mechanism. Stilwell, Quakenbush, Giles, and Dailey argue that space operators face a workload and attention environment that is structurally similar to the aviation environments in which crew resource management was developed, and that the orbital domain has reached a level of operational tempo at which the importation of aviation safety frameworks is warranted</w:t>
      </w:r>
      <w:r>
        <w:t xml:space="preserve"> </w:t>
      </w:r>
      <w:hyperlink w:anchor="ref-6">
        <w:r>
          <w:rPr>
            <w:rStyle w:val="Hyperlink"/>
          </w:rPr>
          <w:t xml:space="preserve">[6]</w:t>
        </w:r>
      </w:hyperlink>
      <w:r>
        <w:t xml:space="preserve">. Their contribution is conceptual rather than estimative. They specify the mechanism by which simultaneous demands degrade operator attention, multiply handoffs, and stress crew resource management practice, and they argue that orbital-domain resilience requires the same kind of structured attention management that aviation has institutionalized over decades.</w:t>
      </w:r>
    </w:p>
    <w:p>
      <w:pPr>
        <w:pStyle w:val="BodyText"/>
        <w:spacing w:line="480" w:lineRule="auto"/>
        <w:ind w:firstLine="720"/>
      </w:pPr>
      <w:r>
        <w:t xml:space="preserve">Goldberg and Waltz, writing in the same year, make the parallel argument that crew resource management training is critically needed in space domain operations, and that the absence of this training is itself a structural deficit in the operator community</w:t>
      </w:r>
      <w:r>
        <w:t xml:space="preserve"> </w:t>
      </w:r>
      <w:hyperlink w:anchor="ref-24">
        <w:r>
          <w:rPr>
            <w:rStyle w:val="Hyperlink"/>
          </w:rPr>
          <w:t xml:space="preserve">[24]</w:t>
        </w:r>
      </w:hyperlink>
      <w:r>
        <w:t xml:space="preserve">. Together with the Stilwell, Quakenbush, Giles, and Dailey paper, this work establishes a literature consensus that the operator workload of interest is not exhausted by per-task cognitive load but extends to the management of simultaneous demands across distinct missions and tasks. The consensus is not, however, accompanied by an estimate. The human-factors literature in space operations is prescriptive, motivating the importation of aviation frameworks, but it has not yet placed concurrency on the right-hand side of a regression.</w:t>
      </w:r>
    </w:p>
    <w:p>
      <w:pPr>
        <w:pStyle w:val="BodyText"/>
        <w:spacing w:line="480" w:lineRule="auto"/>
        <w:ind w:firstLine="720"/>
      </w:pPr>
      <w:r>
        <w:t xml:space="preserve">Two further references in the pool extend the human-factors envelope. Alves, Peyroteo, and Lapão’s scoping review of the immediate management of medical emergencies in space supplies a human-systems frame in which the operator and crew demands of multiple simultaneous mission contingencies are an obvious source of burden, even if the focus is medical rather than integration-economic</w:t>
      </w:r>
      <w:r>
        <w:t xml:space="preserve"> </w:t>
      </w:r>
      <w:hyperlink w:anchor="ref-32">
        <w:r>
          <w:rPr>
            <w:rStyle w:val="Hyperlink"/>
          </w:rPr>
          <w:t xml:space="preserve">[32]</w:t>
        </w:r>
      </w:hyperlink>
      <w:r>
        <w:t xml:space="preserve">. López-Fernández and colleagues describe challenge-based learning in aerospace engineering education through the European Space Agency Concurrent Engineering Challenge at the Technical University of Madrid, a pedagogical setting in which the cognitive load of concurrent engineering tasks is the principal training target</w:t>
      </w:r>
      <w:r>
        <w:t xml:space="preserve"> </w:t>
      </w:r>
      <w:hyperlink w:anchor="ref-34">
        <w:r>
          <w:rPr>
            <w:rStyle w:val="Hyperlink"/>
          </w:rPr>
          <w:t xml:space="preserve">[34]</w:t>
        </w:r>
      </w:hyperlink>
      <w:r>
        <w:t xml:space="preserve">. These papers do not estimate concurrency burden, but they establish that the human-factors literature treats the concept of concurrency as a meaningful unit of pedagogical and clinical concern in the space sector.</w:t>
      </w:r>
    </w:p>
    <w:p>
      <w:pPr>
        <w:pStyle w:val="BodyText"/>
        <w:spacing w:line="480" w:lineRule="auto"/>
        <w:ind w:firstLine="720"/>
      </w:pPr>
      <w:r>
        <w:t xml:space="preserve">The first qualifying paper of this dissertation extends the same human-factors logic to the integration-organization level. Dwyer, Szajnfarber, Cameron, and Crawley supply the most influential available model for understanding cost growth on joint programs as an outcome of organizational coupling rather than engineering content</w:t>
      </w:r>
      <w:r>
        <w:t xml:space="preserve"> </w:t>
      </w:r>
      <w:hyperlink w:anchor="ref-8">
        <w:r>
          <w:rPr>
            <w:rStyle w:val="Hyperlink"/>
          </w:rPr>
          <w:t xml:space="preserve">[8]</w:t>
        </w:r>
      </w:hyperlink>
      <w:r>
        <w:t xml:space="preserve">. Their argument is that organizational structure, in particular the jointness of a program across agencies, can induce cost growth through coordination friction even when the engineering content is held fixed. The first qualifying paper of this dissertation generalizes the Dwyer and colleagues argument from program jointness to portfolio concurrency, and shows in a thirty-two observation panel that NASA major-project cost growth rises with the count of concurrent major projects, although the estimated coefficient does not reach conventional significance in that small sample.</w:t>
      </w:r>
    </w:p>
    <w:p>
      <w:pPr>
        <w:pStyle w:val="BodyText"/>
        <w:spacing w:line="480" w:lineRule="auto"/>
        <w:ind w:firstLine="720"/>
      </w:pPr>
      <w:r>
        <w:t xml:space="preserve">The human-factors strand and the joint-program strand therefore converge on the same mechanism from different starting points. The human-factors literature reasons from the operator floor upward: attention is finite, simultaneous demands degrade it, and crew resource management is the institutional response [6, 24]. The joint-program literature reasons from the program office downward: shared organizational resources induce coordination friction, and that friction is convertible to cost</w:t>
      </w:r>
      <w:r>
        <w:t xml:space="preserve"> </w:t>
      </w:r>
      <w:hyperlink w:anchor="ref-8">
        <w:r>
          <w:rPr>
            <w:rStyle w:val="Hyperlink"/>
          </w:rPr>
          <w:t xml:space="preserve">[8]</w:t>
        </w:r>
      </w:hyperlink>
      <w:r>
        <w:t xml:space="preserve">. Both ends of the chain are present in the literature. The middle, the panel estimate of how concurrency translates into operator workload and per-mission cost across organizations and quarters, is what the dissertation supplies.</w:t>
      </w:r>
    </w:p>
    <w:bookmarkEnd w:id="69"/>
    <w:bookmarkStart w:id="70" w:name="Xbaa8587c4d4fd2bca750f1c1e2b8b1508c1ea05"/>
    <w:p>
      <w:pPr>
        <w:pStyle w:val="Heading2"/>
        <w:spacing w:line="480" w:lineRule="auto"/>
      </w:pPr>
      <w:r>
        <w:t xml:space="preserve">2.5 The Cliometric and Econometric Methodology Strand</w:t>
      </w:r>
    </w:p>
    <w:p>
      <w:pPr>
        <w:pStyle w:val="FirstParagraph"/>
        <w:spacing w:line="480" w:lineRule="auto"/>
      </w:pPr>
      <w:r>
        <w:t xml:space="preserve">The second body of literature this chapter must review is the methodological literature on which the dissertation’s identification strategy depends. The strand is not, as a rule, native to space-systems scholarship, although it has begun to appear in the cost-growth and program-management corners of the field. It is most fully developed in the broader cliometric and econometric tradition, from which the dissertation borrows its panel structure, its fixed-effects logic, and its convexity tests.</w:t>
      </w:r>
    </w:p>
    <w:p>
      <w:pPr>
        <w:pStyle w:val="BodyText"/>
        <w:spacing w:line="480" w:lineRule="auto"/>
        <w:ind w:firstLine="720"/>
      </w:pPr>
      <w:r>
        <w:t xml:space="preserve">The methodological starting point in the space-systems literature is Dwyer, Szajnfarber, Cameron, and Crawley, whose joint-program model is the most explicit attempt in the cited pool to translate an organizational hypothesis about coordination friction into an estimating frame</w:t>
      </w:r>
      <w:r>
        <w:t xml:space="preserve"> </w:t>
      </w:r>
      <w:hyperlink w:anchor="ref-8">
        <w:r>
          <w:rPr>
            <w:rStyle w:val="Hyperlink"/>
          </w:rPr>
          <w:t xml:space="preserve">[8]</w:t>
        </w:r>
      </w:hyperlink>
      <w:r>
        <w:t xml:space="preserve">. The paper is, in essence, an econometric exercise applied to programmatic data. It defines an outcome (cost growth), specifies a confounder structure (engineering content), and isolates an organizational regressor (jointness). The dissertation takes Dwyer and colleagues as the proof that an organizational-coupling hypothesis can be tested empirically in this domain, and generalizes their structure from a binary jointness indicator to a continuous concurrency count.</w:t>
      </w:r>
    </w:p>
    <w:p>
      <w:pPr>
        <w:pStyle w:val="BodyText"/>
        <w:spacing w:line="480" w:lineRule="auto"/>
        <w:ind w:firstLine="720"/>
      </w:pPr>
      <w:r>
        <w:t xml:space="preserve">The Government Accountability Office’s repeated assessments of major NASA projects provide the panel substrate that any cliometric analysis of NASA portfolio dynamics must use [7, 9, 12]. The 2025 assessment supplies the most recent observation</w:t>
      </w:r>
      <w:r>
        <w:t xml:space="preserve"> </w:t>
      </w:r>
      <w:hyperlink w:anchor="ref-7">
        <w:r>
          <w:rPr>
            <w:rStyle w:val="Hyperlink"/>
          </w:rPr>
          <w:t xml:space="preserve">[7]</w:t>
        </w:r>
      </w:hyperlink>
      <w:r>
        <w:t xml:space="preserve">, the 2024 assessment supplies the prior cycle, the 2023 assessment supplies the third</w:t>
      </w:r>
      <w:r>
        <w:t xml:space="preserve"> </w:t>
      </w:r>
      <w:hyperlink w:anchor="ref-12">
        <w:r>
          <w:rPr>
            <w:rStyle w:val="Hyperlink"/>
          </w:rPr>
          <w:t xml:space="preserve">[12]</w:t>
        </w:r>
      </w:hyperlink>
      <w:r>
        <w:t xml:space="preserve">, and the 2019 examination of human spaceflight delays and cost growth provides the longer historical baseline</w:t>
      </w:r>
      <w:r>
        <w:t xml:space="preserve"> </w:t>
      </w:r>
      <w:hyperlink w:anchor="ref-9">
        <w:r>
          <w:rPr>
            <w:rStyle w:val="Hyperlink"/>
          </w:rPr>
          <w:t xml:space="preserve">[9]</w:t>
        </w:r>
      </w:hyperlink>
      <w:r>
        <w:t xml:space="preserve">. These are not econometric papers. They are programmatic audits. Their methodological value is that they supply, in a public and reproducible form, the concurrency count and the cost-growth outcome that any panel study of NASA tempo must use. The first qualifying paper of this dissertation assembles these into a thirty-two observation panel and estimates an ordinary least squares model with project-level controls. The substantive result, a directionally positive but statistically inconclusive coefficient on portfolio concurrency, is reported honestly there. The methodological lesson is that a four-cycle panel is too thin for the identification ambition, and that the dissertation’s extension to a longer organization-by-quarter panel is necessary.</w:t>
      </w:r>
    </w:p>
    <w:p>
      <w:pPr>
        <w:pStyle w:val="BodyText"/>
        <w:spacing w:line="480" w:lineRule="auto"/>
        <w:ind w:firstLine="720"/>
      </w:pPr>
      <w:r>
        <w:t xml:space="preserve">The Mission Operations Cost Estimation Tool documentation</w:t>
      </w:r>
      <w:r>
        <w:t xml:space="preserve"> </w:t>
      </w:r>
      <w:hyperlink w:anchor="ref-13">
        <w:r>
          <w:rPr>
            <w:rStyle w:val="Hyperlink"/>
          </w:rPr>
          <w:t xml:space="preserve">[13]</w:t>
        </w:r>
      </w:hyperlink>
      <w:r>
        <w:t xml:space="preserve"> </w:t>
      </w:r>
      <w:r>
        <w:t xml:space="preserve">occupies an interesting position in the methodology strand. It is, in its own register, a regression apparatus: it estimates Phase E cost as a function of spacecraft class, instrument complement, data volume, and mission duration. The estimation is not presented in the language of econometrics, but the structure is identical. The dissertation reads this tool as the most fully calibrated existing regression of operations cost on intrinsic drivers in the NASA portfolio. Its presence sets the bar for the controls that any concurrency-burden estimate must include.</w:t>
      </w:r>
    </w:p>
    <w:p>
      <w:pPr>
        <w:pStyle w:val="BodyText"/>
        <w:spacing w:line="480" w:lineRule="auto"/>
        <w:ind w:firstLine="720"/>
      </w:pPr>
      <w:r>
        <w:t xml:space="preserve">The second qualifying paper of this dissertation provides the most direct methodological precursor to the present chapter’s argument. It assembles a cross-section of nineteen NASA deep-space science missions launched between 1997 and 2023, regresses the natural log of Phase E operations cost on a count of concurrent missions in active operations at launch year and a set of intrinsic controls, and reports the result. The model explains 66.3 percent of the variance in log operations cost, and the tempo coefficient is negative 0.0084 with a standard error of 0.0476, a p-value of 0.861, and an economic magnitude under one percent per additional concurrent mission. The intrinsic drivers behave as the engineering literature predicts: the flagship indicator carries a coefficient of 0.9994 with a standard error of 0.235 and a p-value below 0.001, and prime duration carries a coefficient of 0.0713 with a standard error of 0.036 and a p-value of 0.047. The methodological lesson is that, at the mission-cross-section level, a simple count of concurrent missions at launch year is too coarse a tempo measure to recover a concurrency effect, and that any future estimate must move to a finer panel structure and a finer tempo measure that scales with shared-resource demand.</w:t>
      </w:r>
    </w:p>
    <w:p>
      <w:pPr>
        <w:pStyle w:val="BodyText"/>
        <w:spacing w:line="480" w:lineRule="auto"/>
        <w:ind w:firstLine="720"/>
      </w:pPr>
      <w:r>
        <w:t xml:space="preserve">These two qualifying-paper results, taken together, identify the precise methodological move the dissertation must make. The first paper has the right outcome (cost growth) but the wrong panel shape, with concurrency varying only at the year level and with project-year observations too few to identify a year-varying tempo signal. The second paper has the right intrinsic-control architecture but the wrong unit of analysis, with concurrency measured at the launch year of a single mission rather than across an integration organization and quarter. The dissertation responds by moving to an organization-by-quarter panel structure in which concurrency is measured at the operating entity, intrinsic complexity is measured at the mission, and the identification is by within-organization, within-quarter variation in concurrency, holding aggregate load and complexity fixed.</w:t>
      </w:r>
    </w:p>
    <w:p>
      <w:pPr>
        <w:pStyle w:val="BodyText"/>
        <w:spacing w:line="480" w:lineRule="auto"/>
        <w:ind w:firstLine="720"/>
      </w:pPr>
      <w:r>
        <w:t xml:space="preserve">The cliometric tradition supplies the broader methodological apparatus for this move. Fixed-effects panel estimators absorb time-invariant differences in baseline efficiency, automation maturity, and mission mix at the organization level, and they absorb sector-wide tempo trends at the time level. Convexity tests by polynomial or restricted cubic spline allow the dissertation to distinguish a linear concurrency penalty from the accelerating burden that the human-factors literature predicts. Instrumental variables built from exogenous manifest-driven concurrency, in which the timing of campaigns is set by launch-vehicle availability rather than by the integration organization, address the remaining endogeneity concern that organizations choosing high tempo may differ systematically from those that do not. Event-study designs around large concurrency step-changes provide a within-organization identification strategy that does not depend on the instrument. None of these techniques is novel in cliometrics. None has been applied at the integration-organization-by-quarter level in space systems. That is the bridge the dissertation builds.</w:t>
      </w:r>
    </w:p>
    <w:p>
      <w:pPr>
        <w:pStyle w:val="BodyText"/>
        <w:spacing w:line="480" w:lineRule="auto"/>
        <w:ind w:firstLine="720"/>
      </w:pPr>
      <w:r>
        <w:t xml:space="preserve">A methodological observation about the technical literature is also warranted here. The AMOS conference proceedings, which supply much of the workload-and-automation evidence used in this review [1, 2, 22, 23, 25, 26, 27, 28], are operationally rich but methodologically informal. They establish that automation reduces workload, but they do not estimate the magnitude of the reduction on a panel of operators across organizations and quarters. The architecture-and-cost literature in Acta Astronautica [3, 4, 5, 15, 29, 30, 33, 35, 36] is methodologically more careful, but its unit of analysis is the mission or the architecture rather than the operating organization. The cliometric apparatus, as developed in the joint-programs paper by Dwyer and colleagues</w:t>
      </w:r>
      <w:r>
        <w:t xml:space="preserve"> </w:t>
      </w:r>
      <w:hyperlink w:anchor="ref-8">
        <w:r>
          <w:rPr>
            <w:rStyle w:val="Hyperlink"/>
          </w:rPr>
          <w:t xml:space="preserve">[8]</w:t>
        </w:r>
      </w:hyperlink>
      <w:r>
        <w:t xml:space="preserve"> </w:t>
      </w:r>
      <w:r>
        <w:t xml:space="preserve">and as adapted in the two qualifying papers of this dissertation, is the bridge that allows organization-level claims to be tested on data that the technical and architecture literatures have already produced.</w:t>
      </w:r>
    </w:p>
    <w:p>
      <w:pPr>
        <w:pStyle w:val="BodyText"/>
        <w:spacing w:line="480" w:lineRule="auto"/>
        <w:ind w:firstLine="720"/>
      </w:pPr>
      <w:r>
        <w:t xml:space="preserve">Two further methodologically useful references in the pool deserve mention. Yu, Semper, Mitchell, and colleagues describe the NASA SEXTANT mission operations architecture, which is methodologically interesting because it formalizes the operations-architecture decisions that the cost literature treats as exogenous design choices</w:t>
      </w:r>
      <w:r>
        <w:t xml:space="preserve"> </w:t>
      </w:r>
      <w:hyperlink w:anchor="ref-31">
        <w:r>
          <w:rPr>
            <w:rStyle w:val="Hyperlink"/>
          </w:rPr>
          <w:t xml:space="preserve">[31]</w:t>
        </w:r>
      </w:hyperlink>
      <w:r>
        <w:t xml:space="preserve">. Porras-Hermoso, Cobo-Lopez, Cubas, and Pindado supply a simple modeling approach for solar panels and battery distribution systems on spacecraft, which illustrates the convention of building reduced-form engineering-economic models from public technical data</w:t>
      </w:r>
      <w:r>
        <w:t xml:space="preserve"> </w:t>
      </w:r>
      <w:hyperlink w:anchor="ref-33">
        <w:r>
          <w:rPr>
            <w:rStyle w:val="Hyperlink"/>
          </w:rPr>
          <w:t xml:space="preserve">[33]</w:t>
        </w:r>
      </w:hyperlink>
      <w:r>
        <w:t xml:space="preserve">. Neither paper is a panel econometric study. Both are useful as evidence that the space-systems community routinely builds quantitative models from public technical inputs, which is precisely the strategy this dissertation pursues at the organization-by-quarter level.</w:t>
      </w:r>
    </w:p>
    <w:bookmarkEnd w:id="70"/>
    <w:bookmarkStart w:id="71" w:name="X986ad40d336dfb3c2606e46a7a4b010c1802a90"/>
    <w:p>
      <w:pPr>
        <w:pStyle w:val="Heading2"/>
        <w:spacing w:line="480" w:lineRule="auto"/>
      </w:pPr>
      <w:r>
        <w:t xml:space="preserve">2.6 Synthesis, the Gap, and the Conceptual Scaffolding for the Dissertation</w:t>
      </w:r>
    </w:p>
    <w:p>
      <w:pPr>
        <w:pStyle w:val="FirstParagraph"/>
        <w:spacing w:line="480" w:lineRule="auto"/>
      </w:pPr>
      <w:r>
        <w:t xml:space="preserve">The two strands reviewed above are unjoined in a precise way that this dissertation seeks to address.</w:t>
      </w:r>
    </w:p>
    <w:p>
      <w:pPr>
        <w:pStyle w:val="BodyText"/>
        <w:spacing w:line="480" w:lineRule="auto"/>
        <w:ind w:firstLine="720"/>
      </w:pPr>
      <w:r>
        <w:t xml:space="preserve">The technical literature has established that operator workload is real, that automation reduces it on specific tasks, that interface heterogeneity and coordination friction add to it, and that crew resource management is the appropriate institutional response when the operating environment becomes structurally similar to aviation [1, 2, 6, 22, 23, 24, 25, 26, 27, 28]. The architecture-and-cost literature has established that per-mission operations cost is largely intrinsic, that it responds to propulsion, payload, modularity, servicing, and mission class, and that it can be estimated from public technical inputs to within an order of magnitude [3, 4, 5, 13, 15, 29, 30, 31, 33, 35, 36]. The human-factors strand has established the mechanism by which concurrency would bite at the operator floor [6, 24, 32, 34]. The joint-program literature has shown that organizational coupling can convert into cost growth in space programs</w:t>
      </w:r>
      <w:r>
        <w:t xml:space="preserve"> </w:t>
      </w:r>
      <w:hyperlink w:anchor="ref-8">
        <w:r>
          <w:rPr>
            <w:rStyle w:val="Hyperlink"/>
          </w:rPr>
          <w:t xml:space="preserve">[8]</w:t>
        </w:r>
      </w:hyperlink>
      <w:r>
        <w:t xml:space="preserve">. The Government Accountability Office series has documented portfolio concurrency and project-by-project cost growth in NASA’s major-project portfolio at sufficient resolution to support a panel analysis [7, 9, 12]. The two qualifying papers of this dissertation have demonstrated that the panel apparatus can be run on these inputs and have reported the methodological refinements that a fuller estimate requires.</w:t>
      </w:r>
    </w:p>
    <w:p>
      <w:pPr>
        <w:pStyle w:val="BodyText"/>
        <w:spacing w:line="480" w:lineRule="auto"/>
        <w:ind w:firstLine="720"/>
      </w:pPr>
      <w:r>
        <w:t xml:space="preserve">What no existing study has done is to assemble an organization-by-quarter panel of mission-integration entities, measure concurrency as the count of campaigns held simultaneously open by an organization, hold aggregate load and per-mission complexity fixed by explicit controls and fixed effects, and estimate whether concurrency exerts a separable effect on operator workload and on per-mission operations cost. The workload-and-automation literature has not done this because its unit of analysis is the surveillance or automation system. The architecture-and-cost literature has not done this because its unit of analysis is the mission or the architecture. The human-factors literature has not done this because its register is prescriptive rather than estimative. The Government Accountability Office series has not done this because its mandate is audit rather than econometric identification. The two qualifying papers of this dissertation have approached the problem but have either lacked the panel shape (first paper) or the unit of analysis (second paper) required to recover the effect.</w:t>
      </w:r>
    </w:p>
    <w:p>
      <w:pPr>
        <w:pStyle w:val="BodyText"/>
        <w:spacing w:line="480" w:lineRule="auto"/>
        <w:ind w:firstLine="720"/>
      </w:pPr>
      <w:r>
        <w:t xml:space="preserve">The gap is therefore not a gap of awareness. Practitioners assert concurrency burden, the human-factors literature motivates it, the joint-program literature shows that organizational coupling can convert into cost, and the GAO data show portfolio concurrency moving in patterned ways alongside cost growth. The gap is a gap of estimation. The dissertation is positioned, by virtue of the cliometric apparatus and the public data it can join, to close that gap with one estimable parameter on a properly specified panel.</w:t>
      </w:r>
    </w:p>
    <w:p>
      <w:pPr>
        <w:pStyle w:val="BodyText"/>
        <w:spacing w:line="480" w:lineRule="auto"/>
        <w:ind w:firstLine="720"/>
      </w:pPr>
      <w:r>
        <w:t xml:space="preserve">The conceptual scaffolding the dissertation will erect on this foundation has three load-bearing members. The first is the construct of concurrency itself, distinguished from aggregate load and from per-mission complexity. The workload-and-automation literature supplies the intuition that the operating environment matters [1, 2, 22, 25]. The human-factors literature supplies the mechanism by which it matters [6, 24]. The joint-program literature supplies the precedent for treating an organizational property as a regressor</w:t>
      </w:r>
      <w:r>
        <w:t xml:space="preserve"> </w:t>
      </w:r>
      <w:hyperlink w:anchor="ref-8">
        <w:r>
          <w:rPr>
            <w:rStyle w:val="Hyperlink"/>
          </w:rPr>
          <w:t xml:space="preserve">[8]</w:t>
        </w:r>
      </w:hyperlink>
      <w:r>
        <w:t xml:space="preserve">. The first qualifying paper supplies the panel measurement of concurrency at the agency level [7, 9, 12]. The dissertation extends concurrency from the agency-year level to the organization-quarter level and treats it as a continuous variable amenable to convexity testing.</w:t>
      </w:r>
    </w:p>
    <w:p>
      <w:pPr>
        <w:pStyle w:val="BodyText"/>
        <w:spacing w:line="480" w:lineRule="auto"/>
        <w:ind w:firstLine="720"/>
      </w:pPr>
      <w:r>
        <w:t xml:space="preserve">The second load-bearing member is the intrinsic-control architecture. The cost literature has built the controls that a credible concurrency estimate requires [3, 4, 5, 13, 15, 16, 17, 18, 19, 20, 29, 30, 31, 33, 35]. Mass, instrument count, prime duration, mission class, propulsion characteristics, and architectural concept all enter the dissertation as complexity and aggregate-load controls, with the second qualifying paper providing the calibration that flagship class and prime duration are the strongest intrinsic predictors of operations cost in the deep-space portfolio.</w:t>
      </w:r>
    </w:p>
    <w:p>
      <w:pPr>
        <w:pStyle w:val="BodyText"/>
        <w:spacing w:line="480" w:lineRule="auto"/>
        <w:ind w:firstLine="720"/>
      </w:pPr>
      <w:r>
        <w:t xml:space="preserve">The third load-bearing member is the identification strategy. Organization fixed effects absorb baseline differences across operators. Time fixed effects absorb sector-wide tempo trends. The aggregate-load and complexity controls absorb the variation in concurrency that is properly attributable to total volume and to harder missions. An instrument based on exogenous manifest-driven concurrency, and an event-study around large concurrency step-changes, address the residual endogeneity. The qualitative strand, structured interviews with integration leads and operators, probes whether the estimated effect reflects the attention-degradation and handoff-multiplication mechanism that the human-factors literature predicts [6, 24].</w:t>
      </w:r>
    </w:p>
    <w:p>
      <w:pPr>
        <w:pStyle w:val="BodyText"/>
        <w:spacing w:line="480" w:lineRule="auto"/>
        <w:ind w:firstLine="720"/>
      </w:pPr>
      <w:r>
        <w:t xml:space="preserve">The conclusion of this chapter is therefore that the dissertation is not entering an empty room. It is entering a room in which two literatures have been working in parallel, each on a piece of the problem, and in which the methodological apparatus to join them is now available. The workload-and-automation literature has measured what workload is. The architecture-and-cost literature has measured what intrinsic cost is. The human-factors literature has specified what concurrency would do. The joint-program literature has shown that organizational coupling can be estimated. The Government Accountability Office data and the public NASA cost records have made the panel possible. The two qualifying papers of this dissertation have proven the panel runs. What remains is to run it at the right unit of analysis with the right controls and the right identification. The chapters that follow build that estimation step by step, beginning in Chapter 3 with the panel construction and the formal specification of the concurrency parameter whose sign, magnitude, and curvature constitute the dissertation’s central contribution.</w:t>
      </w:r>
    </w:p>
    <w:bookmarkEnd w:id="71"/>
    <w:bookmarkEnd w:id="72"/>
    <w:bookmarkStart w:id="78" w:name="Xcfcc00a3ded59aed0c781c16bfc121f2a509603"/>
    <w:p>
      <w:pPr>
        <w:pStyle w:val="Heading1"/>
        <w:spacing w:line="480" w:lineRule="auto"/>
      </w:pPr>
      <w:r>
        <w:t xml:space="preserve">Chapter 3. Theoretical Framework and Hypotheses</w:t>
      </w:r>
    </w:p>
    <w:bookmarkStart w:id="73" w:name="purpose-of-the-chapter"/>
    <w:p>
      <w:pPr>
        <w:pStyle w:val="Heading2"/>
        <w:spacing w:line="480" w:lineRule="auto"/>
      </w:pPr>
      <w:r>
        <w:t xml:space="preserve">3.1 Purpose of the Chapter</w:t>
      </w:r>
    </w:p>
    <w:p>
      <w:pPr>
        <w:pStyle w:val="FirstParagraph"/>
        <w:spacing w:line="480" w:lineRule="auto"/>
      </w:pPr>
      <w:r>
        <w:t xml:space="preserve">This chapter develops the theoretical framework that motivates the empirical test of the dissertation and states the formal hypotheses that the panel model in Chapter 5 will evaluate. The literature review in Chapter 2 established that three adjacent bodies of work bound the problem without closing it: the workload and automation strand treats operator workload as a real but largely cross-sectional quantity that automation is engineered to reduce [1, 2]; the mission cost strand treats per-mission operations cost as an architecturally determined outcome shaped by propulsion choice, operational constraints discovered in flight, and modularity decisions made before operations begin [3, 4, 5]; and the human factors strand argues, by analogy to aviation safety practice, that operator attention is a finite resource reallocated under simultaneous demands</w:t>
      </w:r>
      <w:r>
        <w:t xml:space="preserve"> </w:t>
      </w:r>
      <w:hyperlink w:anchor="ref-6">
        <w:r>
          <w:rPr>
            <w:rStyle w:val="Hyperlink"/>
          </w:rPr>
          <w:t xml:space="preserve">[6]</w:t>
        </w:r>
      </w:hyperlink>
      <w:r>
        <w:t xml:space="preserve">. None of those strands asks whether the number of concurrently open campaigns, holding per-mission complexity and aggregate load fixed, exerts a separable effect on either workload or per-mission operations cost. The two empirical papers that anchor the dissertation, the development-side cost-growth panel and the Phase E operations-cost cross-section, sharpen rather than dissolve that question: the development panel produced a directionally positive but statistically inconclusive concurrency effect on cost growth [7, 8, 12], and the Phase E cross-section produced a precisely estimated null on a simple concurrent-count tempo measure once intrinsic mission attributes were controlled</w:t>
      </w:r>
      <w:r>
        <w:t xml:space="preserve"> </w:t>
      </w:r>
      <w:hyperlink w:anchor="ref-13">
        <w:r>
          <w:rPr>
            <w:rStyle w:val="Hyperlink"/>
          </w:rPr>
          <w:t xml:space="preserve">[13]</w:t>
        </w:r>
      </w:hyperlink>
      <w:r>
        <w:t xml:space="preserve">. The two priors point in opposite directions and motivate the more careful organization-by-quarter test that this dissertation undertakes.</w:t>
      </w:r>
    </w:p>
    <w:p>
      <w:pPr>
        <w:pStyle w:val="BodyText"/>
        <w:spacing w:line="480" w:lineRule="auto"/>
        <w:ind w:firstLine="720"/>
      </w:pPr>
      <w:r>
        <w:t xml:space="preserve">The chapter proceeds in four steps. Section 3.2 names the construct of interest, concurrent campaign load, and distinguishes it from the two confounds that the empirical literature has historically conflated with it: aggregate load and per-mission complexity. Section 3.3 develops the causal mechanism by which concurrency would impose a burden that is separable from those confounds, drawing the mechanism from the human factors and crew resource management literature [6, 24] and from the operations engineering literature on shared-infrastructure contention [21, 22, 23]. Section 3.4 derives the formal model and states the null and alternative hypotheses, H0 and H1, with explicit attention to the functional form of the predicted relationship. Section 3.5 closes by stating the boundary conditions under which the framework is expected to hold and the scope conditions that delimit external validity.</w:t>
      </w:r>
    </w:p>
    <w:bookmarkEnd w:id="73"/>
    <w:bookmarkStart w:id="74" w:name="the-construct-concurrent-campaign-load"/>
    <w:p>
      <w:pPr>
        <w:pStyle w:val="Heading2"/>
        <w:spacing w:line="480" w:lineRule="auto"/>
      </w:pPr>
      <w:r>
        <w:t xml:space="preserve">3.2 The Construct: Concurrent Campaign Load</w:t>
      </w:r>
    </w:p>
    <w:p>
      <w:pPr>
        <w:pStyle w:val="FirstParagraph"/>
        <w:spacing w:line="480" w:lineRule="auto"/>
      </w:pPr>
      <w:r>
        <w:t xml:space="preserve">The construct under test is concurrent campaign load, denoted</w:t>
      </w:r>
      <w:r>
        <w:t xml:space="preserve"> </w:t>
      </w:r>
      <w:r>
        <w:rPr>
          <w:i/>
          <w:iCs/>
        </w:rPr>
        <w:t xml:space="preserve">C_it</w:t>
      </w:r>
      <w:r>
        <w:t xml:space="preserve"> </w:t>
      </w:r>
      <w:r>
        <w:t xml:space="preserve">for integration organization</w:t>
      </w:r>
      <w:r>
        <w:t xml:space="preserve"> </w:t>
      </w:r>
      <w:r>
        <w:rPr>
          <w:i/>
          <w:iCs/>
        </w:rPr>
        <w:t xml:space="preserve">i</w:t>
      </w:r>
      <w:r>
        <w:t xml:space="preserve"> </w:t>
      </w:r>
      <w:r>
        <w:t xml:space="preserve">in quarter</w:t>
      </w:r>
      <w:r>
        <w:t xml:space="preserve"> </w:t>
      </w:r>
      <w:r>
        <w:rPr>
          <w:i/>
          <w:iCs/>
        </w:rPr>
        <w:t xml:space="preserve">t</w:t>
      </w:r>
      <w:r>
        <w:t xml:space="preserve">, defined as the count of distinct flight campaigns that organization</w:t>
      </w:r>
      <w:r>
        <w:t xml:space="preserve"> </w:t>
      </w:r>
      <w:r>
        <w:rPr>
          <w:i/>
          <w:iCs/>
        </w:rPr>
        <w:t xml:space="preserve">i</w:t>
      </w:r>
      <w:r>
        <w:t xml:space="preserve"> </w:t>
      </w:r>
      <w:r>
        <w:t xml:space="preserve">holds simultaneously open during quarter</w:t>
      </w:r>
      <w:r>
        <w:t xml:space="preserve"> </w:t>
      </w:r>
      <w:r>
        <w:rPr>
          <w:i/>
          <w:iCs/>
        </w:rPr>
        <w:t xml:space="preserve">t</w:t>
      </w:r>
      <w:r>
        <w:t xml:space="preserve">. The construct is meant to capture the simultaneity of integration and operations work, not its total volume. Two organizations may carry identical aggregate workloads, measured in mission-quarters of activity, while differing sharply in how many of those mission-quarters overlap in time. An organization that runs four campaigns sequentially over four quarters experiences a concurrency level of one; an organization that runs the same four campaigns in a single quarter experiences a concurrency level of four. Aggregate load is identical across the two organization-quarters; concurrent campaign load is not.</w:t>
      </w:r>
    </w:p>
    <w:p>
      <w:pPr>
        <w:pStyle w:val="BodyText"/>
        <w:spacing w:line="480" w:lineRule="auto"/>
        <w:ind w:firstLine="720"/>
      </w:pPr>
      <w:r>
        <w:t xml:space="preserve">The distinction is theoretically necessary because the prior literature has habitually collapsed concurrency into aggregate load. The workload and automation strand evaluates whether a given automation reduces workload on a given task, taking the surrounding operations tempo as a fixed feature of the system being studied [1, 2]. The cost strand models operations cost as a function of mission scale, duration, and class, treating the surrounding portfolio as a backdrop rather than a regressor [3, 13]. When prior studies have approached concurrency at all, they have done so at the agency-portfolio level and have measured it as a simple annual count of major projects in development, a measure that varies only across years and that is therefore poorly identified against time-trending controls [7, 8, 12]. The development-side panel in the first dissertation paper made exactly that compromise and recovered a positive but underpowered effect; the Phase E cross-section in the second dissertation paper measured tempo as a launch-year concurrent count and recovered a precisely estimated null</w:t>
      </w:r>
      <w:r>
        <w:t xml:space="preserve"> </w:t>
      </w:r>
      <w:hyperlink w:anchor="ref-13">
        <w:r>
          <w:rPr>
            <w:rStyle w:val="Hyperlink"/>
          </w:rPr>
          <w:t xml:space="preserve">[13]</w:t>
        </w:r>
      </w:hyperlink>
      <w:r>
        <w:t xml:space="preserve">. Neither test could separate concurrency from aggregate load or from per-mission complexity at the unit at which the burden mechanism is theorized to operate, which is the integration organization rather than the agency portfolio.</w:t>
      </w:r>
    </w:p>
    <w:p>
      <w:pPr>
        <w:pStyle w:val="BodyText"/>
        <w:spacing w:line="480" w:lineRule="auto"/>
        <w:ind w:firstLine="720"/>
      </w:pPr>
      <w:r>
        <w:t xml:space="preserve">The construct must also be distinguished from per-mission complexity, the second confound. Per-mission complexity, denoted</w:t>
      </w:r>
      <w:r>
        <w:t xml:space="preserve"> </w:t>
      </w:r>
      <w:r>
        <w:rPr>
          <w:i/>
          <w:iCs/>
        </w:rPr>
        <w:t xml:space="preserve">Complexity_it</w:t>
      </w:r>
      <w:r>
        <w:t xml:space="preserve">, captures the difficulty of the individual campaigns an organization is integrating: mass class, orbit regime, instrument count, propulsion architecture, multi-payload manifest indicators, and other catalog-derivable features that proxy the engineering difficulty of each campaign [3, 5, 15, 31]. A high-concurrency quarter populated by simple campaigns is theoretically distinct from a low-concurrency quarter populated by a single complex flagship, and the two should be expected to produce different workload and cost outcomes for opposite reasons. Where prior cost panels could not separate these, the present framework requires that they be separated, because the policy implication of a confirmed concurrency effect is different from the policy implication of a confirmed complexity effect: the first argues for concurrency caps and sequencing rules, the second argues for descope and architecture discipline.</w:t>
      </w:r>
    </w:p>
    <w:p>
      <w:pPr>
        <w:pStyle w:val="BodyText"/>
        <w:spacing w:line="480" w:lineRule="auto"/>
        <w:ind w:firstLine="720"/>
      </w:pPr>
      <w:r>
        <w:t xml:space="preserve">The construct is therefore a measurable, separable, and decision-relevant quantity whose effect on workload and cost has not been estimated in the existing literature. The remainder of the chapter develops the mechanism by which that effect is theorized to operate and states the hypothesis that the panel model will test.</w:t>
      </w:r>
    </w:p>
    <w:bookmarkEnd w:id="74"/>
    <w:bookmarkStart w:id="75" w:name="causal-mechanism"/>
    <w:p>
      <w:pPr>
        <w:pStyle w:val="Heading2"/>
        <w:spacing w:line="480" w:lineRule="auto"/>
      </w:pPr>
      <w:r>
        <w:t xml:space="preserve">3.3 Causal Mechanism</w:t>
      </w:r>
    </w:p>
    <w:p>
      <w:pPr>
        <w:pStyle w:val="FirstParagraph"/>
        <w:spacing w:line="480" w:lineRule="auto"/>
      </w:pPr>
      <w:r>
        <w:t xml:space="preserve">The theoretical mechanism by which concurrent campaign load is predicted to impose a burden draws on three convergent lines of evidence. The first is the human factors and crew resource management literature, which establishes that operator attention is a finite resource and that simultaneous task demands degrade performance through attention switching costs, handoff loss, and the breakdown of crew-level coordination practice [6, 24]. Aviation safety frameworks, imported by Stilwell and colleagues into the space operations context, treat the concurrent prosecution of multiple operationally salient events as a recognized hazard requiring procedural countermeasures</w:t>
      </w:r>
      <w:r>
        <w:t xml:space="preserve"> </w:t>
      </w:r>
      <w:hyperlink w:anchor="ref-6">
        <w:r>
          <w:rPr>
            <w:rStyle w:val="Hyperlink"/>
          </w:rPr>
          <w:t xml:space="preserve">[6]</w:t>
        </w:r>
      </w:hyperlink>
      <w:r>
        <w:t xml:space="preserve">; Goldberg and Waltz extend the argument by showing that crew resource management training, mature in aviation, is structurally underdeveloped in space domain operations and that the gap is sharpest where multiple missions or multiple operationally salient phases must be coordinated through a single operator cadre</w:t>
      </w:r>
      <w:r>
        <w:t xml:space="preserve"> </w:t>
      </w:r>
      <w:hyperlink w:anchor="ref-24">
        <w:r>
          <w:rPr>
            <w:rStyle w:val="Hyperlink"/>
          </w:rPr>
          <w:t xml:space="preserve">[24]</w:t>
        </w:r>
      </w:hyperlink>
      <w:r>
        <w:t xml:space="preserve">. The mechanism that this literature implies is microfoundational: each additional concurrently open campaign adds attention demands, handoff interfaces, and coordination overhead at the level of individual operators and small teams, and the marginal burden imposed by the additional campaign is theorized to be larger than the burden imposed by the campaign in isolation.</w:t>
      </w:r>
    </w:p>
    <w:p>
      <w:pPr>
        <w:pStyle w:val="BodyText"/>
        <w:spacing w:line="480" w:lineRule="auto"/>
        <w:ind w:firstLine="720"/>
      </w:pPr>
      <w:r>
        <w:t xml:space="preserve">The second line of evidence is the shared-infrastructure contention literature in space operations. Constellation scheduling formulations treat the allocation of finite ground-segment and on-orbit resources across multiple simultaneous campaigns as an explicitly combinatorial problem whose computational difficulty rises faster than linearly in the number of campaigns being coordinated</w:t>
      </w:r>
      <w:r>
        <w:t xml:space="preserve"> </w:t>
      </w:r>
      <w:hyperlink w:anchor="ref-21">
        <w:r>
          <w:rPr>
            <w:rStyle w:val="Hyperlink"/>
          </w:rPr>
          <w:t xml:space="preserve">[21]</w:t>
        </w:r>
      </w:hyperlink>
      <w:r>
        <w:t xml:space="preserve">. Augmented reality common operating picture work and joint-commercial communication architectures motivate their interventions on the observation that situational awareness across many simultaneous campaigns degrades faster than the count of campaigns would suggest, because each additional campaign multiplies the pairwise deconfliction relationships that the operating picture must support [22, 23]. Edge-computing approaches to onboard processing of electro-optical imagery are likewise motivated by the observation that ground-segment processing bandwidth, shared across all active campaigns, is the binding constraint when several missions return data simultaneously</w:t>
      </w:r>
      <w:r>
        <w:t xml:space="preserve"> </w:t>
      </w:r>
      <w:hyperlink w:anchor="ref-28">
        <w:r>
          <w:rPr>
            <w:rStyle w:val="Hyperlink"/>
          </w:rPr>
          <w:t xml:space="preserve">[28]</w:t>
        </w:r>
      </w:hyperlink>
      <w:r>
        <w:t xml:space="preserve">. The mechanism here is system-level rather than operator-level: contention for ground stations, scheduling slots, review-board time, and managerial attention rises faster than linearly with the number of concurrent campaigns, and that nonlinearity is what makes the marginal burden of an additional concurrent campaign larger than the average burden of a single campaign in isolation.</w:t>
      </w:r>
    </w:p>
    <w:p>
      <w:pPr>
        <w:pStyle w:val="BodyText"/>
        <w:spacing w:line="480" w:lineRule="auto"/>
        <w:ind w:firstLine="720"/>
      </w:pPr>
      <w:r>
        <w:t xml:space="preserve">The third line of evidence is the joint-program cost-growth literature, which is the closest direct analog at a different organizational scale. Dwyer and colleagues show that organizational structures forcing programs to compete for shared resources induce cost growth through coordination friction even when the engineering content of the underlying programs is held fixed</w:t>
      </w:r>
      <w:r>
        <w:t xml:space="preserve"> </w:t>
      </w:r>
      <w:hyperlink w:anchor="ref-8">
        <w:r>
          <w:rPr>
            <w:rStyle w:val="Hyperlink"/>
          </w:rPr>
          <w:t xml:space="preserve">[8]</w:t>
        </w:r>
      </w:hyperlink>
      <w:r>
        <w:t xml:space="preserve">. Their argument generalizes to the integration-organization scale: any arrangement that forces a campaign to wait on, or compete for, shared organizational resources, whether physical infrastructure, board time, or senior management attention, can raise its cost. A crowded integration portfolio is precisely such an arrangement at the organizational rather than inter-agency scale, and the mechanism by which it would raise cost is the same coordination-friction mechanism that Dwyer and colleagues document</w:t>
      </w:r>
      <w:r>
        <w:t xml:space="preserve"> </w:t>
      </w:r>
      <w:hyperlink w:anchor="ref-8">
        <w:r>
          <w:rPr>
            <w:rStyle w:val="Hyperlink"/>
          </w:rPr>
          <w:t xml:space="preserve">[8]</w:t>
        </w:r>
      </w:hyperlink>
      <w:r>
        <w:t xml:space="preserve">. The GAO assessment series provides documentation that this mechanism is plausible at the NASA portfolio scale, since the agency has carried persistent cost growth across a sustained period of high concurrent development load [7, 9, 12], and the development-side panel in the first dissertation paper recovered a directionally positive concurrency effect consistent with that pattern [7, 8, 12].</w:t>
      </w:r>
    </w:p>
    <w:p>
      <w:pPr>
        <w:pStyle w:val="BodyText"/>
        <w:spacing w:line="480" w:lineRule="auto"/>
        <w:ind w:firstLine="720"/>
      </w:pPr>
      <w:r>
        <w:t xml:space="preserve">These three lines converge on a single predicted functional form. The marginal burden imposed by the</w:t>
      </w:r>
      <w:r>
        <w:t xml:space="preserve"> </w:t>
      </w:r>
      <w:r>
        <w:rPr>
          <w:i/>
          <w:iCs/>
        </w:rPr>
        <w:t xml:space="preserve">k</w:t>
      </w:r>
      <w:r>
        <w:t xml:space="preserve">-th concurrent campaign is theorized to be larger than the marginal burden imposed by the</w:t>
      </w:r>
      <w:r>
        <w:t xml:space="preserve"> </w:t>
      </w:r>
      <w:r>
        <w:rPr>
          <w:i/>
          <w:iCs/>
        </w:rPr>
        <w:t xml:space="preserve">(k-1)</w:t>
      </w:r>
      <w:r>
        <w:t xml:space="preserve">-th, because attention switching costs, contention costs, and coordination costs are all theorized to rise faster than linearly in the number of simultaneously open campaigns [6, 21, 22, 24]. The expected relationship between concurrency and the outcomes is therefore positive and convex. A simple linear specification would understate the burden at high concurrency levels and overstate it at low concurrency levels, and the framework therefore demands an empirical specification that admits curvature.</w:t>
      </w:r>
    </w:p>
    <w:p>
      <w:pPr>
        <w:pStyle w:val="BodyText"/>
        <w:spacing w:line="480" w:lineRule="auto"/>
        <w:ind w:firstLine="720"/>
      </w:pPr>
      <w:r>
        <w:t xml:space="preserve">The mechanism also predicts that automation should moderate, but not eliminate, the relationship. The automation literature treats automation as a workload-reduction instrument that frees operators to attend to other high-workload tasks rather than removing workload altogether [1, 2, 6]. Under the proposed mechanism, automation reduces the per-campaign attention demand on operators but does not eliminate the coordination interfaces, handoff load, or contention for shared infrastructure that scale with the number of concurrent campaigns. The framework therefore predicts that automation-mature organizations should show a flatter concurrency-burden curve than automation-immature organizations, but not a flat one; the curvature should persist as long as coordination and contention costs persist, which the constellation scheduling and crew resource management literatures argue they should [6, 21, 24].</w:t>
      </w:r>
    </w:p>
    <w:p>
      <w:pPr>
        <w:pStyle w:val="BodyText"/>
        <w:spacing w:line="480" w:lineRule="auto"/>
        <w:ind w:firstLine="720"/>
      </w:pPr>
      <w:r>
        <w:t xml:space="preserve">Three additional implications of the mechanism deserve mention. First, the framework predicts that the cost outcome should respond to concurrency more slowly than the workload outcome, because workload is felt in real time while cost is realized through the slower accounting of standing-army labor, contract renegotiations, and extended-mission review cycles. The model should therefore allow lagged effects on the cost outcome and should not require contemporaneous identification at the quarter granularity for cost in the way it does for workload. Second, the framework predicts an interaction with manifest exogeneity: campaigns whose timing is set by external launch-vehicle availability impose concurrency that the integration organization did not choose, and the burden imposed by exogenous concurrency should be at least as large as the burden imposed by endogenous concurrency. This implication motivates the manifest-availability instrument introduced in Chapter 4. Third, the framework predicts that integration phase is the most burden-exposed phase of the campaign lifecycle, since integration and test concentrate the shared-infrastructure contention and senior-review load that the mechanism identifies as the principal channels of burden [7, 8, 12]; the development-side panel in the first dissertation paper recovered the largest point estimate on the integration-phase indicator, consistent with this prediction, though imprecisely estimated.</w:t>
      </w:r>
    </w:p>
    <w:bookmarkEnd w:id="75"/>
    <w:bookmarkStart w:id="76" w:name="formal-hypotheses"/>
    <w:p>
      <w:pPr>
        <w:pStyle w:val="Heading2"/>
        <w:spacing w:line="480" w:lineRule="auto"/>
      </w:pPr>
      <w:r>
        <w:t xml:space="preserve">3.4 Formal Hypotheses</w:t>
      </w:r>
    </w:p>
    <w:p>
      <w:pPr>
        <w:pStyle w:val="FirstParagraph"/>
        <w:spacing w:line="480" w:lineRule="auto"/>
      </w:pPr>
      <w:r>
        <w:t xml:space="preserve">The framework above motivates a single estimable parameter whose sign, magnitude, and curvature constitute the falsifiable contribution of the dissertation. Let the unit of observation be integration organization</w:t>
      </w:r>
      <w:r>
        <w:t xml:space="preserve"> </w:t>
      </w:r>
      <w:r>
        <w:rPr>
          <w:i/>
          <w:iCs/>
        </w:rPr>
        <w:t xml:space="preserve">i</w:t>
      </w:r>
      <w:r>
        <w:t xml:space="preserve"> </w:t>
      </w:r>
      <w:r>
        <w:t xml:space="preserve">in quarter</w:t>
      </w:r>
      <w:r>
        <w:t xml:space="preserve"> </w:t>
      </w:r>
      <w:r>
        <w:rPr>
          <w:i/>
          <w:iCs/>
        </w:rPr>
        <w:t xml:space="preserve">t</w:t>
      </w:r>
      <w:r>
        <w:t xml:space="preserve">. Let</w:t>
      </w:r>
      <w:r>
        <w:t xml:space="preserve"> </w:t>
      </w:r>
      <w:r>
        <w:rPr>
          <w:i/>
          <w:iCs/>
        </w:rPr>
        <w:t xml:space="preserve">Y_it</w:t>
      </w:r>
      <w:r>
        <w:t xml:space="preserve"> </w:t>
      </w:r>
      <w:r>
        <w:t xml:space="preserve">denote the outcome in question, taking on operator workload</w:t>
      </w:r>
      <w:r>
        <w:t xml:space="preserve"> </w:t>
      </w:r>
      <w:r>
        <w:rPr>
          <w:i/>
          <w:iCs/>
        </w:rPr>
        <w:t xml:space="preserve">W_it</w:t>
      </w:r>
      <w:r>
        <w:t xml:space="preserve"> </w:t>
      </w:r>
      <w:r>
        <w:t xml:space="preserve">and per-mission operations cost</w:t>
      </w:r>
      <w:r>
        <w:t xml:space="preserve"> </w:t>
      </w:r>
      <w:r>
        <w:rPr>
          <w:i/>
          <w:iCs/>
        </w:rPr>
        <w:t xml:space="preserve">K_it</w:t>
      </w:r>
      <w:r>
        <w:t xml:space="preserve"> </w:t>
      </w:r>
      <w:r>
        <w:t xml:space="preserve">in turn. Let</w:t>
      </w:r>
      <w:r>
        <w:t xml:space="preserve"> </w:t>
      </w:r>
      <w:r>
        <w:rPr>
          <w:i/>
          <w:iCs/>
        </w:rPr>
        <w:t xml:space="preserve">C_it</w:t>
      </w:r>
      <w:r>
        <w:t xml:space="preserve"> </w:t>
      </w:r>
      <w:r>
        <w:t xml:space="preserve">denote concurrent campaign load,</w:t>
      </w:r>
      <w:r>
        <w:t xml:space="preserve"> </w:t>
      </w:r>
      <w:r>
        <w:rPr>
          <w:i/>
          <w:iCs/>
        </w:rPr>
        <w:t xml:space="preserve">Complexity_it</w:t>
      </w:r>
      <w:r>
        <w:t xml:space="preserve"> </w:t>
      </w:r>
      <w:r>
        <w:t xml:space="preserve">denote per-mission complexity, and</w:t>
      </w:r>
      <w:r>
        <w:t xml:space="preserve"> </w:t>
      </w:r>
      <w:r>
        <w:rPr>
          <w:i/>
          <w:iCs/>
        </w:rPr>
        <w:t xml:space="preserve">AggregateLoad_it</w:t>
      </w:r>
      <w:r>
        <w:t xml:space="preserve"> </w:t>
      </w:r>
      <w:r>
        <w:t xml:space="preserve">denote total mission-quarters of work performed by organization</w:t>
      </w:r>
      <w:r>
        <w:t xml:space="preserve"> </w:t>
      </w:r>
      <w:r>
        <w:rPr>
          <w:i/>
          <w:iCs/>
        </w:rPr>
        <w:t xml:space="preserve">i</w:t>
      </w:r>
      <w:r>
        <w:t xml:space="preserve"> </w:t>
      </w:r>
      <w:r>
        <w:t xml:space="preserve">in quarter</w:t>
      </w:r>
      <w:r>
        <w:t xml:space="preserve"> </w:t>
      </w:r>
      <w:r>
        <w:rPr>
          <w:i/>
          <w:iCs/>
        </w:rPr>
        <w:t xml:space="preserve">t</w:t>
      </w:r>
      <w:r>
        <w:t xml:space="preserve">. The estimating equation is</w:t>
      </w:r>
    </w:p>
    <w:p>
      <w:pPr>
        <w:pStyle w:val="BodyText"/>
        <w:spacing w:line="480" w:lineRule="auto"/>
        <w:ind w:firstLine="720"/>
      </w:pPr>
      <w:r>
        <w:rPr>
          <w:i/>
          <w:iCs/>
        </w:rPr>
        <w:t xml:space="preserve">Y_it = beta_1</w:t>
      </w:r>
      <w:r>
        <w:rPr>
          <w:i/>
          <w:iCs/>
        </w:rPr>
        <w:t xml:space="preserve"> </w:t>
      </w:r>
      <w:r>
        <w:t xml:space="preserve"> </w:t>
      </w:r>
      <w:r>
        <w:t xml:space="preserve">C_it + beta_2 * C_it^2 + gamma * Complexity_it + delta * AggregateLoad_it + alpha_i + tau_t + epsilon_it*</w:t>
      </w:r>
    </w:p>
    <w:p>
      <w:pPr>
        <w:pStyle w:val="BodyText"/>
        <w:spacing w:line="480" w:lineRule="auto"/>
        <w:ind w:firstLine="720"/>
      </w:pPr>
      <w:r>
        <w:t xml:space="preserve">where</w:t>
      </w:r>
      <w:r>
        <w:t xml:space="preserve"> </w:t>
      </w:r>
      <w:r>
        <w:rPr>
          <w:i/>
          <w:iCs/>
        </w:rPr>
        <w:t xml:space="preserve">alpha_i</w:t>
      </w:r>
      <w:r>
        <w:t xml:space="preserve"> </w:t>
      </w:r>
      <w:r>
        <w:t xml:space="preserve">is an organization fixed effect,</w:t>
      </w:r>
      <w:r>
        <w:t xml:space="preserve"> </w:t>
      </w:r>
      <w:r>
        <w:rPr>
          <w:i/>
          <w:iCs/>
        </w:rPr>
        <w:t xml:space="preserve">tau_t</w:t>
      </w:r>
      <w:r>
        <w:t xml:space="preserve"> </w:t>
      </w:r>
      <w:r>
        <w:t xml:space="preserve">is a time fixed effect, and</w:t>
      </w:r>
      <w:r>
        <w:t xml:space="preserve"> </w:t>
      </w:r>
      <w:r>
        <w:rPr>
          <w:i/>
          <w:iCs/>
        </w:rPr>
        <w:t xml:space="preserve">epsilon_it</w:t>
      </w:r>
      <w:r>
        <w:t xml:space="preserve"> </w:t>
      </w:r>
      <w:r>
        <w:t xml:space="preserve">is a mean-zero error term whose standard errors are clustered at the organization level. The quadratic in</w:t>
      </w:r>
      <w:r>
        <w:t xml:space="preserve"> </w:t>
      </w:r>
      <w:r>
        <w:rPr>
          <w:i/>
          <w:iCs/>
        </w:rPr>
        <w:t xml:space="preserve">C_it</w:t>
      </w:r>
      <w:r>
        <w:t xml:space="preserve"> </w:t>
      </w:r>
      <w:r>
        <w:t xml:space="preserve">operationalizes the convexity prediction of the mechanism; an equivalent restricted cubic spline specification is reported in Chapter 5 as a robustness check.</w:t>
      </w:r>
    </w:p>
    <w:p>
      <w:pPr>
        <w:pStyle w:val="BodyText"/>
        <w:spacing w:line="480" w:lineRule="auto"/>
        <w:ind w:firstLine="720"/>
      </w:pPr>
      <w:r>
        <w:t xml:space="preserve">The null hypothesis H0 states that, once aggregate load and per-mission complexity are held fixed, concurrency has no separable effect on either outcome. Formally:</w:t>
      </w:r>
    </w:p>
    <w:p>
      <w:pPr>
        <w:pStyle w:val="BodyText"/>
        <w:spacing w:line="480" w:lineRule="auto"/>
        <w:ind w:firstLine="720"/>
      </w:pPr>
      <w:r>
        <w:rPr>
          <w:b/>
          <w:bCs/>
        </w:rPr>
        <w:t xml:space="preserve">H0:</w:t>
      </w:r>
      <w:r>
        <w:t xml:space="preserve"> </w:t>
      </w:r>
      <w:r>
        <w:rPr>
          <w:i/>
          <w:iCs/>
        </w:rPr>
        <w:t xml:space="preserve">beta_1 = 0</w:t>
      </w:r>
      <w:r>
        <w:t xml:space="preserve"> </w:t>
      </w:r>
      <w:r>
        <w:t xml:space="preserve">and</w:t>
      </w:r>
      <w:r>
        <w:t xml:space="preserve"> </w:t>
      </w:r>
      <w:r>
        <w:rPr>
          <w:i/>
          <w:iCs/>
        </w:rPr>
        <w:t xml:space="preserve">beta_2 = 0</w:t>
      </w:r>
      <w:r>
        <w:t xml:space="preserve">.</w:t>
      </w:r>
    </w:p>
    <w:p>
      <w:pPr>
        <w:pStyle w:val="BodyText"/>
        <w:spacing w:line="480" w:lineRule="auto"/>
        <w:ind w:firstLine="720"/>
      </w:pPr>
      <w:r>
        <w:t xml:space="preserve">Under H0, the apparent concurrency burden documented anecdotally in integration organizations is fully explained by the two confounds, aggregate load and per-mission complexity, that prior cost panels have habitually conflated with concurrency. Failure to reject H0 would not be a null result without content; it would imply that concurrency caps and sequencing rules are the wrong managerial lever and that the field should redirect attention to total load and per-mission complexity. The Phase E cross-section in the second dissertation paper recovered exactly this result on a simpler concurrent-count tempo measure, with the tempo coefficient estimated at a magnitude near zero and indistinguishable from zero at conventional levels once mass, instruments, prime duration, and flagship class were controlled</w:t>
      </w:r>
      <w:r>
        <w:t xml:space="preserve"> </w:t>
      </w:r>
      <w:hyperlink w:anchor="ref-13">
        <w:r>
          <w:rPr>
            <w:rStyle w:val="Hyperlink"/>
          </w:rPr>
          <w:t xml:space="preserve">[13]</w:t>
        </w:r>
      </w:hyperlink>
      <w:r>
        <w:t xml:space="preserve">. The present test asks whether that null survives the refinement to an organization-by-quarter panel with proper fixed effects and an explicit curvature specification.</w:t>
      </w:r>
    </w:p>
    <w:p>
      <w:pPr>
        <w:pStyle w:val="BodyText"/>
        <w:spacing w:line="480" w:lineRule="auto"/>
        <w:ind w:firstLine="720"/>
      </w:pPr>
      <w:r>
        <w:t xml:space="preserve">The alternative hypothesis H1 states that concurrency exerts a positive, separable, and accelerating burden on the outcomes. Formally:</w:t>
      </w:r>
    </w:p>
    <w:p>
      <w:pPr>
        <w:pStyle w:val="BodyText"/>
        <w:spacing w:line="480" w:lineRule="auto"/>
        <w:ind w:firstLine="720"/>
      </w:pPr>
      <w:r>
        <w:rPr>
          <w:b/>
          <w:bCs/>
        </w:rPr>
        <w:t xml:space="preserve">H1:</w:t>
      </w:r>
      <w:r>
        <w:t xml:space="preserve"> </w:t>
      </w:r>
      <w:r>
        <w:rPr>
          <w:i/>
          <w:iCs/>
        </w:rPr>
        <w:t xml:space="preserve">beta_1 &gt; 0</w:t>
      </w:r>
      <w:r>
        <w:t xml:space="preserve"> </w:t>
      </w:r>
      <w:r>
        <w:t xml:space="preserve">and</w:t>
      </w:r>
      <w:r>
        <w:t xml:space="preserve"> </w:t>
      </w:r>
      <w:r>
        <w:rPr>
          <w:i/>
          <w:iCs/>
        </w:rPr>
        <w:t xml:space="preserve">beta_2 &gt; 0</w:t>
      </w:r>
      <w:r>
        <w:t xml:space="preserve">.</w:t>
      </w:r>
    </w:p>
    <w:p>
      <w:pPr>
        <w:pStyle w:val="BodyText"/>
        <w:spacing w:line="480" w:lineRule="auto"/>
        <w:ind w:firstLine="720"/>
      </w:pPr>
      <w:r>
        <w:t xml:space="preserve">Under H1, the marginal burden imposed by the</w:t>
      </w:r>
      <w:r>
        <w:t xml:space="preserve"> </w:t>
      </w:r>
      <w:r>
        <w:rPr>
          <w:i/>
          <w:iCs/>
        </w:rPr>
        <w:t xml:space="preserve">k</w:t>
      </w:r>
      <w:r>
        <w:t xml:space="preserve">-th concurrent campaign is larger than the marginal burden imposed by the</w:t>
      </w:r>
      <w:r>
        <w:t xml:space="preserve"> </w:t>
      </w:r>
      <w:r>
        <w:rPr>
          <w:i/>
          <w:iCs/>
        </w:rPr>
        <w:t xml:space="preserve">(k-1)</w:t>
      </w:r>
      <w:r>
        <w:t xml:space="preserve">-th, holding aggregate load and per-mission complexity fixed. Rejecting H0 in favor of H1 would establish concurrency burden as a measurable, separable construct with a documented functional form, and would give integration organizations a defensible empirical basis for the staffing and automation decisions that they currently make on folk grounds.</w:t>
      </w:r>
    </w:p>
    <w:p>
      <w:pPr>
        <w:pStyle w:val="BodyText"/>
        <w:spacing w:line="480" w:lineRule="auto"/>
        <w:ind w:firstLine="720"/>
      </w:pPr>
      <w:r>
        <w:t xml:space="preserve">Two refinements of H1 are stated for completeness. The first, H1a, weakens the convexity requirement to permit a linear specification:</w:t>
      </w:r>
      <w:r>
        <w:t xml:space="preserve"> </w:t>
      </w:r>
      <w:r>
        <w:rPr>
          <w:i/>
          <w:iCs/>
        </w:rPr>
        <w:t xml:space="preserve">beta_1 &gt; 0</w:t>
      </w:r>
      <w:r>
        <w:t xml:space="preserve">, with no sign restriction on</w:t>
      </w:r>
      <w:r>
        <w:t xml:space="preserve"> </w:t>
      </w:r>
      <w:r>
        <w:rPr>
          <w:i/>
          <w:iCs/>
        </w:rPr>
        <w:t xml:space="preserve">beta_2</w:t>
      </w:r>
      <w:r>
        <w:t xml:space="preserve">. H1a would be consistent with a contention story in which the marginal cost of each additional concurrent campaign is roughly constant rather than rising. The second, H1b, restricts H1 to the workload outcome only, on the prediction that workload responds to concurrency contemporaneously while cost responds with a lag that the quarterly panel may not fully recover. The combined evidentiary pattern that the chapter predicts under the full mechanism is rejection of H0 in favor of H1 for the workload outcome and rejection of H0 in favor of H1a or a lag-augmented H1 for the cost outcome.</w:t>
      </w:r>
    </w:p>
    <w:p>
      <w:pPr>
        <w:pStyle w:val="BodyText"/>
        <w:spacing w:line="480" w:lineRule="auto"/>
        <w:ind w:firstLine="720"/>
      </w:pPr>
      <w:r>
        <w:t xml:space="preserve">The hypotheses are stated in directional form because the underlying mechanism is directional. Attention switching, handoff loss, contention for shared infrastructure, and coordination friction all impose burden rather than relief; the mechanism does not generate a prediction under which concurrency would lower workload or cost. The opposing economies-of-scale story, in which standing infrastructure and a deep operator bench amortize across additional campaigns, is the substantive content of H0 in this framework: it predicts that the burden mechanism and the scale mechanism cancel at the margin, leaving no net concurrency effect once aggregate load is controlled. The second dissertation paper read its null result through this lens explicitly, arguing that NASA standing operations infrastructure and trained workforce behave as a largely fixed asset that a new mission amortizes rather than congests</w:t>
      </w:r>
      <w:r>
        <w:t xml:space="preserve"> </w:t>
      </w:r>
      <w:hyperlink w:anchor="ref-13">
        <w:r>
          <w:rPr>
            <w:rStyle w:val="Hyperlink"/>
          </w:rPr>
          <w:t xml:space="preserve">[13]</w:t>
        </w:r>
      </w:hyperlink>
      <w:r>
        <w:t xml:space="preserve">. The panel test in this dissertation gives that interpretation a more demanding empirical hurdle: if the scale-amortization story is correct, the within-organization, within-quarter concurrency effect estimated with fixed effects should still be indistinguishable from zero; if instead the burden mechanism dominates at the integration-organization scale, fixed-effects identification should recover the positive and convex</w:t>
      </w:r>
      <w:r>
        <w:t xml:space="preserve"> </w:t>
      </w:r>
      <w:r>
        <w:rPr>
          <w:i/>
          <w:iCs/>
        </w:rPr>
        <w:t xml:space="preserve">beta_1, beta_2</w:t>
      </w:r>
      <w:r>
        <w:t xml:space="preserve"> </w:t>
      </w:r>
      <w:r>
        <w:t xml:space="preserve">that H1 predicts.</w:t>
      </w:r>
    </w:p>
    <w:bookmarkEnd w:id="76"/>
    <w:bookmarkStart w:id="77" w:name="boundary-and-scope-conditions"/>
    <w:p>
      <w:pPr>
        <w:pStyle w:val="Heading2"/>
        <w:spacing w:line="480" w:lineRule="auto"/>
      </w:pPr>
      <w:r>
        <w:t xml:space="preserve">3.5 Boundary and Scope Conditions</w:t>
      </w:r>
    </w:p>
    <w:p>
      <w:pPr>
        <w:pStyle w:val="FirstParagraph"/>
        <w:spacing w:line="480" w:lineRule="auto"/>
      </w:pPr>
      <w:r>
        <w:t xml:space="preserve">The framework is expected to hold under three boundary conditions. First, the integration organization must be the binding locus of attention, coordination, and shared-infrastructure contention; if a campaign is integrated through a substantially independent facility with its own operator cadre, that campaign does not contribute to the concurrency load on the focal organization in the sense the framework intends. The empirical panel addresses this by attributing campaigns to operators using the catalogued operator/owner field rather than to umbrella agencies that may span multiple independent integration organizations. Second, the framework presumes that per-mission complexity is observable, since complexity is the principal confound the test must control. The catalog-derived complexity proxies of mass class, orbit regime, and multi-payload manifest indicators are imperfect, and Chapter 5 reports sensitivity of the recovered concurrency coefficient to alternative complexity specifications. Third, the framework presumes that the workload and cost outcomes are measurable at the organization-quarter level with enough precision to detect a within-organization concurrency effect; the panel is scoped to operators with adequate coverage on these outcomes, with the qualitative strand carrying the inference for operators where quantitative coverage is thin.</w:t>
      </w:r>
    </w:p>
    <w:p>
      <w:pPr>
        <w:pStyle w:val="BodyText"/>
        <w:spacing w:line="480" w:lineRule="auto"/>
        <w:ind w:firstLine="720"/>
      </w:pPr>
      <w:r>
        <w:t xml:space="preserve">Three scope conditions delimit external validity. First, the framework is developed for integration organizations operating catalogued spaceflight campaigns, not for terrestrial program management generally; the contention and coordination mechanisms generalize in principle, but the empirical estimates are scoped to the space operations population. Second, the framework speaks to organizations with public or partially public disclosure of cost and workload; classified and fully proprietary operators are out of sample for the quantitative test, and the qualitative interviews are explicitly designed to probe whether the recovered mechanism survives at the boundary of that scope condition. Third, the framework is silent on the long-run equilibrium response of organizations to concurrency burden; the model identifies short-run, within-organization responses at the quarter granularity, and the long-run adjustments that organizations make through automation investment, hiring, and portfolio restructuring are treated as background trends absorbed by the organization and time fixed effects rather than as additional outcomes of the present test.</w:t>
      </w:r>
    </w:p>
    <w:p>
      <w:pPr>
        <w:pStyle w:val="BodyText"/>
        <w:spacing w:line="480" w:lineRule="auto"/>
        <w:ind w:firstLine="720"/>
      </w:pPr>
      <w:r>
        <w:t xml:space="preserve">With these boundary and scope conditions explicit, the framework specifies a single, falsifiable, decision-relevant test. The next chapter describes the panel construction, identification strategy, and instrumental variable that operationalize this test on the CelesTrak SATCAT spine joined to the documented cost and workload layers, and Chapter 5 reports the estimated coefficients and their robustness across the specifications anticipated above.</w:t>
      </w:r>
    </w:p>
    <w:bookmarkEnd w:id="77"/>
    <w:bookmarkEnd w:id="78"/>
    <w:bookmarkStart w:id="88" w:name="chapter-4.-data-and-measurement"/>
    <w:p>
      <w:pPr>
        <w:pStyle w:val="Heading1"/>
        <w:spacing w:line="480" w:lineRule="auto"/>
      </w:pPr>
      <w:r>
        <w:t xml:space="preserve">Chapter 4. Data and Measurement</w:t>
      </w:r>
    </w:p>
    <w:bookmarkStart w:id="79" w:name="purpose-and-organization-of-the-chapter"/>
    <w:p>
      <w:pPr>
        <w:pStyle w:val="Heading2"/>
        <w:spacing w:line="480" w:lineRule="auto"/>
      </w:pPr>
      <w:r>
        <w:t xml:space="preserve">4.1 Purpose and Organization of the Chapter</w:t>
      </w:r>
    </w:p>
    <w:p>
      <w:pPr>
        <w:pStyle w:val="FirstParagraph"/>
        <w:spacing w:line="480" w:lineRule="auto"/>
      </w:pPr>
      <w:r>
        <w:t xml:space="preserve">The empirical core of this dissertation rests on two distinct but complementary panels assembled for the companion papers, and the credibility of every coefficient reported in those papers depends on the discipline applied at the data layer. This chapter documents that discipline. It states the unit of analysis for each panel, names the authoritative primary source from which every variable is constructed, and walks through the transformations that convert raw catalog entries, agency assessment reports, and mission documentation into the regressors and outcomes that enter the estimating equations. The intent is reconstructability: a reader who downloads the same source artifacts and follows the procedures recorded here should arrive at the same panel without recourse to private files or undocumented judgment.</w:t>
      </w:r>
    </w:p>
    <w:p>
      <w:pPr>
        <w:pStyle w:val="BodyText"/>
        <w:spacing w:line="480" w:lineRule="auto"/>
        <w:ind w:firstLine="720"/>
      </w:pPr>
      <w:r>
        <w:t xml:space="preserve">Three commitments organize the chapter. First, every variable traces to a named, openly obtainable artifact, and where a value is computed rather than directly transcribed, the computation is reported in full. Second, illustrative values, that is, figures inferred from documented neighbors where a primary line item is not separately disclosed, carry that mark plainly and sit under a strict ceiling within each panel. Third, the chapter foregrounds the threats to measurement that survive after these procedures are applied, on the principle that an honest accounting of residual error is a precondition for honest inference</w:t>
      </w:r>
      <w:r>
        <w:t xml:space="preserve"> </w:t>
      </w:r>
      <w:hyperlink w:anchor="ref-8">
        <w:r>
          <w:rPr>
            <w:rStyle w:val="Hyperlink"/>
          </w:rPr>
          <w:t xml:space="preserve">[8]</w:t>
        </w:r>
      </w:hyperlink>
      <w:r>
        <w:t xml:space="preserve">.</w:t>
      </w:r>
    </w:p>
    <w:p>
      <w:pPr>
        <w:pStyle w:val="BodyText"/>
        <w:spacing w:line="480" w:lineRule="auto"/>
        <w:ind w:firstLine="720"/>
      </w:pPr>
      <w:r>
        <w:t xml:space="preserve">The chapter is organized into eight sections. Section 4.2 fixes the unit of analysis for each panel and clarifies why the two units differ. Section 4.3 names the authoritative primary sources. Section 4.4 documents the dependent-variable construction for Paper 1, cumulative development cost growth at the NASA major-project level. Section 4.5 documents the dependent-variable construction for Paper 2, Phase E operations cost at the deep-space mission level. Section 4.6 describes the construction of the central regressor in both papers, mission integration tempo, as a portfolio-concurrency count. Section 4.7 walks through the control variables. Section 4.8 records the coding rules for illustrative cells and the audit log that disciplines them. Section 4.9 reviews the measurement threats that the procedures address and those that remain.</w:t>
      </w:r>
    </w:p>
    <w:bookmarkEnd w:id="79"/>
    <w:bookmarkStart w:id="80" w:name="unit-of-analysis"/>
    <w:p>
      <w:pPr>
        <w:pStyle w:val="Heading2"/>
        <w:spacing w:line="480" w:lineRule="auto"/>
      </w:pPr>
      <w:r>
        <w:t xml:space="preserve">4.2 Unit of Analysis</w:t>
      </w:r>
    </w:p>
    <w:p>
      <w:pPr>
        <w:pStyle w:val="FirstParagraph"/>
        <w:spacing w:line="480" w:lineRule="auto"/>
      </w:pPr>
      <w:r>
        <w:t xml:space="preserve">The two papers are deliberately structured around different units of analysis because the questions they ask are about different organizational levels.</w:t>
      </w:r>
    </w:p>
    <w:p>
      <w:pPr>
        <w:pStyle w:val="BodyText"/>
        <w:spacing w:line="480" w:lineRule="auto"/>
        <w:ind w:firstLine="720"/>
      </w:pPr>
      <w:r>
        <w:t xml:space="preserve">Paper 1 takes the NASA major-project observation as its unit, defined as a single project measured at a single Government Accountability Office assessment cycle. The same project appears repeatedly across cycles when it is in scope long enough to be reassessed, and the panel is therefore a pooled cross-section indexed by project and assessment year. A major project, in this sense, follows the GAO’s own scoping rule: a NASA acquisition with a life-cycle cost above the threshold the agency tracks in its annual portfolio review [7, 12]. This unit is the right one for a portfolio-tempo question because the GAO assessment is the only artifact that systematically records, for every major project in a given year, both a development cost figure and the contemporaneous portfolio count.</w:t>
      </w:r>
    </w:p>
    <w:p>
      <w:pPr>
        <w:pStyle w:val="BodyText"/>
        <w:spacing w:line="480" w:lineRule="auto"/>
        <w:ind w:firstLine="720"/>
      </w:pPr>
      <w:r>
        <w:t xml:space="preserve">Paper 2 takes the NASA deep-space science mission as its unit, observed once, at launch. Operations cost is a Phase E quantity that accrues over the mission’s operating life, but the regressor of interest, the count of other deep-space science missions in active operations at the focal mission’s launch year, is a feature of the operating environment at a specific moment. Treating each mission as a single observation indexed by launch year preserves the meaning of the tempo variable and keeps the unit consistent with the way the engineering and cost-estimation literature reports operations cost [13, 16].</w:t>
      </w:r>
    </w:p>
    <w:p>
      <w:pPr>
        <w:pStyle w:val="BodyText"/>
        <w:spacing w:line="480" w:lineRule="auto"/>
        <w:ind w:firstLine="720"/>
      </w:pPr>
      <w:r>
        <w:t xml:space="preserve">The two units are not interchangeable. A NASA major project in the GAO sense often is not a deep-space science mission (the Space Launch System and the Exploration Ground Systems are major projects but not Phase-E science missions), and a deep-space science mission may not appear in the GAO major-project panel in every year. The dissertation therefore preserves both panels as separate analytic surfaces and integrates their findings at the discussion layer rather than forcing them into a single observation grid.</w:t>
      </w:r>
    </w:p>
    <w:bookmarkEnd w:id="80"/>
    <w:bookmarkStart w:id="81" w:name="authoritative-primary-sources"/>
    <w:p>
      <w:pPr>
        <w:pStyle w:val="Heading2"/>
        <w:spacing w:line="480" w:lineRule="auto"/>
      </w:pPr>
      <w:r>
        <w:t xml:space="preserve">4.3 Authoritative Primary Sources</w:t>
      </w:r>
    </w:p>
    <w:p>
      <w:pPr>
        <w:pStyle w:val="FirstParagraph"/>
        <w:spacing w:line="480" w:lineRule="auto"/>
      </w:pPr>
      <w:r>
        <w:t xml:space="preserve">Both panels draw from openly published, machine-or-PDF-readable primary sources, and the rule applied throughout the construction is that the most authoritative source for a value takes precedence over any secondary aggregator.</w:t>
      </w:r>
    </w:p>
    <w:p>
      <w:pPr>
        <w:pStyle w:val="BodyText"/>
        <w:spacing w:line="480" w:lineRule="auto"/>
        <w:ind w:firstLine="720"/>
      </w:pPr>
      <w:r>
        <w:t xml:space="preserve">For Paper 1 the spine of the panel is the GAO’s Assessments of Major NASA Projects series, specifically the 2023, 2024, and 2025 reports, with the 2019 human-spaceflight assessment supplying the SLS-class anchor [7, 9, 12]. These reports are congressionally mandated, methodologically transparent in the appendix material, and structured so that each major project receives a fixed-format page recording cost and schedule status against the Agency Baseline Commitment. The portfolio count is reported directly in the front matter of each cycle. Where a project’s growth is not stated as a percentage but as a dollar excursion against a named baseline, the percentage is derived from the GAO’s own quoted dollar figures rather than from a third-party recalculation.</w:t>
      </w:r>
    </w:p>
    <w:p>
      <w:pPr>
        <w:pStyle w:val="BodyText"/>
        <w:spacing w:line="480" w:lineRule="auto"/>
        <w:ind w:firstLine="720"/>
      </w:pPr>
      <w:r>
        <w:t xml:space="preserve">Three secondary sources supplement the GAO spine where the GAO itself either references but does not republish a primary figure or where the project’s history predates a GAO reassessment. The Planetary Society’s cost catalogue for the James Webb Space Telescope supplies the documented growth-from-baseline figure for that project</w:t>
      </w:r>
      <w:r>
        <w:t xml:space="preserve"> </w:t>
      </w:r>
      <w:hyperlink w:anchor="ref-10">
        <w:r>
          <w:rPr>
            <w:rStyle w:val="Hyperlink"/>
          </w:rPr>
          <w:t xml:space="preserve">[10]</w:t>
        </w:r>
      </w:hyperlink>
      <w:r>
        <w:t xml:space="preserve">. SpaceNews supplies the contemporaneous reporting on the Europa Clipper cost excursion</w:t>
      </w:r>
      <w:r>
        <w:t xml:space="preserve"> </w:t>
      </w:r>
      <w:hyperlink w:anchor="ref-11">
        <w:r>
          <w:rPr>
            <w:rStyle w:val="Hyperlink"/>
          </w:rPr>
          <w:t xml:space="preserve">[11]</w:t>
        </w:r>
      </w:hyperlink>
      <w:r>
        <w:t xml:space="preserve">. The 2019 GAO human-spaceflight report supplies the SLS baseline excursion</w:t>
      </w:r>
      <w:r>
        <w:t xml:space="preserve"> </w:t>
      </w:r>
      <w:hyperlink w:anchor="ref-9">
        <w:r>
          <w:rPr>
            <w:rStyle w:val="Hyperlink"/>
          </w:rPr>
          <w:t xml:space="preserve">[9]</w:t>
        </w:r>
      </w:hyperlink>
      <w:r>
        <w:t xml:space="preserve">. These three sources are used because each cites a primary agency or congressional record and because each is the standard reference used in the cost-growth literature when the original NASA accounting line is not separately published.</w:t>
      </w:r>
    </w:p>
    <w:p>
      <w:pPr>
        <w:pStyle w:val="BodyText"/>
        <w:spacing w:line="480" w:lineRule="auto"/>
        <w:ind w:firstLine="720"/>
      </w:pPr>
      <w:r>
        <w:t xml:space="preserve">For Paper 2 the dependent variable rests on a more heterogeneous set of primary sources, reflecting the inconvenient fact that NASA does not publish a single Phase E ledger across missions. The NASA Mission Operations Cost Estimation Tool (MOCET) briefing supplies the methodological frame within which Phase E is defined and the model’s published expectations for how operations cost scales with mission class</w:t>
      </w:r>
      <w:r>
        <w:t xml:space="preserve"> </w:t>
      </w:r>
      <w:hyperlink w:anchor="ref-13">
        <w:r>
          <w:rPr>
            <w:rStyle w:val="Hyperlink"/>
          </w:rPr>
          <w:t xml:space="preserve">[13]</w:t>
        </w:r>
      </w:hyperlink>
      <w:r>
        <w:t xml:space="preserve">. The Cangi, Gibson, and Luebbers compendium, prepared at the Laboratory for Atmospheric and Space Physics at Colorado Boulder, supplies primary cost summaries for several legacy missions, including the Mars Science Laboratory Phase E actual that anchors that mission’s value [16, 20]. The Planetary Society’s mission-cost briefs supply documented Phase E or prime-operations figures for OSIRIS-REx and Mars 2020 Perseverance [17, 18]. The Mars Reconnaissance Orbiter operations figure traces to the program’s own development, launch, and five-year operations breakdown as compiled in the public mission record</w:t>
      </w:r>
      <w:r>
        <w:t xml:space="preserve"> </w:t>
      </w:r>
      <w:hyperlink w:anchor="ref-19">
        <w:r>
          <w:rPr>
            <w:rStyle w:val="Hyperlink"/>
          </w:rPr>
          <w:t xml:space="preserve">[19]</w:t>
        </w:r>
      </w:hyperlink>
      <w:r>
        <w:t xml:space="preserve">. Where a mission’s operations cost cannot be retrieved from one of these sources, it is computed as a documented residual: total life-cycle cost minus development cost minus launch cost, with each term cited to its own primary source.</w:t>
      </w:r>
    </w:p>
    <w:p>
      <w:pPr>
        <w:pStyle w:val="BodyText"/>
        <w:spacing w:line="480" w:lineRule="auto"/>
        <w:ind w:firstLine="720"/>
      </w:pPr>
      <w:r>
        <w:t xml:space="preserve">The integration-tempo variable in Paper 2 is constructed entirely from documented launch and prime-mission-end dates as recorded in NASA mission pages and contemporaneous press kits. Because these dates are themselves well documented and rarely disputed, the tempo count is among the cleaner variables in either panel.</w:t>
      </w:r>
    </w:p>
    <w:bookmarkEnd w:id="81"/>
    <w:bookmarkStart w:id="82" w:name="Xacfa72b8a9a03abde1883f2737614cb723cd743"/>
    <w:p>
      <w:pPr>
        <w:pStyle w:val="Heading2"/>
        <w:spacing w:line="480" w:lineRule="auto"/>
      </w:pPr>
      <w:r>
        <w:t xml:space="preserve">4.4 Dependent Variable, Paper 1: Cumulative Development Cost Growth</w:t>
      </w:r>
    </w:p>
    <w:p>
      <w:pPr>
        <w:pStyle w:val="FirstParagraph"/>
        <w:spacing w:line="480" w:lineRule="auto"/>
      </w:pPr>
      <w:r>
        <w:t xml:space="preserve">The outcome in Paper 1 is cumulative development cost growth from the Agency Baseline Commitment, expressed in percent. The construction proceeds in three steps.</w:t>
      </w:r>
    </w:p>
    <w:p>
      <w:pPr>
        <w:pStyle w:val="BodyText"/>
        <w:spacing w:line="480" w:lineRule="auto"/>
        <w:ind w:firstLine="720"/>
      </w:pPr>
      <w:r>
        <w:t xml:space="preserve">The first step is to identify the project’s Agency Baseline Commitment, which is the formal cost target established at the project’s confirmation review and recorded by the GAO as the reference against which cost growth is measured [7, 12]. The baseline is reported in nominal dollars at the time of confirmation, and the GAO carries that figure forward in subsequent assessments without rebaselining. The dissertation adopts the GAO convention without modification, because rebaselining would import an analytic judgment that the audit community has deliberately avoided.</w:t>
      </w:r>
    </w:p>
    <w:p>
      <w:pPr>
        <w:pStyle w:val="BodyText"/>
        <w:spacing w:line="480" w:lineRule="auto"/>
        <w:ind w:firstLine="720"/>
      </w:pPr>
      <w:r>
        <w:t xml:space="preserve">The second step is to identify the current estimated development cost for the project in the assessment year. The GAO reports this figure on each project’s fixed-format page, distinguishing development cost from operations cost so that the growth percentage is a property of Phases A through D and not contaminated by Phase E. Where the report distinguishes a current estimate at completion (EAC) from a current obligated amount, the EAC is the value used, on the principle that the question is about expected cost growth at completion rather than committed-to-date spending.</w:t>
      </w:r>
    </w:p>
    <w:p>
      <w:pPr>
        <w:pStyle w:val="BodyText"/>
        <w:spacing w:line="480" w:lineRule="auto"/>
        <w:ind w:firstLine="720"/>
      </w:pPr>
      <w:r>
        <w:t xml:space="preserve">The third step is the percentage computation: growth equals current EAC minus baseline, divided by baseline, multiplied by one hundred. For the highest-profile anchor projects the dissertation uses the published growth percentages directly. The James Webb Space Telescope at ninety-five percent growth from its 2009 baseline is taken from the Planetary Society cost record, which itself cites the NASA reporting line</w:t>
      </w:r>
      <w:r>
        <w:t xml:space="preserve"> </w:t>
      </w:r>
      <w:hyperlink w:anchor="ref-10">
        <w:r>
          <w:rPr>
            <w:rStyle w:val="Hyperlink"/>
          </w:rPr>
          <w:t xml:space="preserve">[10]</w:t>
        </w:r>
      </w:hyperlink>
      <w:r>
        <w:t xml:space="preserve">. The Space Launch System baseline excursion of at least thirty-three percent is taken from the 2019 GAO human-spaceflight report</w:t>
      </w:r>
      <w:r>
        <w:t xml:space="preserve"> </w:t>
      </w:r>
      <w:hyperlink w:anchor="ref-9">
        <w:r>
          <w:rPr>
            <w:rStyle w:val="Hyperlink"/>
          </w:rPr>
          <w:t xml:space="preserve">[9]</w:t>
        </w:r>
      </w:hyperlink>
      <w:r>
        <w:t xml:space="preserve">. The Europa Clipper excursion from a 4.25-billion-dollar baseline to a 5.0-billion-dollar estimate, computed at roughly eighteen percent, is taken from contemporaneous SpaceNews reporting that cites the project office</w:t>
      </w:r>
      <w:r>
        <w:t xml:space="preserve"> </w:t>
      </w:r>
      <w:hyperlink w:anchor="ref-11">
        <w:r>
          <w:rPr>
            <w:rStyle w:val="Hyperlink"/>
          </w:rPr>
          <w:t xml:space="preserve">[11]</w:t>
        </w:r>
      </w:hyperlink>
      <w:r>
        <w:t xml:space="preserve">. For projects where the GAO publishes both the baseline and the EAC but not the percentage, the percentage is computed as above and the source string in the dataset records both inputs. Where a project’s percentage is computed in this way from documented dollar inputs, the cell is treated as primary, not illustrative, because both inputs are themselves directly cited.</w:t>
      </w:r>
    </w:p>
    <w:p>
      <w:pPr>
        <w:pStyle w:val="BodyText"/>
        <w:spacing w:line="480" w:lineRule="auto"/>
        <w:ind w:firstLine="720"/>
      </w:pPr>
      <w:r>
        <w:t xml:space="preserve">The result is a single percent-growth value per project per assessment cycle, with a source string in the dataset’s final column identifying each value’s provenance.</w:t>
      </w:r>
    </w:p>
    <w:bookmarkEnd w:id="82"/>
    <w:bookmarkStart w:id="83" w:name="Xccb3810a6a3fe761743415b18746204f1956d2a"/>
    <w:p>
      <w:pPr>
        <w:pStyle w:val="Heading2"/>
        <w:spacing w:line="480" w:lineRule="auto"/>
      </w:pPr>
      <w:r>
        <w:t xml:space="preserve">4.5 Dependent Variable, Paper 2: Phase E Operations Cost</w:t>
      </w:r>
    </w:p>
    <w:p>
      <w:pPr>
        <w:pStyle w:val="FirstParagraph"/>
        <w:spacing w:line="480" w:lineRule="auto"/>
      </w:pPr>
      <w:r>
        <w:t xml:space="preserve">The outcome in Paper 2 is Phase E operations cost in millions of nominal US dollars, transformed to natural logs in the estimating equation. The construction follows three patterns depending on what the primary source separately discloses.</w:t>
      </w:r>
    </w:p>
    <w:p>
      <w:pPr>
        <w:pStyle w:val="BodyText"/>
        <w:spacing w:line="480" w:lineRule="auto"/>
        <w:ind w:firstLine="720"/>
      </w:pPr>
      <w:r>
        <w:t xml:space="preserve">When a source reports an operations or Phase E line directly, the figure is used as is. The Mars Reconnaissance Orbiter operations figure of 210 million dollars for five years is taken directly from the program’s published cost breakdown</w:t>
      </w:r>
      <w:r>
        <w:t xml:space="preserve"> </w:t>
      </w:r>
      <w:hyperlink w:anchor="ref-19">
        <w:r>
          <w:rPr>
            <w:rStyle w:val="Hyperlink"/>
          </w:rPr>
          <w:t xml:space="preserve">[19]</w:t>
        </w:r>
      </w:hyperlink>
      <w:r>
        <w:t xml:space="preserve">. The OSIRIS-REx Phase E figure of 283 million dollars is taken directly from the Planetary Society’s mission-cost brief, which itself cites the NASA project-office accounting line</w:t>
      </w:r>
      <w:r>
        <w:t xml:space="preserve"> </w:t>
      </w:r>
      <w:hyperlink w:anchor="ref-17">
        <w:r>
          <w:rPr>
            <w:rStyle w:val="Hyperlink"/>
          </w:rPr>
          <w:t xml:space="preserve">[17]</w:t>
        </w:r>
      </w:hyperlink>
      <w:r>
        <w:t xml:space="preserve">. The Mars 2020 Perseverance prime-operations figure of 300 million dollars is taken directly from the comparable Planetary Society brief</w:t>
      </w:r>
      <w:r>
        <w:t xml:space="preserve"> </w:t>
      </w:r>
      <w:hyperlink w:anchor="ref-18">
        <w:r>
          <w:rPr>
            <w:rStyle w:val="Hyperlink"/>
          </w:rPr>
          <w:t xml:space="preserve">[18]</w:t>
        </w:r>
      </w:hyperlink>
      <w:r>
        <w:t xml:space="preserve">. The Mars Science Laboratory primary Phase E actual of 158.8 million dollars is taken directly from the Cangi, Gibson, and Luebbers compendium and from NASA project accounting [16, 20]. These four directly disclosed Phase E values anchor the dataset.</w:t>
      </w:r>
    </w:p>
    <w:p>
      <w:pPr>
        <w:pStyle w:val="BodyText"/>
        <w:spacing w:line="480" w:lineRule="auto"/>
        <w:ind w:firstLine="720"/>
      </w:pPr>
      <w:r>
        <w:t xml:space="preserve">When a source reports life-cycle, development, and launch costs but not a separate Phase E line, Phase E is taken as the documented residual: life-cycle minus development minus launch. Each of the three inputs in this subtraction is cited to its own primary source in the dataset, so the residual is not free-floating. Because life-cycle cost in agency parlance is intended to include Phase E, the residual is the appropriate construction and is treated as primary, with the residual mechanic noted in the source string.</w:t>
      </w:r>
    </w:p>
    <w:p>
      <w:pPr>
        <w:pStyle w:val="BodyText"/>
        <w:spacing w:line="480" w:lineRule="auto"/>
        <w:ind w:firstLine="720"/>
      </w:pPr>
      <w:r>
        <w:t xml:space="preserve">When a primary Phase E line and a complete cost stack are both unavailable, the cell is marked illustrative. The two short-prime Discovery missions in the sample whose budgets are reported only as a combined program total fall into this category, accounting for approximately one observation in ten. Illustrative cells are reported but are flagged so that sensitivity analysis can exclude them.</w:t>
      </w:r>
    </w:p>
    <w:p>
      <w:pPr>
        <w:pStyle w:val="BodyText"/>
        <w:spacing w:line="480" w:lineRule="auto"/>
        <w:ind w:firstLine="720"/>
      </w:pPr>
      <w:r>
        <w:t xml:space="preserve">For estimation, the dependent variable is converted to natural logs, a transformation chosen because the operations-cost literature treats Phase E cost as multiplicative in spacecraft scale and class and because the log transform stabilizes the variance across the four orders of magnitude that the sample spans [13, 16]. Coefficients on log-transformed regressors are read as elasticities and coefficients on level regressors as semi-elasticities. The log transform is applied only to the outcome and to spacecraft mass.</w:t>
      </w:r>
    </w:p>
    <w:bookmarkEnd w:id="83"/>
    <w:bookmarkStart w:id="84" w:name="Xbc13175ac5265ce5ffca1fce8ae7cff25c9ec4a"/>
    <w:p>
      <w:pPr>
        <w:pStyle w:val="Heading2"/>
        <w:spacing w:line="480" w:lineRule="auto"/>
      </w:pPr>
      <w:r>
        <w:t xml:space="preserve">4.6 The Central Regressor: Mission Integration Tempo</w:t>
      </w:r>
    </w:p>
    <w:p>
      <w:pPr>
        <w:pStyle w:val="FirstParagraph"/>
        <w:spacing w:line="480" w:lineRule="auto"/>
      </w:pPr>
      <w:r>
        <w:t xml:space="preserve">Tempo is the variable that both papers hinge on, and the construction is documented separately for each paper because the unit of analysis differs.</w:t>
      </w:r>
    </w:p>
    <w:p>
      <w:pPr>
        <w:pStyle w:val="BodyText"/>
        <w:spacing w:line="480" w:lineRule="auto"/>
        <w:ind w:firstLine="720"/>
      </w:pPr>
      <w:r>
        <w:t xml:space="preserve">In Paper 1, portfolio concurrency is the count of NASA major projects in the development portfolio in the assessment year. The GAO publishes this count directly in the front matter of each assessment. The values used are twenty-four major projects in 2019, on the order of twenty-one in 2023, sixteen in 2024, and eighteen in 2025 [7, 9, 12]. Because the count varies only across years and not across projects within a year, its effect is identified from cross-cycle variation. This is a known limitation of the Paper 1 specification and is candidly reported in that paper’s findings.</w:t>
      </w:r>
    </w:p>
    <w:p>
      <w:pPr>
        <w:pStyle w:val="BodyText"/>
        <w:spacing w:line="480" w:lineRule="auto"/>
        <w:ind w:firstLine="720"/>
      </w:pPr>
      <w:r>
        <w:t xml:space="preserve">In Paper 2, mission integration tempo is the count of other NASA deep-space science missions in active operations during the focal mission’s launch year. The construction is a window-overlap calculation. For each focal mission, the launch year is fixed. A second mission is counted as in active operations during that year if its documented launch date is on or before the focal mission’s launch year and its documented prime-mission-end date is in or after the focal mission’s launch year. The roster against which this calculation is run combines the nineteen sample missions with a fixed set of long-running operational missions widely documented as active across the sample window: Mars Odyssey, the Mars Exploration Rovers, Stardust, the WISE/NEOWISE flight, Hubble, Spitzer, and Chandra. The launch and prime-end dates are taken from the respective mission specification pages and contemporaneous press kits, and the calculation is mechanical given those inputs.</w:t>
      </w:r>
    </w:p>
    <w:p>
      <w:pPr>
        <w:pStyle w:val="BodyText"/>
        <w:spacing w:line="480" w:lineRule="auto"/>
        <w:ind w:firstLine="720"/>
      </w:pPr>
      <w:r>
        <w:t xml:space="preserve">The resulting tempo variable ranges from a value of one for the earliest-launching mission in the sample to a value of thirteen for the most recent, with the upward trend in tempo reflecting the genuine growth in concurrent deep-space operations over the 1997 to 2023 window</w:t>
      </w:r>
      <w:r>
        <w:t xml:space="preserve"> </w:t>
      </w:r>
      <w:hyperlink w:anchor="ref-13">
        <w:r>
          <w:rPr>
            <w:rStyle w:val="Hyperlink"/>
          </w:rPr>
          <w:t xml:space="preserve">[13]</w:t>
        </w:r>
      </w:hyperlink>
      <w:r>
        <w:t xml:space="preserve">. Tempo enters the Paper 2 specification in levels rather than logs because the unit, missions in concurrent operation, is itself a count and because the specification estimates the marginal effect of one additional concurrent mission.</w:t>
      </w:r>
    </w:p>
    <w:p>
      <w:pPr>
        <w:pStyle w:val="BodyText"/>
        <w:spacing w:line="480" w:lineRule="auto"/>
        <w:ind w:firstLine="720"/>
      </w:pPr>
      <w:r>
        <w:t xml:space="preserve">The dissertation makes no claim that the simple count weights all concurrent missions equally in resource demand. A more granular tempo measure scaled by Deep Space Network tracking hours or by overlapping critical-event windows is an explicit extension reserved for the panel that this dissertation argues should follow.</w:t>
      </w:r>
    </w:p>
    <w:bookmarkEnd w:id="84"/>
    <w:bookmarkStart w:id="85" w:name="control-variables"/>
    <w:p>
      <w:pPr>
        <w:pStyle w:val="Heading2"/>
        <w:spacing w:line="480" w:lineRule="auto"/>
      </w:pPr>
      <w:r>
        <w:t xml:space="preserve">4.7 Control Variables</w:t>
      </w:r>
    </w:p>
    <w:p>
      <w:pPr>
        <w:pStyle w:val="FirstParagraph"/>
        <w:spacing w:line="480" w:lineRule="auto"/>
      </w:pPr>
      <w:r>
        <w:t xml:space="preserve">Paper 1 carries three controls. The integration-phase indicator equals one when the project is in integration and test in the assessment year, taken from the GAO’s life-cycle-phase coding on the project’s fixed-format page [7, 12]. Life-cycle cost in billions of dollars is the GAO-reported current EAC for total project cost in the assessment year, used as a scale proxy. The crewed indicator equals one for human-spaceflight and exploration-class projects, identified from each project’s program-class designation in the GAO report and cross-checked against the 2019 human-spaceflight assessment</w:t>
      </w:r>
      <w:r>
        <w:t xml:space="preserve"> </w:t>
      </w:r>
      <w:hyperlink w:anchor="ref-9">
        <w:r>
          <w:rPr>
            <w:rStyle w:val="Hyperlink"/>
          </w:rPr>
          <w:t xml:space="preserve">[9]</w:t>
        </w:r>
      </w:hyperlink>
      <w:r>
        <w:t xml:space="preserve">. These three controls are designed to isolate the tempo coefficient from scale, phase, and the structural difference between the crewed and uncrewed program lines.</w:t>
      </w:r>
    </w:p>
    <w:p>
      <w:pPr>
        <w:pStyle w:val="BodyText"/>
        <w:spacing w:line="480" w:lineRule="auto"/>
        <w:ind w:firstLine="720"/>
      </w:pPr>
      <w:r>
        <w:t xml:space="preserve">Paper 2 carries four controls. Spacecraft launch mass in kilograms is taken from the mission specification table for each spacecraft, entered in natural logs in the estimating equation so that its coefficient reads as a mass elasticity of operations cost [13, 16]. Instrument count is the number of distinct science instruments listed in the mission’s payload manifest, entered in levels. Prime mission duration in years is computed from the documented launch date and the documented prime-mission-end date for each spacecraft, with both dates entered in the source string. The flagship indicator equals one for missions whose program documentation identifies them as flagship class (Cassini-Huygens, Mars Science Laboratory, Juno, Parker Solar Probe, and Mars 2020 Perseverance) and zero otherwise, separating those missions from the Discovery, New Frontiers, and Scout-class competed missions and from the operational orbiters in the sample</w:t>
      </w:r>
      <w:r>
        <w:t xml:space="preserve"> </w:t>
      </w:r>
      <w:hyperlink w:anchor="ref-13">
        <w:r>
          <w:rPr>
            <w:rStyle w:val="Hyperlink"/>
          </w:rPr>
          <w:t xml:space="preserve">[13]</w:t>
        </w:r>
      </w:hyperlink>
      <w:r>
        <w:t xml:space="preserve">. The flagship indicator is the strongest single predictor of operations cost in Paper 2’s findings, and its construction is therefore particularly important to record cleanly.</w:t>
      </w:r>
    </w:p>
    <w:p>
      <w:pPr>
        <w:pStyle w:val="BodyText"/>
        <w:spacing w:line="480" w:lineRule="auto"/>
        <w:ind w:firstLine="720"/>
      </w:pPr>
      <w:r>
        <w:t xml:space="preserve">Across both panels, the controls are deliberately conservative. Each is taken from a single, named primary source per row and is not transformed beyond the log conversions noted. The dissertation does not introduce interaction terms or higher-order polynomials at the data layer; specifications that explore non-linearity, including the convexity test described in the prospectus, operate on these primary variables rather than on derived constructs.</w:t>
      </w:r>
    </w:p>
    <w:bookmarkEnd w:id="85"/>
    <w:bookmarkStart w:id="86" w:name="Xa91f120460f9af87156e48572f12747998321f6"/>
    <w:p>
      <w:pPr>
        <w:pStyle w:val="Heading2"/>
        <w:spacing w:line="480" w:lineRule="auto"/>
      </w:pPr>
      <w:r>
        <w:t xml:space="preserve">4.8 Illustrative Cells, Source Strings, and the Audit Log</w:t>
      </w:r>
    </w:p>
    <w:p>
      <w:pPr>
        <w:pStyle w:val="FirstParagraph"/>
        <w:spacing w:line="480" w:lineRule="auto"/>
      </w:pPr>
      <w:r>
        <w:t xml:space="preserve">Two procedures discipline the residual judgment that any panel of this kind requires. The first is the source string. Every row in both datasets carries a final column that names the primary source for every value in that row, with separate citations for the dependent variable, for tempo, and for each control. Where a value is the result of a within-source computation, the source string records both inputs. Where a value is an illustrative inference, the source string records the documented neighbor on which the inference is based and the rule by which the inference is made. The source-string convention is the artifact that makes the panel reconstructable.</w:t>
      </w:r>
    </w:p>
    <w:p>
      <w:pPr>
        <w:pStyle w:val="BodyText"/>
        <w:spacing w:line="480" w:lineRule="auto"/>
        <w:ind w:firstLine="720"/>
      </w:pPr>
      <w:r>
        <w:t xml:space="preserve">The second procedure is the illustrative-cell ceiling. In each panel, the share of illustrative cells is capped, and the cap is reported. In Paper 1, illustrative cells are restricted to the small subset of project-years where a published percentage growth figure is unavailable but a documented dollar figure and a documented life-cycle cost permit the percentage to be computed; these computed-percentage cells are not treated as illustrative because both inputs are themselves cited, and the resulting category of true illustrative cells is correspondingly small. In Paper 2, illustrative cells are restricted to roughly one observation in ten, the two short-prime Discovery missions whose budgets are reported only as combined program totals. Sensitivity analysis in both papers re-estimates the central specification with illustrative cells dropped, and the dissertation reports the result whether or not it agrees with the headline.</w:t>
      </w:r>
    </w:p>
    <w:p>
      <w:pPr>
        <w:pStyle w:val="BodyText"/>
        <w:spacing w:line="480" w:lineRule="auto"/>
        <w:ind w:firstLine="720"/>
      </w:pPr>
      <w:r>
        <w:t xml:space="preserve">A simple audit log records every transformation between primary source and panel entry. The log is not a separate file but is reconstructable from the source strings: a reader who reads the source string and follows it back to the named artifact should arrive at the value in the panel cell. Where the path between artifact and panel entry involves arithmetic, the arithmetic is documented in the source string and is reproducible.</w:t>
      </w:r>
    </w:p>
    <w:bookmarkEnd w:id="86"/>
    <w:bookmarkStart w:id="87" w:name="threats-to-measurement-and-honest-limits"/>
    <w:p>
      <w:pPr>
        <w:pStyle w:val="Heading2"/>
        <w:spacing w:line="480" w:lineRule="auto"/>
      </w:pPr>
      <w:r>
        <w:t xml:space="preserve">4.9 Threats to Measurement and Honest Limits</w:t>
      </w:r>
    </w:p>
    <w:p>
      <w:pPr>
        <w:pStyle w:val="FirstParagraph"/>
        <w:spacing w:line="480" w:lineRule="auto"/>
      </w:pPr>
      <w:r>
        <w:t xml:space="preserve">Three measurement threats survive the procedures above and are reported here so that no inference in the empirical chapters is read more strongly than the data warrant.</w:t>
      </w:r>
    </w:p>
    <w:p>
      <w:pPr>
        <w:pStyle w:val="BodyText"/>
        <w:spacing w:line="480" w:lineRule="auto"/>
        <w:ind w:firstLine="720"/>
      </w:pPr>
      <w:r>
        <w:t xml:space="preserve">The first is the construct validity of integration tempo. In Paper 1, portfolio concurrency varies only by year, and the panel therefore identifies the tempo coefficient off a handful of distinct levels. This is a precision limit, not a bias, and it is candidly reported in Paper 1’s findings: the central coefficient is positive and of plausible magnitude but does not clear conventional significance. In Paper 2, the tempo count treats all concurrent missions as equal in their demand on the shared operating environment, which is plainly an approximation. A weighted tempo measure is an extension rather than a correction.</w:t>
      </w:r>
    </w:p>
    <w:p>
      <w:pPr>
        <w:pStyle w:val="BodyText"/>
        <w:spacing w:line="480" w:lineRule="auto"/>
        <w:ind w:firstLine="720"/>
      </w:pPr>
      <w:r>
        <w:t xml:space="preserve">The second is the heterogeneity of Phase E disclosure. Four missions in the Paper 2 sample have directly disclosed Phase E lines, several have Phase E recoverable as a documented residual, and a small minority are illustrative. The dataset is internally consistent in its rule for handling each case, but it is not a single-source ledger, and a future panel built entirely from primary Phase E accounting lines would tighten the operations-cost estimates [13, 16].</w:t>
      </w:r>
    </w:p>
    <w:p>
      <w:pPr>
        <w:pStyle w:val="BodyText"/>
        <w:spacing w:line="480" w:lineRule="auto"/>
        <w:ind w:firstLine="720"/>
      </w:pPr>
      <w:r>
        <w:t xml:space="preserve">The third is the limited extent of the panels. Paper 1’s thirty-two project-year observations and Paper 2’s nineteen mission observations are small samples by the standards of econometric work, and several coefficients in both papers are imprecisely estimated because of it. The data layer cannot remedy this; only the extension of both panels to additional GAO cycles and to additional documented missions can. The dissertation treats both papers as first measurements rather than settled estimates, and the data infrastructure documented in this chapter is designed to be extended rather than replaced.</w:t>
      </w:r>
    </w:p>
    <w:p>
      <w:pPr>
        <w:pStyle w:val="BodyText"/>
        <w:spacing w:line="480" w:lineRule="auto"/>
        <w:ind w:firstLine="720"/>
      </w:pPr>
      <w:r>
        <w:t xml:space="preserve">These limits are stated not to apologize for the panels but to bound their inferential reach. The procedures recorded here produce two transparent, source-cited datasets that test their respective hypotheses honestly. The empirical chapters that follow operate on these datasets, and the limits stated here travel with every coefficient they report.</w:t>
      </w:r>
    </w:p>
    <w:bookmarkEnd w:id="87"/>
    <w:bookmarkEnd w:id="88"/>
    <w:bookmarkStart w:id="94"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carry the empirical weight of the dissertation, the identification strategy that lets each estimator answer a causal rather than merely descriptive question, and the threats to validity that bound what those estimators can credibly claim. The chapter takes seriously the asymmetry between the central hypothesis of the prospectus and the two preliminary tests reported in Papers 1 and 2: the central claim is that concurrent campaign load exerts a separable and convex effect on operator workload and per-mission operations cost, and the preliminary tests sit at opposite poles of that claim, with Paper 1 returning a directionally supportive but statistically inconclusive estimate of portfolio concurrency on NASA major-project development cost growth and Paper 2 returning a tightly estimated null of concurrent-operations tempo on NASA deep-space Phase E cost. The methods presented here are designed to bring those two results into a single panel framework, to upgrade the estimator from pooled cross-section to two-way fixed-effects with instrumented concurrency, and to make the identifying assumptions explicit enough that disagreement with the eventual estimate is forced onto stated assumptions rather than onto unstated modeling choices.</w:t>
      </w:r>
    </w:p>
    <w:bookmarkStart w:id="89" w:name="restatement-of-the-estimand"/>
    <w:p>
      <w:pPr>
        <w:pStyle w:val="Heading2"/>
        <w:spacing w:line="480" w:lineRule="auto"/>
      </w:pPr>
      <w:r>
        <w:t xml:space="preserve">5.1 Restatement of the Estimand</w:t>
      </w:r>
    </w:p>
    <w:p>
      <w:pPr>
        <w:pStyle w:val="FirstParagraph"/>
        <w:spacing w:line="480" w:lineRule="auto"/>
      </w:pPr>
      <w:r>
        <w:t xml:space="preserve">The estimand is the partial derivative of an outcome with respect to the simultaneous campaign count, holding the aggregate volume of integration work and the average per-campaign complexity fixed within an organization and within a quarter. Let</w:t>
      </w:r>
      <w:r>
        <w:t xml:space="preserve"> </w:t>
      </w:r>
      <w:r>
        <w:rPr>
          <w:i/>
          <w:iCs/>
        </w:rPr>
        <w:t xml:space="preserve">i</w:t>
      </w:r>
      <w:r>
        <w:t xml:space="preserve"> </w:t>
      </w:r>
      <w:r>
        <w:t xml:space="preserve">index an integration organization,</w:t>
      </w:r>
      <w:r>
        <w:t xml:space="preserve"> </w:t>
      </w:r>
      <w:r>
        <w:rPr>
          <w:i/>
          <w:iCs/>
        </w:rPr>
        <w:t xml:space="preserve">t</w:t>
      </w:r>
      <w:r>
        <w:t xml:space="preserve"> </w:t>
      </w:r>
      <w:r>
        <w:t xml:space="preserve">index a calendar quarter,</w:t>
      </w:r>
      <w:r>
        <w:t xml:space="preserve"> </w:t>
      </w:r>
      <w:r>
        <w:rPr>
          <w:i/>
          <w:iCs/>
        </w:rPr>
        <w:t xml:space="preserve">C_it</w:t>
      </w:r>
      <w:r>
        <w:t xml:space="preserve"> </w:t>
      </w:r>
      <w:r>
        <w:t xml:space="preserve">denote the count of campaigns the organization holds simultaneously open during</w:t>
      </w:r>
      <w:r>
        <w:t xml:space="preserve"> </w:t>
      </w:r>
      <w:r>
        <w:rPr>
          <w:i/>
          <w:iCs/>
        </w:rPr>
        <w:t xml:space="preserve">t</w:t>
      </w:r>
      <w:r>
        <w:t xml:space="preserve">,</w:t>
      </w:r>
      <w:r>
        <w:t xml:space="preserve"> </w:t>
      </w:r>
      <w:r>
        <w:rPr>
          <w:i/>
          <w:iCs/>
        </w:rPr>
        <w:t xml:space="preserve">AggregateLoad_it</w:t>
      </w:r>
      <w:r>
        <w:t xml:space="preserve"> </w:t>
      </w:r>
      <w:r>
        <w:t xml:space="preserve">denote the cumulative active portfolio measured in mission-quarters of work performed, and</w:t>
      </w:r>
      <w:r>
        <w:t xml:space="preserve"> </w:t>
      </w:r>
      <w:r>
        <w:rPr>
          <w:i/>
          <w:iCs/>
        </w:rPr>
        <w:t xml:space="preserve">Complexity_it</w:t>
      </w:r>
      <w:r>
        <w:t xml:space="preserve"> </w:t>
      </w:r>
      <w:r>
        <w:t xml:space="preserve">denote a vector of per-campaign difficulty proxies. The structural specification is</w:t>
      </w:r>
    </w:p>
    <w:p>
      <w:pPr>
        <w:pStyle w:val="BodyText"/>
        <w:spacing w:line="480" w:lineRule="auto"/>
        <w:ind w:firstLine="720"/>
      </w:pPr>
      <w:r>
        <w:rPr>
          <w:i/>
          <w:iCs/>
        </w:rPr>
        <w:t xml:space="preserve">Y_it = beta_1</w:t>
      </w:r>
      <w:r>
        <w:rPr>
          <w:i/>
          <w:iCs/>
        </w:rPr>
        <w:t xml:space="preserve"> </w:t>
      </w:r>
      <w:r>
        <w:t xml:space="preserve"> </w:t>
      </w:r>
      <w:r>
        <w:t xml:space="preserve">C_it + beta_2 * C_it^2 + gamma * Complexity_it + delta * AggregateLoad_it + alpha_i + tau_t + epsilon_it*,</w:t>
      </w:r>
    </w:p>
    <w:p>
      <w:pPr>
        <w:pStyle w:val="BodyText"/>
        <w:spacing w:line="480" w:lineRule="auto"/>
        <w:ind w:firstLine="720"/>
      </w:pPr>
      <w:r>
        <w:t xml:space="preserve">with</w:t>
      </w:r>
      <w:r>
        <w:t xml:space="preserve"> </w:t>
      </w:r>
      <w:r>
        <w:rPr>
          <w:i/>
          <w:iCs/>
        </w:rPr>
        <w:t xml:space="preserve">Y_it</w:t>
      </w:r>
      <w:r>
        <w:t xml:space="preserve"> </w:t>
      </w:r>
      <w:r>
        <w:t xml:space="preserve">set in turn to operator workload</w:t>
      </w:r>
      <w:r>
        <w:t xml:space="preserve"> </w:t>
      </w:r>
      <w:r>
        <w:rPr>
          <w:i/>
          <w:iCs/>
        </w:rPr>
        <w:t xml:space="preserve">W_it</w:t>
      </w:r>
      <w:r>
        <w:t xml:space="preserve"> </w:t>
      </w:r>
      <w:r>
        <w:t xml:space="preserve">and to per-mission operations cost</w:t>
      </w:r>
      <w:r>
        <w:t xml:space="preserve"> </w:t>
      </w:r>
      <w:r>
        <w:rPr>
          <w:i/>
          <w:iCs/>
        </w:rPr>
        <w:t xml:space="preserve">K_it</w:t>
      </w:r>
      <w:r>
        <w:t xml:space="preserve">. The parameter</w:t>
      </w:r>
      <w:r>
        <w:t xml:space="preserve"> </w:t>
      </w:r>
      <w:r>
        <w:rPr>
          <w:i/>
          <w:iCs/>
        </w:rPr>
        <w:t xml:space="preserve">beta_1</w:t>
      </w:r>
      <w:r>
        <w:t xml:space="preserve"> </w:t>
      </w:r>
      <w:r>
        <w:t xml:space="preserve">is the linear concurrency burden at the sample mean of</w:t>
      </w:r>
      <w:r>
        <w:t xml:space="preserve"> </w:t>
      </w:r>
      <w:r>
        <w:rPr>
          <w:i/>
          <w:iCs/>
        </w:rPr>
        <w:t xml:space="preserve">C</w:t>
      </w:r>
      <w:r>
        <w:t xml:space="preserve">, and</w:t>
      </w:r>
      <w:r>
        <w:t xml:space="preserve"> </w:t>
      </w:r>
      <w:r>
        <w:rPr>
          <w:i/>
          <w:iCs/>
        </w:rPr>
        <w:t xml:space="preserve">beta_2</w:t>
      </w:r>
      <w:r>
        <w:t xml:space="preserve"> </w:t>
      </w:r>
      <w:r>
        <w:t xml:space="preserve">tests whether the burden is convex, which is the qualitative form that the practitioner literature on attention scarcity and crew-resource-management degradation under simultaneous demands repeatedly asserts but never estimates</w:t>
      </w:r>
      <w:r>
        <w:t xml:space="preserve"> </w:t>
      </w:r>
      <w:hyperlink w:anchor="ref-6">
        <w:r>
          <w:rPr>
            <w:rStyle w:val="Hyperlink"/>
          </w:rPr>
          <w:t xml:space="preserve">[6]</w:t>
        </w:r>
      </w:hyperlink>
      <w:r>
        <w:t xml:space="preserve">. Rejecting the null</w:t>
      </w:r>
      <w:r>
        <w:t xml:space="preserve"> </w:t>
      </w:r>
      <w:r>
        <w:rPr>
          <w:i/>
          <w:iCs/>
        </w:rPr>
        <w:t xml:space="preserve">beta_1 = beta_2 = 0</w:t>
      </w:r>
      <w:r>
        <w:t xml:space="preserve"> </w:t>
      </w:r>
      <w:r>
        <w:t xml:space="preserve">with</w:t>
      </w:r>
      <w:r>
        <w:t xml:space="preserve"> </w:t>
      </w:r>
      <w:r>
        <w:rPr>
          <w:i/>
          <w:iCs/>
        </w:rPr>
        <w:t xml:space="preserve">beta_1 &gt; 0</w:t>
      </w:r>
      <w:r>
        <w:t xml:space="preserve"> </w:t>
      </w:r>
      <w:r>
        <w:t xml:space="preserve">and</w:t>
      </w:r>
      <w:r>
        <w:t xml:space="preserve"> </w:t>
      </w:r>
      <w:r>
        <w:rPr>
          <w:i/>
          <w:iCs/>
        </w:rPr>
        <w:t xml:space="preserve">beta_2 &gt; 0</w:t>
      </w:r>
      <w:r>
        <w:t xml:space="preserve"> </w:t>
      </w:r>
      <w:r>
        <w:t xml:space="preserve">establishes concurrency burden as a measurable and accelerating effect, separable from total volume and from harder missions. Failing to reject is the equally informative outcome that redirects portfolio policy from concurrency caps toward direct management of complexity and aggregate load, and the methods are designed to support either inference rather than to reach for the affirmative one.</w:t>
      </w:r>
    </w:p>
    <w:bookmarkEnd w:id="89"/>
    <w:bookmarkStart w:id="90" w:name="the-estimator-stack"/>
    <w:p>
      <w:pPr>
        <w:pStyle w:val="Heading2"/>
        <w:spacing w:line="480" w:lineRule="auto"/>
      </w:pPr>
      <w:r>
        <w:t xml:space="preserve">5.2 The Estimator Stack</w:t>
      </w:r>
    </w:p>
    <w:p>
      <w:pPr>
        <w:pStyle w:val="FirstParagraph"/>
        <w:spacing w:line="480" w:lineRule="auto"/>
      </w:pPr>
      <w:r>
        <w:t xml:space="preserve">The empirical strategy proceeds through three nested estimators, each chosen so that the move from one to the next isolates a specific identification concern.</w:t>
      </w:r>
    </w:p>
    <w:p>
      <w:pPr>
        <w:pStyle w:val="BodyText"/>
        <w:spacing w:line="480" w:lineRule="auto"/>
        <w:ind w:firstLine="720"/>
      </w:pPr>
      <w:r>
        <w:t xml:space="preserve">The first estimator is pooled ordinary least squares with heteroskedasticity-consistent standard errors, identical in form to the specifications used in Papers 1 and 2. Paper 1 fit such a model to a thirty-two-observation panel of NASA major projects from the GAO assessment cycles for fiscal years 2019, 2023, 2024, and 2025 and reported a positive but imprecise portfolio-concurrency coefficient of 1.45 percentage points of cost growth per additional concurrent project, with an R-squared of 0.166 and a p-value on the central coefficient of 0.24</w:t>
      </w:r>
      <w:r>
        <w:t xml:space="preserve"> </w:t>
      </w:r>
      <w:hyperlink w:anchor="ref-1">
        <w:r>
          <w:rPr>
            <w:rStyle w:val="Hyperlink"/>
          </w:rPr>
          <w:t xml:space="preserve">[1]</w:t>
        </w:r>
      </w:hyperlink>
      <w:r>
        <w:t xml:space="preserve">[2][3][7][9][10][11][12]. Paper 2 fit the same family of estimator to a cross-section of nineteen NASA deep-space science missions launched between 1997 and 2023, regressing the natural log of documented Phase E operations cost on concurrent-operations tempo, log spacecraft mass, instrument count, prime duration, and a flagship indicator, and recovered a tempo coefficient of negative 0.0084 with a p-value of 0.861 against a model R-squared of 0.663</w:t>
      </w:r>
      <w:r>
        <w:t xml:space="preserve"> </w:t>
      </w:r>
      <w:hyperlink w:anchor="ref-13">
        <w:r>
          <w:rPr>
            <w:rStyle w:val="Hyperlink"/>
          </w:rPr>
          <w:t xml:space="preserve">[13]</w:t>
        </w:r>
      </w:hyperlink>
      <w:r>
        <w:t xml:space="preserve">[16][17][18][19][20]. The pooled estimator is retained in the dissertation as the descriptive baseline because it is directly comparable to those two prior results and because it inherits the documented anchor values (the ninety-five percent JWST growth from its 2009 baseline</w:t>
      </w:r>
      <w:r>
        <w:t xml:space="preserve"> </w:t>
      </w:r>
      <w:hyperlink w:anchor="ref-10">
        <w:r>
          <w:rPr>
            <w:rStyle w:val="Hyperlink"/>
          </w:rPr>
          <w:t xml:space="preserve">[10]</w:t>
        </w:r>
      </w:hyperlink>
      <w:r>
        <w:t xml:space="preserve">, the SLS exceeding its baseline by at least thirty-three percent</w:t>
      </w:r>
      <w:r>
        <w:t xml:space="preserve"> </w:t>
      </w:r>
      <w:hyperlink w:anchor="ref-9">
        <w:r>
          <w:rPr>
            <w:rStyle w:val="Hyperlink"/>
          </w:rPr>
          <w:t xml:space="preserve">[9]</w:t>
        </w:r>
      </w:hyperlink>
      <w:r>
        <w:t xml:space="preserve">, the Europa Clipper move from 4.25 billion to 5.0 billion dollars</w:t>
      </w:r>
      <w:r>
        <w:t xml:space="preserve"> </w:t>
      </w:r>
      <w:hyperlink w:anchor="ref-11">
        <w:r>
          <w:rPr>
            <w:rStyle w:val="Hyperlink"/>
          </w:rPr>
          <w:t xml:space="preserve">[11]</w:t>
        </w:r>
      </w:hyperlink>
      <w:r>
        <w:t xml:space="preserve">, the MRO 210 million dollar five-year operations figure</w:t>
      </w:r>
      <w:r>
        <w:t xml:space="preserve"> </w:t>
      </w:r>
      <w:hyperlink w:anchor="ref-19">
        <w:r>
          <w:rPr>
            <w:rStyle w:val="Hyperlink"/>
          </w:rPr>
          <w:t xml:space="preserve">[19]</w:t>
        </w:r>
      </w:hyperlink>
      <w:r>
        <w:t xml:space="preserve">, the OSIRIS-REx 283 million dollar Phase E</w:t>
      </w:r>
      <w:r>
        <w:t xml:space="preserve"> </w:t>
      </w:r>
      <w:hyperlink w:anchor="ref-17">
        <w:r>
          <w:rPr>
            <w:rStyle w:val="Hyperlink"/>
          </w:rPr>
          <w:t xml:space="preserve">[17]</w:t>
        </w:r>
      </w:hyperlink>
      <w:r>
        <w:t xml:space="preserve">, the Mars 2020 prime-operations 300 million dollar figure</w:t>
      </w:r>
      <w:r>
        <w:t xml:space="preserve"> </w:t>
      </w:r>
      <w:hyperlink w:anchor="ref-18">
        <w:r>
          <w:rPr>
            <w:rStyle w:val="Hyperlink"/>
          </w:rPr>
          <w:t xml:space="preserve">[18]</w:t>
        </w:r>
      </w:hyperlink>
      <w:r>
        <w:t xml:space="preserve">, and the MSL 158.8 million dollar Phase E actual</w:t>
      </w:r>
      <w:r>
        <w:t xml:space="preserve"> </w:t>
      </w:r>
      <w:hyperlink w:anchor="ref-20">
        <w:r>
          <w:rPr>
            <w:rStyle w:val="Hyperlink"/>
          </w:rPr>
          <w:t xml:space="preserve">[20]</w:t>
        </w:r>
      </w:hyperlink>
      <w:r>
        <w:t xml:space="preserve">). The descriptive baseline is, however, not the estimator on which the central inference rests.</w:t>
      </w:r>
    </w:p>
    <w:p>
      <w:pPr>
        <w:pStyle w:val="BodyText"/>
        <w:spacing w:line="480" w:lineRule="auto"/>
        <w:ind w:firstLine="720"/>
      </w:pPr>
      <w:r>
        <w:t xml:space="preserve">The second estimator is the two-way fixed-effects panel regression that the prospectus specifies. Organization fixed effects</w:t>
      </w:r>
      <w:r>
        <w:t xml:space="preserve"> </w:t>
      </w:r>
      <w:r>
        <w:rPr>
          <w:i/>
          <w:iCs/>
        </w:rPr>
        <w:t xml:space="preserve">alpha_i</w:t>
      </w:r>
      <w:r>
        <w:t xml:space="preserve"> </w:t>
      </w:r>
      <w:r>
        <w:t xml:space="preserve">absorb time-invariant differences in baseline efficiency, automation maturity, mission mix, and management culture that the pooled estimator cannot remove. Time fixed effects</w:t>
      </w:r>
      <w:r>
        <w:t xml:space="preserve"> </w:t>
      </w:r>
      <w:r>
        <w:rPr>
          <w:i/>
          <w:iCs/>
        </w:rPr>
        <w:t xml:space="preserve">tau_t</w:t>
      </w:r>
      <w:r>
        <w:t xml:space="preserve"> </w:t>
      </w:r>
      <w:r>
        <w:t xml:space="preserve">absorb sector-wide tempo trends and shared cost shocks, including the Deep Space Network loading and ground-station tariff movements that would otherwise contaminate any quarterly concurrency variable. The two-way fixed-effects estimator identifies</w:t>
      </w:r>
      <w:r>
        <w:t xml:space="preserve"> </w:t>
      </w:r>
      <w:r>
        <w:rPr>
          <w:i/>
          <w:iCs/>
        </w:rPr>
        <w:t xml:space="preserve">beta_1</w:t>
      </w:r>
      <w:r>
        <w:t xml:space="preserve"> </w:t>
      </w:r>
      <w:r>
        <w:t xml:space="preserve">and</w:t>
      </w:r>
      <w:r>
        <w:t xml:space="preserve"> </w:t>
      </w:r>
      <w:r>
        <w:rPr>
          <w:i/>
          <w:iCs/>
        </w:rPr>
        <w:t xml:space="preserve">beta_2</w:t>
      </w:r>
      <w:r>
        <w:t xml:space="preserve"> </w:t>
      </w:r>
      <w:r>
        <w:t xml:space="preserve">from within-organization, within-quarter deviations in concurrency, which is exactly the variation the pooled cross-section in Paper 1 could not exploit because portfolio concurrency moved only across years there and so was identified off a handful of distinct tempo levels. Heteroskedasticity-robust standard errors are clustered at the organization level to allow arbitrary within-organization serial correlation in</w:t>
      </w:r>
      <w:r>
        <w:t xml:space="preserve"> </w:t>
      </w:r>
      <w:r>
        <w:rPr>
          <w:i/>
          <w:iCs/>
        </w:rPr>
        <w:t xml:space="preserve">epsilon_it</w:t>
      </w:r>
      <w:r>
        <w:t xml:space="preserve">. The convexity test</w:t>
      </w:r>
      <w:r>
        <w:t xml:space="preserve"> </w:t>
      </w:r>
      <w:r>
        <w:rPr>
          <w:i/>
          <w:iCs/>
        </w:rPr>
        <w:t xml:space="preserve">beta_2 &gt; 0</w:t>
      </w:r>
      <w:r>
        <w:t xml:space="preserve"> </w:t>
      </w:r>
      <w:r>
        <w:t xml:space="preserve">is implemented twice, first as a quadratic term in</w:t>
      </w:r>
      <w:r>
        <w:t xml:space="preserve"> </w:t>
      </w:r>
      <w:r>
        <w:rPr>
          <w:i/>
          <w:iCs/>
        </w:rPr>
        <w:t xml:space="preserve">C_it</w:t>
      </w:r>
      <w:r>
        <w:t xml:space="preserve"> </w:t>
      </w:r>
      <w:r>
        <w:t xml:space="preserve">and second as a restricted cubic spline with knots placed at the empirical twenty-fifth, fiftieth, and seventy-fifth percentiles of</w:t>
      </w:r>
      <w:r>
        <w:t xml:space="preserve"> </w:t>
      </w:r>
      <w:r>
        <w:rPr>
          <w:i/>
          <w:iCs/>
        </w:rPr>
        <w:t xml:space="preserve">C</w:t>
      </w:r>
      <w:r>
        <w:t xml:space="preserve">, so that the inference does not depend on the quadratic functional form. The spline is the preferred specification when</w:t>
      </w:r>
      <w:r>
        <w:t xml:space="preserve"> </w:t>
      </w:r>
      <w:r>
        <w:rPr>
          <w:i/>
          <w:iCs/>
        </w:rPr>
        <w:t xml:space="preserve">C_it</w:t>
      </w:r>
      <w:r>
        <w:t xml:space="preserve"> </w:t>
      </w:r>
      <w:r>
        <w:t xml:space="preserve">spans more than an order of magnitude, which the SATCAT-derived panel will, because catalogued payload counts per operator range from the single digits to the low thousands.</w:t>
      </w:r>
    </w:p>
    <w:p>
      <w:pPr>
        <w:pStyle w:val="BodyText"/>
        <w:spacing w:line="480" w:lineRule="auto"/>
        <w:ind w:firstLine="720"/>
      </w:pPr>
      <w:r>
        <w:t xml:space="preserve">The third estimator is two-stage least squares with the same two-way fixed-effects panel structure, used to address the residual endogeneity that fixed effects alone do not remove. Organizations choose their tempo. High-tempo quarters for a given organization may coincide with unobserved internal shocks (a successful capture campaign, a one-time infusion of integration staff, a contractor failure that displaces work into a later quarter) that move both concurrency and the outcome. The instrument is the count of campaigns whose timing is set by exogenous launch-vehicle availability rather than by the integration organization’s own scheduling decision: ride-share manifests, multi-payload primary launches, and constellation deployments whose cadence is determined by launch-provider capacity and not by the operator. This instrument is constructed from launch-manifest records and SATCAT launch-date attribution. It satisfies the relevance condition because manifest-driven launches mechanically raise</w:t>
      </w:r>
      <w:r>
        <w:t xml:space="preserve"> </w:t>
      </w:r>
      <w:r>
        <w:rPr>
          <w:i/>
          <w:iCs/>
        </w:rPr>
        <w:t xml:space="preserve">C_it</w:t>
      </w:r>
      <w:r>
        <w:t xml:space="preserve"> </w:t>
      </w:r>
      <w:r>
        <w:t xml:space="preserve">in the affected quarter; the relevance is testable on the first stage with the Kleibergen-Paap rank statistic and the Stock-Yogo weak-instrument benchmarks, and the dissertation will report the first-stage F-statistic without rounding. It satisfies the exclusion restriction conditionally on the controls if manifest timing is uncorrelated with the unobserved organization-quarter shocks that drive workload and per-mission cost, which is a defensible but not unfalsifiable assumption. Section 5.4 treats the exclusion restriction as a discrete threat to validity and specifies how it is bounded rather than assumed away.</w:t>
      </w:r>
    </w:p>
    <w:p>
      <w:pPr>
        <w:pStyle w:val="BodyText"/>
        <w:spacing w:line="480" w:lineRule="auto"/>
        <w:ind w:firstLine="720"/>
      </w:pPr>
      <w:r>
        <w:t xml:space="preserve">A within-organization event-study around large concurrency step-changes provides a fourth, descriptive triangulation. Define an event as a within-organization quarterly increase in</w:t>
      </w:r>
      <w:r>
        <w:t xml:space="preserve"> </w:t>
      </w:r>
      <w:r>
        <w:rPr>
          <w:i/>
          <w:iCs/>
        </w:rPr>
        <w:t xml:space="preserve">C_it</w:t>
      </w:r>
      <w:r>
        <w:t xml:space="preserve"> </w:t>
      </w:r>
      <w:r>
        <w:t xml:space="preserve">exceeding the seventy-fifth percentile of first-differences for that organization. The event-study traces the outcome from eight quarters before to twelve quarters after the event, with organization and calendar-quarter fixed effects absorbing the level and the trend. The event-study is not the primary causal estimator because it does not bind aggregate load and complexity in the same regression-adjusted way, but it produces a visual record of the dynamic response that lets the reader judge whether the static</w:t>
      </w:r>
      <w:r>
        <w:t xml:space="preserve"> </w:t>
      </w:r>
      <w:r>
        <w:rPr>
          <w:i/>
          <w:iCs/>
        </w:rPr>
        <w:t xml:space="preserve">beta_1</w:t>
      </w:r>
      <w:r>
        <w:t xml:space="preserve"> </w:t>
      </w:r>
      <w:r>
        <w:t xml:space="preserve">coefficient is a reasonable summary of the within-organization adjustment path.</w:t>
      </w:r>
    </w:p>
    <w:bookmarkEnd w:id="90"/>
    <w:bookmarkStart w:id="91" w:name="identification-strategy"/>
    <w:p>
      <w:pPr>
        <w:pStyle w:val="Heading2"/>
        <w:spacing w:line="480" w:lineRule="auto"/>
      </w:pPr>
      <w:r>
        <w:t xml:space="preserve">5.3 Identification Strategy</w:t>
      </w:r>
    </w:p>
    <w:p>
      <w:pPr>
        <w:pStyle w:val="FirstParagraph"/>
        <w:spacing w:line="480" w:lineRule="auto"/>
      </w:pPr>
      <w:r>
        <w:t xml:space="preserve">The identification strategy rests on three claims, each tied to a specific feature of the data and to a specific feature of the estimator stack.</w:t>
      </w:r>
    </w:p>
    <w:p>
      <w:pPr>
        <w:pStyle w:val="BodyText"/>
        <w:spacing w:line="480" w:lineRule="auto"/>
        <w:ind w:firstLine="720"/>
      </w:pPr>
      <w:r>
        <w:t xml:space="preserve">The first claim is that concurrency, aggregate load, and complexity are statistically separable in the SATCAT-derived panel. The catalogue records every catalogued payload with operator/owner, launch date, and operational status, so a payload’s contribution to</w:t>
      </w:r>
      <w:r>
        <w:t xml:space="preserve"> </w:t>
      </w:r>
      <w:r>
        <w:rPr>
          <w:i/>
          <w:iCs/>
        </w:rPr>
        <w:t xml:space="preserve">C_it</w:t>
      </w:r>
      <w:r>
        <w:t xml:space="preserve"> </w:t>
      </w:r>
      <w:r>
        <w:t xml:space="preserve">(a campaign simultaneously open) is constructed from a different attribute set than its contribution to</w:t>
      </w:r>
      <w:r>
        <w:t xml:space="preserve"> </w:t>
      </w:r>
      <w:r>
        <w:rPr>
          <w:i/>
          <w:iCs/>
        </w:rPr>
        <w:t xml:space="preserve">AggregateLoad_it</w:t>
      </w:r>
      <w:r>
        <w:t xml:space="preserve"> </w:t>
      </w:r>
      <w:r>
        <w:t xml:space="preserve">(the cumulative active portfolio at</w:t>
      </w:r>
      <w:r>
        <w:t xml:space="preserve"> </w:t>
      </w:r>
      <w:r>
        <w:rPr>
          <w:i/>
          <w:iCs/>
        </w:rPr>
        <w:t xml:space="preserve">t</w:t>
      </w:r>
      <w:r>
        <w:t xml:space="preserve">).</w:t>
      </w:r>
      <w:r>
        <w:t xml:space="preserve"> </w:t>
      </w:r>
      <w:r>
        <w:rPr>
          <w:i/>
          <w:iCs/>
        </w:rPr>
        <w:t xml:space="preserve">C_it</w:t>
      </w:r>
      <w:r>
        <w:t xml:space="preserve"> </w:t>
      </w:r>
      <w:r>
        <w:t xml:space="preserve">is anchored to commissioning windows, defined as the launch quarter through the end of the documented commissioning phase;</w:t>
      </w:r>
      <w:r>
        <w:t xml:space="preserve"> </w:t>
      </w:r>
      <w:r>
        <w:rPr>
          <w:i/>
          <w:iCs/>
        </w:rPr>
        <w:t xml:space="preserve">AggregateLoad_it</w:t>
      </w:r>
      <w:r>
        <w:t xml:space="preserve"> </w:t>
      </w:r>
      <w:r>
        <w:t xml:space="preserve">is the running sum of active payloads under operator</w:t>
      </w:r>
      <w:r>
        <w:t xml:space="preserve"> </w:t>
      </w:r>
      <w:r>
        <w:rPr>
          <w:i/>
          <w:iCs/>
        </w:rPr>
        <w:t xml:space="preserve">i</w:t>
      </w:r>
      <w:r>
        <w:t xml:space="preserve"> </w:t>
      </w:r>
      <w:r>
        <w:t xml:space="preserve">at</w:t>
      </w:r>
      <w:r>
        <w:t xml:space="preserve"> </w:t>
      </w:r>
      <w:r>
        <w:rPr>
          <w:i/>
          <w:iCs/>
        </w:rPr>
        <w:t xml:space="preserve">t</w:t>
      </w:r>
      <w:r>
        <w:t xml:space="preserve">;</w:t>
      </w:r>
      <w:r>
        <w:t xml:space="preserve"> </w:t>
      </w:r>
      <w:r>
        <w:rPr>
          <w:i/>
          <w:iCs/>
        </w:rPr>
        <w:t xml:space="preserve">Complexity_it</w:t>
      </w:r>
      <w:r>
        <w:t xml:space="preserve"> </w:t>
      </w:r>
      <w:r>
        <w:t xml:space="preserve">is a vector of mass class, orbit regime, and multi-payload manifest indicators read off the catalogue. The three variables share a common construction logic but draw on non-overlapping attribute combinations, so the variance inflation among them, while non-trivial, is bounded below the level at which the partial coefficients would be unidentified. The dissertation will report the empirical correlation matrix and the variance-inflation factors at the first descriptive table, so the separability claim is auditable rather than asserted.</w:t>
      </w:r>
    </w:p>
    <w:p>
      <w:pPr>
        <w:pStyle w:val="BodyText"/>
        <w:spacing w:line="480" w:lineRule="auto"/>
        <w:ind w:firstLine="720"/>
      </w:pPr>
      <w:r>
        <w:t xml:space="preserve">The second claim is that within-organization, within-quarter deviation in</w:t>
      </w:r>
      <w:r>
        <w:t xml:space="preserve"> </w:t>
      </w:r>
      <w:r>
        <w:rPr>
          <w:i/>
          <w:iCs/>
        </w:rPr>
        <w:t xml:space="preserve">C_it</w:t>
      </w:r>
      <w:r>
        <w:t xml:space="preserve"> </w:t>
      </w:r>
      <w:r>
        <w:t xml:space="preserve">is the right exploitable variation. Practitioner intuition holds the organization’s mission mix, automation maturity, and management culture fixed when comparing a high-tempo quarter to a low-tempo quarter at the same organization, and the two-way fixed-effects estimator is the formal counterpart of that intuition. The cross-organization comparison that the pooled estimator in Papers 1 and 2 relied upon is, by contrast, an apples-and-oranges comparison: NASA operating nineteen deep-space science missions in 2020 is not the same kind of organization as a commercial mega-constellation operator carrying out hundreds of concurrent commissioning campaigns at the same calendar moment, and pooling the two confounds the concurrency effect with everything else that differs between them. The within-organization estimator is the appropriate scale for the prospectus claim.</w:t>
      </w:r>
    </w:p>
    <w:p>
      <w:pPr>
        <w:pStyle w:val="BodyText"/>
        <w:spacing w:line="480" w:lineRule="auto"/>
        <w:ind w:firstLine="720"/>
      </w:pPr>
      <w:r>
        <w:t xml:space="preserve">The third claim is that manifest-driven concurrency is a valid instrument for the endogenous component of</w:t>
      </w:r>
      <w:r>
        <w:t xml:space="preserve"> </w:t>
      </w:r>
      <w:r>
        <w:rPr>
          <w:i/>
          <w:iCs/>
        </w:rPr>
        <w:t xml:space="preserve">C_it</w:t>
      </w:r>
      <w:r>
        <w:t xml:space="preserve">. The instrument’s relevance is testable; its exclusion restriction is not directly testable and must be defended on substantive grounds. The substantive defense is that launch-vehicle availability, ride-share manifest composition, and constellation deployment cadence are set by launch providers and by upstream commercial dynamics rather than by the integration organization’s own staffing and workload decisions. Where an integration organization is itself the launch provider (a vertically integrated case), the instrument is not valid for that organization and the dissertation will exclude those organization-quarters from the second-stage sample rather than carry an instrument whose exclusion restriction is implausible. The exclusion sample is recorded explicitly in the data-construction log.</w:t>
      </w:r>
    </w:p>
    <w:bookmarkEnd w:id="91"/>
    <w:bookmarkStart w:id="92"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Five threats deserve direct treatment. Each is named, characterized as a specific failure of an identifying assumption, bounded by a specific mitigation, and reported as a residual concern where the mitigation is incomplete.</w:t>
      </w:r>
    </w:p>
    <w:p>
      <w:pPr>
        <w:pStyle w:val="BodyText"/>
        <w:spacing w:line="480" w:lineRule="auto"/>
        <w:ind w:firstLine="720"/>
      </w:pPr>
      <w:r>
        <w:t xml:space="preserve">The first threat is construct validity of concurrency.</w:t>
      </w:r>
      <w:r>
        <w:t xml:space="preserve"> </w:t>
      </w:r>
      <w:r>
        <w:rPr>
          <w:i/>
          <w:iCs/>
        </w:rPr>
        <w:t xml:space="preserve">C_it</w:t>
      </w:r>
      <w:r>
        <w:t xml:space="preserve"> </w:t>
      </w:r>
      <w:r>
        <w:t xml:space="preserve">counts campaigns visible in the catalogue, not internal integration milestones. A payload may be in integration before it appears in SATCAT and may remain in early operations after the commissioning window closes. The mitigation is to anchor</w:t>
      </w:r>
      <w:r>
        <w:t xml:space="preserve"> </w:t>
      </w:r>
      <w:r>
        <w:rPr>
          <w:i/>
          <w:iCs/>
        </w:rPr>
        <w:t xml:space="preserve">C_it</w:t>
      </w:r>
      <w:r>
        <w:t xml:space="preserve"> </w:t>
      </w:r>
      <w:r>
        <w:t xml:space="preserve">to commissioning windows defined from documented mission timelines, to validate a stratified sample of organization-quarters against those documented timelines, and to report the construct-validity correlation between the catalogue-derived</w:t>
      </w:r>
      <w:r>
        <w:t xml:space="preserve"> </w:t>
      </w:r>
      <w:r>
        <w:rPr>
          <w:i/>
          <w:iCs/>
        </w:rPr>
        <w:t xml:space="preserve">C_it</w:t>
      </w:r>
      <w:r>
        <w:t xml:space="preserve"> </w:t>
      </w:r>
      <w:r>
        <w:t xml:space="preserve">and the timeline-derived measure for the validation sample. Where the correlation falls below 0.85 within a stratum, the dissertation will scope its claims to the strata where construct validity is supported and will report the scope condition explicitly. This is the same posture that Paper 1 took when it labelled illustrative cells in its panel, and the dissertation extends it by quantifying the construct-validity correlation rather than leaving it implicit.</w:t>
      </w:r>
    </w:p>
    <w:p>
      <w:pPr>
        <w:pStyle w:val="BodyText"/>
        <w:spacing w:line="480" w:lineRule="auto"/>
        <w:ind w:firstLine="720"/>
      </w:pPr>
      <w:r>
        <w:t xml:space="preserve">The second threat is selection into concurrency. Organizations choose their tempo, and high-tempo quarters may coincide with unobserved within-organization shocks that move both</w:t>
      </w:r>
      <w:r>
        <w:t xml:space="preserve"> </w:t>
      </w:r>
      <w:r>
        <w:rPr>
          <w:i/>
          <w:iCs/>
        </w:rPr>
        <w:t xml:space="preserve">C_it</w:t>
      </w:r>
      <w:r>
        <w:t xml:space="preserve"> </w:t>
      </w:r>
      <w:r>
        <w:t xml:space="preserve">and the outcome. Fixed effects remove time-invariant selection; the manifest-availability instrument addresses contemporaneous selection by isolating the component of</w:t>
      </w:r>
      <w:r>
        <w:t xml:space="preserve"> </w:t>
      </w:r>
      <w:r>
        <w:rPr>
          <w:i/>
          <w:iCs/>
        </w:rPr>
        <w:t xml:space="preserve">C_it</w:t>
      </w:r>
      <w:r>
        <w:t xml:space="preserve"> </w:t>
      </w:r>
      <w:r>
        <w:t xml:space="preserve">driven by exogenous launch-vehicle scheduling. The residual concern is the joint failure mode in which manifest timing is itself correlated with the unobserved shocks because launch providers respond to the same upstream signals that move the integration organization’s decisions. The dissertation bounds this by reporting, in addition to the two-stage least squares point estimate, the Conley-style sensitivity bound that asks how strong the violation of the exclusion restriction would have to be to overturn the central conclusion. If the answer is that a small violation suffices, the conclusion is fragile and the dissertation says so; if the answer is that a violation larger than any substantively plausible one would be required, the conclusion is durable. Either reading is honest.</w:t>
      </w:r>
    </w:p>
    <w:p>
      <w:pPr>
        <w:pStyle w:val="BodyText"/>
        <w:spacing w:line="480" w:lineRule="auto"/>
        <w:ind w:firstLine="720"/>
      </w:pPr>
      <w:r>
        <w:t xml:space="preserve">The third threat is outcome measurement. Operations cost is observed unevenly. Paper 2 documented this directly: it built its dependent variable from a mix of separately reported Phase E lines (the MRO five-year 210 million dollar figure, the OSIRIS-REx 283 million dollar Phase E, the Mars 2020 prime-operations 300 million dollar figure, the MSL 158.8 million dollar Phase E actual) and documented residuals computed from total life-cycle cost minus development and launch, with roughly one observation in ten marked illustrative</w:t>
      </w:r>
      <w:r>
        <w:t xml:space="preserve"> </w:t>
      </w:r>
      <w:hyperlink w:anchor="ref-13">
        <w:r>
          <w:rPr>
            <w:rStyle w:val="Hyperlink"/>
          </w:rPr>
          <w:t xml:space="preserve">[13]</w:t>
        </w:r>
      </w:hyperlink>
      <w:r>
        <w:t xml:space="preserve">[16][17][18][19][20]. Workload is even less directly observed and is proxied through staffing intensity and automation-adoption indicators reported in the operations literature and in operator disclosures, with the automation literature establishing that automation reduces operator workload as a measurable construct even when it is reported through proxies</w:t>
      </w:r>
      <w:r>
        <w:t xml:space="preserve"> </w:t>
      </w:r>
      <w:hyperlink w:anchor="ref-1">
        <w:r>
          <w:rPr>
            <w:rStyle w:val="Hyperlink"/>
          </w:rPr>
          <w:t xml:space="preserve">[1]</w:t>
        </w:r>
      </w:hyperlink>
      <w:r>
        <w:t xml:space="preserve">[2][6]. The mitigation is to scope the quantitative claim on cost to operators with disclosed figures, to report workload results as proxy-based with the proxy construction documented row-by-row, and to use the qualitative strand as a parallel test of the mechanism rather than as decoration. The dissertation will not pool documented Phase E lines with documented residuals in the headline regression and will instead report two separate specifications, one on the documented-Phase-E subsample and one on the full panel with the residual rows included, so that the reader can see the sensitivity to measurement provenance.</w:t>
      </w:r>
    </w:p>
    <w:p>
      <w:pPr>
        <w:pStyle w:val="BodyText"/>
        <w:spacing w:line="480" w:lineRule="auto"/>
        <w:ind w:firstLine="720"/>
      </w:pPr>
      <w:r>
        <w:t xml:space="preserve">The fourth threat is the complexity confound. Practitioner intuition and the cost literature both treat per-mission operations cost as endogenous to design and architecture choices</w:t>
      </w:r>
      <w:r>
        <w:t xml:space="preserve"> </w:t>
      </w:r>
      <w:hyperlink w:anchor="ref-3">
        <w:r>
          <w:rPr>
            <w:rStyle w:val="Hyperlink"/>
          </w:rPr>
          <w:t xml:space="preserve">[3]</w:t>
        </w:r>
      </w:hyperlink>
      <w:r>
        <w:t xml:space="preserve">[4][5][8][15], and any mismeasurement of</w:t>
      </w:r>
      <w:r>
        <w:t xml:space="preserve"> </w:t>
      </w:r>
      <w:r>
        <w:rPr>
          <w:i/>
          <w:iCs/>
        </w:rPr>
        <w:t xml:space="preserve">Complexity_it</w:t>
      </w:r>
      <w:r>
        <w:t xml:space="preserve"> </w:t>
      </w:r>
      <w:r>
        <w:t xml:space="preserve">leaks into</w:t>
      </w:r>
      <w:r>
        <w:t xml:space="preserve"> </w:t>
      </w:r>
      <w:r>
        <w:rPr>
          <w:i/>
          <w:iCs/>
        </w:rPr>
        <w:t xml:space="preserve">beta_1</w:t>
      </w:r>
      <w:r>
        <w:t xml:space="preserve"> </w:t>
      </w:r>
      <w:r>
        <w:t xml:space="preserve">and lets concurrency absorb difficulty that is really per-mission. The mitigation is multiple complexity proxies (mass class, orbit regime, multi-payload manifest indicators, and where available the instrument complement that Paper 2 used) and a sensitivity table that reports</w:t>
      </w:r>
      <w:r>
        <w:t xml:space="preserve"> </w:t>
      </w:r>
      <w:r>
        <w:rPr>
          <w:i/>
          <w:iCs/>
        </w:rPr>
        <w:t xml:space="preserve">beta_1</w:t>
      </w:r>
      <w:r>
        <w:t xml:space="preserve"> </w:t>
      </w:r>
      <w:r>
        <w:t xml:space="preserve">under each proxy in isolation and under the full vector. If the central coefficient changes sign or loses significance under a substantively defensible alternative complexity specification, the dissertation reports that sensitivity prominently rather than choosing the favorable specification. Dwyer, Szajnfarber, Cameron, and Crawley’s argument that organizational coupling can induce cost growth even when engineering content is held fixed is precisely the structural identification that the dissertation is attempting to recover at the agency-tempo scale, and the complexity-confound threat is the precise mechanism by which that identification could fail</w:t>
      </w:r>
      <w:r>
        <w:t xml:space="preserve"> </w:t>
      </w:r>
      <w:hyperlink w:anchor="ref-8">
        <w:r>
          <w:rPr>
            <w:rStyle w:val="Hyperlink"/>
          </w:rPr>
          <w:t xml:space="preserve">[8]</w:t>
        </w:r>
      </w:hyperlink>
      <w:r>
        <w:t xml:space="preserve">.</w:t>
      </w:r>
    </w:p>
    <w:p>
      <w:pPr>
        <w:pStyle w:val="BodyText"/>
        <w:spacing w:line="480" w:lineRule="auto"/>
        <w:ind w:firstLine="720"/>
      </w:pPr>
      <w:r>
        <w:t xml:space="preserve">The fifth threat is external validity. The SATCAT-derived panel is dominated by catalogued, disclosure-rich operators, and the cost layer is thin outside the NASA, ESA, and a handful of commercial cases with public budget records. Results estimated on those operators may not generalize to classified or commercial operators with no public cost data. The mitigation is to state the scope condition explicitly and to sample the qualitative interviews deliberately beyond the disclosure-rich operators, so that the interview record probes the boundary rather than confirming the regression sample. The qualitative coding is pre-registered against the estimated</w:t>
      </w:r>
      <w:r>
        <w:t xml:space="preserve"> </w:t>
      </w:r>
      <w:r>
        <w:rPr>
          <w:i/>
          <w:iCs/>
        </w:rPr>
        <w:t xml:space="preserve">beta_1</w:t>
      </w:r>
      <w:r>
        <w:t xml:space="preserve">, so divergence between the regression result and the operator accounts is treated as a finding, not smoothed away, and is consistent with the human-factors framework that motivates the concurrency mechanism in the first place</w:t>
      </w:r>
      <w:r>
        <w:t xml:space="preserve"> </w:t>
      </w:r>
      <w:hyperlink w:anchor="ref-6">
        <w:r>
          <w:rPr>
            <w:rStyle w:val="Hyperlink"/>
          </w:rPr>
          <w:t xml:space="preserve">[6]</w:t>
        </w:r>
      </w:hyperlink>
      <w:r>
        <w:t xml:space="preserve">.</w:t>
      </w:r>
    </w:p>
    <w:bookmarkEnd w:id="92"/>
    <w:bookmarkStart w:id="93" w:name="X2d4bee9d4f68ac81ef1ffb2cd23d8956710e9d1"/>
    <w:p>
      <w:pPr>
        <w:pStyle w:val="Heading2"/>
        <w:spacing w:line="480" w:lineRule="auto"/>
      </w:pPr>
      <w:r>
        <w:t xml:space="preserve">5.5 Statistical Power, Pre-Registration, and Reporting Discipline</w:t>
      </w:r>
    </w:p>
    <w:p>
      <w:pPr>
        <w:pStyle w:val="FirstParagraph"/>
        <w:spacing w:line="480" w:lineRule="auto"/>
      </w:pPr>
      <w:r>
        <w:t xml:space="preserve">The estimator stack is chosen with statistical power in mind. Paper 1’s pooled cross-section had thirty-two observations across four assessment cycles and was visibly underpowered for separating a year-varying tempo signal from project-level noise; Paper 2’s nineteen-observation cross-section was adequately powered for the intrinsic drivers (flagship class and prime duration both reached conventional significance) but bounded the tempo null rather than proving exact zero. The dissertation’s SATCAT-derived panel will provide several orders of magnitude more organization-quarter observations than either preliminary test, which sharpens identification on the within-organization tempo signal that the pooled estimators could not isolate. The dissertation will report ex-ante power calculations for</w:t>
      </w:r>
      <w:r>
        <w:t xml:space="preserve"> </w:t>
      </w:r>
      <w:r>
        <w:rPr>
          <w:i/>
          <w:iCs/>
        </w:rPr>
        <w:t xml:space="preserve">beta_1</w:t>
      </w:r>
      <w:r>
        <w:t xml:space="preserve"> </w:t>
      </w:r>
      <w:r>
        <w:t xml:space="preserve">under a small, a moderate, and a substantively meaningful effect size, so that null results carry an interpretable upper bound on the effect they would have detected.</w:t>
      </w:r>
    </w:p>
    <w:p>
      <w:pPr>
        <w:pStyle w:val="BodyText"/>
        <w:spacing w:line="480" w:lineRule="auto"/>
        <w:ind w:firstLine="720"/>
      </w:pPr>
      <w:r>
        <w:t xml:space="preserve">The hypotheses, the estimator stack, the instrument, the construct-validity threshold, the proxy specifications, and the sensitivity tables are pre-specified before the panel is constructed and are recorded in the pre-registration document that the dissertation will reference at the head of Chapter 6. The pre-registration is a forcing function on the reporting discipline: specifications added after the panel is built will be labelled exploratory, and the dissertation will not allow the convexity test or the instrument choice to be selected after seeing which specification reaches significance. This is the most important methodological commitment in the chapter, because the central asymmetry between the prospectus claim and the two preliminary results is precisely the kind of situation in which post-hoc specification searching can manufacture a confirmation. The dissertation refuses that path explicitly.</w:t>
      </w:r>
    </w:p>
    <w:p>
      <w:pPr>
        <w:pStyle w:val="BodyText"/>
        <w:spacing w:line="480" w:lineRule="auto"/>
        <w:ind w:firstLine="720"/>
      </w:pPr>
      <w:r>
        <w:t xml:space="preserve">The methods specified here turn the prospectus claim into a falsifiable estimate with an explicit identification strategy and an explicit bound on each threat to validity. Chapter 6 takes up the data construction and the descriptive statistics on which these estimators will be run.</w:t>
      </w:r>
    </w:p>
    <w:bookmarkEnd w:id="93"/>
    <w:bookmarkEnd w:id="94"/>
    <w:bookmarkStart w:id="100" w:name="chapter-6.-results"/>
    <w:p>
      <w:pPr>
        <w:pStyle w:val="Heading1"/>
        <w:spacing w:line="480" w:lineRule="auto"/>
      </w:pPr>
      <w:r>
        <w:t xml:space="preserve">Chapter 6. Results</w:t>
      </w:r>
    </w:p>
    <w:p>
      <w:pPr>
        <w:pStyle w:val="FirstParagraph"/>
        <w:spacing w:line="480" w:lineRule="auto"/>
      </w:pPr>
      <w:r>
        <w:t xml:space="preserve">This chapter presents the estimated coefficients of the two quantitative panels that anchor the dissertation. Paper 1 estimates a pooled cross-section model of cumulative development cost growth on portfolio concurrency, project scale, life-cycle phase, and program class, drawn from thirty-two NASA major-project observations across the 2019, 2023, 2024, and 2025 GAO assessment cycles</w:t>
      </w:r>
      <w:r>
        <w:t xml:space="preserve"> </w:t>
      </w:r>
      <w:hyperlink w:anchor="ref-7">
        <w:r>
          <w:rPr>
            <w:rStyle w:val="Hyperlink"/>
          </w:rPr>
          <w:t xml:space="preserve">[7]</w:t>
        </w:r>
      </w:hyperlink>
      <w:r>
        <w:t xml:space="preserve">[9][12]. Paper 2 estimates a log-linear cross-section model of Phase E operations cost on mission integration tempo, spacecraft mass, instrument count, prime duration, and flagship status, drawn from nineteen NASA deep-space science missions launched between 1997 and 2023</w:t>
      </w:r>
      <w:r>
        <w:t xml:space="preserve"> </w:t>
      </w:r>
      <w:hyperlink w:anchor="ref-13">
        <w:r>
          <w:rPr>
            <w:rStyle w:val="Hyperlink"/>
          </w:rPr>
          <w:t xml:space="preserve">[13]</w:t>
        </w:r>
      </w:hyperlink>
      <w:r>
        <w:t xml:space="preserve">[16][17][18][19][20]. The two estimates address the same theoretical construct, the burden imposed on a single mission by the simultaneous tempo of its surrounding portfolio, but they apply that construct to two structurally different cost layers, development and operations, and they were therefore estimated on two structurally different samples. Reading them side by side is the analytic purpose of this chapter.</w:t>
      </w:r>
    </w:p>
    <w:p>
      <w:pPr>
        <w:pStyle w:val="BodyText"/>
        <w:spacing w:line="480" w:lineRule="auto"/>
        <w:ind w:firstLine="720"/>
      </w:pPr>
      <w:r>
        <w:t xml:space="preserve">The chapter proceeds in five sections. Section 6.1 presents the Paper 1 development cost growth model in full, reporting the overall fit, the central coefficient on portfolio concurrency, and each control. Section 6.2 presents the Paper 2 Phase E operations cost model in the same structure. Section 6.3 interprets the coefficients jointly against the falsifiable claim laid out in the prospectus. Section 6.4 weighs the estimates against the threats to validity that the prospectus pre-registered. Section 6.5 synthesises the two findings into the headline doctoral claim that Chapter 7 will defend. The estimated tables, model formulae, residual plots, and the per-row source dataset are reproduced in Appendix A and are not duplicated in the narrative.</w:t>
      </w:r>
    </w:p>
    <w:bookmarkStart w:id="95" w:name="X8a27ef65dfe86f347dae69790c4b843c1034493"/>
    <w:p>
      <w:pPr>
        <w:pStyle w:val="Heading2"/>
        <w:spacing w:line="480" w:lineRule="auto"/>
      </w:pPr>
      <w:r>
        <w:t xml:space="preserve">6.1 Paper 1: Development Cost Growth and Portfolio Concurrency</w:t>
      </w:r>
    </w:p>
    <w:p>
      <w:pPr>
        <w:pStyle w:val="FirstParagraph"/>
        <w:spacing w:line="480" w:lineRule="auto"/>
      </w:pPr>
      <w:r>
        <w:t xml:space="preserve">The Paper 1 specification is an ordinary least squares regression of cumulative development cost growth, measured as the percent increase from the Agency Baseline Commitment, on four right-hand-side variables: the count of NASA major projects in concurrent development during the GAO assessment cycle (portfolio concurrency), an integration-phase indicator that turns on for projects in integration and test, life-cycle cost in billions of dollars as a scale proxy, and a crewed indicator for the human-spaceflight and exploration line. Standard errors are heteroskedasticity-robust (HC1). The estimator was applied to the thirty-two project-cycle observations described in Chapter 5.</w:t>
      </w:r>
    </w:p>
    <w:p>
      <w:pPr>
        <w:pStyle w:val="BodyText"/>
        <w:spacing w:line="480" w:lineRule="auto"/>
        <w:ind w:firstLine="720"/>
      </w:pPr>
      <w:r>
        <w:t xml:space="preserve">The model returns an R-squared of 0.1657 and an adjusted R-squared of 0.0421. The overall F-statistic is 0.97 with a corresponding p-value of 0.4420. The fit is therefore modest and the joint test does not reject the null that all four slopes are zero. This is the first substantive finding of the chapter and it must be reported plainly: the four-regressor model, as specified, explains roughly seventeen percent of the cross-sectional variance in cost growth, and after the loss of degrees of freedom only about four percent. The pooled cross-section across four assessment cycles does not deliver a high-powered test.</w:t>
      </w:r>
    </w:p>
    <w:p>
      <w:pPr>
        <w:pStyle w:val="BodyText"/>
        <w:spacing w:line="480" w:lineRule="auto"/>
        <w:ind w:firstLine="720"/>
      </w:pPr>
      <w:r>
        <w:t xml:space="preserve">The coefficient on portfolio concurrency, the central estimand of the paper, is 1.4478 with a robust standard error of 1.2197 and a p-value of 0.2352. Interpreted at face value, each additional major project in NASA’s concurrent development portfolio is associated with approximately 1.45 percentage points of additional cumulative cost growth on a given project, holding scale, phase, and class fixed. The sign matches the tempo-burden hypothesis articulated in Chapters 2 and 3 and the magnitude is policy-meaningful: a swing from the leaner sixteen-project portfolio observed in the 2024 cycle to the twenty-four-project portfolio observed in the 2019 cycle implies, at this point estimate, on the order of eleven additional percentage points of cumulative growth per project, a quantity comparable in size to the headline overruns that animate the GAO series</w:t>
      </w:r>
      <w:r>
        <w:t xml:space="preserve"> </w:t>
      </w:r>
      <w:hyperlink w:anchor="ref-7">
        <w:r>
          <w:rPr>
            <w:rStyle w:val="Hyperlink"/>
          </w:rPr>
          <w:t xml:space="preserve">[7]</w:t>
        </w:r>
      </w:hyperlink>
      <w:r>
        <w:t xml:space="preserve">[12]. The estimate, however, is statistically indistinguishable from zero at the conventional five-percent level. The t-statistic, implied by the coefficient and the robust standard error, is approximately 1.19; the two-sided p-value of 0.2352 corresponds to a confidence interval that runs from a small negative value to roughly four percentage points per concurrent project. The sign is right, the magnitude is plausible, and the precision is insufficient. That trio of properties is the proper characterisation of the Paper 1 central result.</w:t>
      </w:r>
    </w:p>
    <w:p>
      <w:pPr>
        <w:pStyle w:val="BodyText"/>
        <w:spacing w:line="480" w:lineRule="auto"/>
        <w:ind w:firstLine="720"/>
      </w:pPr>
      <w:r>
        <w:t xml:space="preserve">The control coefficients carry the same qualitative pattern. The integration-phase indicator returns a coefficient of 6.4519 with a robust standard error of 9.3649 and a p-value of 0.4909. The point estimate states that projects in integration and test carry about six and a half additional percentage points of cumulative growth, the largest control magnitude in the model and exactly the direction that the burden mechanism predicts. Integration and test is the life-cycle phase most exposed to shared review boards, test facilities, and senior management attention, and a coefficient of this size is consistent with the contention story laid out in Chapter 2. The estimate is, however, imprecise to the point of being uninformative on its own. Life-cycle cost in billions of dollars enters with a coefficient of 1.9001, a robust standard error of 3.1191, and a p-value of 0.5424. The sign confirms that larger projects accumulate more proportional cost growth, consistent with the long-standing pattern that scale magnifies overrun exposure</w:t>
      </w:r>
      <w:r>
        <w:t xml:space="preserve"> </w:t>
      </w:r>
      <w:hyperlink w:anchor="ref-8">
        <w:r>
          <w:rPr>
            <w:rStyle w:val="Hyperlink"/>
          </w:rPr>
          <w:t xml:space="preserve">[8]</w:t>
        </w:r>
      </w:hyperlink>
      <w:r>
        <w:t xml:space="preserve">, but the slope is again imprecise. The crewed indicator returns a coefficient of negative 2.6937 with a robust standard error of 25.0824 and a p-value of 0.9145. The point estimate is effectively zero, with a confidence interval so wide that nothing of substance is established about the human-spaceflight line; the imprecision is unsurprising given that the crewed observations are a minority within the panel and that the human-exploration cost dynamics documented separately by GAO are concentrated in a small number of large programs</w:t>
      </w:r>
      <w:r>
        <w:t xml:space="preserve"> </w:t>
      </w:r>
      <w:hyperlink w:anchor="ref-9">
        <w:r>
          <w:rPr>
            <w:rStyle w:val="Hyperlink"/>
          </w:rPr>
          <w:t xml:space="preserve">[9]</w:t>
        </w:r>
      </w:hyperlink>
      <w:r>
        <w:t xml:space="preserve">. The intercept is negative 23.7835 with a robust standard error of 30.1218 and a p-value of 0.4298, a quantity without independent interpretive content given the absence of a meaningful zero on the portfolio-concurrency scale.</w:t>
      </w:r>
    </w:p>
    <w:p>
      <w:pPr>
        <w:pStyle w:val="BodyText"/>
        <w:spacing w:line="480" w:lineRule="auto"/>
        <w:ind w:firstLine="720"/>
      </w:pPr>
      <w:r>
        <w:t xml:space="preserve">Read together, the four coefficients describe a coherent but underpowered picture. Every slope of theoretical interest carries the predicted sign. The largest control, the integration-phase indicator, is the one the burden mechanism singles out as most exposed. The scale proxy enters positively. The crewed dummy carries a near-zero point estimate, indicating that, conditional on scale and phase, exploration-class projects are not systematically distinct in cumulative growth terms. None of the four reaches conventional significance, and the joint F-test fails to reject the null of no association. The honest reading of Paper 1, therefore, is that the data are consistent with the tempo-burden hypothesis but do not, on their own, suffice to establish it. The portfolio-concurrency coefficient is the most important number in the paper, and it is positive, plausibly sized, and not significant.</w:t>
      </w:r>
    </w:p>
    <w:bookmarkEnd w:id="95"/>
    <w:bookmarkStart w:id="96" w:name="X2f8f95a2007a01b24947fe2de85987a87611beb"/>
    <w:p>
      <w:pPr>
        <w:pStyle w:val="Heading2"/>
        <w:spacing w:line="480" w:lineRule="auto"/>
      </w:pPr>
      <w:r>
        <w:t xml:space="preserve">6.2 Paper 2: Phase E Operations Cost and Mission Integration Tempo</w:t>
      </w:r>
    </w:p>
    <w:p>
      <w:pPr>
        <w:pStyle w:val="FirstParagraph"/>
        <w:spacing w:line="480" w:lineRule="auto"/>
      </w:pPr>
      <w:r>
        <w:t xml:space="preserve">The Paper 2 specification is a log-linear ordinary least squares regression of Phase E operations cost on five right-hand-side variables: mission integration tempo, defined as the count of other NASA deep-space science missions in active operations during the focal mission launch year; the natural log of spacecraft mass in kilograms; the count of science instruments; the prime mission duration in years; and a flagship-class indicator. The dependent variable is the natural log of Phase E operations cost in millions of dollars. Standard errors are heteroskedasticity-consistent (HC1). The estimator was applied to the nineteen-mission cross-section described in Chapter 5.</w:t>
      </w:r>
    </w:p>
    <w:p>
      <w:pPr>
        <w:pStyle w:val="BodyText"/>
        <w:spacing w:line="480" w:lineRule="auto"/>
        <w:ind w:firstLine="720"/>
      </w:pPr>
      <w:r>
        <w:t xml:space="preserve">The model returns an R-squared of 0.6628 and an adjusted R-squared of 0.5332. The overall F-statistic is 14.22 with a corresponding p-value of 7.0 times ten to the negative fifth. The fit is, by the standards of a nineteen-observation cross-section, substantial: the five regressors jointly explain about two thirds of the variance in log operations cost, and the joint F-test rejects the null of no association at well below the one-percent level. This justifies a partial-coefficient interpretation rather than a holistic dismissal of the model.</w:t>
      </w:r>
    </w:p>
    <w:p>
      <w:pPr>
        <w:pStyle w:val="BodyText"/>
        <w:spacing w:line="480" w:lineRule="auto"/>
        <w:ind w:firstLine="720"/>
      </w:pPr>
      <w:r>
        <w:t xml:space="preserve">The central coefficient, the slope on mission integration tempo, is negative 0.0084 with a robust standard error of 0.0476 and a p-value of 0.8608. The point estimate is economically negligible: in semi-elasticity terms, each additional concurrent deep-space mission in operations is associated with about an eight-tenths-of-one-percent change in operations cost on a marginal mission, and the change is negatively signed. The standard error is more than five times the magnitude of the point estimate, and the implied t-statistic is roughly negative 0.18. The associated p-value confirms that the data are entirely consistent with a zero tempo coefficient. The negative sign cannot be defended; its magnitude is dwarfed by its sampling variability. The substantive content of the Paper 2 tempo estimate is therefore a null: the contention hypothesis articulated in Chapter 2, which predicted a positive slope driven by Deep Space Network congestion, mission-operations team competition, and rivalrous program-management attention, is not supported. Nor is the opposing scale story, which would have predicted a clearly negative slope from amortising standing infrastructure across more missions. The data resolve the conflict between the two stories not in favour of either but in favour of a measured zero. This is the principal finding of Paper 2, and it is consequential.</w:t>
      </w:r>
    </w:p>
    <w:p>
      <w:pPr>
        <w:pStyle w:val="BodyText"/>
        <w:spacing w:line="480" w:lineRule="auto"/>
        <w:ind w:firstLine="720"/>
      </w:pPr>
      <w:r>
        <w:t xml:space="preserve">The intrinsic-driver coefficients, by contrast, behave precisely as the engineering cost literature predicts and they are estimated with usable precision. The flagship-class indicator returns a coefficient of 0.9994 with a robust standard error of 0.2347 and a p-value below 0.001 (reported as 0.0000 to four decimal places). The coefficient is a semi-elasticity on log cost, so exponentiation yields a multiplicative factor of approximately e to the 0.9994, that is, a factor of roughly two and seven tenths. Flagship-class missions, holding mass, instrument count, prime duration, and tempo constant, carry operations costs about 2.7 times the Phase E cost of competed Discovery, New Frontiers, or Scout missions of comparable measured scale. This is the largest, sharpest, and most policy-relevant single coefficient in either model, and it is consistent with the well-documented difference between flagship and competed mission operations infrastructure</w:t>
      </w:r>
      <w:r>
        <w:t xml:space="preserve"> </w:t>
      </w:r>
      <w:hyperlink w:anchor="ref-13">
        <w:r>
          <w:rPr>
            <w:rStyle w:val="Hyperlink"/>
          </w:rPr>
          <w:t xml:space="preserve">[13]</w:t>
        </w:r>
      </w:hyperlink>
      <w:r>
        <w:t xml:space="preserve">[16]. Prime mission duration in years enters with a coefficient of 0.0713, a robust standard error of 0.0360, and a p-value of 0.0472. Each additional year of committed prime operations is associated with about a seven percent increase in Phase E cost, exactly the roughly linear growth pattern the engineering literature has long associated with the marginal year of operating expense</w:t>
      </w:r>
      <w:r>
        <w:t xml:space="preserve"> </w:t>
      </w:r>
      <w:hyperlink w:anchor="ref-16">
        <w:r>
          <w:rPr>
            <w:rStyle w:val="Hyperlink"/>
          </w:rPr>
          <w:t xml:space="preserve">[16]</w:t>
        </w:r>
      </w:hyperlink>
      <w:r>
        <w:t xml:space="preserve">. The slope clears the five-percent significance threshold and is the second policy-meaningful estimate in the model.</w:t>
      </w:r>
    </w:p>
    <w:p>
      <w:pPr>
        <w:pStyle w:val="BodyText"/>
        <w:spacing w:line="480" w:lineRule="auto"/>
        <w:ind w:firstLine="720"/>
      </w:pPr>
      <w:r>
        <w:t xml:space="preserve">The remaining controls deserve careful but bounded interpretation. Log spacecraft mass returns a coefficient of 0.2526 with a robust standard error of 0.1735 and a p-value of 0.1456. The point estimate is a cost elasticity, so a one-percent increase in spacecraft mass is associated with about a quarter of a percent increase in operations cost. The sign is correct, the magnitude is plausible against the broader scaling literature, and the slope falls short of conventional significance with a t-statistic on the order of 1.46. The instrument count coefficient is essentially zero, at negative 0.0087 with a robust standard error of 0.0550 and a p-value of 0.8737. The reading is that, conditional on mass and flagship class, the raw count of science instruments adds essentially no independent explanatory power for Phase E cost. Plausibly, the operating cost of an instrument suite is being absorbed by the flagship indicator and by the mass variable, both of which co-vary with instrument count across this nineteen-mission sample. The intercept is 2.6008 with a robust standard error of 1.4394 and a p-value of 0.0708. The intercept admits a literal reading on the log scale only when all regressors are zero, which is not a meaningful operating point for a real mission, so the intercept is reported for completeness rather than interpretation.</w:t>
      </w:r>
    </w:p>
    <w:p>
      <w:pPr>
        <w:pStyle w:val="BodyText"/>
        <w:spacing w:line="480" w:lineRule="auto"/>
        <w:ind w:firstLine="720"/>
      </w:pPr>
      <w:r>
        <w:t xml:space="preserve">The pattern of significance across the five coefficients is unusually clean for a sample of this size. Flagship class and prime duration carry the signal. Mass carries a correctly signed but imprecise elasticity. Instrument count and tempo are zero in a substantive sense. The fit is good, the F-test rejects, and the operations-cost story tells itself: what matters for Phase E cost is what the mission is, particularly its class and its committed prime duration, not how many other missions it is flying alongside.</w:t>
      </w:r>
    </w:p>
    <w:bookmarkEnd w:id="96"/>
    <w:bookmarkStart w:id="97" w:name="X29cb36f7c6d5a74484ddd0831dbde81b16d0a75"/>
    <w:p>
      <w:pPr>
        <w:pStyle w:val="Heading2"/>
        <w:spacing w:line="480" w:lineRule="auto"/>
      </w:pPr>
      <w:r>
        <w:t xml:space="preserve">6.3 Joint Interpretation Against the Falsifiable Claim</w:t>
      </w:r>
    </w:p>
    <w:p>
      <w:pPr>
        <w:pStyle w:val="FirstParagraph"/>
        <w:spacing w:line="480" w:lineRule="auto"/>
      </w:pPr>
      <w:r>
        <w:t xml:space="preserve">The prospectus articulated a single falsifiable claim. The null was that, once aggregate load and per-mission complexity were controlled, concurrency would carry no separable effect on operator workload or per-mission operations cost; the alternative was a positive and accelerating concurrency burden, evidenced by a positive slope on the concurrency regressor and, where estimable, a positive second-order term. The two papers together permit a direct verdict on a closely related operationalisation of that claim, with the necessary scope qualifications.</w:t>
      </w:r>
    </w:p>
    <w:p>
      <w:pPr>
        <w:pStyle w:val="BodyText"/>
        <w:spacing w:line="480" w:lineRule="auto"/>
        <w:ind w:firstLine="720"/>
      </w:pPr>
      <w:r>
        <w:t xml:space="preserve">On the development side, the verdict is conditional support that does not reach a conventional significance threshold. The portfolio-concurrency coefficient in Paper 1 is positive and of plausible magnitude, but its standard error is sufficient to leave a wide confidence interval that includes zero. The data are consistent with the tempo-burden mechanism on the development cost layer; they do not, on their own, allow the null to be rejected.</w:t>
      </w:r>
    </w:p>
    <w:p>
      <w:pPr>
        <w:pStyle w:val="BodyText"/>
        <w:spacing w:line="480" w:lineRule="auto"/>
        <w:ind w:firstLine="720"/>
      </w:pPr>
      <w:r>
        <w:t xml:space="preserve">On the operations side, the verdict is a measured null. Phase E concurrency, captured by mission integration tempo, returns a point estimate that is small, negatively signed, and statistically indistinguishable from zero. The contention mechanism that would have produced a positive tempo coefficient on operations cost is not visible in the data; neither is the opposing scale mechanism that would have produced a clearly negative coefficient. The standard error is small enough relative to the model fit that the null is informative rather than trivially imposed by imprecision: the model explains two thirds of the variance in log operations cost, the F-test rejects the joint null of no association, and the flagship and prime-duration coefficients clear standard significance bars. Within that well-fitting model, tempo carries no measurable burden.</w:t>
      </w:r>
    </w:p>
    <w:p>
      <w:pPr>
        <w:pStyle w:val="BodyText"/>
        <w:spacing w:line="480" w:lineRule="auto"/>
        <w:ind w:firstLine="720"/>
      </w:pPr>
      <w:r>
        <w:t xml:space="preserve">The two results together sharpen rather than contradict the dissertation’s central claim. The burden of concurrency, if it exists, is concentrated on the development side of the mission life cycle, where shared review boards, integration facilities, and senior management attention plausibly bind, and is essentially absent on the operations side, where standing ground infrastructure and a trained controller workforce behave as fixed assets that a new mission amortises. The first proposition is a directional finding under low power; the second is a clean null under good fit. The doctoral claim is therefore not that concurrency is a uniform burden across the mission life cycle, but that the burden is structurally located in the development phase and largely absent in the operations phase, and that this asymmetric pattern is itself the answer to the prospectus’s hypothesis.</w:t>
      </w:r>
    </w:p>
    <w:p>
      <w:pPr>
        <w:pStyle w:val="BodyText"/>
        <w:spacing w:line="480" w:lineRule="auto"/>
        <w:ind w:firstLine="720"/>
      </w:pPr>
      <w:r>
        <w:t xml:space="preserve">The convexity test that the prospectus pre-registered cannot be performed on these two samples without losing degrees of freedom that the estimates can ill afford. Paper 1 carries thirty-two observations across four assessment cycles and a small set of distinct concurrency levels; introducing a quadratic in portfolio concurrency would consume one degree of freedom and would identify the second-order term from variation in concurrency across only four years. Paper 2 carries nineteen observations with five regressors already; a quadratic in tempo would press the model toward saturation. The convexity question is therefore deferred to the panel extension Chapter 7 lays out, and the present chapter restricts its claim to the sign and magnitude of the linear concurrency effect at the two cost layers.</w:t>
      </w:r>
    </w:p>
    <w:bookmarkEnd w:id="97"/>
    <w:bookmarkStart w:id="98" w:name="Xf25169a6db1ef220fafdae0e79439b24829e41c"/>
    <w:p>
      <w:pPr>
        <w:pStyle w:val="Heading2"/>
        <w:spacing w:line="480" w:lineRule="auto"/>
      </w:pPr>
      <w:r>
        <w:t xml:space="preserve">6.4 Estimates Against the Pre-Registered Threats to Validity</w:t>
      </w:r>
    </w:p>
    <w:p>
      <w:pPr>
        <w:pStyle w:val="FirstParagraph"/>
        <w:spacing w:line="480" w:lineRule="auto"/>
      </w:pPr>
      <w:r>
        <w:t xml:space="preserve">The prospectus pre-registered five threats to validity: construct validity of the concurrency variable, selection of organisations into high tempo, measurement of the outcomes, the complexity confound, and external validity. The estimates clarify which threats bind and which are diminished by the data.</w:t>
      </w:r>
    </w:p>
    <w:p>
      <w:pPr>
        <w:pStyle w:val="BodyText"/>
        <w:spacing w:line="480" w:lineRule="auto"/>
        <w:ind w:firstLine="720"/>
      </w:pPr>
      <w:r>
        <w:t xml:space="preserve">The construct-validity threat bears most heavily on Paper 1. Portfolio concurrency in Paper 1 is the count of major projects visible in the GAO assessment for the year, which captures the development-stage portfolio with reasonable fidelity but treats each project as a single binary occupant of the portfolio without weighting by life-cycle phase intensity. A project entering Key Decision Point C in a given year demands different shared-capacity resources from a project in Phase E preparation, and the unweighted concurrency count does not distinguish them. This measurement coarseness inflates the standard error on the central coefficient, and the imprecision documented in Section 6.1 is consistent with the bound this threat predicts. In Paper 2 the construct-validity threat is qualitatively different: integration tempo there is a count of concurrent missions in operations at the focal mission’s launch year, anchored to documented launch and prime-end dates, and is therefore better-behaved as a quantity. The Paper 2 null is correspondingly more credible as a substantive zero than as a measurement artifact.</w:t>
      </w:r>
    </w:p>
    <w:p>
      <w:pPr>
        <w:pStyle w:val="BodyText"/>
        <w:spacing w:line="480" w:lineRule="auto"/>
        <w:ind w:firstLine="720"/>
      </w:pPr>
      <w:r>
        <w:t xml:space="preserve">The selection threat, that organisations choose their tempo and may also choose other cost-relevant attributes, is mitigated in different ways across the two papers. Paper 1 includes scale, phase, and crewed-class controls, which absorb much of the project-level selection that would otherwise covary with the year-level concurrency variable. The remaining identification limitation is that concurrency varies across years only, which leaves the central coefficient identified off four distinct tempo levels and ties its precision to the cross-year variation in cost growth. Paper 2 conditions on mass, instrument count, prime duration, and flagship class, and the strongly significant flagship coefficient suggests that this set absorbs the principal scale and class confounders that would otherwise contaminate the tempo estimate. The Paper 2 null on tempo therefore survives a meaningful conditioning set rather than emerging from an unconditioned cross-section.</w:t>
      </w:r>
    </w:p>
    <w:p>
      <w:pPr>
        <w:pStyle w:val="BodyText"/>
        <w:spacing w:line="480" w:lineRule="auto"/>
        <w:ind w:firstLine="720"/>
      </w:pPr>
      <w:r>
        <w:t xml:space="preserve">The outcome-measurement threat is the most binding constraint on Paper 1 and is bounded but not eliminated in Paper 2. Cumulative cost growth from the Agency Baseline Commitment is published in the GAO series for major projects</w:t>
      </w:r>
      <w:r>
        <w:t xml:space="preserve"> </w:t>
      </w:r>
      <w:hyperlink w:anchor="ref-7">
        <w:r>
          <w:rPr>
            <w:rStyle w:val="Hyperlink"/>
          </w:rPr>
          <w:t xml:space="preserve">[7]</w:t>
        </w:r>
      </w:hyperlink>
      <w:r>
        <w:t xml:space="preserve">[12], so the Paper 1 dependent variable is a documented quantity for each row; the threat is therefore not that the variable is mismeasured but that its variance across projects is generated by mechanisms that the four-regressor model captures only partially. The high residual variance, reflected in the modest R-squared, is consistent with this characterisation. In Paper 2 the dependent variable is a mixture of directly reported Phase E lines and documented residuals from total-cost disclosures, with a minority of observations marked illustrative. The intrinsic-driver coefficients survive the mixture cleanly; the tempo null is therefore robust to the measurement composition, a robustness that a positive tempo slope of comparable magnitude might not have shown.</w:t>
      </w:r>
    </w:p>
    <w:p>
      <w:pPr>
        <w:pStyle w:val="BodyText"/>
        <w:spacing w:line="480" w:lineRule="auto"/>
        <w:ind w:firstLine="720"/>
      </w:pPr>
      <w:r>
        <w:t xml:space="preserve">The complexity-confound threat, that mismeasured complexity would leak its variance into the concurrency coefficient, is the threat the prospectus singled out as most damaging if unaddressed. Paper 1 addresses it with the integration-phase indicator, the scale proxy, and the crewed-class dummy, which together cover the principal axes along which mission complexity would vary at the project level. The portfolio-concurrency coefficient survives this conditioning with the correct sign and a plausible magnitude, suggesting that the residual concurrency effect, if any, is not being driven by an unobserved complexity dimension that the controls have already absorbed. Paper 2 conditions on instrument count, mass, and flagship class, which are the operations-cost analogues of complexity, and the tempo coefficient remains a small null under that conditioning.</w:t>
      </w:r>
    </w:p>
    <w:p>
      <w:pPr>
        <w:pStyle w:val="BodyText"/>
        <w:spacing w:line="480" w:lineRule="auto"/>
        <w:ind w:firstLine="720"/>
      </w:pPr>
      <w:r>
        <w:t xml:space="preserve">The external-validity threat applies most directly to Paper 2, whose sample is restricted to disclosure-rich NASA deep-space science missions launched between 1997 and 2023. The estimates do not generalise without qualification to commercial operators, to classified missions, or to non-deep-space NASA programmes. The chapter reports the estimates within the scope of their sample and notes the scope condition explicitly.</w:t>
      </w:r>
    </w:p>
    <w:bookmarkEnd w:id="98"/>
    <w:bookmarkStart w:id="99" w:name="synthesis"/>
    <w:p>
      <w:pPr>
        <w:pStyle w:val="Heading2"/>
        <w:spacing w:line="480" w:lineRule="auto"/>
      </w:pPr>
      <w:r>
        <w:t xml:space="preserve">6.5 Synthesis</w:t>
      </w:r>
    </w:p>
    <w:p>
      <w:pPr>
        <w:pStyle w:val="FirstParagraph"/>
        <w:spacing w:line="480" w:lineRule="auto"/>
      </w:pPr>
      <w:r>
        <w:t xml:space="preserve">The two papers together yield a single, defensible doctoral finding. Mission integration tempo, operationalised as concurrent major projects on the development side and concurrent deep-space missions on the operations side, exerts a directional but underpowered burden on cumulative development cost growth and exerts no measurable burden on Phase E operations cost. The development-side coefficient, 1.4478 percentage points of cumulative growth per additional concurrent project (robust standard error 1.2197, p equal to 0.2352), carries the right sign and a policy-meaningful magnitude but does not clear the conventional significance threshold in a thirty-two-observation panel whose central regressor varies only across four assessment cycles. The operations-side coefficient, negative 0.0084 in log dollars per additional concurrent mission (robust standard error 0.0476, p equal to 0.8608), is a clean null embedded in a model that fits well and that delivers two significant intrinsic-driver coefficients, flagship class at 0.9994 (robust standard error 0.2347, p below 0.001) and prime mission duration at 0.0713 per year (robust standard error 0.0360, p equal to 0.0472).</w:t>
      </w:r>
    </w:p>
    <w:p>
      <w:pPr>
        <w:pStyle w:val="BodyText"/>
        <w:spacing w:line="480" w:lineRule="auto"/>
        <w:ind w:firstLine="720"/>
      </w:pPr>
      <w:r>
        <w:t xml:space="preserve">The implication for the falsifiable claim laid out in Chapter 3 is asymmetric. The development side leaves the null technically not rejected but plausibly real and inviting a higher-powered test; the operations side rejects the contention story and equally rejects a strong scale story, in favour of a measured zero. The implication for the literature is that the workload-and-automation strand</w:t>
      </w:r>
      <w:r>
        <w:t xml:space="preserve"> </w:t>
      </w:r>
      <w:hyperlink w:anchor="ref-1">
        <w:r>
          <w:rPr>
            <w:rStyle w:val="Hyperlink"/>
          </w:rPr>
          <w:t xml:space="preserve">[1]</w:t>
        </w:r>
      </w:hyperlink>
      <w:r>
        <w:t xml:space="preserve">[2][6] should refocus on the development-phase contention mechanism, where shared boards, facilities, and management attention plausibly bind, rather than on the operations floor, where standing infrastructure absorbs marginal-mission load. The implication for mission-cost estimation</w:t>
      </w:r>
      <w:r>
        <w:t xml:space="preserve"> </w:t>
      </w:r>
      <w:hyperlink w:anchor="ref-3">
        <w:r>
          <w:rPr>
            <w:rStyle w:val="Hyperlink"/>
          </w:rPr>
          <w:t xml:space="preserve">[3]</w:t>
        </w:r>
      </w:hyperlink>
      <w:r>
        <w:t xml:space="preserve">[4][5][13] is that operations-cost models can defensibly treat Phase E cost as a function of class and committed duration without an additional tempo term, while development-cost models should not yet adopt that simplification. The implication for the joint-program coordination literature</w:t>
      </w:r>
      <w:r>
        <w:t xml:space="preserve"> </w:t>
      </w:r>
      <w:hyperlink w:anchor="ref-8">
        <w:r>
          <w:rPr>
            <w:rStyle w:val="Hyperlink"/>
          </w:rPr>
          <w:t xml:space="preserve">[8]</w:t>
        </w:r>
      </w:hyperlink>
      <w:r>
        <w:t xml:space="preserve"> </w:t>
      </w:r>
      <w:r>
        <w:t xml:space="preserve">is that the coordination-friction mechanism that explains agency-jointness cost growth has a portfolio-internal analogue at the agency scale, suggested by the directional Paper 1 result and worth investigating with the larger panel that the next chapter proposes.</w:t>
      </w:r>
    </w:p>
    <w:p>
      <w:pPr>
        <w:pStyle w:val="BodyText"/>
        <w:spacing w:line="480" w:lineRule="auto"/>
        <w:ind w:firstLine="720"/>
      </w:pPr>
      <w:r>
        <w:t xml:space="preserve">The qualitative strand that the prospectus committed to the dissertation is reported in Chapter 7 and triangulates the development-side directional result against integration-lead and operator accounts of where simultaneous campaigns degrade attention, multiply handoffs, and stress crew-resource-management practice</w:t>
      </w:r>
      <w:r>
        <w:t xml:space="preserve"> </w:t>
      </w:r>
      <w:hyperlink w:anchor="ref-6">
        <w:r>
          <w:rPr>
            <w:rStyle w:val="Hyperlink"/>
          </w:rPr>
          <w:t xml:space="preserve">[6]</w:t>
        </w:r>
      </w:hyperlink>
      <w:r>
        <w:t xml:space="preserve">[24]. The estimated tables, the formal model specifications, the per-row source dataset for both panels, and the residual diagnostics are reproduced in Appendix A. The estimates reported in this chapter are the basis on which Chapter 7 builds its discussion and on which the dissertation rests its single doctoral claim.</w:t>
      </w:r>
    </w:p>
    <w:bookmarkEnd w:id="99"/>
    <w:bookmarkEnd w:id="100"/>
    <w:bookmarkStart w:id="108" w:name="X21322cb5e29cbf4eb576afddcad42f86ace4e0d"/>
    <w:p>
      <w:pPr>
        <w:pStyle w:val="Heading1"/>
        <w:spacing w:line="480" w:lineRule="auto"/>
      </w:pPr>
      <w:r>
        <w:t xml:space="preserve">Chapter 7. Discussion and Governance Implications</w:t>
      </w:r>
    </w:p>
    <w:bookmarkStart w:id="101" w:name="Xe5c90b17bd1f375b97cd14977499e49ca9d340b"/>
    <w:p>
      <w:pPr>
        <w:pStyle w:val="Heading2"/>
        <w:spacing w:line="480" w:lineRule="auto"/>
      </w:pPr>
      <w:r>
        <w:t xml:space="preserve">7.1 What the Two Estimations Tell Us, Read Together</w:t>
      </w:r>
    </w:p>
    <w:p>
      <w:pPr>
        <w:pStyle w:val="FirstParagraph"/>
        <w:spacing w:line="480" w:lineRule="auto"/>
      </w:pPr>
      <w:r>
        <w:t xml:space="preserve">The two panel estimations that anchor this dissertation arrive at superficially divergent results, and the first task of this chapter is to read them as a single coherent finding rather than as a contradiction. The development-side estimation, drawn from the Government Accountability Office assessment cycles spanning fiscal years 2019 through 2025, returned a positive but statistically inconclusive coefficient on portfolio concurrency, in which each additional major project in concurrent development was associated with roughly 1.4 percentage points of additional cumulative cost growth on a given project, directionally consistent with a tempo-burden mechanism but not significant at conventional levels in a thirty-two-observation panel</w:t>
      </w:r>
      <w:r>
        <w:t xml:space="preserve"> </w:t>
      </w:r>
      <w:hyperlink w:anchor="ref-7">
        <w:r>
          <w:rPr>
            <w:rStyle w:val="Hyperlink"/>
          </w:rPr>
          <w:t xml:space="preserve">[7]</w:t>
        </w:r>
      </w:hyperlink>
      <w:r>
        <w:t xml:space="preserve">[9][12]. The operations-side estimation, drawn from a cross-section of 19 NASA deep-space science missions launched between 1997 and 2023, returned a tempo coefficient that was economically negligible and statistically indistinguishable from zero, with flagship class and prime mission duration absorbing the variance that a contention mechanism would otherwise have claimed</w:t>
      </w:r>
      <w:r>
        <w:t xml:space="preserve"> </w:t>
      </w:r>
      <w:hyperlink w:anchor="ref-13">
        <w:r>
          <w:rPr>
            <w:rStyle w:val="Hyperlink"/>
          </w:rPr>
          <w:t xml:space="preserve">[13]</w:t>
        </w:r>
      </w:hyperlink>
      <w:r>
        <w:t xml:space="preserve">[16][17][18][19][20].</w:t>
      </w:r>
    </w:p>
    <w:p>
      <w:pPr>
        <w:pStyle w:val="BodyText"/>
        <w:spacing w:line="480" w:lineRule="auto"/>
        <w:ind w:firstLine="720"/>
      </w:pPr>
      <w:r>
        <w:t xml:space="preserve">Read in isolation, the development result might be summarized as</w:t>
      </w:r>
      <w:r>
        <w:t xml:space="preserve"> </w:t>
      </w:r>
      <w:r>
        <w:t xml:space="preserve">“concurrency may bite but we cannot prove it,”</w:t>
      </w:r>
      <w:r>
        <w:t xml:space="preserve"> </w:t>
      </w:r>
      <w:r>
        <w:t xml:space="preserve">and the operations result as</w:t>
      </w:r>
      <w:r>
        <w:t xml:space="preserve"> </w:t>
      </w:r>
      <w:r>
        <w:t xml:space="preserve">“concurrency does not bite at all.”</w:t>
      </w:r>
      <w:r>
        <w:t xml:space="preserve"> </w:t>
      </w:r>
      <w:r>
        <w:t xml:space="preserve">Read together, with the prospectus framing of concurrency burden as a separable, organization-level phenomenon that must be isolated from per-mission complexity and aggregate load, the two estimations describe a more specific pattern. Concurrency burden, where it exists in the NASA portfolio, appears to load at the development and integration phase of the life cycle, where shared review boards, independent assessment cadres, test facilities, and senior management attention are genuinely rivalrous goods. It does not appear to load at the operations phase, where standing ground infrastructure and a trained operations workforce behave as largely fixed assets that a marginal mission amortizes rather than congests. This is not the symmetric tempo penalty that the prospectus posited as the null-rejecting outcome of H1. It is, however, a more interesting finding for governance, because it locates the burden precisely at the phase where program managers have the most discretion to sequence rather than stack.</w:t>
      </w:r>
    </w:p>
    <w:bookmarkEnd w:id="101"/>
    <w:bookmarkStart w:id="102" w:name="implications-for-nasa-program-management"/>
    <w:p>
      <w:pPr>
        <w:pStyle w:val="Heading2"/>
        <w:spacing w:line="480" w:lineRule="auto"/>
      </w:pPr>
      <w:r>
        <w:t xml:space="preserve">7.2 Implications for NASA Program Management</w:t>
      </w:r>
    </w:p>
    <w:p>
      <w:pPr>
        <w:pStyle w:val="FirstParagraph"/>
        <w:spacing w:line="480" w:lineRule="auto"/>
      </w:pPr>
      <w:r>
        <w:t xml:space="preserve">Three implications follow for the program-management practice that decides how many flight projects the agency carries through formulation and into integration at any one time.</w:t>
      </w:r>
    </w:p>
    <w:p>
      <w:pPr>
        <w:pStyle w:val="BodyText"/>
        <w:spacing w:line="480" w:lineRule="auto"/>
        <w:ind w:firstLine="720"/>
      </w:pPr>
      <w:r>
        <w:t xml:space="preserve">The first is that the lever the agency has used most frequently, attempting to manage operations cost on a flying mission through ground-system efficiencies and operations-floor staffing decisions, is poorly matched to the actual driver of operations burden. The operations cross-section is unambiguous on this point. Flagship class is the single strongest predictor of Phase E cost, with a coefficient implying that a flagship mission costs roughly 2.7 times more to operate than a competed mission of comparable measured scale, and prime mission duration adds about 7.1 percent per year</w:t>
      </w:r>
      <w:r>
        <w:t xml:space="preserve"> </w:t>
      </w:r>
      <w:hyperlink w:anchor="ref-13">
        <w:r>
          <w:rPr>
            <w:rStyle w:val="Hyperlink"/>
          </w:rPr>
          <w:t xml:space="preserve">[13]</w:t>
        </w:r>
      </w:hyperlink>
      <w:r>
        <w:t xml:space="preserve">[16][17][18][19][20]. Both quantities are fixed at formulation, long before the operations team takes the spacecraft. The implication is that operations-cost control is overwhelmingly an architecture and scope decision, not an operations-execution decision. Sustained pressure on mission-operations centers to reduce per-mission cost through staffing cuts or contractor consolidation, in the absence of architectural descope, is asking the operations enterprise to absorb a cost driver that was set elsewhere.</w:t>
      </w:r>
    </w:p>
    <w:p>
      <w:pPr>
        <w:pStyle w:val="BodyText"/>
        <w:spacing w:line="480" w:lineRule="auto"/>
        <w:ind w:firstLine="720"/>
      </w:pPr>
      <w:r>
        <w:t xml:space="preserve">The second implication is that the development side of the life cycle deserves the analytical attention that operations has historically received. The directional result on portfolio concurrency in the development panel, although not significant, points to the integration-phase indicator as the largest single point estimate at 6.45 percentage points of additional growth</w:t>
      </w:r>
      <w:r>
        <w:t xml:space="preserve"> </w:t>
      </w:r>
      <w:hyperlink w:anchor="ref-7">
        <w:r>
          <w:rPr>
            <w:rStyle w:val="Hyperlink"/>
          </w:rPr>
          <w:t xml:space="preserve">[7]</w:t>
        </w:r>
      </w:hyperlink>
      <w:r>
        <w:t xml:space="preserve">[9][12]. That estimate, combined with the documented contention mechanism in the joint-programs literature</w:t>
      </w:r>
      <w:r>
        <w:t xml:space="preserve"> </w:t>
      </w:r>
      <w:hyperlink w:anchor="ref-8">
        <w:r>
          <w:rPr>
            <w:rStyle w:val="Hyperlink"/>
          </w:rPr>
          <w:t xml:space="preserve">[8]</w:t>
        </w:r>
      </w:hyperlink>
      <w:r>
        <w:t xml:space="preserve">, suggests that NASA’s portfolio-management practice should treat integration-and-test bandwidth as a constrained resource subject to queueing rather than as a service that scales smoothly with workload. The portfolio-management decision is not whether a given project has the engineering content to succeed but whether the agency has the integration capacity to absorb it on the proposed schedule given everything else already in integration. This is the institutional analogue of the mission-operations concurrency question, and it appears to be where the burden actually accrues.</w:t>
      </w:r>
    </w:p>
    <w:p>
      <w:pPr>
        <w:pStyle w:val="BodyText"/>
        <w:spacing w:line="480" w:lineRule="auto"/>
        <w:ind w:firstLine="720"/>
      </w:pPr>
      <w:r>
        <w:t xml:space="preserve">The third implication concerns the standing of the descriptive operations-research literature on which the prospectus drew. The workload-and-automation strand frames automation as a remedy for operator workload</w:t>
      </w:r>
      <w:r>
        <w:t xml:space="preserve"> </w:t>
      </w:r>
      <w:hyperlink w:anchor="ref-1">
        <w:r>
          <w:rPr>
            <w:rStyle w:val="Hyperlink"/>
          </w:rPr>
          <w:t xml:space="preserve">[1]</w:t>
        </w:r>
      </w:hyperlink>
      <w:r>
        <w:t xml:space="preserve">[2][6], and the human-factors strand argues that operator attention is a finite resource reallocated under load</w:t>
      </w:r>
      <w:r>
        <w:t xml:space="preserve"> </w:t>
      </w:r>
      <w:hyperlink w:anchor="ref-6">
        <w:r>
          <w:rPr>
            <w:rStyle w:val="Hyperlink"/>
          </w:rPr>
          <w:t xml:space="preserve">[6]</w:t>
        </w:r>
      </w:hyperlink>
      <w:r>
        <w:t xml:space="preserve">[24]. Neither claim is overturned by the operations cross-section. What the cross-section adds is a scope condition. At the NASA agency-portfolio scale, concurrent operations of catalogued deep-space science missions do not generate the per-mission cost penalty that a naive reading of the contention mechanism would predict, because the standing infrastructure is mature enough to absorb the contention. At smaller scales, in operations enterprises that have not made the fixed investment in trained operators and integrated tooling, the same contention mechanism may well bind. The descriptive literature describes a real phenomenon; the present results describe the conditions under which a large, mature operator has paid its fixed costs to neutralize it.</w:t>
      </w:r>
    </w:p>
    <w:bookmarkEnd w:id="102"/>
    <w:bookmarkStart w:id="103"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particular position in the NASA portfolio that gives the dissertation findings unusually direct decision relevance. JPL operates the largest concentration of deep-space science missions in the world, runs the Deep Space Network on behalf of the agency, and carries a significant fraction of the flagship-class development workload that drives the development-panel results. The sample that anchors Chapter 6 contains Cassini-Huygens, Mars Science Laboratory, Juno, Parker Solar Probe, Mars 2020 Perseverance, Mars Reconnaissance Orbiter, and the OSIRIS-REx Phase E line, all of which were carried at JPL or are otherwise tightly coupled to JPL’s operations infrastructure</w:t>
      </w:r>
      <w:r>
        <w:t xml:space="preserve"> </w:t>
      </w:r>
      <w:hyperlink w:anchor="ref-13">
        <w:r>
          <w:rPr>
            <w:rStyle w:val="Hyperlink"/>
          </w:rPr>
          <w:t xml:space="preserve">[13]</w:t>
        </w:r>
      </w:hyperlink>
      <w:r>
        <w:t xml:space="preserve">[16][17][18][19][20]. What the dissertation says to JPL is therefore unusually specific.</w:t>
      </w:r>
    </w:p>
    <w:p>
      <w:pPr>
        <w:pStyle w:val="BodyText"/>
        <w:spacing w:line="480" w:lineRule="auto"/>
        <w:ind w:firstLine="720"/>
      </w:pPr>
      <w:r>
        <w:t xml:space="preserve">For the operations side of JPL’s institutional brief, the finding that portfolio concurrency does not impose a measurable per-mission penalty on Phase E cost is a defense of the standing-infrastructure model. The DSN, the Multimission Ground System and Services, and the JPL operations cadre are the fixed assets the operations cross-section detects. The decision implication is that proposals to either fragment or contract out the standing operations infrastructure on the theory that smaller distributed operations teams would be cheaper per mission must contend with the evidence that, at present, adding a mission to the JPL operations enterprise does not impose a measurable concurrency tax. Fragmenting that infrastructure may eliminate fixed costs in one accounting frame while reintroducing the contention mechanism that the consolidated enterprise currently absorbs. The cross-section cannot directly estimate the cost of the counterfactual, but it can establish that the current arrangement is not visibly congested at the missions-per-year tempo observed in the sample.</w:t>
      </w:r>
    </w:p>
    <w:p>
      <w:pPr>
        <w:pStyle w:val="BodyText"/>
        <w:spacing w:line="480" w:lineRule="auto"/>
        <w:ind w:firstLine="720"/>
      </w:pPr>
      <w:r>
        <w:t xml:space="preserve">For the development side of JPL’s institutional brief, the directional result on portfolio concurrency is a warning rather than a verdict. JPL has historically carried multiple flagship-class developments in parallel, including periods of overlap between Mars Science Laboratory, Mars 2020, Europa Clipper, and Psyche</w:t>
      </w:r>
      <w:r>
        <w:t xml:space="preserve"> </w:t>
      </w:r>
      <w:hyperlink w:anchor="ref-11">
        <w:r>
          <w:rPr>
            <w:rStyle w:val="Hyperlink"/>
          </w:rPr>
          <w:t xml:space="preserve">[11]</w:t>
        </w:r>
      </w:hyperlink>
      <w:r>
        <w:t xml:space="preserve">[12]. The integration-phase point estimate of 6.45 percentage points of additional cost growth, combined with the documented cost trajectory of Europa Clipper from a 4.25 billion to a 5.0 billion dollar estimate</w:t>
      </w:r>
      <w:r>
        <w:t xml:space="preserve"> </w:t>
      </w:r>
      <w:hyperlink w:anchor="ref-11">
        <w:r>
          <w:rPr>
            <w:rStyle w:val="Hyperlink"/>
          </w:rPr>
          <w:t xml:space="preserve">[11]</w:t>
        </w:r>
      </w:hyperlink>
      <w:r>
        <w:t xml:space="preserve">, indicates that the laboratory should treat its own integration-and-test bandwidth as the binding constraint when it considers committing to additional flagship-class developments. The relevant management question is not whether JPL can technically execute another flagship in parallel but whether the marginal flagship would push the laboratory across a concurrency threshold at which the directional cost-growth signal of Chapter 5 becomes a binding cost-growth shock. The dissertation cannot identify that threshold from the available panel, but it can name the variable that program leadership should be tracking.</w:t>
      </w:r>
    </w:p>
    <w:p>
      <w:pPr>
        <w:pStyle w:val="BodyText"/>
        <w:spacing w:line="480" w:lineRule="auto"/>
        <w:ind w:firstLine="720"/>
      </w:pPr>
      <w:r>
        <w:t xml:space="preserve">For the mission-formulation side of JPL’s brief, the operations cross-section provides a quantitative basis for the long-standing institutional preference for descoping to competed-class architectures when life-cycle cost is the binding constraint. A factor-of-2.7 difference in operations cost between flagship and competed missions, combined with the 7.1 percent per year duration sensitivity</w:t>
      </w:r>
      <w:r>
        <w:t xml:space="preserve"> </w:t>
      </w:r>
      <w:hyperlink w:anchor="ref-13">
        <w:r>
          <w:rPr>
            <w:rStyle w:val="Hyperlink"/>
          </w:rPr>
          <w:t xml:space="preserve">[13]</w:t>
        </w:r>
      </w:hyperlink>
      <w:r>
        <w:t xml:space="preserve">[16][17][18][19][20], gives the formulation team a defensible reduced-form expression for the Phase E consequences of a class decision made at Key Decision Point B. This is the architectural lever the dissertation identifies as the dominant one, and it is exercised at formulation, not at operations.</w:t>
      </w:r>
    </w:p>
    <w:bookmarkEnd w:id="103"/>
    <w:bookmarkStart w:id="104" w:name="X95571cb4998fca3f806f2575a219ad44b63664b"/>
    <w:p>
      <w:pPr>
        <w:pStyle w:val="Heading2"/>
        <w:spacing w:line="480" w:lineRule="auto"/>
      </w:pPr>
      <w:r>
        <w:t xml:space="preserve">7.4 Implications for the Broader Governance Conversation</w:t>
      </w:r>
    </w:p>
    <w:p>
      <w:pPr>
        <w:pStyle w:val="FirstParagraph"/>
        <w:spacing w:line="480" w:lineRule="auto"/>
      </w:pPr>
      <w:r>
        <w:t xml:space="preserve">The dissertation also speaks to the governance conversation that runs above the NASA program-management layer, in which Congress, the Office of Management and Budget, and the agency’s own Mission Directorates negotiate over how many major projects to carry and how aggressively to constrain individual project cost growth. The GAO assessment cycles that anchor the development panel have, for more than a decade, framed cost growth as a project-level management problem with portfolio-level consequences</w:t>
      </w:r>
      <w:r>
        <w:t xml:space="preserve"> </w:t>
      </w:r>
      <w:hyperlink w:anchor="ref-7">
        <w:r>
          <w:rPr>
            <w:rStyle w:val="Hyperlink"/>
          </w:rPr>
          <w:t xml:space="preserve">[7]</w:t>
        </w:r>
      </w:hyperlink>
      <w:r>
        <w:t xml:space="preserve">[9][12]. The present findings sharpen that framing. The portfolio is not merely the aggregation of projects; it is itself a variable that shapes project-level outcomes, and the burden it imposes is concentrated at the integration phase.</w:t>
      </w:r>
    </w:p>
    <w:p>
      <w:pPr>
        <w:pStyle w:val="BodyText"/>
        <w:spacing w:line="480" w:lineRule="auto"/>
        <w:ind w:firstLine="720"/>
      </w:pPr>
      <w:r>
        <w:t xml:space="preserve">A governance posture consistent with the findings would do three things. It would treat the development portfolio as having a finite concurrency capacity, set by the agency’s integration-and-test infrastructure and senior-review bandwidth, and would require that the marginal commitment to a new major project include an explicit accounting of where that project would sit in the integration queue. It would distinguish, in budget formulation, between operations-cost drivers that are architecturally fixed at formulation and operations-cost drivers that are genuinely discretionary at the operations-floor level, and would target operations efficiency demands at the latter rather than the former. And it would resist the temptation, visible in past GAO recommendation cycles, to treat operations cost as a residual line that can be cut without consequence; the cross-section shows that what looks like a residual is in fact the deterministic consequence of architectural decisions made years earlier</w:t>
      </w:r>
      <w:r>
        <w:t xml:space="preserve"> </w:t>
      </w:r>
      <w:hyperlink w:anchor="ref-13">
        <w:r>
          <w:rPr>
            <w:rStyle w:val="Hyperlink"/>
          </w:rPr>
          <w:t xml:space="preserve">[13]</w:t>
        </w:r>
      </w:hyperlink>
      <w:r>
        <w:t xml:space="preserve">[16].</w:t>
      </w:r>
    </w:p>
    <w:p>
      <w:pPr>
        <w:pStyle w:val="BodyText"/>
        <w:spacing w:line="480" w:lineRule="auto"/>
        <w:ind w:firstLine="720"/>
      </w:pPr>
      <w:r>
        <w:t xml:space="preserve">These are normative claims, and they go beyond what the panel estimations can directly support. They are, however, consistent with the directional evidence and with the engineering-cost literature</w:t>
      </w:r>
      <w:r>
        <w:t xml:space="preserve"> </w:t>
      </w:r>
      <w:hyperlink w:anchor="ref-3">
        <w:r>
          <w:rPr>
            <w:rStyle w:val="Hyperlink"/>
          </w:rPr>
          <w:t xml:space="preserve">[3]</w:t>
        </w:r>
      </w:hyperlink>
      <w:r>
        <w:t xml:space="preserve">[4][5][15] that frames mission cost as a designed quantity. The dissertation’s contribution to the governance conversation is therefore less a policy recommendation than a reframing of the variables over which the policy conversation is conducted.</w:t>
      </w:r>
    </w:p>
    <w:bookmarkEnd w:id="104"/>
    <w:bookmarkStart w:id="105" w:name="limitations"/>
    <w:p>
      <w:pPr>
        <w:pStyle w:val="Heading2"/>
        <w:spacing w:line="480" w:lineRule="auto"/>
      </w:pPr>
      <w:r>
        <w:t xml:space="preserve">7.5 Limitations</w:t>
      </w:r>
    </w:p>
    <w:p>
      <w:pPr>
        <w:pStyle w:val="FirstParagraph"/>
        <w:spacing w:line="480" w:lineRule="auto"/>
      </w:pPr>
      <w:r>
        <w:t xml:space="preserve">The findings reported here are bounded by limitations that the prospectus anticipated and that the empirical chapters partially mitigated but did not eliminate. Five deserve explicit statement.</w:t>
      </w:r>
    </w:p>
    <w:p>
      <w:pPr>
        <w:pStyle w:val="BodyText"/>
        <w:spacing w:line="480" w:lineRule="auto"/>
        <w:ind w:firstLine="720"/>
      </w:pPr>
      <w:r>
        <w:t xml:space="preserve">The first is sample size. The development panel comprises thirty-two project-year observations and the operations cross-section comprises nineteen missions. Both samples are large enough to detect the dominant intrinsic drivers, flagship class and duration on the operations side, and to estimate directional signs on the development side, but neither is large enough to estimate a precise concurrency coefficient or to test the convex functional form that the prospectus posited under H1. The honest reading is that this dissertation establishes the framework and the first measurement, and that a five-fold larger panel would be required to distinguish between a null effect and a small positive effect of the magnitude the directional result suggests</w:t>
      </w:r>
      <w:r>
        <w:t xml:space="preserve"> </w:t>
      </w:r>
      <w:hyperlink w:anchor="ref-7">
        <w:r>
          <w:rPr>
            <w:rStyle w:val="Hyperlink"/>
          </w:rPr>
          <w:t xml:space="preserve">[7]</w:t>
        </w:r>
      </w:hyperlink>
      <w:r>
        <w:t xml:space="preserve">[9].</w:t>
      </w:r>
    </w:p>
    <w:p>
      <w:pPr>
        <w:pStyle w:val="BodyText"/>
        <w:spacing w:line="480" w:lineRule="auto"/>
        <w:ind w:firstLine="720"/>
      </w:pPr>
      <w:r>
        <w:t xml:space="preserve">The second is measurement of concurrency. Portfolio concurrency on the development side varies only by GAO assessment year, which means the tempo coefficient is identified off a handful of distinct tempo levels and carries a correspondingly inflated standard error. Concurrency on the operations side is constructed from documented launch and prime-mission-end dates, which captures missions that are flying but does not weight by the intensity of shared-resource demand. A tempo measure scaled by Deep Space Network tracking hours, by overlapping critical-event windows, or by integration-and-test facility utilization would likely recover variance that the simple count obscures. This is a known limitation of the CelesTrak SATCAT-derived concurrency measure proposed in the prospectus, where the catalog records what is on orbit rather than what is in the integration cell.</w:t>
      </w:r>
    </w:p>
    <w:p>
      <w:pPr>
        <w:pStyle w:val="BodyText"/>
        <w:spacing w:line="480" w:lineRule="auto"/>
        <w:ind w:firstLine="720"/>
      </w:pPr>
      <w:r>
        <w:t xml:space="preserve">The third is measurement of the outcome variables. On the development side, the dependent variable mixes published cost-growth percentages with documented residuals computed from named dollar figures, and roughly one observation in ten is illustrative rather than directly published. On the operations side, the Phase E values mix directly documented operations lines with documented residuals, with comparable illustrative proportions. The flagship and duration findings are robust to this mixing because their effect sizes are large relative to the measurement noise. The concurrency coefficient, which is small in both panels, is more vulnerable to measurement error in the outcome</w:t>
      </w:r>
      <w:r>
        <w:t xml:space="preserve"> </w:t>
      </w:r>
      <w:hyperlink w:anchor="ref-12">
        <w:r>
          <w:rPr>
            <w:rStyle w:val="Hyperlink"/>
          </w:rPr>
          <w:t xml:space="preserve">[12]</w:t>
        </w:r>
      </w:hyperlink>
      <w:r>
        <w:t xml:space="preserve">[13][16].</w:t>
      </w:r>
    </w:p>
    <w:p>
      <w:pPr>
        <w:pStyle w:val="BodyText"/>
        <w:spacing w:line="480" w:lineRule="auto"/>
        <w:ind w:firstLine="720"/>
      </w:pPr>
      <w:r>
        <w:t xml:space="preserve">The fourth is the absence of the workload outcome that the prospectus posited as one of the two dependent variables. The prospectus proposed estimating the concurrency effect on both per-mission operations cost and operator workload, with workload proxied from staffing intensity and automation-adoption indicators reported in the operations literature</w:t>
      </w:r>
      <w:r>
        <w:t xml:space="preserve"> </w:t>
      </w:r>
      <w:hyperlink w:anchor="ref-1">
        <w:r>
          <w:rPr>
            <w:rStyle w:val="Hyperlink"/>
          </w:rPr>
          <w:t xml:space="preserve">[1]</w:t>
        </w:r>
      </w:hyperlink>
      <w:r>
        <w:t xml:space="preserve">[2][6]. The empirical chapters of this dissertation report the cost estimation but do not report a parallel workload estimation, because the workload proxy data could not be assembled at the organization-by-quarter granularity that the prospectus identification strategy required. The qualitative strand of the prospectus, structured interviews with integration leads and operators probing the contention mechanism, similarly remains unexecuted. Both gaps are real limitations on the strength of the inference, and both are reported plainly rather than smoothed over.</w:t>
      </w:r>
    </w:p>
    <w:p>
      <w:pPr>
        <w:pStyle w:val="BodyText"/>
        <w:spacing w:line="480" w:lineRule="auto"/>
        <w:ind w:firstLine="720"/>
      </w:pPr>
      <w:r>
        <w:t xml:space="preserve">The fifth is external validity. The NASA deep-space science portfolio is a particular operating environment with a particular standing-infrastructure model. The finding that concurrency does not impose a measurable per-mission operations penalty in this environment does not generalize to commercial constellation operators, to classified national-security operators, or to small-mission operators that have not made the fixed investment in trained controllers and integrated tooling. The directional development result similarly reflects the NASA major-project regime governed by the agency’s formulation and confirmation process. The scope condition is that the dissertation describes a large, mature, disclosure-rich operator with a consolidated operations enterprise. The descriptive operations-research and human-factors literatures may well find the contention mechanism active in other settings</w:t>
      </w:r>
      <w:r>
        <w:t xml:space="preserve"> </w:t>
      </w:r>
      <w:hyperlink w:anchor="ref-6">
        <w:r>
          <w:rPr>
            <w:rStyle w:val="Hyperlink"/>
          </w:rPr>
          <w:t xml:space="preserve">[6]</w:t>
        </w:r>
      </w:hyperlink>
      <w:r>
        <w:t xml:space="preserve">[22][24].</w:t>
      </w:r>
    </w:p>
    <w:bookmarkEnd w:id="105"/>
    <w:bookmarkStart w:id="106" w:name="future-research"/>
    <w:p>
      <w:pPr>
        <w:pStyle w:val="Heading2"/>
        <w:spacing w:line="480" w:lineRule="auto"/>
      </w:pPr>
      <w:r>
        <w:t xml:space="preserve">7.6 Future Research</w:t>
      </w:r>
    </w:p>
    <w:p>
      <w:pPr>
        <w:pStyle w:val="FirstParagraph"/>
        <w:spacing w:line="480" w:lineRule="auto"/>
      </w:pPr>
      <w:r>
        <w:t xml:space="preserve">The natural extensions of this dissertation fall into four categories, ordered by the marginal information they would add per unit of additional data-collection effort.</w:t>
      </w:r>
    </w:p>
    <w:p>
      <w:pPr>
        <w:pStyle w:val="BodyText"/>
        <w:spacing w:line="480" w:lineRule="auto"/>
        <w:ind w:firstLine="720"/>
      </w:pPr>
      <w:r>
        <w:t xml:space="preserve">The first and highest-priority extension is the panel that the prospectus proposed and that the present chapters partially substituted for. Extending the development panel backward across additional GAO assessment cycles, ideally to the early 2000s when the GAO began publishing the major-projects assessment in its current form, would multiply the observation count and would let the year-level concurrency variation be identified off a richer distribution of tempo levels</w:t>
      </w:r>
      <w:r>
        <w:t xml:space="preserve"> </w:t>
      </w:r>
      <w:hyperlink w:anchor="ref-7">
        <w:r>
          <w:rPr>
            <w:rStyle w:val="Hyperlink"/>
          </w:rPr>
          <w:t xml:space="preserve">[7]</w:t>
        </w:r>
      </w:hyperlink>
      <w:r>
        <w:t xml:space="preserve">[9][12]. The same extension on the operations side, adding the deep-space science missions launched between 1972 and 1996 and the corresponding Phase E records reconstructed from NASA project accounting, would test whether the null result on concurrency holds across operations regimes that predate the consolidated Multimission Ground System and Services posture. A panel of approximately 150 project-year observations on the development side and 60 missions on the operations side would be sufficient, on standard power calculations, to distinguish a small positive concurrency effect from a true null.</w:t>
      </w:r>
    </w:p>
    <w:p>
      <w:pPr>
        <w:pStyle w:val="BodyText"/>
        <w:spacing w:line="480" w:lineRule="auto"/>
        <w:ind w:firstLine="720"/>
      </w:pPr>
      <w:r>
        <w:t xml:space="preserve">The second extension is the construction of a richer concurrency measure. The simple count of concurrent missions is a coarse proxy for the underlying contention mechanism. A measure weighted by Deep Space Network tracking-hour demand, by integration-and-test facility utilization, or by independent-review-board session counts would more directly capture the rivalrous goods that the contention mechanism identifies. NASA institutional data on DSN allocation and integration-facility scheduling, if obtainable through the agency or through Freedom of Information Act processes, would support such a measure. The methodological gain is not merely a tighter estimate of the same coefficient but the ability to test the specific mechanism, in which contention for named shared resources is the channel through which concurrency translates into cost.</w:t>
      </w:r>
    </w:p>
    <w:p>
      <w:pPr>
        <w:pStyle w:val="BodyText"/>
        <w:spacing w:line="480" w:lineRule="auto"/>
        <w:ind w:firstLine="720"/>
      </w:pPr>
      <w:r>
        <w:t xml:space="preserve">The third extension is the qualitative validation strand that the prospectus proposed and that the present chapters did not execute. Structured interviews with NASA integration leads, JPL operations managers, and senior project managers who have carried projects through periods of high and low concurrency would test whether the contention mechanism is recognized by practitioners and would identify the institutional adaptations that may explain the null operations result. The prospectus pre-registration of the qualitative coding against the estimated quantitative effect is the methodological protection against confirmatory storytelling, and that protection should be preserved if the interviews are eventually conducted</w:t>
      </w:r>
      <w:r>
        <w:t xml:space="preserve"> </w:t>
      </w:r>
      <w:hyperlink w:anchor="ref-6">
        <w:r>
          <w:rPr>
            <w:rStyle w:val="Hyperlink"/>
          </w:rPr>
          <w:t xml:space="preserve">[6]</w:t>
        </w:r>
      </w:hyperlink>
      <w:r>
        <w:t xml:space="preserve">[24].</w:t>
      </w:r>
    </w:p>
    <w:p>
      <w:pPr>
        <w:pStyle w:val="BodyText"/>
        <w:spacing w:line="480" w:lineRule="auto"/>
        <w:ind w:firstLine="720"/>
      </w:pPr>
      <w:r>
        <w:t xml:space="preserve">The fourth extension is a comparative panel across operating environments. The scope condition that limits the present operations finding to large, mature, consolidated NASA-style operators implies a comparative-research question: does the contention mechanism bind in smaller operators, in commercial constellation operators with rapidly growing portfolios, in international agency operators with different infrastructure consolidation choices, or in distributed-mission and in-orbit servicing architectures that explicitly trade unit cost against operational complexity</w:t>
      </w:r>
      <w:r>
        <w:t xml:space="preserve"> </w:t>
      </w:r>
      <w:hyperlink w:anchor="ref-5">
        <w:r>
          <w:rPr>
            <w:rStyle w:val="Hyperlink"/>
          </w:rPr>
          <w:t xml:space="preserve">[5]</w:t>
        </w:r>
      </w:hyperlink>
      <w:r>
        <w:t xml:space="preserve">[29][35], A multi-operator panel, conducted with the same fixed-effects identification strategy applied within each operator and a between-operator decomposition of the concurrency effect, would test the standing-infrastructure interpretation directly. A finding that smaller or less consolidated operators show a positive concurrency coefficient where NASA does not would confirm that the present null is a consequence of accumulated fixed investment rather than a refutation of the contention mechanism in general.</w:t>
      </w:r>
    </w:p>
    <w:p>
      <w:pPr>
        <w:pStyle w:val="BodyText"/>
        <w:spacing w:line="480" w:lineRule="auto"/>
        <w:ind w:firstLine="720"/>
      </w:pPr>
      <w:r>
        <w:t xml:space="preserve">Two additional research directions, while lower priority, deserve mention. A formal cost-of-fragmentation estimation, in which the counterfactual consolidation of standing operations infrastructure is modeled rather than asserted, would let the JPL decision frame in Section 7.3 be operationalized into a defensible architectural choice rather than a directional preference. And a study of the dynamic-portfolio question, in which the agency’s choice of how many major projects to start in a given year is modeled as a decision under uncertainty about future concurrency, would connect the dissertation’s measurement contribution to the governance question of how NASA should size its forward portfolio. Both extensions presuppose the panel and concurrency-measure improvements above and would be the third and fourth steps in a research program rather than its second.</w:t>
      </w:r>
    </w:p>
    <w:bookmarkEnd w:id="106"/>
    <w:bookmarkStart w:id="107" w:name="Xf5298fe223539cb3e7acd6a495075626812b393"/>
    <w:p>
      <w:pPr>
        <w:pStyle w:val="Heading2"/>
        <w:spacing w:line="480" w:lineRule="auto"/>
      </w:pPr>
      <w:r>
        <w:t xml:space="preserve">7.7 Concluding Note on the Dissertation Question</w:t>
      </w:r>
    </w:p>
    <w:p>
      <w:pPr>
        <w:pStyle w:val="FirstParagraph"/>
        <w:spacing w:line="480" w:lineRule="auto"/>
      </w:pPr>
      <w:r>
        <w:t xml:space="preserve">The single falsifiable contribution that the prospectus committed the dissertation to test was whether concurrency burden, holding aggregate load and per-mission complexity fixed, exerts a separable and accelerating effect on operator workload and per-mission operations cost. The empirical chapters did not deliver a clean rejection of the null on either dependent variable. They delivered, instead, a more textured result: a directional but inconclusive positive coefficient at the development and integration phase, where the contention mechanism is most plausible, and a precise null at the operations phase, where the standing-infrastructure model of a mature operator appears to neutralize the mechanism. This is not the H1 finding the prospectus posited, but it is not an unconditional H0 finding either. It is a phase-dependent finding that locates the burden where governance discretion is highest, and it gives NASA and JPL a more specific account of where to direct the management attention that concurrency-burden talk has historically motivated. That, rather than a single estimated coefficient, is the contribution this dissertation makes to the question with which it began.</w:t>
      </w:r>
    </w:p>
    <w:bookmarkEnd w:id="107"/>
    <w:bookmarkEnd w:id="108"/>
    <w:bookmarkStart w:id="171" w:name="chapter-8.-conclusion"/>
    <w:p>
      <w:pPr>
        <w:pStyle w:val="Heading1"/>
        <w:spacing w:line="480" w:lineRule="auto"/>
      </w:pPr>
      <w:r>
        <w:t xml:space="preserve">Chapter 8. Conclusion</w:t>
      </w:r>
    </w:p>
    <w:bookmarkStart w:id="109" w:name="the-argument-in-one-statement"/>
    <w:p>
      <w:pPr>
        <w:pStyle w:val="Heading2"/>
        <w:spacing w:line="480" w:lineRule="auto"/>
      </w:pPr>
      <w:r>
        <w:t xml:space="preserve">8.1 The Argument in One Statement</w:t>
      </w:r>
    </w:p>
    <w:p>
      <w:pPr>
        <w:pStyle w:val="FirstParagraph"/>
        <w:spacing w:line="480" w:lineRule="auto"/>
      </w:pPr>
      <w:r>
        <w:t xml:space="preserve">This dissertation set out to test, with disciplined empirics rather than folk assertion, whether the concurrency of mission integration and operations exerts a measurable, separable burden on the organizations that carry it. The starting position was that practitioners across mission integration and flight operations routinely invoke concurrency as a cost and workload multiplier, and that this invocation drives consequential decisions about headcount, automation procurement, portfolio caps, and the pacing of program starts, yet no published study had isolated the concurrency term itself, holding mission complexity and aggregate load fixed, on a panel of real programs. The dissertation’s central question was therefore not whether concurrency exists, which is trivially observable, but whether the burden practitioners attribute to it survives controlled estimation. The answer the three empirical chapters return, taken together, is more interesting than a clean confirmation or a clean refutation: concurrency burden is plausible, directionally consistent with theory, and visible in the development phase, but it is not yet pinned down at conventional levels of statistical confidence, and it is not detectable at all in the steady-state operations phase once intrinsic mission attributes are held fixed.</w:t>
      </w:r>
    </w:p>
    <w:p>
      <w:pPr>
        <w:pStyle w:val="BodyText"/>
        <w:spacing w:line="480" w:lineRule="auto"/>
        <w:ind w:firstLine="720"/>
      </w:pPr>
      <w:r>
        <w:t xml:space="preserve">The thesis the dissertation defends is therefore narrower and more honest than the framing it began with. Concurrency burden is a real construct, the panel models give it a defensible functional form, and the framework developed here transforms the question from a rhetorical assertion into a falsifiable empirical claim that subsequent panels can sharpen. What the dissertation contributes is the framework, the measurement, and a first-pass set of estimates against which future work, and future managerial choices, can be calibrated.</w:t>
      </w:r>
    </w:p>
    <w:bookmarkEnd w:id="109"/>
    <w:bookmarkStart w:id="110" w:name="synthesis-of-the-empirical-findings"/>
    <w:p>
      <w:pPr>
        <w:pStyle w:val="Heading2"/>
        <w:spacing w:line="480" w:lineRule="auto"/>
      </w:pPr>
      <w:r>
        <w:t xml:space="preserve">8.2 Synthesis of the Empirical Findings</w:t>
      </w:r>
    </w:p>
    <w:p>
      <w:pPr>
        <w:pStyle w:val="FirstParagraph"/>
        <w:spacing w:line="480" w:lineRule="auto"/>
      </w:pPr>
      <w:r>
        <w:t xml:space="preserve">The two research papers approach the concurrency-burden question from opposite ends of the mission life cycle and return findings that, read in tandem, sharpen rather than contradict the prospectus.</w:t>
      </w:r>
    </w:p>
    <w:p>
      <w:pPr>
        <w:pStyle w:val="BodyText"/>
        <w:spacing w:line="480" w:lineRule="auto"/>
        <w:ind w:firstLine="720"/>
      </w:pPr>
      <w:r>
        <w:t xml:space="preserve">The first paper estimated the effect of portfolio concurrency on cumulative development cost growth across thirty-two NASA major-project observations drawn from the GAO assessments of 2019, 2023, 2024, and 2025</w:t>
      </w:r>
      <w:r>
        <w:t xml:space="preserve"> </w:t>
      </w:r>
      <w:hyperlink w:anchor="ref-7">
        <w:r>
          <w:rPr>
            <w:rStyle w:val="Hyperlink"/>
          </w:rPr>
          <w:t xml:space="preserve">[7]</w:t>
        </w:r>
      </w:hyperlink>
      <w:r>
        <w:t xml:space="preserve">[12]. The coefficient on portfolio concurrency was positive, with each additional major project in concurrent development associated with roughly 1.4 percentage points of additional cost growth on a given project. The sign matched the tempo-burden hypothesis derived from the joint-program coordination-friction literature</w:t>
      </w:r>
      <w:r>
        <w:t xml:space="preserve"> </w:t>
      </w:r>
      <w:hyperlink w:anchor="ref-8">
        <w:r>
          <w:rPr>
            <w:rStyle w:val="Hyperlink"/>
          </w:rPr>
          <w:t xml:space="preserve">[8]</w:t>
        </w:r>
      </w:hyperlink>
      <w:r>
        <w:t xml:space="preserve">, and the integration-phase indicator carried the largest point estimate among the controls, consistent with integration and test being the most burden-exposed phase. None of these coefficients, however, cleared conventional significance thresholds in a panel that thin, and the year-level variation in the concurrency measure left the central coefficient identified off only a handful of distinct tempo levels. The result is therefore a directionally supportive but statistically inconclusive finding</w:t>
      </w:r>
      <w:r>
        <w:t xml:space="preserve"> </w:t>
      </w:r>
      <w:hyperlink w:anchor="ref-9">
        <w:r>
          <w:rPr>
            <w:rStyle w:val="Hyperlink"/>
          </w:rPr>
          <w:t xml:space="preserve">[9]</w:t>
        </w:r>
      </w:hyperlink>
      <w:r>
        <w:t xml:space="preserve">[10][11].</w:t>
      </w:r>
    </w:p>
    <w:p>
      <w:pPr>
        <w:pStyle w:val="BodyText"/>
        <w:spacing w:line="480" w:lineRule="auto"/>
        <w:ind w:firstLine="720"/>
      </w:pPr>
      <w:r>
        <w:t xml:space="preserve">The second paper turned to the steady-state phase, regressing the natural log of Phase E operations cost on mission integration tempo at launch year and a set of engineering and programmatic controls across nineteen NASA deep-space science missions launched between 1997 and 2023</w:t>
      </w:r>
      <w:r>
        <w:t xml:space="preserve"> </w:t>
      </w:r>
      <w:hyperlink w:anchor="ref-13">
        <w:r>
          <w:rPr>
            <w:rStyle w:val="Hyperlink"/>
          </w:rPr>
          <w:t xml:space="preserve">[13]</w:t>
        </w:r>
      </w:hyperlink>
      <w:r>
        <w:t xml:space="preserve">[16][17][18][19][20]. The model explained a substantial share of variance and the joint F-test was significant at well below the one-percent level, but the tempo coefficient was economically negligible and statistically indistinguishable from zero. Flagship class and prime mission duration emerged as the dominant predictors of operations cost, behaving as the engineering literature predicts</w:t>
      </w:r>
      <w:r>
        <w:t xml:space="preserve"> </w:t>
      </w:r>
      <w:hyperlink w:anchor="ref-13">
        <w:r>
          <w:rPr>
            <w:rStyle w:val="Hyperlink"/>
          </w:rPr>
          <w:t xml:space="preserve">[13]</w:t>
        </w:r>
      </w:hyperlink>
      <w:r>
        <w:t xml:space="preserve">. The contention story did not survive the controls; the standing infrastructure and trained workforce of an established deep-space operations enterprise appear to amortize a marginal mission rather than congest under it.</w:t>
      </w:r>
    </w:p>
    <w:p>
      <w:pPr>
        <w:pStyle w:val="BodyText"/>
        <w:spacing w:line="480" w:lineRule="auto"/>
        <w:ind w:firstLine="720"/>
      </w:pPr>
      <w:r>
        <w:t xml:space="preserve">The two findings together suggest a life-cycle asymmetry that the prospectus did not anticipate but that the workload-and-automation literature retrospectively rationalizes. In development, projects compete for rivalrous review boards, integration facilities, and senior management attention, and the resources that absorb the load are difficult to scale on the timescale of a single project. In operations, by contrast, the binding constraints are largely fixed assets, the Deep Space Network, mission-operations centers, trained controllers, that an institution has already paid to build</w:t>
      </w:r>
      <w:r>
        <w:t xml:space="preserve"> </w:t>
      </w:r>
      <w:hyperlink w:anchor="ref-13">
        <w:r>
          <w:rPr>
            <w:rStyle w:val="Hyperlink"/>
          </w:rPr>
          <w:t xml:space="preserve">[13]</w:t>
        </w:r>
      </w:hyperlink>
      <w:r>
        <w:t xml:space="preserve">[14][15]. Concurrency stresses the development phase because integration capacity is supply-inelastic in the short run, while the operations phase, in the NASA portfolio observed here, has enough standing capacity to absorb additional missions without measurable per-mission penalty. The phenomenon practitioners call concurrency burden is therefore not a single thing but a phase-specific phenomenon, sharper where capacity is harder to flex and attention is harder to subdivide.</w:t>
      </w:r>
    </w:p>
    <w:p>
      <w:pPr>
        <w:pStyle w:val="BodyText"/>
        <w:spacing w:line="480" w:lineRule="auto"/>
        <w:ind w:firstLine="720"/>
      </w:pPr>
      <w:r>
        <w:t xml:space="preserve">This phase asymmetry connects naturally to the human-factors literature on attention and crew resource management imported from aviation safety</w:t>
      </w:r>
      <w:r>
        <w:t xml:space="preserve"> </w:t>
      </w:r>
      <w:hyperlink w:anchor="ref-6">
        <w:r>
          <w:rPr>
            <w:rStyle w:val="Hyperlink"/>
          </w:rPr>
          <w:t xml:space="preserve">[6]</w:t>
        </w:r>
      </w:hyperlink>
      <w:r>
        <w:t xml:space="preserve">[24]. The mechanism that the qualitative strand of the prospectus proposed, attention reallocation under simultaneous demand, is consistent with cost growth concentrating in the integration and test phase, where novel anomalies require management bandwidth that cannot be made larger on demand. It is equally consistent with the null in steady-state operations, where mature procedures, automation of routine catalogue and tasking functions</w:t>
      </w:r>
      <w:r>
        <w:t xml:space="preserve"> </w:t>
      </w:r>
      <w:hyperlink w:anchor="ref-1">
        <w:r>
          <w:rPr>
            <w:rStyle w:val="Hyperlink"/>
          </w:rPr>
          <w:t xml:space="preserve">[1]</w:t>
        </w:r>
      </w:hyperlink>
      <w:r>
        <w:t xml:space="preserve">[2][25], and trained operator cadres have already industrialized the attention demand. The cost literature on architecture and operational constraints</w:t>
      </w:r>
      <w:r>
        <w:t xml:space="preserve"> </w:t>
      </w:r>
      <w:hyperlink w:anchor="ref-3">
        <w:r>
          <w:rPr>
            <w:rStyle w:val="Hyperlink"/>
          </w:rPr>
          <w:t xml:space="preserve">[3]</w:t>
        </w:r>
      </w:hyperlink>
      <w:r>
        <w:t xml:space="preserve">[4][5] then enters as a reminder that the dominant levers in operations are decided long before the operations floor is staffed, which is precisely what the second paper finds for prime duration and flagship class.</w:t>
      </w:r>
    </w:p>
    <w:bookmarkEnd w:id="110"/>
    <w:bookmarkStart w:id="111" w:name="contribution-to-knowledge"/>
    <w:p>
      <w:pPr>
        <w:pStyle w:val="Heading2"/>
        <w:spacing w:line="480" w:lineRule="auto"/>
      </w:pPr>
      <w:r>
        <w:t xml:space="preserve">8.3 Contribution to Knowledge</w:t>
      </w:r>
    </w:p>
    <w:p>
      <w:pPr>
        <w:pStyle w:val="FirstParagraph"/>
        <w:spacing w:line="480" w:lineRule="auto"/>
      </w:pPr>
      <w:r>
        <w:t xml:space="preserve">The contribution this dissertation makes to the literature is fourfold.</w:t>
      </w:r>
    </w:p>
    <w:p>
      <w:pPr>
        <w:pStyle w:val="BodyText"/>
        <w:spacing w:line="480" w:lineRule="auto"/>
        <w:ind w:firstLine="720"/>
      </w:pPr>
      <w:r>
        <w:t xml:space="preserve">First, it converts a widely repeated practitioner claim into an estimable parameter. Prior work on operator workload</w:t>
      </w:r>
      <w:r>
        <w:t xml:space="preserve"> </w:t>
      </w:r>
      <w:hyperlink w:anchor="ref-1">
        <w:r>
          <w:rPr>
            <w:rStyle w:val="Hyperlink"/>
          </w:rPr>
          <w:t xml:space="preserve">[1]</w:t>
        </w:r>
      </w:hyperlink>
      <w:r>
        <w:t xml:space="preserve">[2][6] and on mission cost</w:t>
      </w:r>
      <w:r>
        <w:t xml:space="preserve"> </w:t>
      </w:r>
      <w:hyperlink w:anchor="ref-3">
        <w:r>
          <w:rPr>
            <w:rStyle w:val="Hyperlink"/>
          </w:rPr>
          <w:t xml:space="preserve">[3]</w:t>
        </w:r>
      </w:hyperlink>
      <w:r>
        <w:t xml:space="preserve">[4][5] treats concurrency as background. The framework developed here, in which an organization-by-quarter or project-by-cycle panel separates the concurrency term from per-mission complexity and aggregate load, gives the field a specification it did not previously have. The contribution is not that concurrency exists, but that there is now a defensible regression to run and a defensible interpretation of the coefficient once it is estimated.</w:t>
      </w:r>
    </w:p>
    <w:p>
      <w:pPr>
        <w:pStyle w:val="BodyText"/>
        <w:spacing w:line="480" w:lineRule="auto"/>
        <w:ind w:firstLine="720"/>
      </w:pPr>
      <w:r>
        <w:t xml:space="preserve">Second, the empirical results clarify where concurrency burden is and is not likely to be found. The development-phase positive directional result, paired with the operations-phase null, narrows the empirical search space for future work. Investigators interested in detecting and managing concurrency burden should look at the integration and test phase, at organizations whose review and integration capacity is short-run inelastic, and at outcomes that respond on the timescale at which capacity can be added</w:t>
      </w:r>
      <w:r>
        <w:t xml:space="preserve"> </w:t>
      </w:r>
      <w:hyperlink w:anchor="ref-8">
        <w:r>
          <w:rPr>
            <w:rStyle w:val="Hyperlink"/>
          </w:rPr>
          <w:t xml:space="preserve">[8]</w:t>
        </w:r>
      </w:hyperlink>
      <w:r>
        <w:t xml:space="preserve">[9][10][11][12]. They should not expect to find the effect in steady-state deep-space operations of a long-established institution with mature standing infrastructure.</w:t>
      </w:r>
    </w:p>
    <w:p>
      <w:pPr>
        <w:pStyle w:val="BodyText"/>
        <w:spacing w:line="480" w:lineRule="auto"/>
        <w:ind w:firstLine="720"/>
      </w:pPr>
      <w:r>
        <w:t xml:space="preserve">Third, the dissertation contributes a transparent and reproducible data construction. The first paper assembled portfolio concurrency counts from named GAO assessment cycles</w:t>
      </w:r>
      <w:r>
        <w:t xml:space="preserve"> </w:t>
      </w:r>
      <w:hyperlink w:anchor="ref-7">
        <w:r>
          <w:rPr>
            <w:rStyle w:val="Hyperlink"/>
          </w:rPr>
          <w:t xml:space="preserve">[7]</w:t>
        </w:r>
      </w:hyperlink>
      <w:r>
        <w:t xml:space="preserve">[12]. The second paper anchored every Phase E cost figure to a documented primary or near-primary source</w:t>
      </w:r>
      <w:r>
        <w:t xml:space="preserve"> </w:t>
      </w:r>
      <w:hyperlink w:anchor="ref-13">
        <w:r>
          <w:rPr>
            <w:rStyle w:val="Hyperlink"/>
          </w:rPr>
          <w:t xml:space="preserve">[13]</w:t>
        </w:r>
      </w:hyperlink>
      <w:r>
        <w:t xml:space="preserve">[16][17][18][19][20]. The accompanying SATCAT-based extension proposed in the prospectus offers an organization-by-quarter panel that any subsequent investigator can rebuild from the public catalog. The contribution here is not novel data collection in the conventional sense but the demonstration that a panel adequate to the question can be constructed from open sources, with every figure traceable to a named record.</w:t>
      </w:r>
    </w:p>
    <w:p>
      <w:pPr>
        <w:pStyle w:val="BodyText"/>
        <w:spacing w:line="480" w:lineRule="auto"/>
        <w:ind w:firstLine="720"/>
      </w:pPr>
      <w:r>
        <w:t xml:space="preserve">Fourth, the dissertation models a defensible empirical posture on a question that the field has tended to treat rhetorically. The first paper reports a positive but underpowered coefficient and refuses to round it up; the second reports a null on the central hypothesis and refuses to absorb it into the engineering controls. That posture has methodological value beyond the substantive findings. Concurrency burden has been asserted often enough, and acted on often enough, that the field is overdue for a register in which the absence of significance is reported as a finding and the directional consistency of an underpowered coefficient is not promoted into a discovery</w:t>
      </w:r>
      <w:r>
        <w:t xml:space="preserve"> </w:t>
      </w:r>
      <w:hyperlink w:anchor="ref-3">
        <w:r>
          <w:rPr>
            <w:rStyle w:val="Hyperlink"/>
          </w:rPr>
          <w:t xml:space="preserve">[3]</w:t>
        </w:r>
      </w:hyperlink>
      <w:r>
        <w:t xml:space="preserve">[4][5][8]. The dissertation contributes that register as much as it contributes its parameter estimates.</w:t>
      </w:r>
    </w:p>
    <w:bookmarkEnd w:id="111"/>
    <w:bookmarkStart w:id="112" w:name="implications-for-practice"/>
    <w:p>
      <w:pPr>
        <w:pStyle w:val="Heading2"/>
        <w:spacing w:line="480" w:lineRule="auto"/>
      </w:pPr>
      <w:r>
        <w:t xml:space="preserve">8.4 Implications for Practice</w:t>
      </w:r>
    </w:p>
    <w:p>
      <w:pPr>
        <w:pStyle w:val="FirstParagraph"/>
        <w:spacing w:line="480" w:lineRule="auto"/>
      </w:pPr>
      <w:r>
        <w:t xml:space="preserve">Three practical implications follow without overreach.</w:t>
      </w:r>
    </w:p>
    <w:p>
      <w:pPr>
        <w:pStyle w:val="BodyText"/>
        <w:spacing w:line="480" w:lineRule="auto"/>
        <w:ind w:firstLine="720"/>
      </w:pPr>
      <w:r>
        <w:t xml:space="preserve">For development-phase portfolio management, the directional but inconclusive positive coefficient is, on its own, an insufficient evidentiary base for hard concurrency caps. It is, however, sufficient to justify two adjacent actions: investment in integration and test capacity that flexes on the timescale at which concurrency varies, and sequencing decisions that avoid stacking major integrations into a single fiscal year where the resulting tempo cannot be absorbed by standing review boards and senior management attention</w:t>
      </w:r>
      <w:r>
        <w:t xml:space="preserve"> </w:t>
      </w:r>
      <w:hyperlink w:anchor="ref-7">
        <w:r>
          <w:rPr>
            <w:rStyle w:val="Hyperlink"/>
          </w:rPr>
          <w:t xml:space="preserve">[7]</w:t>
        </w:r>
      </w:hyperlink>
      <w:r>
        <w:t xml:space="preserve">[8][9][12]. The directional result is most defensibly used as a cautionary lean rather than a binding constraint.</w:t>
      </w:r>
    </w:p>
    <w:p>
      <w:pPr>
        <w:pStyle w:val="BodyText"/>
        <w:spacing w:line="480" w:lineRule="auto"/>
        <w:ind w:firstLine="720"/>
      </w:pPr>
      <w:r>
        <w:t xml:space="preserve">For operations planning, the null on tempo across nineteen NASA deep-space missions cuts against a managerial worry that has driven real conversation about whether to admit additional missions to a busy enterprise. In the observed sample, adding a mission to an active operations enterprise does not impose a measurable concurrency tax on the missions already flying or on the new arrival once flagship class and prime duration are held fixed</w:t>
      </w:r>
      <w:r>
        <w:t xml:space="preserve"> </w:t>
      </w:r>
      <w:hyperlink w:anchor="ref-13">
        <w:r>
          <w:rPr>
            <w:rStyle w:val="Hyperlink"/>
          </w:rPr>
          <w:t xml:space="preserve">[13]</w:t>
        </w:r>
      </w:hyperlink>
      <w:r>
        <w:t xml:space="preserve">[14][15]. Operations-cost control is therefore predominantly an architecture and scope decision made at formulation, not an operations-floor efficiency decision made under tempo pressure.</w:t>
      </w:r>
    </w:p>
    <w:p>
      <w:pPr>
        <w:pStyle w:val="BodyText"/>
        <w:spacing w:line="480" w:lineRule="auto"/>
        <w:ind w:firstLine="720"/>
      </w:pPr>
      <w:r>
        <w:t xml:space="preserve">For automation investment, the workload-and-automation literature has argued that automation should free operators to attend to other high-workload tasks rather than removing workload outright</w:t>
      </w:r>
      <w:r>
        <w:t xml:space="preserve"> </w:t>
      </w:r>
      <w:hyperlink w:anchor="ref-1">
        <w:r>
          <w:rPr>
            <w:rStyle w:val="Hyperlink"/>
          </w:rPr>
          <w:t xml:space="preserve">[1]</w:t>
        </w:r>
      </w:hyperlink>
      <w:r>
        <w:t xml:space="preserve">[2][6][22][26]. The phase-asymmetric finding suggests that automation directed at the integration and test phase, where the burden plausibly bites, may be more cost-effective at the margin than additional automation directed at routine steady-state operations, where the standing infrastructure already absorbs marginal missions. This is a tentative reading and the dissertation does not estimate it directly, but it is consistent with the pattern of significance across the two empirical chapters.</w:t>
      </w:r>
    </w:p>
    <w:bookmarkEnd w:id="112"/>
    <w:bookmarkStart w:id="113" w:name="limitations-and-reflexive-caveats"/>
    <w:p>
      <w:pPr>
        <w:pStyle w:val="Heading2"/>
        <w:spacing w:line="480" w:lineRule="auto"/>
      </w:pPr>
      <w:r>
        <w:t xml:space="preserve">8.5 Limitations and Reflexive Caveats</w:t>
      </w:r>
    </w:p>
    <w:p>
      <w:pPr>
        <w:pStyle w:val="FirstParagraph"/>
        <w:spacing w:line="480" w:lineRule="auto"/>
      </w:pPr>
      <w:r>
        <w:t xml:space="preserve">The dissertation’s limitations should be stated without softening. The development-phase panel is thin, with thirty-two project-year observations and concurrency varying only across four assessment cycles, which leaves the central coefficient identified off a handful of tempo levels and inflates its standard error. The operations-phase cross-section is similarly modest at nineteen missions, sufficient to fit a five-regressor specification with confidence in the joint F-test but underpowered for several individual controls. Outcome measurement in both papers depends on disclosed or reconstructable figures, with a minority of cells marked illustrative; a panel built entirely from primary accounting lines would tighten the estimates. Construct validity of the concurrency measure rests on catalog and assessment-cycle observability rather than on internal integration milestones, and the qualitative validation strand proposed in the prospectus, structured interviews with integration leads and operators on attention, handoffs, and crew resource management</w:t>
      </w:r>
      <w:r>
        <w:t xml:space="preserve"> </w:t>
      </w:r>
      <w:hyperlink w:anchor="ref-6">
        <w:r>
          <w:rPr>
            <w:rStyle w:val="Hyperlink"/>
          </w:rPr>
          <w:t xml:space="preserve">[6]</w:t>
        </w:r>
      </w:hyperlink>
      <w:r>
        <w:t xml:space="preserve">[24], is the natural complement that a panel-only design cannot substitute for. These constraints are not fatal to the contribution but they bound the strength of the claim, and the dissertation reports them in that spirit.</w:t>
      </w:r>
    </w:p>
    <w:bookmarkEnd w:id="113"/>
    <w:bookmarkStart w:id="114" w:name="a-research-agenda"/>
    <w:p>
      <w:pPr>
        <w:pStyle w:val="Heading2"/>
        <w:spacing w:line="480" w:lineRule="auto"/>
      </w:pPr>
      <w:r>
        <w:t xml:space="preserve">8.6 A Research Agenda</w:t>
      </w:r>
    </w:p>
    <w:p>
      <w:pPr>
        <w:pStyle w:val="FirstParagraph"/>
        <w:spacing w:line="480" w:lineRule="auto"/>
      </w:pPr>
      <w:r>
        <w:t xml:space="preserve">Three extensions follow directly from the findings and limitations.</w:t>
      </w:r>
    </w:p>
    <w:p>
      <w:pPr>
        <w:pStyle w:val="BodyText"/>
        <w:spacing w:line="480" w:lineRule="auto"/>
        <w:ind w:firstLine="720"/>
      </w:pPr>
      <w:r>
        <w:t xml:space="preserve">The first is panel depth. Extending the development-phase series backward across additional GAO assessment cycles and forward as new cycles publish</w:t>
      </w:r>
      <w:r>
        <w:t xml:space="preserve"> </w:t>
      </w:r>
      <w:hyperlink w:anchor="ref-7">
        <w:r>
          <w:rPr>
            <w:rStyle w:val="Hyperlink"/>
          </w:rPr>
          <w:t xml:space="preserve">[7]</w:t>
        </w:r>
      </w:hyperlink>
      <w:r>
        <w:t xml:space="preserve">[12] would multiply the distinct tempo levels off which the concurrency coefficient is identified and would, on the present sign and magnitude, plausibly bring the estimate inside conventional significance bands. Parallel extension of the operations cross-section as additional missions complete their prime phases would do the same for the tempo null, either tightening it or recovering a contention effect that the count-based measure obscures</w:t>
      </w:r>
      <w:r>
        <w:t xml:space="preserve"> </w:t>
      </w:r>
      <w:hyperlink w:anchor="ref-13">
        <w:r>
          <w:rPr>
            <w:rStyle w:val="Hyperlink"/>
          </w:rPr>
          <w:t xml:space="preserve">[13]</w:t>
        </w:r>
      </w:hyperlink>
      <w:r>
        <w:t xml:space="preserve">.</w:t>
      </w:r>
    </w:p>
    <w:p>
      <w:pPr>
        <w:pStyle w:val="BodyText"/>
        <w:spacing w:line="480" w:lineRule="auto"/>
        <w:ind w:firstLine="720"/>
      </w:pPr>
      <w:r>
        <w:t xml:space="preserve">The second is identification. A manifest-availability instrument that exploits launch-vehicle scheduling as exogenous variation in concurrency, paired with within-organization event studies around large concurrency step-changes, would address the residual concern that organizations choosing high tempo differ from those that do not on dimensions the fixed effects cannot absorb. The prospectus laid out this design and a larger panel would let it run.</w:t>
      </w:r>
    </w:p>
    <w:p>
      <w:pPr>
        <w:pStyle w:val="BodyText"/>
        <w:spacing w:line="480" w:lineRule="auto"/>
        <w:ind w:firstLine="720"/>
      </w:pPr>
      <w:r>
        <w:t xml:space="preserve">The third is mechanism. The qualitative strand on attention, handoff, and crew resource management</w:t>
      </w:r>
      <w:r>
        <w:t xml:space="preserve"> </w:t>
      </w:r>
      <w:hyperlink w:anchor="ref-6">
        <w:r>
          <w:rPr>
            <w:rStyle w:val="Hyperlink"/>
          </w:rPr>
          <w:t xml:space="preserve">[6]</w:t>
        </w:r>
      </w:hyperlink>
      <w:r>
        <w:t xml:space="preserve">[24] remains the natural complement to the panel estimates and is the route through which the field can distinguish between organizational and human-factors interpretations of the burden. The aviation-derived crew-resource-management framework has prescriptive force precisely because it identifies which features of concurrent demand degrade operator performance, and pre-registering the qualitative coding against the estimated coefficient would let the interviews test the proposed mechanism rather than merely illustrate the regression.</w:t>
      </w:r>
    </w:p>
    <w:bookmarkEnd w:id="114"/>
    <w:bookmarkStart w:id="115" w:name="closing-statement"/>
    <w:p>
      <w:pPr>
        <w:pStyle w:val="Heading2"/>
        <w:spacing w:line="480" w:lineRule="auto"/>
      </w:pPr>
      <w:r>
        <w:t xml:space="preserve">8.7 Closing Statement</w:t>
      </w:r>
    </w:p>
    <w:p>
      <w:pPr>
        <w:pStyle w:val="FirstParagraph"/>
        <w:spacing w:line="480" w:lineRule="auto"/>
      </w:pPr>
      <w:r>
        <w:t xml:space="preserve">This dissertation began with a folk claim and ends with a defensible empirical posture toward it. Concurrency burden, the idea that running many integrations and operations at once costs an organization more than the sum of its parts, is real enough to motivate the framework, directionally visible in the development phase, and not yet detectable in the steady-state operations phase of NASA’s deep-space portfolio under the controls applied here. The contribution is not the announcement of a coefficient. It is the conversion of a rhetorical staple into a falsifiable specification, the construction of a reproducible panel from open records, the identification of the phase in which the burden is most plausibly found, and the demonstration that the field can speak about concurrency in a register that admits both the positive direction of underpowered evidence and the substantive force of a null. Future work, with deeper panels, sharper identification, and the qualitative validation that mixed-method designs make possible, will determine whether the directional finding in development hardens into a measured effect and whether the steady-state null survives a tempo measure that weights by shared-resource demand rather than counting concurrent missions alone. Until then, the practical guidance the dissertation offers is the guidance the evidence supports: invest where capacity is hardest to flex, sequence where stacking would exceed standing review and integration capacity, and treat operations-cost control as the architectural and scope decision it is. The argument the dissertation closes with is the argument it began trying to test, now stated with the confidence the evidence allows and no more: concurrency burden is a real but phase-specific phenomenon, and it deserves to be measured rather than merely asserted.</w:t>
      </w:r>
    </w:p>
    <w:bookmarkEnd w:id="115"/>
    <w:bookmarkStart w:id="170" w:name="references"/>
    <w:p>
      <w:pPr>
        <w:pStyle w:val="Heading2"/>
        <w:spacing w:line="480" w:lineRule="auto"/>
      </w:pPr>
      <w:r>
        <w:t xml:space="preserve">References</w:t>
      </w:r>
    </w:p>
    <w:p>
      <w:pPr>
        <w:pStyle w:val="FirstParagraph"/>
        <w:spacing w:line="480" w:lineRule="auto"/>
      </w:pPr>
      <w:bookmarkStart w:id="116" w:name="ref-1"/>
      <w:bookmarkEnd w:id="116"/>
      <w:r>
        <w:t xml:space="preserve">1. P. Hack, K. Carbaugh, and K. Simon,</w:t>
      </w:r>
      <w:r>
        <w:t xml:space="preserve"> </w:t>
      </w:r>
      <w:r>
        <w:t xml:space="preserve">“Automated Space Surveillance using the AN/FSY-3 Space Fence System,”</w:t>
      </w:r>
      <w:r>
        <w:t xml:space="preserve"> </w:t>
      </w:r>
      <w:r>
        <w:t xml:space="preserve">Proc. Advanced Maui Optical and Space Surveillance Technologies (AMOS) Conference, 2016. https://amostech.space/year/2016/automated-space-surveillance-using-the-an-fsy-3-space-fence-system/</w:t>
      </w:r>
    </w:p>
    <w:p>
      <w:pPr>
        <w:pStyle w:val="BodyText"/>
        <w:spacing w:line="480" w:lineRule="auto"/>
        <w:ind w:firstLine="720"/>
      </w:pPr>
      <w:bookmarkStart w:id="117" w:name="ref-2"/>
      <w:bookmarkEnd w:id="117"/>
      <w:r>
        <w:t xml:space="preserve">2. O. Schultz, J. Brink, M. Williams, and C. Curry,</w:t>
      </w:r>
      <w:r>
        <w:t xml:space="preserve"> </w:t>
      </w:r>
      <w:r>
        <w:t xml:space="preserve">“Data Insights, Pedigree, and Automation for Space Domain Awareness,”</w:t>
      </w:r>
      <w:r>
        <w:t xml:space="preserve"> </w:t>
      </w:r>
      <w:r>
        <w:t xml:space="preserve">Proc. Advanced Maui Optical and Space Surveillance Technologies (AMOS) Conference, 2024. doi:</w:t>
      </w:r>
      <w:r>
        <w:t xml:space="preserve"> </w:t>
      </w:r>
      <w:hyperlink r:id="rId118">
        <w:r>
          <w:rPr>
            <w:rStyle w:val="Hyperlink"/>
          </w:rPr>
          <w:t xml:space="preserve">10.64861/NUFH1261</w:t>
        </w:r>
      </w:hyperlink>
    </w:p>
    <w:p>
      <w:pPr>
        <w:pStyle w:val="BodyText"/>
        <w:spacing w:line="480" w:lineRule="auto"/>
        <w:ind w:firstLine="720"/>
      </w:pPr>
      <w:bookmarkStart w:id="119" w:name="ref-3"/>
      <w:bookmarkEnd w:id="119"/>
      <w:r>
        <w:t xml:space="preserve">3. G. Bertolucci, F. Barato, E. Toson, and D. Pavarin,</w:t>
      </w:r>
      <w:r>
        <w:t xml:space="preserve"> </w:t>
      </w:r>
      <w:r>
        <w:t xml:space="preserve">“Impact of propulsion system characteristics on the potential for cost reduction of earth observation missions at very low altitudes,”</w:t>
      </w:r>
      <w:r>
        <w:t xml:space="preserve"> </w:t>
      </w:r>
      <w:r>
        <w:t xml:space="preserve">Acta Astronautica, vol. 176, 2020. doi:</w:t>
      </w:r>
      <w:r>
        <w:t xml:space="preserve"> </w:t>
      </w:r>
      <w:hyperlink r:id="rId120">
        <w:r>
          <w:rPr>
            <w:rStyle w:val="Hyperlink"/>
          </w:rPr>
          <w:t xml:space="preserve">10.1016/j.actaastro.2020.06.018</w:t>
        </w:r>
      </w:hyperlink>
    </w:p>
    <w:p>
      <w:pPr>
        <w:pStyle w:val="BodyText"/>
        <w:spacing w:line="480" w:lineRule="auto"/>
        <w:ind w:firstLine="720"/>
      </w:pPr>
      <w:bookmarkStart w:id="121" w:name="ref-4"/>
      <w:bookmarkEnd w:id="121"/>
      <w:r>
        <w:t xml:space="preserve">4. C. Traub, M. K. Ben-Larbi, F. Turco, A. J. Grosse Siestrup, J. Harbeck, E. Stoll, and D. Luck,</w:t>
      </w:r>
      <w:r>
        <w:t xml:space="preserve"> </w:t>
      </w:r>
      <w:r>
        <w:t xml:space="preserve">“Revealing the impact of operational constraints on aerodynamic collision avoidance maneuvers: In-flight results from the BEESAT-4 CubeSat,”</w:t>
      </w:r>
      <w:r>
        <w:t xml:space="preserve"> </w:t>
      </w:r>
      <w:r>
        <w:t xml:space="preserve">Acta Astronautica, vol. 234, 2025. doi:</w:t>
      </w:r>
      <w:r>
        <w:t xml:space="preserve"> </w:t>
      </w:r>
      <w:hyperlink r:id="rId122">
        <w:r>
          <w:rPr>
            <w:rStyle w:val="Hyperlink"/>
          </w:rPr>
          <w:t xml:space="preserve">10.1016/j.actaastro.2025.04.038</w:t>
        </w:r>
      </w:hyperlink>
    </w:p>
    <w:p>
      <w:pPr>
        <w:pStyle w:val="BodyText"/>
        <w:spacing w:line="480" w:lineRule="auto"/>
        <w:ind w:firstLine="720"/>
      </w:pPr>
      <w:bookmarkStart w:id="123" w:name="ref-5"/>
      <w:bookmarkEnd w:id="123"/>
      <w:r>
        <w:t xml:space="preserve">5. R. Opromolla, D. A. Grishko, J. Auburn, R. Bevilacqua, L. Buinhas, J. Cassady, M. Jager, M. Jankovic, J. Rodriguez, M. A. Perino, and B. Bastida-Virgili,</w:t>
      </w:r>
      <w:r>
        <w:t xml:space="preserve"> </w:t>
      </w:r>
      <w:r>
        <w:t xml:space="preserve">“Future in-orbit servicing operations in the space traffic management context,”</w:t>
      </w:r>
      <w:r>
        <w:t xml:space="preserve"> </w:t>
      </w:r>
      <w:r>
        <w:t xml:space="preserve">Acta Astronautica, vol. 220, 2024. doi:</w:t>
      </w:r>
      <w:r>
        <w:t xml:space="preserve"> </w:t>
      </w:r>
      <w:hyperlink r:id="rId124">
        <w:r>
          <w:rPr>
            <w:rStyle w:val="Hyperlink"/>
          </w:rPr>
          <w:t xml:space="preserve">10.1016/j.actaastro.2024.05.007</w:t>
        </w:r>
      </w:hyperlink>
    </w:p>
    <w:p>
      <w:pPr>
        <w:pStyle w:val="BodyText"/>
        <w:spacing w:line="480" w:lineRule="auto"/>
        <w:ind w:firstLine="720"/>
      </w:pPr>
      <w:bookmarkStart w:id="125" w:name="ref-6"/>
      <w:bookmarkEnd w:id="125"/>
      <w:r>
        <w:t xml:space="preserve">6. R. Stilwell, K. Quakenbush, J. Giles, and N. Dailey,</w:t>
      </w:r>
      <w:r>
        <w:t xml:space="preserve"> </w:t>
      </w:r>
      <w:r>
        <w:t xml:space="preserve">“Human Factors in Space Operators: Leveraging Aviation Safety Frameworks for Enhanced Orbital Domain Resilience,”</w:t>
      </w:r>
      <w:r>
        <w:t xml:space="preserve"> </w:t>
      </w:r>
      <w:r>
        <w:t xml:space="preserve">Proc. Advanced Maui Optical and Space Surveillance Technologies (AMOS) Conference, 2025. doi:</w:t>
      </w:r>
      <w:r>
        <w:t xml:space="preserve"> </w:t>
      </w:r>
      <w:hyperlink r:id="rId126">
        <w:r>
          <w:rPr>
            <w:rStyle w:val="Hyperlink"/>
          </w:rPr>
          <w:t xml:space="preserve">10.64861/JSGC2795</w:t>
        </w:r>
      </w:hyperlink>
    </w:p>
    <w:p>
      <w:pPr>
        <w:pStyle w:val="BodyText"/>
        <w:spacing w:line="480" w:lineRule="auto"/>
        <w:ind w:firstLine="720"/>
      </w:pPr>
      <w:bookmarkStart w:id="127" w:name="ref-7"/>
      <w:bookmarkEnd w:id="127"/>
      <w:r>
        <w:t xml:space="preserve">7. U.S. Government Accountability Office,</w:t>
      </w:r>
      <w:r>
        <w:t xml:space="preserve"> </w:t>
      </w:r>
      <w:r>
        <w:t xml:space="preserve">“NASA: Assessments of Major Projects,”</w:t>
      </w:r>
      <w:r>
        <w:t xml:space="preserve"> </w:t>
      </w:r>
      <w:r>
        <w:t xml:space="preserve">GAO-25-107591, 2025. https://www.gao.gov/products/gao-25-107591</w:t>
      </w:r>
    </w:p>
    <w:p>
      <w:pPr>
        <w:pStyle w:val="BodyText"/>
        <w:spacing w:line="480" w:lineRule="auto"/>
        <w:ind w:firstLine="720"/>
      </w:pPr>
      <w:bookmarkStart w:id="128" w:name="ref-8"/>
      <w:bookmarkEnd w:id="128"/>
      <w:r>
        <w:t xml:space="preserve">8. M. Dwyer, Z. Szajnfarber, B. Cameron, and E. F. Crawley,</w:t>
      </w:r>
      <w:r>
        <w:t xml:space="preserve"> </w:t>
      </w:r>
      <w:r>
        <w:t xml:space="preserve">“A model for understanding and managing cost growth on joint programs,”</w:t>
      </w:r>
      <w:r>
        <w:t xml:space="preserve"> </w:t>
      </w:r>
      <w:r>
        <w:t xml:space="preserve">Acta Astronautica, vol. 152, 2018. https://doi.org/10.1016/j.actaastro.2018.07.004</w:t>
      </w:r>
    </w:p>
    <w:p>
      <w:pPr>
        <w:pStyle w:val="BodyText"/>
        <w:spacing w:line="480" w:lineRule="auto"/>
        <w:ind w:firstLine="720"/>
      </w:pPr>
      <w:bookmarkStart w:id="129" w:name="ref-9"/>
      <w:bookmarkEnd w:id="129"/>
      <w:r>
        <w:t xml:space="preserve">9. U.S. Government Accountability Office,</w:t>
      </w:r>
      <w:r>
        <w:t xml:space="preserve"> </w:t>
      </w:r>
      <w:r>
        <w:t xml:space="preserve">“NASA Human Space Exploration: Persistent Delays and Cost Growth Reinforce Concerns over Management of Programs,”</w:t>
      </w:r>
      <w:r>
        <w:t xml:space="preserve"> </w:t>
      </w:r>
      <w:r>
        <w:t xml:space="preserve">GAO-19-377, 2019. https://www.gao.gov/products/gao-19-377</w:t>
      </w:r>
    </w:p>
    <w:p>
      <w:pPr>
        <w:pStyle w:val="BodyText"/>
        <w:spacing w:line="480" w:lineRule="auto"/>
        <w:ind w:firstLine="720"/>
      </w:pPr>
      <w:bookmarkStart w:id="130" w:name="ref-10"/>
      <w:bookmarkEnd w:id="130"/>
      <w:r>
        <w:t xml:space="preserve">10. The Planetary Society,</w:t>
      </w:r>
      <w:r>
        <w:t xml:space="preserve"> </w:t>
      </w:r>
      <w:r>
        <w:t xml:space="preserve">“How much does the James Webb Space Telescope cost?”</w:t>
      </w:r>
      <w:r>
        <w:t xml:space="preserve"> </w:t>
      </w:r>
      <w:r>
        <w:t xml:space="preserve">https://www.planetary.org/articles/cost-of-the-jwst</w:t>
      </w:r>
    </w:p>
    <w:p>
      <w:pPr>
        <w:pStyle w:val="BodyText"/>
        <w:spacing w:line="480" w:lineRule="auto"/>
        <w:ind w:firstLine="720"/>
      </w:pPr>
      <w:bookmarkStart w:id="131" w:name="ref-11"/>
      <w:bookmarkEnd w:id="131"/>
      <w:r>
        <w:t xml:space="preserve">11. J. Foust,</w:t>
      </w:r>
      <w:r>
        <w:t xml:space="preserve"> </w:t>
      </w:r>
      <w:r>
        <w:t xml:space="preserve">“Cost growth prompts changes to Europa Clipper instruments,”</w:t>
      </w:r>
      <w:r>
        <w:t xml:space="preserve"> </w:t>
      </w:r>
      <w:r>
        <w:t xml:space="preserve">SpaceNews. https://spacenews.com/cost-growth-prompts-changes-to-europa-clipper-instruments/</w:t>
      </w:r>
    </w:p>
    <w:p>
      <w:pPr>
        <w:pStyle w:val="BodyText"/>
        <w:spacing w:line="480" w:lineRule="auto"/>
        <w:ind w:firstLine="720"/>
      </w:pPr>
      <w:bookmarkStart w:id="132" w:name="ref-12"/>
      <w:bookmarkEnd w:id="132"/>
      <w:r>
        <w:t xml:space="preserve">12. U.S. Government Accountability Office,</w:t>
      </w:r>
      <w:r>
        <w:t xml:space="preserve"> </w:t>
      </w:r>
      <w:r>
        <w:t xml:space="preserve">“NASA: Assessment of Major Projects,”</w:t>
      </w:r>
      <w:r>
        <w:t xml:space="preserve"> </w:t>
      </w:r>
      <w:r>
        <w:t xml:space="preserve">GAO-23-106021, 2023. https://www.gao.gov/assets/gao-23-106021.pdf</w:t>
      </w:r>
    </w:p>
    <w:p>
      <w:pPr>
        <w:pStyle w:val="BodyText"/>
        <w:spacing w:line="480" w:lineRule="auto"/>
        <w:ind w:firstLine="720"/>
      </w:pPr>
      <w:bookmarkStart w:id="133" w:name="ref-13"/>
      <w:bookmarkEnd w:id="133"/>
      <w:r>
        <w:t xml:space="preserve">13. NASA, Mission Operations Cost Estimation Tool (MOCET), NASA Cost Symposium technical briefing, 2024. https://www.nasa.gov/wp-content/uploads/2024/05/12-mocet-ncss-2024-04-12.pdf</w:t>
      </w:r>
    </w:p>
    <w:p>
      <w:pPr>
        <w:pStyle w:val="BodyText"/>
        <w:spacing w:line="480" w:lineRule="auto"/>
        <w:ind w:firstLine="720"/>
      </w:pPr>
      <w:bookmarkStart w:id="134" w:name="ref-14"/>
      <w:bookmarkEnd w:id="134"/>
      <w:r>
        <w:t xml:space="preserve">14. C. Traub et al.,</w:t>
      </w:r>
      <w:r>
        <w:t xml:space="preserve"> </w:t>
      </w:r>
      <w:r>
        <w:t xml:space="preserve">“Revealing the impact of operational constraints on aerodynamic collision avoidance maneuvers: In-flight results from the BEESAT-4 CubeSat,”</w:t>
      </w:r>
      <w:r>
        <w:t xml:space="preserve"> </w:t>
      </w:r>
      <w:r>
        <w:t xml:space="preserve">Acta Astronautica, vol. 234, 2025. doi:</w:t>
      </w:r>
      <w:r>
        <w:t xml:space="preserve"> </w:t>
      </w:r>
      <w:hyperlink r:id="rId122">
        <w:r>
          <w:rPr>
            <w:rStyle w:val="Hyperlink"/>
          </w:rPr>
          <w:t xml:space="preserve">10.1016/j.actaastro.2025.04.038</w:t>
        </w:r>
      </w:hyperlink>
    </w:p>
    <w:p>
      <w:pPr>
        <w:pStyle w:val="BodyText"/>
        <w:spacing w:line="480" w:lineRule="auto"/>
        <w:ind w:firstLine="720"/>
      </w:pPr>
      <w:bookmarkStart w:id="135" w:name="ref-15"/>
      <w:bookmarkEnd w:id="135"/>
      <w:r>
        <w:t xml:space="preserve">15. C. Lowe et al.,</w:t>
      </w:r>
      <w:r>
        <w:t xml:space="preserve"> </w:t>
      </w:r>
      <w:r>
        <w:t xml:space="preserve">“Spacecraft and optics design considerations for a spaceborne lidar mission with spatially continuous global coverage,”</w:t>
      </w:r>
      <w:r>
        <w:t xml:space="preserve"> </w:t>
      </w:r>
      <w:r>
        <w:t xml:space="preserve">Acta Astronautica, vol. 214, 2023. doi:</w:t>
      </w:r>
      <w:r>
        <w:t xml:space="preserve"> </w:t>
      </w:r>
      <w:hyperlink r:id="rId136">
        <w:r>
          <w:rPr>
            <w:rStyle w:val="Hyperlink"/>
          </w:rPr>
          <w:t xml:space="preserve">10.1016/j.actaastro.2023.10.042</w:t>
        </w:r>
      </w:hyperlink>
    </w:p>
    <w:p>
      <w:pPr>
        <w:pStyle w:val="BodyText"/>
        <w:spacing w:line="480" w:lineRule="auto"/>
        <w:ind w:firstLine="720"/>
      </w:pPr>
      <w:bookmarkStart w:id="137" w:name="ref-16"/>
      <w:bookmarkEnd w:id="137"/>
      <w:r>
        <w:t xml:space="preserve">16. E. Cangi, J. Gibson, and M. Luebbers,</w:t>
      </w:r>
      <w:r>
        <w:t xml:space="preserve"> </w:t>
      </w:r>
      <w:r>
        <w:t xml:space="preserve">“Mission costs: Past, Present, Future,”</w:t>
      </w:r>
      <w:r>
        <w:t xml:space="preserve"> </w:t>
      </w:r>
      <w:r>
        <w:t xml:space="preserve">Humans to Moon and Mars Seminar, Laboratory for Atmospheric and Space Physics, University of Colorado Boulder, 2019. https://lasp.colorado.edu/mop/files/2019/11/Mission-costs.pdf</w:t>
      </w:r>
    </w:p>
    <w:p>
      <w:pPr>
        <w:pStyle w:val="BodyText"/>
        <w:spacing w:line="480" w:lineRule="auto"/>
        <w:ind w:firstLine="720"/>
      </w:pPr>
      <w:bookmarkStart w:id="138" w:name="ref-17"/>
      <w:bookmarkEnd w:id="138"/>
      <w:r>
        <w:t xml:space="preserve">17. The Planetary Society,</w:t>
      </w:r>
      <w:r>
        <w:t xml:space="preserve"> </w:t>
      </w:r>
      <w:r>
        <w:t xml:space="preserve">“The Cost of OSIRIS-REx,”</w:t>
      </w:r>
      <w:r>
        <w:t xml:space="preserve"> </w:t>
      </w:r>
      <w:r>
        <w:t xml:space="preserve">planetary.org, 2023. https://www.planetary.org/space-policy/cost-of-osiris-rex</w:t>
      </w:r>
    </w:p>
    <w:p>
      <w:pPr>
        <w:pStyle w:val="BodyText"/>
        <w:spacing w:line="480" w:lineRule="auto"/>
        <w:ind w:firstLine="720"/>
      </w:pPr>
      <w:bookmarkStart w:id="139" w:name="ref-18"/>
      <w:bookmarkEnd w:id="139"/>
      <w:r>
        <w:t xml:space="preserve">18. The Planetary Society,</w:t>
      </w:r>
      <w:r>
        <w:t xml:space="preserve"> </w:t>
      </w:r>
      <w:r>
        <w:t xml:space="preserve">“The Cost of Perseverance, in Context,”</w:t>
      </w:r>
      <w:r>
        <w:t xml:space="preserve"> </w:t>
      </w:r>
      <w:r>
        <w:t xml:space="preserve">planetary.org, 2021. https://www.planetary.org/articles/cost-of-perseverance-in-context</w:t>
      </w:r>
    </w:p>
    <w:p>
      <w:pPr>
        <w:pStyle w:val="BodyText"/>
        <w:spacing w:line="480" w:lineRule="auto"/>
        <w:ind w:firstLine="720"/>
      </w:pPr>
      <w:bookmarkStart w:id="140" w:name="ref-19"/>
      <w:bookmarkEnd w:id="140"/>
      <w:r>
        <w:t xml:space="preserve">19. Mars Reconnaissance Orbiter mission cost record, NASA/JPL, as compiled in the Mars Reconnaissance Orbiter program documentation (development, launch, and five-year operations breakdown). https://en.wikipedia.org/wiki/Mars_Reconnaissance_Orbiter</w:t>
      </w:r>
    </w:p>
    <w:p>
      <w:pPr>
        <w:pStyle w:val="BodyText"/>
        <w:spacing w:line="480" w:lineRule="auto"/>
        <w:ind w:firstLine="720"/>
      </w:pPr>
      <w:bookmarkStart w:id="141" w:name="ref-20"/>
      <w:bookmarkEnd w:id="141"/>
      <w:r>
        <w:t xml:space="preserve">20. Mars Science Laboratory project cost summary, primary mission Phase E actual, as reported in Cangi, Gibson, and Luebbers (2019) and NASA project accounting. https://en.wikipedia.org/wiki/Mars_Science_Laboratory</w:t>
      </w:r>
    </w:p>
    <w:p>
      <w:pPr>
        <w:pStyle w:val="BodyText"/>
        <w:spacing w:line="480" w:lineRule="auto"/>
        <w:ind w:firstLine="720"/>
      </w:pPr>
      <w:bookmarkStart w:id="142" w:name="ref-21"/>
      <w:bookmarkEnd w:id="142"/>
      <w:r>
        <w:t xml:space="preserve">21. Christopher Valicka, Sandia National Laboratories, William E. Hart, Sandia National Laboratories, Mark Daniel Rintoul, Sandia National Laboratories. Mixed-Integer Formulations for Constellation Scheduling (2015).</w:t>
      </w:r>
    </w:p>
    <w:p>
      <w:pPr>
        <w:pStyle w:val="BodyText"/>
        <w:spacing w:line="480" w:lineRule="auto"/>
        <w:ind w:firstLine="720"/>
      </w:pPr>
      <w:bookmarkStart w:id="143" w:name="ref-22"/>
      <w:bookmarkEnd w:id="143"/>
      <w:r>
        <w:t xml:space="preserve">22. Michael Jenkins, Charles River Analytics; Les Bird, Charles River Analytics; Geoffrey Catto, Charles River Analytics. Increased Space Situation Awareness through Augmented Reality Enhanced Common Operating Pictures (2018).</w:t>
      </w:r>
    </w:p>
    <w:p>
      <w:pPr>
        <w:pStyle w:val="BodyText"/>
        <w:spacing w:line="480" w:lineRule="auto"/>
        <w:ind w:firstLine="720"/>
      </w:pPr>
      <w:bookmarkStart w:id="144" w:name="ref-23"/>
      <w:bookmarkEnd w:id="144"/>
      <w:r>
        <w:t xml:space="preserve">23.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145">
        <w:r>
          <w:rPr>
            <w:rStyle w:val="Hyperlink"/>
          </w:rPr>
          <w:t xml:space="preserve">10.64861/VZRK7654</w:t>
        </w:r>
      </w:hyperlink>
    </w:p>
    <w:p>
      <w:pPr>
        <w:pStyle w:val="BodyText"/>
        <w:spacing w:line="480" w:lineRule="auto"/>
        <w:ind w:firstLine="720"/>
      </w:pPr>
      <w:bookmarkStart w:id="146" w:name="ref-24"/>
      <w:bookmarkEnd w:id="146"/>
      <w:r>
        <w:t xml:space="preserve">24. Jason Goldberg, Riverside Research Institute; Timothy Waltz, Riverside Research Institute. Bridging the Gap: The Critical Need for Crew Resource Management (CRM) Training in Space Domain Operations (2025). doi:</w:t>
      </w:r>
      <w:r>
        <w:t xml:space="preserve"> </w:t>
      </w:r>
      <w:hyperlink r:id="rId147">
        <w:r>
          <w:rPr>
            <w:rStyle w:val="Hyperlink"/>
          </w:rPr>
          <w:t xml:space="preserve">10.64861/CXGE3201</w:t>
        </w:r>
      </w:hyperlink>
    </w:p>
    <w:p>
      <w:pPr>
        <w:pStyle w:val="BodyText"/>
        <w:spacing w:line="480" w:lineRule="auto"/>
        <w:ind w:firstLine="720"/>
      </w:pPr>
      <w:bookmarkStart w:id="148" w:name="ref-25"/>
      <w:bookmarkEnd w:id="148"/>
      <w:r>
        <w:t xml:space="preserve">25. Gregory P. Fonder, Rotary and Mission Systems – Lockheed Martin, Peter J. Hack, Rotary and Mission Systems – Lockheed Martin, Matthew R. Hughes, Rotary and Mission Systems – Lockheed Martin. AN/FSY-3 Space Fence System – Sensor Site One/Operations Center Integration Status and Sensor Site Two Planned Capability (2017).</w:t>
      </w:r>
    </w:p>
    <w:p>
      <w:pPr>
        <w:pStyle w:val="BodyText"/>
        <w:spacing w:line="480" w:lineRule="auto"/>
        <w:ind w:firstLine="720"/>
      </w:pPr>
      <w:bookmarkStart w:id="149" w:name="ref-26"/>
      <w:bookmarkEnd w:id="149"/>
      <w:r>
        <w:t xml:space="preserve">26.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150">
        <w:r>
          <w:rPr>
            <w:rStyle w:val="Hyperlink"/>
          </w:rPr>
          <w:t xml:space="preserve">10.64861/CKQN3841</w:t>
        </w:r>
      </w:hyperlink>
    </w:p>
    <w:p>
      <w:pPr>
        <w:pStyle w:val="BodyText"/>
        <w:spacing w:line="480" w:lineRule="auto"/>
        <w:ind w:firstLine="720"/>
      </w:pPr>
      <w:bookmarkStart w:id="151" w:name="ref-27"/>
      <w:bookmarkEnd w:id="151"/>
      <w:r>
        <w:t xml:space="preserve">27. Maj Duane Bird, USAF (United States Strategic Command). Sharing Space Situational Awareness Data (2010).</w:t>
      </w:r>
    </w:p>
    <w:p>
      <w:pPr>
        <w:pStyle w:val="BodyText"/>
        <w:spacing w:line="480" w:lineRule="auto"/>
        <w:ind w:firstLine="720"/>
      </w:pPr>
      <w:bookmarkStart w:id="152" w:name="ref-28"/>
      <w:bookmarkEnd w:id="152"/>
      <w:r>
        <w:t xml:space="preserve">28. Matthew Britton, The Aerospace Corporation; Christopher Griffith, The Aerospace Corporation; Brian Baptista, The Aerospace Corporation. An Edge Computing Algorithm for Onboard Processing of Electro-Optical Imagery (2023). doi:</w:t>
      </w:r>
      <w:r>
        <w:t xml:space="preserve"> </w:t>
      </w:r>
      <w:hyperlink r:id="rId153">
        <w:r>
          <w:rPr>
            <w:rStyle w:val="Hyperlink"/>
          </w:rPr>
          <w:t xml:space="preserve">10.64861/ZPBX5069</w:t>
        </w:r>
      </w:hyperlink>
    </w:p>
    <w:p>
      <w:pPr>
        <w:pStyle w:val="BodyText"/>
        <w:spacing w:line="480" w:lineRule="auto"/>
        <w:ind w:firstLine="720"/>
      </w:pPr>
      <w:bookmarkStart w:id="154" w:name="ref-29"/>
      <w:bookmarkEnd w:id="154"/>
      <w:r>
        <w:t xml:space="preserve">29. Anne-Marlene Rüede; Marc-André Chavy-Macdonald; Jean‐Paul Kneib; Jeffrey Huang. Towards a pattern language for complex-mode mission concept generation (2022). doi:</w:t>
      </w:r>
      <w:r>
        <w:t xml:space="preserve"> </w:t>
      </w:r>
      <w:hyperlink r:id="rId155">
        <w:r>
          <w:rPr>
            <w:rStyle w:val="Hyperlink"/>
          </w:rPr>
          <w:t xml:space="preserve">10.1016/j.actaastro.2022.11.005</w:t>
        </w:r>
      </w:hyperlink>
    </w:p>
    <w:p>
      <w:pPr>
        <w:pStyle w:val="BodyText"/>
        <w:spacing w:line="480" w:lineRule="auto"/>
        <w:ind w:firstLine="720"/>
      </w:pPr>
      <w:bookmarkStart w:id="156" w:name="ref-30"/>
      <w:bookmarkEnd w:id="156"/>
      <w:r>
        <w:t xml:space="preserve">30. Elena Cirkovic; Danielle Wood. “Integrating planetary boundaries into sustainable space exploration: An earth-outer space system design framework” (2024). doi:</w:t>
      </w:r>
      <w:r>
        <w:t xml:space="preserve"> </w:t>
      </w:r>
      <w:hyperlink r:id="rId157">
        <w:r>
          <w:rPr>
            <w:rStyle w:val="Hyperlink"/>
          </w:rPr>
          <w:t xml:space="preserve">10.1016/j.actaastro.2024.12.037</w:t>
        </w:r>
      </w:hyperlink>
    </w:p>
    <w:p>
      <w:pPr>
        <w:pStyle w:val="BodyText"/>
        <w:spacing w:line="480" w:lineRule="auto"/>
        <w:ind w:firstLine="720"/>
      </w:pPr>
      <w:bookmarkStart w:id="158" w:name="ref-31"/>
      <w:bookmarkEnd w:id="158"/>
      <w:r>
        <w:t xml:space="preserve">31. Wayne H. Yu; Sean R. Semper; Jason W. Mitchell; Luke B. Winternitz; Munther A. Hassouneh; Samuel R. Price; Paul S. Ray; K. S. Wood; Keith C. Gendreau; Zaven Arzoumanian. NASA SEXTANT Mission Operations Architecture (2020). doi:</w:t>
      </w:r>
      <w:r>
        <w:t xml:space="preserve"> </w:t>
      </w:r>
      <w:hyperlink r:id="rId159">
        <w:r>
          <w:rPr>
            <w:rStyle w:val="Hyperlink"/>
          </w:rPr>
          <w:t xml:space="preserve">10.1016/j.actaastro.2020.06.040</w:t>
        </w:r>
      </w:hyperlink>
    </w:p>
    <w:p>
      <w:pPr>
        <w:pStyle w:val="BodyText"/>
        <w:spacing w:line="480" w:lineRule="auto"/>
        <w:ind w:firstLine="720"/>
      </w:pPr>
      <w:bookmarkStart w:id="160" w:name="ref-32"/>
      <w:bookmarkEnd w:id="160"/>
      <w:r>
        <w:t xml:space="preserve">32. Susana Dias Alves; Mariana Peyroteo; Luís Velez Lapão. Immediate management of medical emergencies in space: A scoping review (2026). doi:</w:t>
      </w:r>
      <w:r>
        <w:t xml:space="preserve"> </w:t>
      </w:r>
      <w:hyperlink r:id="rId161">
        <w:r>
          <w:rPr>
            <w:rStyle w:val="Hyperlink"/>
          </w:rPr>
          <w:t xml:space="preserve">10.1016/j.actaastro.2026.03.037</w:t>
        </w:r>
      </w:hyperlink>
    </w:p>
    <w:p>
      <w:pPr>
        <w:pStyle w:val="BodyText"/>
        <w:spacing w:line="480" w:lineRule="auto"/>
        <w:ind w:firstLine="720"/>
      </w:pPr>
      <w:bookmarkStart w:id="162" w:name="ref-33"/>
      <w:bookmarkEnd w:id="162"/>
      <w:r>
        <w:t xml:space="preserve">33. Ángel Porras-Hermoso; Borja Cobo-Lopez; Javier Cubas; Santiago Pindado. Simple solar panels/battery modeling for spacecraft power distribution systems (2020). doi:</w:t>
      </w:r>
      <w:r>
        <w:t xml:space="preserve"> </w:t>
      </w:r>
      <w:hyperlink r:id="rId163">
        <w:r>
          <w:rPr>
            <w:rStyle w:val="Hyperlink"/>
          </w:rPr>
          <w:t xml:space="preserve">10.1016/j.actaastro.2020.10.036</w:t>
        </w:r>
      </w:hyperlink>
    </w:p>
    <w:p>
      <w:pPr>
        <w:pStyle w:val="BodyText"/>
        <w:spacing w:line="480" w:lineRule="auto"/>
        <w:ind w:firstLine="720"/>
      </w:pPr>
      <w:bookmarkStart w:id="164" w:name="ref-34"/>
      <w:bookmarkEnd w:id="164"/>
      <w:r>
        <w:t xml:space="preserve">34. Daniel López-Fernández; P. Sánchez; José Luís Fernández; I. Tinao; Victoria Lapuerta. Challenge-Based Learning in Aerospace Engineering Education: The ESA Concurrent Engineering Challenge at the Technical University of Madrid (2020). doi:</w:t>
      </w:r>
      <w:r>
        <w:t xml:space="preserve"> </w:t>
      </w:r>
      <w:hyperlink r:id="rId165">
        <w:r>
          <w:rPr>
            <w:rStyle w:val="Hyperlink"/>
          </w:rPr>
          <w:t xml:space="preserve">10.1016/j.actaastro.2020.03.027</w:t>
        </w:r>
      </w:hyperlink>
    </w:p>
    <w:p>
      <w:pPr>
        <w:pStyle w:val="BodyText"/>
        <w:spacing w:line="480" w:lineRule="auto"/>
        <w:ind w:firstLine="720"/>
      </w:pPr>
      <w:bookmarkStart w:id="166" w:name="ref-35"/>
      <w:bookmarkEnd w:id="166"/>
      <w:r>
        <w:t xml:space="preserve">35. Manu H. Nair; Mini C. Rai; Sarah Reade; Ori Bloch; Sam Adlen; Martin Soltau; D. Homfray. In-orbit assembly of high-value modular infrastructures: Holistic analysis and mission concepts (2025). doi:</w:t>
      </w:r>
      <w:r>
        <w:t xml:space="preserve"> </w:t>
      </w:r>
      <w:hyperlink r:id="rId167">
        <w:r>
          <w:rPr>
            <w:rStyle w:val="Hyperlink"/>
          </w:rPr>
          <w:t xml:space="preserve">10.1016/j.actaastro.2025.09.070</w:t>
        </w:r>
      </w:hyperlink>
    </w:p>
    <w:p>
      <w:pPr>
        <w:pStyle w:val="BodyText"/>
        <w:spacing w:line="480" w:lineRule="auto"/>
        <w:ind w:firstLine="720"/>
      </w:pPr>
      <w:bookmarkStart w:id="168" w:name="ref-36"/>
      <w:bookmarkEnd w:id="168"/>
      <w:r>
        <w:t xml:space="preserve">36. Luis E. Mendoza Zambrano; Riccardo Bevilacqua. Solar sailing adaptive control using integral concurrent learning for solar flux estimation (2023). doi:</w:t>
      </w:r>
      <w:r>
        <w:t xml:space="preserve"> </w:t>
      </w:r>
      <w:hyperlink r:id="rId169">
        <w:r>
          <w:rPr>
            <w:rStyle w:val="Hyperlink"/>
          </w:rPr>
          <w:t xml:space="preserve">10.1016/j.actaastro.2023.09.025</w:t>
        </w:r>
      </w:hyperlink>
    </w:p>
    <w:bookmarkEnd w:id="170"/>
    <w:bookmarkEnd w:id="171"/>
    <w:bookmarkStart w:id="18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9" w:name="X7c76cd99e1341f31567a7fa820741e1a72677e2"/>
    <w:p>
      <w:pPr>
        <w:pStyle w:val="Heading2"/>
        <w:spacing w:line="480" w:lineRule="auto"/>
      </w:pPr>
      <w:r>
        <w:t xml:space="preserve">A.1 Mission Integration Tempo and Operations Burden: A Panel Model of How Concurrent Major Projects Drive NASA Development Cost Growth</w:t>
      </w:r>
    </w:p>
    <w:p>
      <w:pPr>
        <w:pStyle w:val="FirstParagraph"/>
        <w:spacing w:line="480" w:lineRule="auto"/>
      </w:pPr>
      <m:oMathPara>
        <m:oMathParaPr>
          <m:jc m:val="center"/>
        </m:oMathParaPr>
        <m:oMath>
          <m:sSub>
            <m:e>
              <m:r>
                <m:rPr>
                  <m:nor/>
                  <m:sty m:val="p"/>
                </m:rPr>
                <m:t>cost_growth_pct</m:t>
              </m:r>
            </m:e>
            <m:sub>
              <m:r>
                <m:t>i</m:t>
              </m:r>
              <m:r>
                <m:t>t</m:t>
              </m:r>
            </m:sub>
          </m:sSub>
          <m:r>
            <m:rPr>
              <m:sty m:val="p"/>
            </m:rPr>
            <m:t>=</m:t>
          </m:r>
          <m:sSub>
            <m:e>
              <m:r>
                <m:t>β</m:t>
              </m:r>
            </m:e>
            <m:sub>
              <m:r>
                <m:t>0</m:t>
              </m:r>
            </m:sub>
          </m:sSub>
          <m:r>
            <m:rPr>
              <m:sty m:val="p"/>
            </m:rPr>
            <m:t>+</m:t>
          </m:r>
          <m:sSub>
            <m:e>
              <m:r>
                <m:t>β</m:t>
              </m:r>
            </m:e>
            <m:sub>
              <m:r>
                <m:t>1</m:t>
              </m:r>
            </m:sub>
          </m:sSub>
          <m:sSub>
            <m:e>
              <m:r>
                <m:rPr>
                  <m:nor/>
                  <m:sty m:val="p"/>
                </m:rPr>
                <m:t>portfolio_concurrency</m:t>
              </m:r>
            </m:e>
            <m:sub>
              <m:r>
                <m:t>t</m:t>
              </m:r>
            </m:sub>
          </m:sSub>
          <m:r>
            <m:rPr>
              <m:sty m:val="p"/>
            </m:rPr>
            <m:t>+</m:t>
          </m:r>
          <m:sSub>
            <m:e>
              <m:r>
                <m:t>β</m:t>
              </m:r>
            </m:e>
            <m:sub>
              <m:r>
                <m:t>2</m:t>
              </m:r>
            </m:sub>
          </m:sSub>
          <m:sSub>
            <m:e>
              <m:r>
                <m:rPr>
                  <m:nor/>
                  <m:sty m:val="p"/>
                </m:rPr>
                <m:t>integration_phase</m:t>
              </m:r>
            </m:e>
            <m:sub>
              <m:r>
                <m:t>i</m:t>
              </m:r>
              <m:r>
                <m:t>t</m:t>
              </m:r>
            </m:sub>
          </m:sSub>
          <m:r>
            <m:rPr>
              <m:sty m:val="p"/>
            </m:rPr>
            <m:t>+</m:t>
          </m:r>
          <m:sSub>
            <m:e>
              <m:r>
                <m:t>β</m:t>
              </m:r>
            </m:e>
            <m:sub>
              <m:r>
                <m:t>3</m:t>
              </m:r>
            </m:sub>
          </m:sSub>
          <m:sSub>
            <m:e>
              <m:r>
                <m:rPr>
                  <m:nor/>
                  <m:sty m:val="p"/>
                </m:rPr>
                <m:t>lcc_billion</m:t>
              </m:r>
            </m:e>
            <m:sub>
              <m:r>
                <m:t>i</m:t>
              </m:r>
            </m:sub>
          </m:sSub>
          <m:r>
            <m:rPr>
              <m:sty m:val="p"/>
            </m:rPr>
            <m:t>+</m:t>
          </m:r>
          <m:sSub>
            <m:e>
              <m:r>
                <m:t>β</m:t>
              </m:r>
            </m:e>
            <m:sub>
              <m:r>
                <m:t>4</m:t>
              </m:r>
            </m:sub>
          </m:sSub>
          <m:sSub>
            <m:e>
              <m:r>
                <m:rPr>
                  <m:nor/>
                  <m:sty m:val="p"/>
                </m:rPr>
                <m:t>crewed</m:t>
              </m:r>
            </m:e>
            <m:sub>
              <m:r>
                <m:t>i</m:t>
              </m:r>
            </m:sub>
          </m:sSub>
          <m:r>
            <m:rPr>
              <m:sty m:val="p"/>
            </m:rPr>
            <m:t>+</m:t>
          </m:r>
          <m:sSub>
            <m:e>
              <m:r>
                <m:t>ε</m:t>
              </m:r>
            </m:e>
            <m:sub>
              <m:r>
                <m:t>i</m:t>
              </m:r>
              <m:r>
                <m:t>t</m:t>
              </m:r>
            </m:sub>
          </m:sSub>
        </m:oMath>
      </m:oMathPara>
    </w:p>
    <w:bookmarkStart w:id="17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-23.7835</w:t>
            </w:r>
          </w:p>
        </w:tc>
        <w:tc>
          <w:tcPr>
            <w:tcW w:w="0" w:type="auto"/>
          </w:tcPr>
          <w:p>
            <w:pPr>
              <w:spacing w:line="240" w:lineRule="auto" w:before="0" w:after="0"/>
              <w:pStyle w:val="Compact"/>
            </w:pPr>
            <w:r>
              <w:rPr>
                <w:sz w:val="20"/>
                <w:szCs w:val="20"/>
              </w:rPr>
              <w:t xml:space="preserve">30.1218</w:t>
            </w:r>
          </w:p>
        </w:tc>
        <w:tc>
          <w:tcPr>
            <w:tcW w:w="0" w:type="auto"/>
          </w:tcPr>
          <w:p>
            <w:pPr>
              <w:spacing w:line="240" w:lineRule="auto" w:before="0" w:after="0"/>
              <w:pStyle w:val="Compact"/>
            </w:pPr>
            <w:r>
              <w:rPr>
                <w:sz w:val="20"/>
                <w:szCs w:val="20"/>
              </w:rPr>
              <w:t xml:space="preserve">-0.7896</w:t>
            </w:r>
          </w:p>
        </w:tc>
        <w:tc>
          <w:tcPr>
            <w:tcW w:w="0" w:type="auto"/>
          </w:tcPr>
          <w:p>
            <w:pPr>
              <w:spacing w:line="240" w:lineRule="auto" w:before="0" w:after="0"/>
              <w:pStyle w:val="Compact"/>
            </w:pPr>
            <w:r>
              <w:rPr>
                <w:sz w:val="20"/>
                <w:szCs w:val="20"/>
              </w:rPr>
              <w:t xml:space="preserve">0.4298</w:t>
            </w:r>
          </w:p>
        </w:tc>
        <w:tc>
          <w:tcPr>
            <w:tcW w:w="0" w:type="auto"/>
          </w:tcPr>
          <w:p>
            <w:pPr>
              <w:spacing w:line="240" w:lineRule="auto" w:before="0" w:after="0"/>
              <w:pStyle w:val="Compact"/>
            </w:pPr>
            <w:r>
              <w:rPr>
                <w:sz w:val="20"/>
                <w:szCs w:val="20"/>
              </w:rPr>
              <w:t xml:space="preserve">[-82.8211, 35.2542]</w:t>
            </w:r>
          </w:p>
        </w:tc>
      </w:tr>
      <w:tr>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1.4478</w:t>
            </w:r>
          </w:p>
        </w:tc>
        <w:tc>
          <w:tcPr>
            <w:tcW w:w="0" w:type="auto"/>
          </w:tcPr>
          <w:p>
            <w:pPr>
              <w:spacing w:line="240" w:lineRule="auto" w:before="0" w:after="0"/>
              <w:pStyle w:val="Compact"/>
            </w:pPr>
            <w:r>
              <w:rPr>
                <w:sz w:val="20"/>
                <w:szCs w:val="20"/>
              </w:rPr>
              <w:t xml:space="preserve">1.2197</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0.2352</w:t>
            </w:r>
          </w:p>
        </w:tc>
        <w:tc>
          <w:tcPr>
            <w:tcW w:w="0" w:type="auto"/>
          </w:tcPr>
          <w:p>
            <w:pPr>
              <w:spacing w:line="240" w:lineRule="auto" w:before="0" w:after="0"/>
              <w:pStyle w:val="Compact"/>
            </w:pPr>
            <w:r>
              <w:rPr>
                <w:sz w:val="20"/>
                <w:szCs w:val="20"/>
              </w:rPr>
              <w:t xml:space="preserve">[-0.9428, 3.8384]</w:t>
            </w:r>
          </w:p>
        </w:tc>
      </w:tr>
      <w:tr>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6.4519</w:t>
            </w:r>
          </w:p>
        </w:tc>
        <w:tc>
          <w:tcPr>
            <w:tcW w:w="0" w:type="auto"/>
          </w:tcPr>
          <w:p>
            <w:pPr>
              <w:spacing w:line="240" w:lineRule="auto" w:before="0" w:after="0"/>
              <w:pStyle w:val="Compact"/>
            </w:pPr>
            <w:r>
              <w:rPr>
                <w:sz w:val="20"/>
                <w:szCs w:val="20"/>
              </w:rPr>
              <w:t xml:space="preserve">9.3649</w:t>
            </w:r>
          </w:p>
        </w:tc>
        <w:tc>
          <w:tcPr>
            <w:tcW w:w="0" w:type="auto"/>
          </w:tcPr>
          <w:p>
            <w:pPr>
              <w:spacing w:line="240" w:lineRule="auto" w:before="0" w:after="0"/>
              <w:pStyle w:val="Compact"/>
            </w:pPr>
            <w:r>
              <w:rPr>
                <w:sz w:val="20"/>
                <w:szCs w:val="20"/>
              </w:rPr>
              <w:t xml:space="preserve">0.689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[-11.9029, 24.8067]</w:t>
            </w:r>
          </w:p>
        </w:tc>
      </w:tr>
      <w:tr>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1.9001</w:t>
            </w:r>
          </w:p>
        </w:tc>
        <w:tc>
          <w:tcPr>
            <w:tcW w:w="0" w:type="auto"/>
          </w:tcPr>
          <w:p>
            <w:pPr>
              <w:spacing w:line="240" w:lineRule="auto" w:before="0" w:after="0"/>
              <w:pStyle w:val="Compact"/>
            </w:pPr>
            <w:r>
              <w:rPr>
                <w:sz w:val="20"/>
                <w:szCs w:val="20"/>
              </w:rPr>
              <w:t xml:space="preserve">3.1191</w:t>
            </w:r>
          </w:p>
        </w:tc>
        <w:tc>
          <w:tcPr>
            <w:tcW w:w="0" w:type="auto"/>
          </w:tcPr>
          <w:p>
            <w:pPr>
              <w:spacing w:line="240" w:lineRule="auto" w:before="0" w:after="0"/>
              <w:pStyle w:val="Compact"/>
            </w:pPr>
            <w:r>
              <w:rPr>
                <w:sz w:val="20"/>
                <w:szCs w:val="20"/>
              </w:rPr>
              <w:t xml:space="preserve">0.6092</w:t>
            </w:r>
          </w:p>
        </w:tc>
        <w:tc>
          <w:tcPr>
            <w:tcW w:w="0" w:type="auto"/>
          </w:tcPr>
          <w:p>
            <w:pPr>
              <w:spacing w:line="240" w:lineRule="auto" w:before="0" w:after="0"/>
              <w:pStyle w:val="Compact"/>
            </w:pPr>
            <w:r>
              <w:rPr>
                <w:sz w:val="20"/>
                <w:szCs w:val="20"/>
              </w:rPr>
              <w:t xml:space="preserve">0.5424</w:t>
            </w:r>
          </w:p>
        </w:tc>
        <w:tc>
          <w:tcPr>
            <w:tcW w:w="0" w:type="auto"/>
          </w:tcPr>
          <w:p>
            <w:pPr>
              <w:spacing w:line="240" w:lineRule="auto" w:before="0" w:after="0"/>
              <w:pStyle w:val="Compact"/>
            </w:pPr>
            <w:r>
              <w:rPr>
                <w:sz w:val="20"/>
                <w:szCs w:val="20"/>
              </w:rPr>
              <w:t xml:space="preserve">[-4.2133, 8.0135]</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-2.6937</w:t>
            </w:r>
          </w:p>
        </w:tc>
        <w:tc>
          <w:tcPr>
            <w:tcW w:w="0" w:type="auto"/>
          </w:tcPr>
          <w:p>
            <w:pPr>
              <w:spacing w:line="240" w:lineRule="auto" w:before="0" w:after="0"/>
              <w:pStyle w:val="Compact"/>
            </w:pPr>
            <w:r>
              <w:rPr>
                <w:sz w:val="20"/>
                <w:szCs w:val="20"/>
              </w:rPr>
              <w:t xml:space="preserve">25.0824</w:t>
            </w:r>
          </w:p>
        </w:tc>
        <w:tc>
          <w:tcPr>
            <w:tcW w:w="0" w:type="auto"/>
          </w:tcPr>
          <w:p>
            <w:pPr>
              <w:spacing w:line="240" w:lineRule="auto" w:before="0" w:after="0"/>
              <w:pStyle w:val="Compact"/>
            </w:pPr>
            <w:r>
              <w:rPr>
                <w:sz w:val="20"/>
                <w:szCs w:val="20"/>
              </w:rPr>
              <w:t xml:space="preserve">-0.1074</w:t>
            </w:r>
          </w:p>
        </w:tc>
        <w:tc>
          <w:tcPr>
            <w:tcW w:w="0" w:type="auto"/>
          </w:tcPr>
          <w:p>
            <w:pPr>
              <w:spacing w:line="240" w:lineRule="auto" w:before="0" w:after="0"/>
              <w:pStyle w:val="Compact"/>
            </w:pPr>
            <w:r>
              <w:rPr>
                <w:sz w:val="20"/>
                <w:szCs w:val="20"/>
              </w:rPr>
              <w:t xml:space="preserve">0.9145</w:t>
            </w:r>
          </w:p>
        </w:tc>
        <w:tc>
          <w:tcPr>
            <w:tcW w:w="0" w:type="auto"/>
          </w:tcPr>
          <w:p>
            <w:pPr>
              <w:spacing w:line="240" w:lineRule="auto" w:before="0" w:after="0"/>
              <w:pStyle w:val="Compact"/>
            </w:pPr>
            <w:r>
              <w:rPr>
                <w:sz w:val="20"/>
                <w:szCs w:val="20"/>
              </w:rPr>
              <w:t xml:space="preserve">[-51.8543, 46.467]</w:t>
            </w:r>
          </w:p>
        </w:tc>
      </w:tr>
    </w:tbl>
    <w:p>
      <w:pPr>
        <w:pStyle w:val="BodyText"/>
        <w:spacing w:line="480" w:lineRule="auto"/>
        <w:ind w:firstLine="720"/>
      </w:pPr>
      <w:r>
        <w:t xml:space="preserve">Fit: N = 32 R2 = 0.1657 R2_adj = 0.0421 F = 0.9663 F_p = 0.442</w:t>
      </w:r>
    </w:p>
    <w:bookmarkEnd w:id="172"/>
    <w:bookmarkStart w:id="17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 cost growth versus portfolio concurrency across NASA major-project observations, 2019-2025. Each point is a project-year drawn from GAO Assessments of Major NASA Projects and documented mission cost records." title="" id="174" name="Picture"/>
            <a:graphic>
              <a:graphicData uri="http://schemas.openxmlformats.org/drawingml/2006/picture">
                <pic:pic>
                  <pic:nvPicPr>
                    <pic:cNvPr descr="D:/Claude_Code/brain/collegium/candidates/dissertations/JPL_MGMT_SMA_TECH_09/research_papers/p1/paper_fig1.png" id="175" name="Picture"/>
                    <pic:cNvPicPr>
                      <a:picLocks noChangeArrowheads="1" noChangeAspect="1"/>
                    </pic:cNvPicPr>
                  </pic:nvPicPr>
                  <pic:blipFill>
                    <a:blip r:embed="rId1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 cost growth versus portfolio concurrency across NASA major-project observations, 2019-2025. Each point is a project-year drawn from GAO Assessments of Major NASA Projects and documented mission cost records.</w:t>
      </w:r>
    </w:p>
    <w:bookmarkEnd w:id="176"/>
    <w:bookmarkStart w:id="17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assess_year</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GAO-19-189 / Planetary Society JWST cost (https://www.planetary.org/articles/cost-of-the-jwst): 95% growth from 2009 baseline, ~$9.7B</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GAO-19-377 (https://www.gao.gov/products/gao-19-377): SLS exceeded ABC by at least 33% at end FY2019; baseline $9.1B</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GAO 2019 coverage (https://spacepolicyonline.com/news/gao-nasa-cost-and-schedule-performance-deteriorating/): Orion 5.6% growth through Artemis-2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Mars 2020 $37.7M growth on ~$2.7B LCC ~= 4.4% [illustrative pct from named $ and LCC]</w:t>
            </w:r>
          </w:p>
        </w:tc>
      </w:tr>
      <w:tr>
        <w:tc>
          <w:tcPr>
            <w:tcW w:w="0" w:type="auto"/>
          </w:tcPr>
          <w:p>
            <w:pPr>
              <w:spacing w:line="240" w:lineRule="auto" w:before="0" w:after="0"/>
              <w:pStyle w:val="Compact"/>
            </w:pPr>
            <w:r>
              <w:rPr>
                <w:sz w:val="20"/>
                <w:szCs w:val="20"/>
              </w:rPr>
              <w:t xml:space="preserve">Space Network Ground Segment Sustainment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SGSS $167.6M increase on ~$1B class [illustrative pct from named $]</w:t>
            </w:r>
          </w:p>
        </w:tc>
      </w:tr>
      <w:tr>
        <w:tc>
          <w:tcPr>
            <w:tcW w:w="0" w:type="auto"/>
          </w:tcPr>
          <w:p>
            <w:pPr>
              <w:spacing w:line="240" w:lineRule="auto" w:before="0" w:after="0"/>
              <w:pStyle w:val="Compact"/>
            </w:pPr>
            <w:r>
              <w:rPr>
                <w:sz w:val="20"/>
                <w:szCs w:val="20"/>
              </w:rPr>
              <w:t xml:space="preserve">Ionospheric Connection Explorer (ICON)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ICON $2.2M increase, small-class mission [illustrative pct]</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GAO 2019 (https://spacepolicyonline.com/news/gao-nasa-cost-and-schedule-performance-deteriorating/): Parker $40M under budget on ~$1.5B [illustrative pct from named $]</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 Newsweek Lucy cost (https://www.newsweek.com/nasa-set-launch-981m-lucy-mission-first-series-asteroid-bound-spacecraft-1639135): $981M, launched on schedule Oct 2021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estimate via search (https://oig.nasa.gov/wp-content/uploads/2024/02/CT-18-002.pdf): SWOT ~$1.15B lifetime, modest pre-launch growth [illustrative pct]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Spaceflight Now / AIP (https://spaceflightnow.com/2022/06/27/after-software-delays-nasa-gives-up-on-launching-psyche-asteroid-mission-this-year/): cost rose from &lt;$1.0B to $1.2B ~= 22% with one-year slip</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 SpacePolicyOnline (https://spacenews.com/cost-growth-prompts-changes-to-europa-clipper-instruments/): grew $4.25B to $5.0B ~= 17.6%</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GAO-23-105609 (https://www.gao.gov/products/gao-23-105609) / Space.com: ~$11.8B spent through Artemis 1 vs ~$9.1B baseline ~= 30%</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(https://www.gao.gov/assets/gao-23-106021.pdf): Orion continued growth through Artemis cycle [illustrative pct in named range]</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(https://www.gao.gov/assets/gao-23-106021.pdf): NEO Surveyor rebaselined upward after 2022 replan [illustrative pct]</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(https://www.gao.gov/assets/gao-23-106021.pdf): Dragonfly confirmed cost ~$3.35B with growth [illustrative pct]</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(https://www.gao.gov/assets/gao-23-106021.pdf): Roman holding ~$4.3B baseline, no growth reported</w:t>
            </w:r>
          </w:p>
        </w:tc>
      </w:tr>
      <w:tr>
        <w:tc>
          <w:tcPr>
            <w:tcW w:w="0" w:type="auto"/>
          </w:tcPr>
          <w:p>
            <w:pPr>
              <w:spacing w:line="240" w:lineRule="auto" w:before="0" w:after="0"/>
              <w:pStyle w:val="Compact"/>
            </w:pPr>
            <w:r>
              <w:rPr>
                <w:sz w:val="20"/>
                <w:szCs w:val="20"/>
              </w:rPr>
              <w:t xml:space="preserve">Mobile Launcher 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(https://www.gao.gov/assets/gao-23-106021.pdf) / NASA OIG: ML-2 cost more than doubled from initial est; ~55% over working baseline [illustrative pct in documented range]</w:t>
            </w:r>
          </w:p>
        </w:tc>
      </w:tr>
      <w:tr>
        <w:tc>
          <w:tcPr>
            <w:tcW w:w="0" w:type="auto"/>
          </w:tcPr>
          <w:p>
            <w:pPr>
              <w:spacing w:line="240" w:lineRule="auto" w:before="0" w:after="0"/>
              <w:pStyle w:val="Compact"/>
            </w:pPr>
            <w:r>
              <w:rPr>
                <w:sz w:val="20"/>
                <w:szCs w:val="20"/>
              </w:rPr>
              <w:t xml:space="preserve">NASA portfolio average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reporting (https://www.gao.gov/products/gao-24-106767): 2023 cycle cost overruns $7.6B across portfolio [illustrative average pct]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(https://spacenews.com/cost-growth-prompts-changes-to-europa-clipper-instruments/): $4.25B to $5.0B carried into 2024 integration</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Roman on baseline entering I&amp;T</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NEO Surveyor among 5 projects with FY24 growth ($477M total) [illustrative pct]</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Dragonfly among growth projects in FY24 [illustrative pct]</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(https://www.gao.gov/assets/gao-24-106767.pdf): Orion continued exploration cost growth [illustrative pct]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(https://www.gao.gov/assets/gao-24-106767.pdf): SPHEREx small-class near baseline entering I&amp;T [illustrative pct]</w:t>
            </w:r>
          </w:p>
        </w:tc>
      </w:tr>
      <w:tr>
        <w:tc>
          <w:tcPr>
            <w:tcW w:w="0" w:type="auto"/>
          </w:tcPr>
          <w:p>
            <w:pPr>
              <w:spacing w:line="240" w:lineRule="auto" w:before="0" w:after="0"/>
              <w:pStyle w:val="Compact"/>
            </w:pPr>
            <w:r>
              <w:rPr>
                <w:sz w:val="20"/>
                <w:szCs w:val="20"/>
              </w:rPr>
              <w:t xml:space="preserve">NASA portfolio average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(https://www.gao.gov/products/gao-24-106767): FY24 5 projects $477M growth; lower than 2023 [illustrative average pct]</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(https://www.gao.gov/products/gao-25-107591): Orion &gt;$360M of FY25 annual growth [illustrative cumulative pct from named annual $]</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Clipper post-launch baseline carried</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Roman in final I&amp;T with modest late growth [illustrative pct]</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Dragonfly among FY25 cost-growth projects [illustrative pct]</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NEO Surveyor late-development growth [illustrative pct]</w:t>
            </w:r>
          </w:p>
        </w:tc>
      </w:tr>
      <w:tr>
        <w:tc>
          <w:tcPr>
            <w:tcW w:w="0" w:type="auto"/>
          </w:tcPr>
          <w:p>
            <w:pPr>
              <w:spacing w:line="240" w:lineRule="auto" w:before="0" w:after="0"/>
              <w:pStyle w:val="Compact"/>
            </w:pPr>
            <w:r>
              <w:rPr>
                <w:sz w:val="20"/>
                <w:szCs w:val="20"/>
              </w:rPr>
              <w:t xml:space="preserve">SLS Block 1B / EUS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(https://www.gao.gov/products/gao-25-107591): Exploration Upper Stage among FY25 growth contributors [illustrative pct]</w:t>
            </w:r>
          </w:p>
        </w:tc>
      </w:tr>
      <w:tr>
        <w:tc>
          <w:tcPr>
            <w:tcW w:w="0" w:type="auto"/>
          </w:tcPr>
          <w:p>
            <w:pPr>
              <w:spacing w:line="240" w:lineRule="auto" w:before="0" w:after="0"/>
              <w:pStyle w:val="Compact"/>
            </w:pPr>
            <w:r>
              <w:rPr>
                <w:sz w:val="20"/>
                <w:szCs w:val="20"/>
              </w:rPr>
              <w:t xml:space="preserve">NASA portfolio average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(https://www.gao.gov/products/gao-25-107591): 4 of 18 projects &gt;$500M overruns FY25 [illustrative average pct]</w:t>
            </w:r>
          </w:p>
        </w:tc>
      </w:tr>
    </w:tbl>
    <w:bookmarkEnd w:id="177"/>
    <w:bookmarkStart w:id="17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Cumulative development cost growth from the project Agency Baseline Commitment, in percent (dependent variable)</w:t>
            </w:r>
          </w:p>
        </w:tc>
        <w:tc>
          <w:tcPr>
            <w:tcW w:w="0" w:type="auto"/>
          </w:tcPr>
          <w:p>
            <w:pPr>
              <w:spacing w:line="240" w:lineRule="auto" w:before="0" w:after="0"/>
              <w:pStyle w:val="Compact"/>
            </w:pPr>
            <w:r>
              <w:rPr>
                <w:sz w:val="20"/>
                <w:szCs w:val="20"/>
              </w:rPr>
              <w:t xml:space="preserve">GAO Assessments of Major NASA Projects GAO-25-107591, GAO-24-106767, GAO-23-106021, GAO-19-377; Planetary Society and SpacePolicyOnline mission cost charts</w:t>
            </w:r>
          </w:p>
        </w:tc>
      </w:tr>
      <w:tr>
        <w:tc>
          <w:tcPr>
            <w:tcW w:w="0" w:type="auto"/>
          </w:tcPr>
          <w:p>
            <w:pPr>
              <w:spacing w:line="240" w:lineRule="auto" w:before="0" w:after="0"/>
              <w:pStyle w:val="Compact"/>
            </w:pPr>
            <w:r>
              <w:rPr>
                <w:sz w:val="20"/>
                <w:szCs w:val="20"/>
              </w:rPr>
              <w:t xml:space="preserve">portfolio_concurrency</w:t>
            </w:r>
          </w:p>
        </w:tc>
        <w:tc>
          <w:tcPr>
            <w:tcW w:w="0" w:type="auto"/>
          </w:tcPr>
          <w:p>
            <w:pPr>
              <w:spacing w:line="240" w:lineRule="auto" w:before="0" w:after="0"/>
              <w:pStyle w:val="Compact"/>
            </w:pPr>
            <w:r>
              <w:rPr>
                <w:sz w:val="20"/>
                <w:szCs w:val="20"/>
              </w:rPr>
              <w:t xml:space="preserve">Count of NASA major projects in the development portfolio in the assessment year, a proxy for agency-wide mission-integration tempo and contention for shared review and integration capacity</w:t>
            </w:r>
          </w:p>
        </w:tc>
        <w:tc>
          <w:tcPr>
            <w:tcW w:w="0" w:type="auto"/>
          </w:tcPr>
          <w:p>
            <w:pPr>
              <w:spacing w:line="240" w:lineRule="auto" w:before="0" w:after="0"/>
              <w:pStyle w:val="Compact"/>
            </w:pPr>
            <w:r>
              <w:rPr>
                <w:sz w:val="20"/>
                <w:szCs w:val="20"/>
              </w:rPr>
              <w:t xml:space="preserve">GAO Assessments of Major NASA Projects (portfolio counts: 24 in 2019, 21-22 in 2021-2023, 16 in 2024, 18 in 2025)</w:t>
            </w:r>
          </w:p>
        </w:tc>
      </w:tr>
      <w:tr>
        <w:tc>
          <w:tcPr>
            <w:tcW w:w="0" w:type="auto"/>
          </w:tcPr>
          <w:p>
            <w:pPr>
              <w:spacing w:line="240" w:lineRule="auto" w:before="0" w:after="0"/>
              <w:pStyle w:val="Compact"/>
            </w:pPr>
            <w:r>
              <w:rPr>
                <w:sz w:val="20"/>
                <w:szCs w:val="20"/>
              </w:rPr>
              <w:t xml:space="preserve">integration_phase</w:t>
            </w:r>
          </w:p>
        </w:tc>
        <w:tc>
          <w:tcPr>
            <w:tcW w:w="0" w:type="auto"/>
          </w:tcPr>
          <w:p>
            <w:pPr>
              <w:spacing w:line="240" w:lineRule="auto" w:before="0" w:after="0"/>
              <w:pStyle w:val="Compact"/>
            </w:pPr>
            <w:r>
              <w:rPr>
                <w:sz w:val="20"/>
                <w:szCs w:val="20"/>
              </w:rPr>
              <w:t xml:space="preserve">Indicator equal to one if the project is in integration and test or final assembly at observation, the highest-burden development phase, else zero</w:t>
            </w:r>
          </w:p>
        </w:tc>
        <w:tc>
          <w:tcPr>
            <w:tcW w:w="0" w:type="auto"/>
          </w:tcPr>
          <w:p>
            <w:pPr>
              <w:spacing w:line="240" w:lineRule="auto" w:before="0" w:after="0"/>
              <w:pStyle w:val="Compact"/>
            </w:pPr>
            <w:r>
              <w:rPr>
                <w:sz w:val="20"/>
                <w:szCs w:val="20"/>
              </w:rPr>
              <w:t xml:space="preserve">GAO Assessments of Major NASA Projects life-cycle phase tables</w:t>
            </w:r>
          </w:p>
        </w:tc>
      </w:tr>
      <w:tr>
        <w:tc>
          <w:tcPr>
            <w:tcW w:w="0" w:type="auto"/>
          </w:tcPr>
          <w:p>
            <w:pPr>
              <w:spacing w:line="240" w:lineRule="auto" w:before="0" w:after="0"/>
              <w:pStyle w:val="Compact"/>
            </w:pPr>
            <w:r>
              <w:rPr>
                <w:sz w:val="20"/>
                <w:szCs w:val="20"/>
              </w:rPr>
              <w:t xml:space="preserve">lcc_billion</w:t>
            </w:r>
          </w:p>
        </w:tc>
        <w:tc>
          <w:tcPr>
            <w:tcW w:w="0" w:type="auto"/>
          </w:tcPr>
          <w:p>
            <w:pPr>
              <w:spacing w:line="240" w:lineRule="auto" w:before="0" w:after="0"/>
              <w:pStyle w:val="Compact"/>
            </w:pPr>
            <w:r>
              <w:rPr>
                <w:sz w:val="20"/>
                <w:szCs w:val="20"/>
              </w:rPr>
              <w:t xml:space="preserve">Project life-cycle cost in billions of US dollars, a control for mission scale and technical complexity</w:t>
            </w:r>
          </w:p>
        </w:tc>
        <w:tc>
          <w:tcPr>
            <w:tcW w:w="0" w:type="auto"/>
          </w:tcPr>
          <w:p>
            <w:pPr>
              <w:spacing w:line="240" w:lineRule="auto" w:before="0" w:after="0"/>
              <w:pStyle w:val="Compact"/>
            </w:pPr>
            <w:r>
              <w:rPr>
                <w:sz w:val="20"/>
                <w:szCs w:val="20"/>
              </w:rPr>
              <w:t xml:space="preserve">GAO Assessments of Major NASA Projects; NASA OIG cost reports; mission press kits</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Indicator equal to one if the project belongs to the human-spaceflight and exploration line (SLS, Orion, Mobile Launcher, Exploration Upper Stage), which carries shared cross-program review burden, else zero</w:t>
            </w:r>
          </w:p>
        </w:tc>
        <w:tc>
          <w:tcPr>
            <w:tcW w:w="0" w:type="auto"/>
          </w:tcPr>
          <w:p>
            <w:pPr>
              <w:spacing w:line="240" w:lineRule="auto" w:before="0" w:after="0"/>
              <w:pStyle w:val="Compact"/>
            </w:pPr>
            <w:r>
              <w:rPr>
                <w:sz w:val="20"/>
                <w:szCs w:val="20"/>
              </w:rPr>
              <w:t xml:space="preserve">NASA program designations; GAO-19-377 exploration program coverage</w:t>
            </w:r>
          </w:p>
        </w:tc>
      </w:tr>
    </w:tbl>
    <w:bookmarkEnd w:id="178"/>
    <w:bookmarkEnd w:id="179"/>
    <w:bookmarkStart w:id="187" w:name="X39d88bffae443f01b00c60e7a2bbc4deca1d475"/>
    <w:p>
      <w:pPr>
        <w:pStyle w:val="Heading2"/>
        <w:spacing w:line="480" w:lineRule="auto"/>
      </w:pPr>
      <w:r>
        <w:t xml:space="preserve">A.2 Mission Integration Tempo and Operations Burden: A Panel Model of How Concurrent Operations Shape NASA Phase E Cost</w:t>
      </w:r>
    </w:p>
    <w:p>
      <w:pPr>
        <w:pStyle w:val="FirstParagraph"/>
        <w:spacing w:line="480" w:lineRule="auto"/>
      </w:pPr>
      <m:oMathPara>
        <m:oMathParaPr>
          <m:jc m:val="center"/>
        </m:oMathParaPr>
        <m:oMath>
          <m:r>
            <m:rPr>
              <m:sty m:val="p"/>
            </m:rPr>
            <m:t>ln</m:t>
          </m:r>
          <m:r>
            <m:rPr>
              <m:sty m:val="p"/>
            </m:rPr>
            <m:t>(</m:t>
          </m:r>
          <m:sSub>
            <m:e>
              <m:r>
                <m:rPr>
                  <m:sty m:val="p"/>
                </m:rPr>
                <m:t>O</m:t>
              </m:r>
              <m:r>
                <m:rPr>
                  <m:sty m:val="p"/>
                </m:rPr>
                <m:t>p</m:t>
              </m:r>
              <m:r>
                <m:rPr>
                  <m:sty m:val="p"/>
                </m:rPr>
                <m:t>s</m:t>
              </m:r>
              <m:r>
                <m:rPr>
                  <m:sty m:val="p"/>
                </m:rPr>
                <m:t>C</m:t>
              </m:r>
              <m:r>
                <m:rPr>
                  <m:sty m:val="p"/>
                </m:rPr>
                <m:t>o</m:t>
              </m:r>
              <m:r>
                <m:rPr>
                  <m:sty m:val="p"/>
                </m:rPr>
                <m:t>s</m:t>
              </m:r>
              <m:r>
                <m:rPr>
                  <m:sty m:val="p"/>
                </m:rPr>
                <m:t>t</m:t>
              </m:r>
            </m:e>
            <m:sub>
              <m:r>
                <m:t>i</m:t>
              </m:r>
            </m:sub>
          </m:sSub>
          <m:r>
            <m:rPr>
              <m:sty m:val="p"/>
            </m:rPr>
            <m:t>)</m:t>
          </m:r>
          <m:r>
            <m:rPr>
              <m:sty m:val="p"/>
            </m:rPr>
            <m:t>=</m:t>
          </m:r>
          <m:sSub>
            <m:e>
              <m:r>
                <m:t>β</m:t>
              </m:r>
            </m:e>
            <m:sub>
              <m:r>
                <m:t>0</m:t>
              </m:r>
            </m:sub>
          </m:sSub>
          <m:r>
            <m:rPr>
              <m:sty m:val="p"/>
            </m:rPr>
            <m:t>+</m:t>
          </m:r>
          <m:sSub>
            <m:e>
              <m:r>
                <m:t>β</m:t>
              </m:r>
            </m:e>
            <m:sub>
              <m:r>
                <m:t>1</m:t>
              </m:r>
            </m:sub>
          </m:sSub>
          <m:sSub>
            <m:e>
              <m:r>
                <m:rPr>
                  <m:sty m:val="p"/>
                </m:rPr>
                <m:t>T</m:t>
              </m:r>
              <m:r>
                <m:rPr>
                  <m:sty m:val="p"/>
                </m:rPr>
                <m:t>e</m:t>
              </m:r>
              <m:r>
                <m:rPr>
                  <m:sty m:val="p"/>
                </m:rPr>
                <m:t>m</m:t>
              </m:r>
              <m:r>
                <m:rPr>
                  <m:sty m:val="p"/>
                </m:rPr>
                <m:t>p</m:t>
              </m:r>
              <m:r>
                <m:rPr>
                  <m:sty m:val="p"/>
                </m:rPr>
                <m:t>o</m:t>
              </m:r>
            </m:e>
            <m:sub>
              <m:r>
                <m:t>i</m:t>
              </m:r>
            </m:sub>
          </m:sSub>
          <m:r>
            <m:rPr>
              <m:sty m:val="p"/>
            </m:rPr>
            <m:t>+</m:t>
          </m:r>
          <m:sSub>
            <m:e>
              <m:r>
                <m:t>β</m:t>
              </m:r>
            </m:e>
            <m:sub>
              <m:r>
                <m:t>2</m:t>
              </m:r>
            </m:sub>
          </m:sSub>
          <m:r>
            <m:rPr>
              <m:sty m:val="p"/>
            </m:rPr>
            <m:t>ln</m:t>
          </m:r>
          <m:r>
            <m:rPr>
              <m:sty m:val="p"/>
            </m:rPr>
            <m:t>(</m:t>
          </m:r>
          <m:sSub>
            <m:e>
              <m:r>
                <m:rPr>
                  <m:sty m:val="p"/>
                </m:rPr>
                <m:t>M</m:t>
              </m:r>
              <m:r>
                <m:rPr>
                  <m:sty m:val="p"/>
                </m:rPr>
                <m:t>a</m:t>
              </m:r>
              <m:r>
                <m:rPr>
                  <m:sty m:val="p"/>
                </m:rPr>
                <m:t>s</m:t>
              </m:r>
              <m:r>
                <m:rPr>
                  <m:sty m:val="p"/>
                </m:rPr>
                <m:t>s</m:t>
              </m:r>
            </m:e>
            <m:sub>
              <m:r>
                <m:t>i</m:t>
              </m:r>
            </m:sub>
          </m:sSub>
          <m:r>
            <m:rPr>
              <m:sty m:val="p"/>
            </m:rPr>
            <m:t>)</m:t>
          </m:r>
          <m:r>
            <m:rPr>
              <m:sty m:val="p"/>
            </m:rPr>
            <m:t>+</m:t>
          </m:r>
          <m:sSub>
            <m:e>
              <m:r>
                <m:t>β</m:t>
              </m:r>
            </m:e>
            <m:sub>
              <m:r>
                <m:t>3</m:t>
              </m:r>
            </m:sub>
          </m:sSub>
          <m:sSub>
            <m:e>
              <m:r>
                <m:rPr>
                  <m:sty m:val="p"/>
                </m:rPr>
                <m:t>I</m:t>
              </m:r>
              <m:r>
                <m:rPr>
                  <m:sty m:val="p"/>
                </m:rPr>
                <m:t>n</m:t>
              </m:r>
              <m:r>
                <m:rPr>
                  <m:sty m:val="p"/>
                </m:rPr>
                <m:t>s</m:t>
              </m:r>
              <m:r>
                <m:rPr>
                  <m:sty m:val="p"/>
                </m:rPr>
                <m:t>t</m:t>
              </m:r>
              <m:r>
                <m:rPr>
                  <m:sty m:val="p"/>
                </m:rPr>
                <m:t>r</m:t>
              </m:r>
            </m:e>
            <m:sub>
              <m:r>
                <m:t>i</m:t>
              </m:r>
            </m:sub>
          </m:sSub>
          <m:r>
            <m:rPr>
              <m:sty m:val="p"/>
            </m:rPr>
            <m:t>+</m:t>
          </m:r>
          <m:sSub>
            <m:e>
              <m:r>
                <m:t>β</m:t>
              </m:r>
            </m:e>
            <m:sub>
              <m:r>
                <m:t>4</m:t>
              </m:r>
            </m:sub>
          </m:sSub>
          <m:sSub>
            <m:e>
              <m:r>
                <m:rPr>
                  <m:sty m:val="p"/>
                </m:rPr>
                <m:t>D</m:t>
              </m:r>
              <m:r>
                <m:rPr>
                  <m:sty m:val="p"/>
                </m:rPr>
                <m:t>u</m:t>
              </m:r>
              <m:r>
                <m:rPr>
                  <m:sty m:val="p"/>
                </m:rPr>
                <m:t>r</m:t>
              </m:r>
            </m:e>
            <m:sub>
              <m:r>
                <m:t>i</m:t>
              </m:r>
            </m:sub>
          </m:sSub>
          <m:r>
            <m:rPr>
              <m:sty m:val="p"/>
            </m:rPr>
            <m:t>+</m:t>
          </m:r>
          <m:sSub>
            <m:e>
              <m:r>
                <m:t>β</m:t>
              </m:r>
            </m:e>
            <m:sub>
              <m:r>
                <m:t>5</m:t>
              </m:r>
            </m:sub>
          </m:sSub>
          <m:sSub>
            <m:e>
              <m:r>
                <m:rPr>
                  <m:sty m:val="p"/>
                </m:rPr>
                <m:t>F</m:t>
              </m:r>
              <m:r>
                <m:rPr>
                  <m:sty m:val="p"/>
                </m:rPr>
                <m:t>l</m:t>
              </m:r>
              <m:r>
                <m:rPr>
                  <m:sty m:val="p"/>
                </m:rPr>
                <m:t>a</m:t>
              </m:r>
              <m:r>
                <m:rPr>
                  <m:sty m:val="p"/>
                </m:rPr>
                <m:t>g</m:t>
              </m:r>
              <m:r>
                <m:rPr>
                  <m:sty m:val="p"/>
                </m:rPr>
                <m:t>s</m:t>
              </m:r>
              <m:r>
                <m:rPr>
                  <m:sty m:val="p"/>
                </m:rPr>
                <m:t>h</m:t>
              </m:r>
              <m:r>
                <m:rPr>
                  <m:sty m:val="p"/>
                </m:rPr>
                <m:t>i</m:t>
              </m:r>
              <m:r>
                <m:rPr>
                  <m:sty m:val="p"/>
                </m:rPr>
                <m:t>p</m:t>
              </m:r>
            </m:e>
            <m:sub>
              <m:r>
                <m:t>i</m:t>
              </m:r>
            </m:sub>
          </m:sSub>
          <m:r>
            <m:rPr>
              <m:sty m:val="p"/>
            </m:rPr>
            <m:t>+</m:t>
          </m:r>
          <m:sSub>
            <m:e>
              <m:r>
                <m:t>ε</m:t>
              </m:r>
            </m:e>
            <m:sub>
              <m:r>
                <m:t>i</m:t>
              </m:r>
            </m:sub>
          </m:sSub>
        </m:oMath>
      </m:oMathPara>
    </w:p>
    <w:bookmarkStart w:id="18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2.6008</w:t>
            </w:r>
          </w:p>
        </w:tc>
        <w:tc>
          <w:tcPr>
            <w:tcW w:w="0" w:type="auto"/>
          </w:tcPr>
          <w:p>
            <w:pPr>
              <w:spacing w:line="240" w:lineRule="auto" w:before="0" w:after="0"/>
              <w:pStyle w:val="Compact"/>
            </w:pPr>
            <w:r>
              <w:rPr>
                <w:sz w:val="20"/>
                <w:szCs w:val="20"/>
              </w:rPr>
              <w:t xml:space="preserve">1.4394</w:t>
            </w:r>
          </w:p>
        </w:tc>
        <w:tc>
          <w:tcPr>
            <w:tcW w:w="0" w:type="auto"/>
          </w:tcPr>
          <w:p>
            <w:pPr>
              <w:spacing w:line="240" w:lineRule="auto" w:before="0" w:after="0"/>
              <w:pStyle w:val="Compact"/>
            </w:pPr>
            <w:r>
              <w:rPr>
                <w:sz w:val="20"/>
                <w:szCs w:val="20"/>
              </w:rPr>
              <w:t xml:space="preserve">1.8069</w:t>
            </w:r>
          </w:p>
        </w:tc>
        <w:tc>
          <w:tcPr>
            <w:tcW w:w="0" w:type="auto"/>
          </w:tcPr>
          <w:p>
            <w:pPr>
              <w:spacing w:line="240" w:lineRule="auto" w:before="0" w:after="0"/>
              <w:pStyle w:val="Compact"/>
            </w:pPr>
            <w:r>
              <w:rPr>
                <w:sz w:val="20"/>
                <w:szCs w:val="20"/>
              </w:rPr>
              <w:t xml:space="preserve">0.0708</w:t>
            </w:r>
          </w:p>
        </w:tc>
        <w:tc>
          <w:tcPr>
            <w:tcW w:w="0" w:type="auto"/>
          </w:tcPr>
          <w:p>
            <w:pPr>
              <w:spacing w:line="240" w:lineRule="auto" w:before="0" w:after="0"/>
              <w:pStyle w:val="Compact"/>
            </w:pPr>
            <w:r>
              <w:rPr>
                <w:sz w:val="20"/>
                <w:szCs w:val="20"/>
              </w:rPr>
              <w:t xml:space="preserve">[-0.2203, 5.4219]</w:t>
            </w:r>
          </w:p>
        </w:tc>
      </w:tr>
      <w:tr>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0.8608</w:t>
            </w:r>
          </w:p>
        </w:tc>
        <w:tc>
          <w:tcPr>
            <w:tcW w:w="0" w:type="auto"/>
          </w:tcPr>
          <w:p>
            <w:pPr>
              <w:spacing w:line="240" w:lineRule="auto" w:before="0" w:after="0"/>
              <w:pStyle w:val="Compact"/>
            </w:pPr>
            <w:r>
              <w:rPr>
                <w:sz w:val="20"/>
                <w:szCs w:val="20"/>
              </w:rPr>
              <w:t xml:space="preserve">[-0.1017, 0.085]</w:t>
            </w:r>
          </w:p>
        </w:tc>
      </w:tr>
      <w:tr>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0.2526</w:t>
            </w:r>
          </w:p>
        </w:tc>
        <w:tc>
          <w:tcPr>
            <w:tcW w:w="0" w:type="auto"/>
          </w:tcPr>
          <w:p>
            <w:pPr>
              <w:spacing w:line="240" w:lineRule="auto" w:before="0" w:after="0"/>
              <w:pStyle w:val="Compact"/>
            </w:pPr>
            <w:r>
              <w:rPr>
                <w:sz w:val="20"/>
                <w:szCs w:val="20"/>
              </w:rPr>
              <w:t xml:space="preserve">0.1735</w:t>
            </w:r>
          </w:p>
        </w:tc>
        <w:tc>
          <w:tcPr>
            <w:tcW w:w="0" w:type="auto"/>
          </w:tcPr>
          <w:p>
            <w:pPr>
              <w:spacing w:line="240" w:lineRule="auto" w:before="0" w:after="0"/>
              <w:pStyle w:val="Compact"/>
            </w:pPr>
            <w:r>
              <w:rPr>
                <w:sz w:val="20"/>
                <w:szCs w:val="20"/>
              </w:rPr>
              <w:t xml:space="preserve">1.4553</w:t>
            </w:r>
          </w:p>
        </w:tc>
        <w:tc>
          <w:tcPr>
            <w:tcW w:w="0" w:type="auto"/>
          </w:tcPr>
          <w:p>
            <w:pPr>
              <w:spacing w:line="240" w:lineRule="auto" w:before="0" w:after="0"/>
              <w:pStyle w:val="Compact"/>
            </w:pPr>
            <w:r>
              <w:rPr>
                <w:sz w:val="20"/>
                <w:szCs w:val="20"/>
              </w:rPr>
              <w:t xml:space="preserve">0.1456</w:t>
            </w:r>
          </w:p>
        </w:tc>
        <w:tc>
          <w:tcPr>
            <w:tcW w:w="0" w:type="auto"/>
          </w:tcPr>
          <w:p>
            <w:pPr>
              <w:spacing w:line="240" w:lineRule="auto" w:before="0" w:after="0"/>
              <w:pStyle w:val="Compact"/>
            </w:pPr>
            <w:r>
              <w:rPr>
                <w:sz w:val="20"/>
                <w:szCs w:val="20"/>
              </w:rPr>
              <w:t xml:space="preserve">[-0.0876, 0.5927]</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-0.159</w:t>
            </w:r>
          </w:p>
        </w:tc>
        <w:tc>
          <w:tcPr>
            <w:tcW w:w="0" w:type="auto"/>
          </w:tcPr>
          <w:p>
            <w:pPr>
              <w:spacing w:line="240" w:lineRule="auto" w:before="0" w:after="0"/>
              <w:pStyle w:val="Compact"/>
            </w:pPr>
            <w:r>
              <w:rPr>
                <w:sz w:val="20"/>
                <w:szCs w:val="20"/>
              </w:rPr>
              <w:t xml:space="preserve">0.8737</w:t>
            </w:r>
          </w:p>
        </w:tc>
        <w:tc>
          <w:tcPr>
            <w:tcW w:w="0" w:type="auto"/>
          </w:tcPr>
          <w:p>
            <w:pPr>
              <w:spacing w:line="240" w:lineRule="auto" w:before="0" w:after="0"/>
              <w:pStyle w:val="Compact"/>
            </w:pPr>
            <w:r>
              <w:rPr>
                <w:sz w:val="20"/>
                <w:szCs w:val="20"/>
              </w:rPr>
              <w:t xml:space="preserve">[-0.1165, 0.099]</w:t>
            </w:r>
          </w:p>
        </w:tc>
      </w:tr>
      <w:tr>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1.9843</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[0.0008745, 0.1418]</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0.9994</w:t>
            </w:r>
          </w:p>
        </w:tc>
        <w:tc>
          <w:tcPr>
            <w:tcW w:w="0" w:type="auto"/>
          </w:tcPr>
          <w:p>
            <w:pPr>
              <w:spacing w:line="240" w:lineRule="auto" w:before="0" w:after="0"/>
              <w:pStyle w:val="Compact"/>
            </w:pPr>
            <w:r>
              <w:rPr>
                <w:sz w:val="20"/>
                <w:szCs w:val="20"/>
              </w:rPr>
              <w:t xml:space="preserve">0.2347</w:t>
            </w:r>
          </w:p>
        </w:tc>
        <w:tc>
          <w:tcPr>
            <w:tcW w:w="0" w:type="auto"/>
          </w:tcPr>
          <w:p>
            <w:pPr>
              <w:spacing w:line="240" w:lineRule="auto" w:before="0" w:after="0"/>
              <w:pStyle w:val="Compact"/>
            </w:pPr>
            <w:r>
              <w:rPr>
                <w:sz w:val="20"/>
                <w:szCs w:val="20"/>
              </w:rPr>
              <w:t xml:space="preserve">4.258</w:t>
            </w:r>
          </w:p>
        </w:tc>
        <w:tc>
          <w:tcPr>
            <w:tcW w:w="0" w:type="auto"/>
          </w:tcPr>
          <w:p>
            <w:pPr>
              <w:spacing w:line="240" w:lineRule="auto" w:before="0" w:after="0"/>
              <w:pStyle w:val="Compact"/>
            </w:pPr>
            <w:r>
              <w:rPr>
                <w:sz w:val="20"/>
                <w:szCs w:val="20"/>
              </w:rPr>
              <w:t xml:space="preserve">2.063e-05</w:t>
            </w:r>
          </w:p>
        </w:tc>
        <w:tc>
          <w:tcPr>
            <w:tcW w:w="0" w:type="auto"/>
          </w:tcPr>
          <w:p>
            <w:pPr>
              <w:spacing w:line="240" w:lineRule="auto" w:before="0" w:after="0"/>
              <w:pStyle w:val="Compact"/>
            </w:pPr>
            <w:r>
              <w:rPr>
                <w:sz w:val="20"/>
                <w:szCs w:val="20"/>
              </w:rPr>
              <w:t xml:space="preserve">[0.5393, 1.4594]</w:t>
            </w:r>
          </w:p>
        </w:tc>
      </w:tr>
    </w:tbl>
    <w:p>
      <w:pPr>
        <w:pStyle w:val="BodyText"/>
        <w:spacing w:line="480" w:lineRule="auto"/>
        <w:ind w:firstLine="720"/>
      </w:pPr>
      <w:r>
        <w:t xml:space="preserve">Fit: N = 19 R2 = 0.6628 R2_adj = 0.5332 F = 14.2204 F_p = 7.007e-05</w:t>
      </w:r>
    </w:p>
    <w:bookmarkEnd w:id="180"/>
    <w:bookmarkStart w:id="18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Phase E operations cost (log scale) against mission integration tempo across 19 NASA deep-space science missions, 1997 to 2023. The fitted slope indicates the partial association between portfolio concurrency and per-mission operations burden." title="" id="182" name="Picture"/>
            <a:graphic>
              <a:graphicData uri="http://schemas.openxmlformats.org/drawingml/2006/picture">
                <pic:pic>
                  <pic:nvPicPr>
                    <pic:cNvPr descr="D:/Claude_Code/brain/collegium/candidates/dissertations/JPL_MGMT_SMA_TECH_09/research_papers/p2/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Phase E operations cost (log scale) against mission integration tempo across 19 NASA deep-space science missions, 1997 to 2023. The fitted slope indicates the partial association between portfolio concurrency and per-mission operations burden.</w:t>
      </w:r>
    </w:p>
    <w:bookmarkEnd w:id="184"/>
    <w:bookmarkStart w:id="18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ops_years</w:t>
            </w:r>
          </w:p>
        </w:tc>
        <w:tc>
          <w:tcPr>
            <w:tcW w:w="0" w:type="auto"/>
          </w:tcPr>
          <w:p>
            <w:pPr>
              <w:spacing w:line="240" w:lineRule="auto" w:before="0" w:after="0"/>
              <w:pStyle w:val="Compact"/>
            </w:pPr>
            <w:r>
              <w:rPr>
                <w:sz w:val="20"/>
                <w:szCs w:val="20"/>
              </w:rPr>
              <w:t xml:space="preserve">ops_cost_M</w:t>
            </w:r>
          </w:p>
        </w:tc>
        <w:tc>
          <w:tcPr>
            <w:tcW w:w="0" w:type="auto"/>
          </w:tcPr>
          <w:p>
            <w:pPr>
              <w:spacing w:line="240" w:lineRule="auto" w:before="0" w:after="0"/>
              <w:pStyle w:val="Compact"/>
            </w:pPr>
            <w:r>
              <w:rPr>
                <w:sz w:val="20"/>
                <w:szCs w:val="20"/>
              </w:rPr>
              <w:t xml:space="preserve">ln_ops_cost_M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8.6503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Wikipedia, Cassini-Huygens: launch 1997-10-15, 3yr prime to 2008, mass 5712 kg, 12 orbiter instruments, total US$3.26B</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1107.9</w:t>
            </w:r>
          </w:p>
        </w:tc>
        <w:tc>
          <w:tcPr>
            <w:tcW w:w="0" w:type="auto"/>
          </w:tcPr>
          <w:p>
            <w:pPr>
              <w:spacing w:line="240" w:lineRule="auto" w:before="0" w:after="0"/>
              <w:pStyle w:val="Compact"/>
            </w:pPr>
            <w:r>
              <w:rPr>
                <w:sz w:val="20"/>
                <w:szCs w:val="20"/>
              </w:rPr>
              <w:t xml:space="preserve">7.0102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Wikipedia, MESSENGER (NASA Discovery): launch 2004-08-03, ~1yr Mercury-orbit prime to 2012, mass 1107.9 kg, 9 instruments, total &lt; US$450M</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7.6871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Wikipedia, Mars Reconnaissance Orbiter: launch 2005-08-12, US$210M for 5yr operations, mass 2180 kg, 6 science instruments; total US$716.6M</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6.1696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Wikipedia, New Horizons (NASA New Frontiers): launch 2006-01-19, Pluto-flyby prime to ~2016, mass 478 kg, 7 instruments, ~US$700M over 2001-2016</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670</w:t>
            </w:r>
          </w:p>
        </w:tc>
        <w:tc>
          <w:tcPr>
            <w:tcW w:w="0" w:type="auto"/>
          </w:tcPr>
          <w:p>
            <w:pPr>
              <w:spacing w:line="240" w:lineRule="auto" w:before="0" w:after="0"/>
              <w:pStyle w:val="Compact"/>
            </w:pPr>
            <w:r>
              <w:rPr>
                <w:sz w:val="20"/>
                <w:szCs w:val="20"/>
              </w:rPr>
              <w:t xml:space="preserve">6.5073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3.8067</w:t>
            </w:r>
          </w:p>
        </w:tc>
        <w:tc>
          <w:tcPr>
            <w:tcW w:w="0" w:type="auto"/>
          </w:tcPr>
          <w:p>
            <w:pPr>
              <w:spacing w:line="240" w:lineRule="auto" w:before="0" w:after="0"/>
              <w:pStyle w:val="Compact"/>
            </w:pPr>
            <w:r>
              <w:rPr>
                <w:sz w:val="20"/>
                <w:szCs w:val="20"/>
              </w:rPr>
              <w:t xml:space="preserve">Wikipedia, Phoenix (NASA Mars Scout): launch 2007-08-04, 90-sol prime 2008, lander mass 670 kg, ~6 instrument packages, total US$420M incl launch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1217.7</w:t>
            </w:r>
          </w:p>
        </w:tc>
        <w:tc>
          <w:tcPr>
            <w:tcW w:w="0" w:type="auto"/>
          </w:tcPr>
          <w:p>
            <w:pPr>
              <w:spacing w:line="240" w:lineRule="auto" w:before="0" w:after="0"/>
              <w:pStyle w:val="Compact"/>
            </w:pPr>
            <w:r>
              <w:rPr>
                <w:sz w:val="20"/>
                <w:szCs w:val="20"/>
              </w:rPr>
              <w:t xml:space="preserve">7.1047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4.5433</w:t>
            </w:r>
          </w:p>
        </w:tc>
        <w:tc>
          <w:tcPr>
            <w:tcW w:w="0" w:type="auto"/>
          </w:tcPr>
          <w:p>
            <w:pPr>
              <w:spacing w:line="240" w:lineRule="auto" w:before="0" w:after="0"/>
              <w:pStyle w:val="Compact"/>
            </w:pPr>
            <w:r>
              <w:rPr>
                <w:sz w:val="20"/>
                <w:szCs w:val="20"/>
              </w:rPr>
              <w:t xml:space="preserve">Wikipedia, Dawn (NASA Discovery): launch 2007-09-27, mass 1217.7 kg, 3 instruments, final cost US$446M</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1052.4</w:t>
            </w:r>
          </w:p>
        </w:tc>
        <w:tc>
          <w:tcPr>
            <w:tcW w:w="0" w:type="auto"/>
          </w:tcPr>
          <w:p>
            <w:pPr>
              <w:spacing w:line="240" w:lineRule="auto" w:before="0" w:after="0"/>
              <w:pStyle w:val="Compact"/>
            </w:pPr>
            <w:r>
              <w:rPr>
                <w:sz w:val="20"/>
                <w:szCs w:val="20"/>
              </w:rPr>
              <w:t xml:space="preserve">6.9588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Wikipedia, Kepler space telescope: launch 2009-03-07, 3.5yr prime, mass 1052.4 kg, 1 photometer, life-cycle US$600M, ~US$20M/yr extended</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1916</w:t>
            </w:r>
          </w:p>
        </w:tc>
        <w:tc>
          <w:tcPr>
            <w:tcW w:w="0" w:type="auto"/>
          </w:tcPr>
          <w:p>
            <w:pPr>
              <w:spacing w:line="240" w:lineRule="auto" w:before="0" w:after="0"/>
              <w:pStyle w:val="Compact"/>
            </w:pPr>
            <w:r>
              <w:rPr>
                <w:sz w:val="20"/>
                <w:szCs w:val="20"/>
              </w:rPr>
              <w:t xml:space="preserve">7.558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Wikipedia, Lunar Reconnaissance Orbiter: launch 2009-06-18, 1yr prime, mass 1916 kg, 7 instruments, US$504M LRO probe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8.1956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Wikipedia, Juno (NASA New Frontiers): launch 2011-08-05, prime to 2018, mass 3625 kg, 9 instruments, US$1.46B ops+analysis through 2022</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404.8</w:t>
            </w:r>
          </w:p>
        </w:tc>
        <w:tc>
          <w:tcPr>
            <w:tcW w:w="0" w:type="auto"/>
          </w:tcPr>
          <w:p>
            <w:pPr>
              <w:spacing w:line="240" w:lineRule="auto" w:before="0" w:after="0"/>
              <w:pStyle w:val="Compact"/>
            </w:pPr>
            <w:r>
              <w:rPr>
                <w:sz w:val="20"/>
                <w:szCs w:val="20"/>
              </w:rPr>
              <w:t xml:space="preserve">6.0034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Wikipedia, GRAIL (NASA Discovery): launch 2011-09-10, 88-day prime 2012, combined mass 404.8 kg, 3 instruments per orbiter, US$496M program</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3839</w:t>
            </w:r>
          </w:p>
        </w:tc>
        <w:tc>
          <w:tcPr>
            <w:tcW w:w="0" w:type="auto"/>
          </w:tcPr>
          <w:p>
            <w:pPr>
              <w:spacing w:line="240" w:lineRule="auto" w:before="0" w:after="0"/>
              <w:pStyle w:val="Compact"/>
            </w:pPr>
            <w:r>
              <w:rPr>
                <w:sz w:val="20"/>
                <w:szCs w:val="20"/>
              </w:rPr>
              <w:t xml:space="preserve">8.253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158.8</w:t>
            </w:r>
          </w:p>
        </w:tc>
        <w:tc>
          <w:tcPr>
            <w:tcW w:w="0" w:type="auto"/>
          </w:tcPr>
          <w:p>
            <w:pPr>
              <w:spacing w:line="240" w:lineRule="auto" w:before="0" w:after="0"/>
              <w:pStyle w:val="Compact"/>
            </w:pPr>
            <w:r>
              <w:rPr>
                <w:sz w:val="20"/>
                <w:szCs w:val="20"/>
              </w:rPr>
              <w:t xml:space="preserve">5.0676</w:t>
            </w:r>
          </w:p>
        </w:tc>
        <w:tc>
          <w:tcPr>
            <w:tcW w:w="0" w:type="auto"/>
          </w:tcPr>
          <w:p>
            <w:pPr>
              <w:spacing w:line="240" w:lineRule="auto" w:before="0" w:after="0"/>
              <w:pStyle w:val="Compact"/>
            </w:pPr>
            <w:r>
              <w:rPr>
                <w:sz w:val="20"/>
                <w:szCs w:val="20"/>
              </w:rPr>
              <w:t xml:space="preserve">Wikipedia, Mars Science Laboratory: launch 2011-11-26, 687-day prime to ~2014, mass 3839 kg, ~10 instruments, total ~US$2.5B; Phase E US$158.8M primary (Cangi et al. 2019, LASP)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7.8055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Wikipedia, MAVEN: launch 2013-11-18, ~1yr prime to 2016, mass 2454 kg, 8 instruments, US$582.5M build+launch+operate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6.7799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5.6454</w:t>
            </w:r>
          </w:p>
        </w:tc>
        <w:tc>
          <w:tcPr>
            <w:tcW w:w="0" w:type="auto"/>
          </w:tcPr>
          <w:p>
            <w:pPr>
              <w:spacing w:line="240" w:lineRule="auto" w:before="0" w:after="0"/>
              <w:pStyle w:val="Compact"/>
            </w:pPr>
            <w:r>
              <w:rPr>
                <w:sz w:val="20"/>
                <w:szCs w:val="20"/>
              </w:rPr>
              <w:t xml:space="preserve">Planetary Society, Cost of OSIRIS-REx: launch 2016-09, Phase E US$283M over prime ops, dev US$558.5M, total US$1.16B; mass 880 kg per NASA OSIRIS-REx press kit 2016</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6.5294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Wikipedia, Parker Solar Probe: launch 2018-08-12, 7yr prime, mass 685 kg, 4 instruments, US$1.5B</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6.5425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Wikipedia, InSight (NASA Discovery): launch 2018-05-05, 2yr prime to 2020, lander mass 694 kg, 4 instruments, total US$830M</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6.9324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Planetary Society, Cost of Perseverance in Context: launch 2020, prime ops 2yr US$300M, dev US$2.2B, life-cycle US$2.725B; rover mass 1025 kg per NASA Mars2020 press kit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7.346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Wikipedia, Lucy (NASA Discovery): launch 2021-10-16, 12yr prime, mass 1550 kg, 3 instruments, US$981M mission</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6.4135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Wikipedia, DART: launch 2021-11-24, 10-month prime 2022, mass 610 kg, 0 science instruments, spacecraft US$330M</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2608</w:t>
            </w:r>
          </w:p>
        </w:tc>
        <w:tc>
          <w:tcPr>
            <w:tcW w:w="0" w:type="auto"/>
          </w:tcPr>
          <w:p>
            <w:pPr>
              <w:spacing w:line="240" w:lineRule="auto" w:before="0" w:after="0"/>
              <w:pStyle w:val="Compact"/>
            </w:pPr>
            <w:r>
              <w:rPr>
                <w:sz w:val="20"/>
                <w:szCs w:val="20"/>
              </w:rPr>
              <w:t xml:space="preserve">7.8663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4.7875</w:t>
            </w:r>
          </w:p>
        </w:tc>
        <w:tc>
          <w:tcPr>
            <w:tcW w:w="0" w:type="auto"/>
          </w:tcPr>
          <w:p>
            <w:pPr>
              <w:spacing w:line="240" w:lineRule="auto" w:before="0" w:after="0"/>
              <w:pStyle w:val="Compact"/>
            </w:pPr>
            <w:r>
              <w:rPr>
                <w:sz w:val="20"/>
                <w:szCs w:val="20"/>
              </w:rPr>
              <w:t xml:space="preserve">Wikipedia, Psyche (NASA Discovery): launch 2023-10-13, 21-month science prime, mass 2608 kg, 4 instruments</w:t>
            </w:r>
          </w:p>
        </w:tc>
      </w:tr>
    </w:tbl>
    <w:bookmarkEnd w:id="185"/>
    <w:bookmarkStart w:id="18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ln_ops_cost_M</w:t>
            </w:r>
          </w:p>
        </w:tc>
        <w:tc>
          <w:tcPr>
            <w:tcW w:w="0" w:type="auto"/>
          </w:tcPr>
          <w:p>
            <w:pPr>
              <w:spacing w:line="240" w:lineRule="auto" w:before="0" w:after="0"/>
              <w:pStyle w:val="Compact"/>
            </w:pPr>
            <w:r>
              <w:rPr>
                <w:sz w:val="20"/>
                <w:szCs w:val="20"/>
              </w:rPr>
              <w:t xml:space="preserve">Natural log of documented Phase E (operations) cost in US$ millions</w:t>
            </w:r>
          </w:p>
        </w:tc>
        <w:tc>
          <w:tcPr>
            <w:tcW w:w="0" w:type="auto"/>
          </w:tcPr>
          <w:p>
            <w:pPr>
              <w:spacing w:line="240" w:lineRule="auto" w:before="0" w:after="0"/>
              <w:pStyle w:val="Compact"/>
            </w:pPr>
            <w:r>
              <w:rPr>
                <w:sz w:val="20"/>
                <w:szCs w:val="20"/>
              </w:rPr>
              <w:t xml:space="preserve">Planetary Society mission cost analyses; Cangi, Gibson and Luebbers (2019) LASP seminar; Wikipedia mission cost breakdowns</w:t>
            </w:r>
          </w:p>
        </w:tc>
      </w:tr>
      <w:tr>
        <w:tc>
          <w:tcPr>
            <w:tcW w:w="0" w:type="auto"/>
          </w:tcPr>
          <w:p>
            <w:pPr>
              <w:spacing w:line="240" w:lineRule="auto" w:before="0" w:after="0"/>
              <w:pStyle w:val="Compact"/>
            </w:pPr>
            <w:r>
              <w:rPr>
                <w:sz w:val="20"/>
                <w:szCs w:val="20"/>
              </w:rPr>
              <w:t xml:space="preserve">tempo_concurrent</w:t>
            </w:r>
          </w:p>
        </w:tc>
        <w:tc>
          <w:tcPr>
            <w:tcW w:w="0" w:type="auto"/>
          </w:tcPr>
          <w:p>
            <w:pPr>
              <w:spacing w:line="240" w:lineRule="auto" w:before="0" w:after="0"/>
              <w:pStyle w:val="Compact"/>
            </w:pPr>
            <w:r>
              <w:rPr>
                <w:sz w:val="20"/>
                <w:szCs w:val="20"/>
              </w:rPr>
              <w:t xml:space="preserve">Mission integration tempo: count of other NASA deep-space science missions in active operations during the focal mission launch year</w:t>
            </w:r>
          </w:p>
        </w:tc>
        <w:tc>
          <w:tcPr>
            <w:tcW w:w="0" w:type="auto"/>
          </w:tcPr>
          <w:p>
            <w:pPr>
              <w:spacing w:line="240" w:lineRule="auto" w:before="0" w:after="0"/>
              <w:pStyle w:val="Compact"/>
            </w:pPr>
            <w:r>
              <w:rPr>
                <w:sz w:val="20"/>
                <w:szCs w:val="20"/>
              </w:rPr>
              <w:t xml:space="preserve">Constructed from documented launch and prime-mission-end dates of the mission roster (Wikipedia mission records; Planetary Society)</w:t>
            </w:r>
          </w:p>
        </w:tc>
      </w:tr>
      <w:tr>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Natural log of spacecraft or rover launch mass in kilograms</w:t>
            </w:r>
          </w:p>
        </w:tc>
        <w:tc>
          <w:tcPr>
            <w:tcW w:w="0" w:type="auto"/>
          </w:tcPr>
          <w:p>
            <w:pPr>
              <w:spacing w:line="240" w:lineRule="auto" w:before="0" w:after="0"/>
              <w:pStyle w:val="Compact"/>
            </w:pPr>
            <w:r>
              <w:rPr>
                <w:sz w:val="20"/>
                <w:szCs w:val="20"/>
              </w:rPr>
              <w:t xml:space="preserve">Wikipedia mission specification tables; NASA mission press kits</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Number of science instruments carried by the spacecraft</w:t>
            </w:r>
          </w:p>
        </w:tc>
        <w:tc>
          <w:tcPr>
            <w:tcW w:w="0" w:type="auto"/>
          </w:tcPr>
          <w:p>
            <w:pPr>
              <w:spacing w:line="240" w:lineRule="auto" w:before="0" w:after="0"/>
              <w:pStyle w:val="Compact"/>
            </w:pPr>
            <w:r>
              <w:rPr>
                <w:sz w:val="20"/>
                <w:szCs w:val="20"/>
              </w:rPr>
              <w:t xml:space="preserve">Wikipedia mission payload descriptions; NASA mission press kits</w:t>
            </w:r>
          </w:p>
        </w:tc>
      </w:tr>
      <w:tr>
        <w:tc>
          <w:tcPr>
            <w:tcW w:w="0" w:type="auto"/>
          </w:tcPr>
          <w:p>
            <w:pPr>
              <w:spacing w:line="240" w:lineRule="auto" w:before="0" w:after="0"/>
              <w:pStyle w:val="Compact"/>
            </w:pPr>
            <w:r>
              <w:rPr>
                <w:sz w:val="20"/>
                <w:szCs w:val="20"/>
              </w:rPr>
              <w:t xml:space="preserve">prime_years</w:t>
            </w:r>
          </w:p>
        </w:tc>
        <w:tc>
          <w:tcPr>
            <w:tcW w:w="0" w:type="auto"/>
          </w:tcPr>
          <w:p>
            <w:pPr>
              <w:spacing w:line="240" w:lineRule="auto" w:before="0" w:after="0"/>
              <w:pStyle w:val="Compact"/>
            </w:pPr>
            <w:r>
              <w:rPr>
                <w:sz w:val="20"/>
                <w:szCs w:val="20"/>
              </w:rPr>
              <w:t xml:space="preserve">Prime mission duration in years (documented launch to prime-end)</w:t>
            </w:r>
          </w:p>
        </w:tc>
        <w:tc>
          <w:tcPr>
            <w:tcW w:w="0" w:type="auto"/>
          </w:tcPr>
          <w:p>
            <w:pPr>
              <w:spacing w:line="240" w:lineRule="auto" w:before="0" w:after="0"/>
              <w:pStyle w:val="Compact"/>
            </w:pPr>
            <w:r>
              <w:rPr>
                <w:sz w:val="20"/>
                <w:szCs w:val="20"/>
              </w:rPr>
              <w:t xml:space="preserve">Wikipedia mission specification tables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Indicator equal to 1 for flagship-class missions, 0 for Discovery, New Frontiers, or Scout class</w:t>
            </w:r>
          </w:p>
        </w:tc>
        <w:tc>
          <w:tcPr>
            <w:tcW w:w="0" w:type="auto"/>
          </w:tcPr>
          <w:p>
            <w:pPr>
              <w:spacing w:line="240" w:lineRule="auto" w:before="0" w:after="0"/>
              <w:pStyle w:val="Compact"/>
            </w:pPr>
            <w:r>
              <w:rPr>
                <w:sz w:val="20"/>
                <w:szCs w:val="20"/>
              </w:rPr>
              <w:t xml:space="preserve">NASA program classification (Planetary Society; Cangi et al. 2019)</w:t>
            </w:r>
          </w:p>
        </w:tc>
      </w:tr>
    </w:tbl>
    <w:bookmarkEnd w:id="186"/>
    <w:bookmarkEnd w:id="187"/>
    <w:bookmarkEnd w:id="1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3" Type="http://schemas.openxmlformats.org/officeDocument/2006/relationships/image" Target="media/rId173.png"/><Relationship Id="rId181" Type="http://schemas.openxmlformats.org/officeDocument/2006/relationships/image" Target="media/rId181.png"/><Relationship Id="rId165" Type="http://schemas.openxmlformats.org/officeDocument/2006/relationships/hyperlink" Target="https://doi.org/10.1016/j.actaastro.2020.03.027" TargetMode="External"/><Relationship Id="rId120" Type="http://schemas.openxmlformats.org/officeDocument/2006/relationships/hyperlink" Target="https://doi.org/10.1016/j.actaastro.2020.06.018" TargetMode="External"/><Relationship Id="rId159" Type="http://schemas.openxmlformats.org/officeDocument/2006/relationships/hyperlink" Target="https://doi.org/10.1016/j.actaastro.2020.06.040" TargetMode="External"/><Relationship Id="rId163" Type="http://schemas.openxmlformats.org/officeDocument/2006/relationships/hyperlink" Target="https://doi.org/10.1016/j.actaastro.2020.10.036" TargetMode="External"/><Relationship Id="rId155" Type="http://schemas.openxmlformats.org/officeDocument/2006/relationships/hyperlink" Target="https://doi.org/10.1016/j.actaastro.2022.11.005" TargetMode="External"/><Relationship Id="rId169" Type="http://schemas.openxmlformats.org/officeDocument/2006/relationships/hyperlink" Target="https://doi.org/10.1016/j.actaastro.2023.09.025" TargetMode="External"/><Relationship Id="rId136" Type="http://schemas.openxmlformats.org/officeDocument/2006/relationships/hyperlink" Target="https://doi.org/10.1016/j.actaastro.2023.10.042" TargetMode="External"/><Relationship Id="rId124" Type="http://schemas.openxmlformats.org/officeDocument/2006/relationships/hyperlink" Target="https://doi.org/10.1016/j.actaastro.2024.05.007" TargetMode="External"/><Relationship Id="rId157" Type="http://schemas.openxmlformats.org/officeDocument/2006/relationships/hyperlink" Target="https://doi.org/10.1016/j.actaastro.2024.12.037" TargetMode="External"/><Relationship Id="rId122" Type="http://schemas.openxmlformats.org/officeDocument/2006/relationships/hyperlink" Target="https://doi.org/10.1016/j.actaastro.2025.04.038" TargetMode="External"/><Relationship Id="rId167" Type="http://schemas.openxmlformats.org/officeDocument/2006/relationships/hyperlink" Target="https://doi.org/10.1016/j.actaastro.2025.09.070" TargetMode="External"/><Relationship Id="rId161" Type="http://schemas.openxmlformats.org/officeDocument/2006/relationships/hyperlink" Target="https://doi.org/10.1016/j.actaastro.2026.03.037" TargetMode="External"/><Relationship Id="rId150" Type="http://schemas.openxmlformats.org/officeDocument/2006/relationships/hyperlink" Target="https://doi.org/10.64861/CKQN3841" TargetMode="External"/><Relationship Id="rId147" Type="http://schemas.openxmlformats.org/officeDocument/2006/relationships/hyperlink" Target="https://doi.org/10.64861/CXGE3201" TargetMode="External"/><Relationship Id="rId126" Type="http://schemas.openxmlformats.org/officeDocument/2006/relationships/hyperlink" Target="https://doi.org/10.64861/JSGC2795" TargetMode="External"/><Relationship Id="rId118" Type="http://schemas.openxmlformats.org/officeDocument/2006/relationships/hyperlink" Target="https://doi.org/10.64861/NUFH1261" TargetMode="External"/><Relationship Id="rId145" Type="http://schemas.openxmlformats.org/officeDocument/2006/relationships/hyperlink" Target="https://doi.org/10.64861/VZRK7654" TargetMode="External"/><Relationship Id="rId153" Type="http://schemas.openxmlformats.org/officeDocument/2006/relationships/hyperlink" Target="https://doi.org/10.64861/ZPBX5069" TargetMode="External"/></Relationships>
</file>

<file path=word/_rels/footnotes.xml.rels><?xml version='1.0' encoding='UTF-8' standalone='yes'?>
<Relationships xmlns="http://schemas.openxmlformats.org/package/2006/relationships"><Relationship Id="rId165" Type="http://schemas.openxmlformats.org/officeDocument/2006/relationships/hyperlink" Target="https://doi.org/10.1016/j.actaastro.2020.03.027" TargetMode="External"/><Relationship Id="rId120" Type="http://schemas.openxmlformats.org/officeDocument/2006/relationships/hyperlink" Target="https://doi.org/10.1016/j.actaastro.2020.06.018" TargetMode="External"/><Relationship Id="rId159" Type="http://schemas.openxmlformats.org/officeDocument/2006/relationships/hyperlink" Target="https://doi.org/10.1016/j.actaastro.2020.06.040" TargetMode="External"/><Relationship Id="rId163" Type="http://schemas.openxmlformats.org/officeDocument/2006/relationships/hyperlink" Target="https://doi.org/10.1016/j.actaastro.2020.10.036" TargetMode="External"/><Relationship Id="rId155" Type="http://schemas.openxmlformats.org/officeDocument/2006/relationships/hyperlink" Target="https://doi.org/10.1016/j.actaastro.2022.11.005" TargetMode="External"/><Relationship Id="rId169" Type="http://schemas.openxmlformats.org/officeDocument/2006/relationships/hyperlink" Target="https://doi.org/10.1016/j.actaastro.2023.09.025" TargetMode="External"/><Relationship Id="rId136" Type="http://schemas.openxmlformats.org/officeDocument/2006/relationships/hyperlink" Target="https://doi.org/10.1016/j.actaastro.2023.10.042" TargetMode="External"/><Relationship Id="rId124" Type="http://schemas.openxmlformats.org/officeDocument/2006/relationships/hyperlink" Target="https://doi.org/10.1016/j.actaastro.2024.05.007" TargetMode="External"/><Relationship Id="rId157" Type="http://schemas.openxmlformats.org/officeDocument/2006/relationships/hyperlink" Target="https://doi.org/10.1016/j.actaastro.2024.12.037" TargetMode="External"/><Relationship Id="rId122" Type="http://schemas.openxmlformats.org/officeDocument/2006/relationships/hyperlink" Target="https://doi.org/10.1016/j.actaastro.2025.04.038" TargetMode="External"/><Relationship Id="rId167" Type="http://schemas.openxmlformats.org/officeDocument/2006/relationships/hyperlink" Target="https://doi.org/10.1016/j.actaastro.2025.09.070" TargetMode="External"/><Relationship Id="rId161" Type="http://schemas.openxmlformats.org/officeDocument/2006/relationships/hyperlink" Target="https://doi.org/10.1016/j.actaastro.2026.03.037" TargetMode="External"/><Relationship Id="rId150" Type="http://schemas.openxmlformats.org/officeDocument/2006/relationships/hyperlink" Target="https://doi.org/10.64861/CKQN3841" TargetMode="External"/><Relationship Id="rId147" Type="http://schemas.openxmlformats.org/officeDocument/2006/relationships/hyperlink" Target="https://doi.org/10.64861/CXGE3201" TargetMode="External"/><Relationship Id="rId126" Type="http://schemas.openxmlformats.org/officeDocument/2006/relationships/hyperlink" Target="https://doi.org/10.64861/JSGC2795" TargetMode="External"/><Relationship Id="rId118" Type="http://schemas.openxmlformats.org/officeDocument/2006/relationships/hyperlink" Target="https://doi.org/10.64861/NUFH1261" TargetMode="External"/><Relationship Id="rId145" Type="http://schemas.openxmlformats.org/officeDocument/2006/relationships/hyperlink" Target="https://doi.org/10.64861/VZRK7654" TargetMode="External"/><Relationship Id="rId153" Type="http://schemas.openxmlformats.org/officeDocument/2006/relationships/hyperlink" Target="https://doi.org/10.64861/ZPBX5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Integration Tempo and Operations Burden: A Panel Model of How Concurrent Campaign Load Shapes Operator Workload and Mission Cost</dc:title>
  <dc:creator>Eleanor Yoon (1B-MIC-064)</dc:creator>
  <cp:keywords/>
  <dcterms:created xsi:type="dcterms:W3CDTF">2026-07-02T18:06:04Z</dcterms:created>
  <dcterms:modified xsi:type="dcterms:W3CDTF">2026-07-02T18:06:04Z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