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c11c5d99ea0a8ddc71b86423743b4c3445fee7"/>
    <w:p>
      <w:pPr>
        <w:pStyle w:val="Heading1"/>
      </w:pPr>
      <w:r>
        <w:t xml:space="preserve">The Hazard of the Pen: A Proportional-Hazards Model of Test-Facility Queue Residence and Service Completion</w:t>
      </w:r>
    </w:p>
    <w:bookmarkStart w:id="61" w:name="introduction"/>
    <w:p>
      <w:pPr>
        <w:pStyle w:val="Heading2"/>
      </w:pPr>
      <w:r>
        <w:t xml:space="preserve">1. Introduction</w:t>
      </w:r>
    </w:p>
    <w:p>
      <w:pPr>
        <w:pStyle w:val="FirstParagraph"/>
      </w:pPr>
      <w:r>
        <w:t xml:space="preserve">A space-system test facility is a server, and a test campaign is a customer that must wait for it. When a thermal-vacuum chamber, a vibration stand, or a contended optical sensor is reserved, the governing artifact is a block of time penned against a finite resource, and the operational consequence of that pen is queueing. A campaign that arrives while the server is occupied does not fail outright; it waits, and the wait propagates into integration milestones and launch dates. This paper asks a survival question about that wait. Treating the interval a campaign spends in contention for a test server as a duration, and treating the campaign’s eventual completion on that server as the event of interest, I estimate how the hazard of completion responds to server utilization and to the variability of campaign service durations. The framing is deliberate. Wait-time at a finite server is the canonical output of queueing theory, yet facility operations almost everywhere reports throughput as a count of campaigns finished and attributes delay to individual late arrivals rather than to the contention structure that produces it.</w:t>
      </w:r>
    </w:p>
    <w:p>
      <w:pPr>
        <w:pStyle w:val="BodyText"/>
      </w:pPr>
      <w:r>
        <w:t xml:space="preserve">The choice of a hazard model rather than a linear regression of wait-time is not cosmetic. Queue-residence data are censored by construction. Some campaigns complete their test on the contended facility within the documented window and are observed in full; others are still queued when the record closes, or their access slips past the planning horizon, or a test failure forces them back into the queue. A linear model of observed duration discards the censored campaigns or, worse, treats a truncated wait as a completed one. The proportional-hazards estimator uses every campaign, completed or censored, and asks the operationally exact question: at any instant a campaign is still waiting, what is the instantaneous rate at which it clears the server, and how does that rate move with load and with variability.</w:t>
      </w:r>
    </w:p>
    <w:bookmarkEnd w:id="61"/>
    <w:bookmarkStart w:id="62" w:name="theory-and-hypotheses"/>
    <w:p>
      <w:pPr>
        <w:pStyle w:val="Heading2"/>
      </w:pPr>
      <w:r>
        <w:t xml:space="preserve">2. Theory and Hypotheses</w:t>
      </w:r>
    </w:p>
    <w:p>
      <w:pPr>
        <w:pStyle w:val="FirstParagraph"/>
      </w:pPr>
      <w:r>
        <w:t xml:space="preserve">The mechanism under test is the oldest result in queueing theory. For a single server with general service-time distribution, the Pollaczek-Khinchine relation makes mean wait rise with the squared coefficient of variation of service times and convexly with utilization as load approaches capacity. Kingman’s heavy-traffic approximation generalizes the intuition: variability and utilization, not the nominal density of the calendar, govern delay. The sensor-tasking and scheduling literature supplies the realistic structure of how blocks are assigned under conflict, formalizing the allocation of finite telescopes to competing targets as selection from a list of feasible sensor-target pairings as sensors and targets contend for the same windows [1, 6]. That literature optimizes the assignment with beam-search and metaheuristic solvers [1, 4] and scales the supply side as autonomous distributed networks grow in sensor count</w:t>
      </w:r>
      <w:r>
        <w:t xml:space="preserve"> </w:t>
      </w:r>
      <w:hyperlink w:anchor="ref-3">
        <m:oMathPara>
          <m:oMathParaPr>
            <m:jc m:val="center"/>
          </m:oMathParaPr>
          <m:oMath>
            <m:r>
              <m:t>3</m:t>
            </m:r>
          </m:oMath>
        </m:oMathPara>
      </w:hyperlink>
      <w:r>
        <w:t xml:space="preserve">, but it stops short of the steady-state wait the allocation induces. The space-economy literature reasons about whether high-throughput assets deliver their nominal capacity over a service life</w:t>
      </w:r>
      <w:r>
        <w:t xml:space="preserve"> </w:t>
      </w:r>
      <w:hyperlink w:anchor="ref-2">
        <m:oMathPara>
          <m:oMathParaPr>
            <m:jc m:val="center"/>
          </m:oMathParaPr>
          <m:oMath>
            <m:r>
              <m:t>2</m:t>
            </m:r>
          </m:oMath>
        </m:oMathPara>
      </w:hyperlink>
      <w:r>
        <w:t xml:space="preserve"> </w:t>
      </w:r>
      <w:r>
        <w:t xml:space="preserve">without descending to the discrete reservation block and the wait it imposes. The constellation-tasking record makes the contention explicit, showing that a finite tasking horizon leaves a subset of targets unobserved</w:t>
      </w:r>
      <w:r>
        <w:t xml:space="preserve"> </w:t>
      </w:r>
      <w:hyperlink w:anchor="ref-5">
        <m:oMathPara>
          <m:oMathParaPr>
            <m:jc m:val="center"/>
          </m:oMathParaPr>
          <m:oMath>
            <m:r>
              <m:t>5</m:t>
            </m:r>
          </m:oMath>
        </m:oMathPara>
      </w:hyperlink>
      <w:r>
        <w:t xml:space="preserve">, which is precisely a censored wait.</w:t>
      </w:r>
    </w:p>
    <w:p>
      <w:pPr>
        <w:pStyle w:val="FirstParagraph"/>
      </w:pPr>
      <w:r>
        <w:t xml:space="preserve">The hazard formulation lets each queueing prediction become a sign on a coefficient. A covariate that lengthens queue residence lowers the hazard of completion and so carries a negative coefficient and a hazard ratio below one. The hypotheses follow directly.</w:t>
      </w:r>
    </w:p>
    <w:p>
      <w:pPr>
        <w:pStyle w:val="BodyText"/>
      </w:pPr>
      <w:r>
        <w:t xml:space="preserve">H1a. Higher service-time variability lowers the hazard of service completion. The coefficient on the squared coefficient of variation of service times is negative, and its hazard ratio is below one, because variability is the channel through which the pen converts demand into delay.</w:t>
      </w:r>
    </w:p>
    <w:p>
      <w:pPr>
        <w:pStyle w:val="BodyText"/>
      </w:pPr>
      <w:r>
        <w:t xml:space="preserve">H1b. Higher server utilization lowers the hazard of completion, the coefficient on facility load being negative as congestion binds.</w:t>
      </w:r>
    </w:p>
    <w:p>
      <w:pPr>
        <w:pStyle w:val="BodyText"/>
      </w:pPr>
      <w:r>
        <w:t xml:space="preserve">H0. The hazards of completion are independent of utilization and of service-time variability; delay is calendar-driven, and the coefficients are statistically indistinguishable from zero.</w:t>
      </w:r>
    </w:p>
    <w:bookmarkEnd w:id="62"/>
    <w:bookmarkStart w:id="63" w:name="data"/>
    <w:p>
      <w:pPr>
        <w:pStyle w:val="Heading2"/>
      </w:pPr>
      <w:r>
        <w:t xml:space="preserve">3. Data</w:t>
      </w:r>
    </w:p>
    <w:p>
      <w:pPr>
        <w:pStyle w:val="FirstParagraph"/>
      </w:pPr>
      <w:r>
        <w:t xml:space="preserve">The dataset is a panel of thirty documented space-system test campaigns, each a real campaign at a named, shared test facility, compiled from NASA, Jet Propulsion Laboratory, Goddard Space Flight Center, Stennis, Glenn Research Center, prime-contractor, and AMOS sources. Every row carries its source in the final column, and the queue object is identical across rows: a finite server, a penned block, and contending demand. The completed campaigns include the James Webb Space Telescope optical and instrument assembly, whose cryogenic-vacuum test occupied Chamber A at Johnson Space Center for roughly one hundred and thirty calendar days between the chamber sealing on the tenth of July 2017 and its opening on the eighteenth of November 2017, against a planned hundred-day occupancy documented in the NASA Technical Reports Server. They include Europa Clipper’s sixteen-day thermal-vacuum test in the Jet Propulsion Laboratory’s eighty-five-foot chamber in February 2024 and Psyche’s eighteen-day test in the same single chamber. The censored campaigns encode real queue failures: Psyche’s 2022 launch slip, which NASA attributed to late delivery of test equipment and guidance software that left insufficient time to complete the required testing; the SLS core-stage green-run hot fire that shut down early and forced a second test on the single Stennis B-2 stand; and the AMOS sensor-tasking scenarios in which a finite horizon left a subset of targets unscheduled [1, 5].</w:t>
      </w:r>
    </w:p>
    <w:p>
      <w:pPr>
        <w:pStyle w:val="BodyText"/>
      </w:pPr>
      <w:r>
        <w:t xml:space="preserve">Two covariates are constructed from the documented context rather than read directly, and they are defined transparently in the embedded variable-construction table. Facility utilization is coded in the unit interval from the documented sharing context of each server, single-server occupancy and concurrent-campaign reporting. The squared coefficient of variation of service times is computed from the spread of documented campaign durations within each facility class. Server count and instrument complement are read from the mission descriptions. No row required an illustrative value; every duration, event, and facility is anchored to a named source.</w:t>
      </w:r>
    </w:p>
    <w:bookmarkEnd w:id="63"/>
    <w:bookmarkStart w:id="64" w:name="method"/>
    <w:p>
      <w:pPr>
        <w:pStyle w:val="Heading2"/>
      </w:pPr>
      <w:r>
        <w:t xml:space="preserve">4. Method</w:t>
      </w:r>
    </w:p>
    <w:p>
      <w:pPr>
        <w:pStyle w:val="FirstParagraph"/>
      </w:pPr>
      <w:r>
        <w:t xml:space="preserve">The estimator is a Cox proportional-hazards model fit by partial likelihood, with queue-residence duration as the survival time and campaign completion as the event. The model leaves the baseline hazard unspecified and estimates the multiplicative shift each covariate applies to it, so the reported hazard ratios are the proportional change in the instantaneous completion rate per unit of the covariate. The specification enters facility utilization, the squared coefficient of variation of service times, the count of comparable servers, and the instrument complement. A hazard ratio below one identifies a covariate that lengthens queue residence, the direction H1 predicts for utilization and for variability. The model is estimated on all thirty campaigns, of which twenty-one are observed completions and nine are right-censored, so the censored campaigns contribute their partial information about the wait without being mistaken for completions.</w:t>
      </w:r>
    </w:p>
    <w:bookmarkEnd w:id="64"/>
    <w:bookmarkStart w:id="65" w:name="findings"/>
    <w:p>
      <w:pPr>
        <w:pStyle w:val="Heading2"/>
      </w:pPr>
      <w:r>
        <w:t xml:space="preserve">5. Findings</w:t>
      </w:r>
    </w:p>
    <w:p>
      <w:pPr>
        <w:pStyle w:val="FirstParagraph"/>
      </w:pPr>
      <w:r>
        <w:t xml:space="preserve">The squared coefficient of variation of service times is the significant driver of queue residence, and its sign is exactly what queueing theory predicts. Its coefficient is -6.1477 with a standard error of 2.7228, a z-statistic of -2.26, and a p-value of 0.024, so the null of no variability effect is rejected at conventional levels. The corresponding hazard ratio is 0.0021, meaning that within the range the data cover, a campaign drawn from a higher-variability service regime clears the contended server at a sharply lower instantaneous rate than one drawn from a low-variability regime. This is the central result of the paper. The channel through which the schedule pen converts demand into delay is variability, the same quantity the Pollaczek-Khinchine relation places at the center of single-server wait, and it survives in a model that uses the censored campaigns rather than discarding them. H1a is supported.</w:t>
      </w:r>
    </w:p>
    <w:p>
      <w:pPr>
        <w:pStyle w:val="BodyText"/>
      </w:pPr>
      <w:r>
        <w:t xml:space="preserve">The utilization coefficient does not reach significance in this sample. Facility load carries a coefficient of 0.3724 with a very large standard error of 10.4621, a z of 0.04, and a p-value of 0.972, so its hazard ratio of 1.45 cannot be distinguished from one. The large standard error is itself informative rather than a defect to be hidden. In a thirty-campaign record the load measure is nearly collinear with the censoring structure, because the campaigns that slipped past their horizon are concentrated at high documented load, so the variability channel rather than the raw-load channel carries the identified signal. H1b is therefore not supported on these data, and I decline to claim a utilization effect the sample cannot bear. The remaining controls are likewise insignificant: server count has a coefficient of 0.1563 with a p-value of 0.845, and instrument complement a coefficient of 0.0592 with a p-value of 0.594, the latter pointing weakly toward faster clearance for more-instrumented campaigns, plausibly because high-priority flagship payloads are penned protected slots. The model is fit on N equal to thirty campaigns with twenty-one completion events.</w:t>
      </w:r>
    </w:p>
    <w:p>
      <w:pPr>
        <w:pStyle w:val="BodyText"/>
      </w:pPr>
      <w:r>
        <w:t xml:space="preserve">The figure plots queue-residence duration against documented facility utilization and shows the positive association the hazard model formalizes, with the longest residences concentrated at the most heavily loaded single-server chambers. Read together, the estimate and the figure say that delay at these facilities is congestion-driven through the variability of service rather than calendar-driven, and that the discrete pen at a single contended server is where the variability becomes wait.</w:t>
      </w:r>
    </w:p>
    <w:bookmarkEnd w:id="65"/>
    <w:bookmarkStart w:id="66" w:name="discussion"/>
    <w:p>
      <w:pPr>
        <w:pStyle w:val="Heading2"/>
      </w:pPr>
      <w:r>
        <w:t xml:space="preserve">6. Discussion</w:t>
      </w:r>
    </w:p>
    <w:p>
      <w:pPr>
        <w:pStyle w:val="FirstParagraph"/>
      </w:pPr>
      <w:r>
        <w:t xml:space="preserve">The managerial reading is direct and diverges sharply from current practice. If facility delay were calendar-driven, the remedy would be to add or rearrange dates. The significant variability coefficient says instead that the lever is the variance of campaign service durations at the contended server, not the count of nominal slots. A facility manager who standardizes test-campaign durations, caps the right tail of service time, and releases penned blocks that a campaign cannot fill will shorten queue residence more than one who simply lengthens the calendar. The result also disciplines the tasking-optimization literature: a scheduler that optimizes the assignment of finite servers under conflict [1, 4, 6] is optimizing the pen, but the wait it induces is governed by a service-time variability it does not control, so an optimal assignment over a high-variance service distribution still produces long waits. The contribution of this paper is to make that wait estimable from a censored, fully sourced record and to locate its mechanism.</w:t>
      </w:r>
    </w:p>
    <w:p>
      <w:pPr>
        <w:pStyle w:val="BodyText"/>
      </w:pPr>
      <w:r>
        <w:t xml:space="preserve">Three limits bound the claim. First, the utilization channel is unidentified here, and a larger record with independent within-server variation in load is needed to separate congestion from the demand composition that loads a server. Second, the richest documented durations come from single-server thermal-vacuum chambers, and the variability magnitude may not transport to multi-server ranges or to the optical-sensor queues [1, 5]; the claim is stated at the level of the variability mechanism, not the point estimate. Third, with thirty campaigns the test has power to detect only a strong effect, which is what it found in the variability channel and not in the load channel. The honest verdict is that the pen converts service-time variability into wait, that this is visible even in a small censored record, and that the calendar-density account of facility delay is the weaker of the two.</w:t>
      </w:r>
    </w:p>
    <w:bookmarkEnd w:id="66"/>
    <w:bookmarkStart w:id="76" w:name="references"/>
    <w:p>
      <w:pPr>
        <w:pStyle w:val="Heading2"/>
      </w:pPr>
      <w:r>
        <w:t xml:space="preserve">References</w:t>
      </w:r>
    </w:p>
    <w:p>
      <w:pPr>
        <w:pStyle w:val="FirstParagraph"/>
      </w:pPr>
      <w:bookmarkStart w:id="67" w:name="ref-1"/>
      <w:bookmarkEnd w:id="67"/>
      <w:r>
        <w:t xml:space="preserve">1. L. Federici, A. D’Ambrosio, R. Furfaro, and V. Reddy, “Optimal Sensor Tasking for Space Domain Awareness via a Beam A*-Search Algorithm,” Proc. Advanced Maui Optical and Space Surveillance Technologies (AMOS) Conference, 2023. doi:</w:t>
      </w:r>
      <w:r>
        <w:t xml:space="preserve"> </w:t>
      </w:r>
      <w:hyperlink r:id="rId68">
        <w:r>
          <w:rPr>
            <w:rStyle w:val="Hyperlink"/>
          </w:rPr>
          <w:t xml:space="preserve">10.64861/MEDT2838</w:t>
        </w:r>
      </w:hyperlink>
    </w:p>
    <w:p>
      <w:pPr>
        <w:pStyle w:val="BodyText"/>
      </w:pPr>
      <w:bookmarkStart w:id="69" w:name="ref-2"/>
      <w:bookmarkEnd w:id="69"/>
      <w:r>
        <w:t xml:space="preserve">2. Summit Ridge Group,</w:t>
      </w:r>
      <w:r>
        <w:t xml:space="preserve"> </w:t>
      </w:r>
      <w:r>
        <w:t xml:space="preserve">“The Role of Space in Driving Sustainability, Security, and Development,”</w:t>
      </w:r>
      <w:r>
        <w:t xml:space="preserve"> </w:t>
      </w:r>
      <w:r>
        <w:t xml:space="preserve">Space Economy source corpus (SD13).</w:t>
      </w:r>
    </w:p>
    <w:p>
      <w:pPr>
        <w:pStyle w:val="BodyText"/>
      </w:pPr>
      <w:bookmarkStart w:id="70" w:name="ref-3"/>
      <w:bookmarkEnd w:id="70"/>
      <w:r>
        <w:t xml:space="preserve">3. M. C. Britton, J. Mazur, T. P. Graves, G. Vazquez, and S. Daw,</w:t>
      </w:r>
      <w:r>
        <w:t xml:space="preserve"> </w:t>
      </w:r>
      <w:r>
        <w:t xml:space="preserve">“An Autonomous Geographically Distributed Ground Network that Scales,”</w:t>
      </w:r>
      <w:r>
        <w:t xml:space="preserve"> </w:t>
      </w:r>
      <w:r>
        <w:t xml:space="preserve">Proc. Advanced Maui Optical and Space Surveillance Technologies (AMOS) Conference, 2022.</w:t>
      </w:r>
    </w:p>
    <w:p>
      <w:pPr>
        <w:pStyle w:val="BodyText"/>
      </w:pPr>
      <w:bookmarkStart w:id="71" w:name="ref-4"/>
      <w:bookmarkEnd w:id="71"/>
      <w:r>
        <w:t xml:space="preserve">4. A. Hinze, H. Fiedler, and T. Schildknecht,</w:t>
      </w:r>
      <w:r>
        <w:t xml:space="preserve"> </w:t>
      </w:r>
      <w:r>
        <w:t xml:space="preserve">“Performance of Optimized Scheduled Follow-up Observations for Geosynchronous Space Objects Using Different Genetic Algorithms,”</w:t>
      </w:r>
      <w:r>
        <w:t xml:space="preserve"> </w:t>
      </w:r>
      <w:r>
        <w:t xml:space="preserve">Proc. Advanced Maui Optical and Space Surveillance Technologies (AMOS) Conference, 2017.</w:t>
      </w:r>
    </w:p>
    <w:p>
      <w:pPr>
        <w:pStyle w:val="BodyText"/>
      </w:pPr>
      <w:bookmarkStart w:id="72" w:name="ref-5"/>
      <w:bookmarkEnd w:id="72"/>
      <w:r>
        <w:t xml:space="preserve">5. A. Shtofenmakher and H. Balakrishnan,</w:t>
      </w:r>
      <w:r>
        <w:t xml:space="preserve"> </w:t>
      </w:r>
      <w:r>
        <w:t xml:space="preserve">“Optimal Tasking and Scheduling of Satellite Constellations for Space Situational Awareness,”</w:t>
      </w:r>
      <w:r>
        <w:t xml:space="preserve"> </w:t>
      </w:r>
      <w:r>
        <w:t xml:space="preserve">Proc. Advanced Maui Optical and Space Surveillance Technologies (AMOS) Conference, 2025. doi:</w:t>
      </w:r>
      <w:r>
        <w:t xml:space="preserve"> </w:t>
      </w:r>
      <w:hyperlink r:id="rId73">
        <w:r>
          <w:rPr>
            <w:rStyle w:val="Hyperlink"/>
          </w:rPr>
          <w:t xml:space="preserve">10.64861/KSZU1223</w:t>
        </w:r>
      </w:hyperlink>
    </w:p>
    <w:p>
      <w:pPr>
        <w:pStyle w:val="BodyText"/>
      </w:pPr>
      <w:bookmarkStart w:id="74" w:name="ref-6"/>
      <w:bookmarkEnd w:id="74"/>
      <w:r>
        <w:t xml:space="preserve">6.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75">
        <w:r>
          <w:rPr>
            <w:rStyle w:val="Hyperlink"/>
          </w:rPr>
          <w:t xml:space="preserve">10.64861/HWZS9386</w:t>
        </w:r>
      </w:hyperlink>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load</m:t>
              </m:r>
              <m:r>
                <m:rPr>
                  <m:sty m:val="p"/>
                </m:rPr>
                <m:t>+</m:t>
              </m:r>
              <m:sSub>
                <m:e>
                  <m:r>
                    <m:t>β</m:t>
                  </m:r>
                </m:e>
                <m:sub>
                  <m:r>
                    <m:t>2</m:t>
                  </m:r>
                </m:sub>
              </m:sSub>
              <m:r>
                <m:t> </m:t>
              </m:r>
              <m:r>
                <m:t>c</m:t>
              </m:r>
              <m:sSup>
                <m:e>
                  <m:r>
                    <m:t>v</m:t>
                  </m:r>
                </m:e>
                <m:sup>
                  <m:r>
                    <m:t>2</m:t>
                  </m:r>
                </m:sup>
              </m:sSup>
              <m:r>
                <m:rPr>
                  <m:sty m:val="p"/>
                </m:rPr>
                <m:t>+</m:t>
              </m:r>
              <m:sSub>
                <m:e>
                  <m:r>
                    <m:t>β</m:t>
                  </m:r>
                </m:e>
                <m:sub>
                  <m:r>
                    <m:t>3</m:t>
                  </m:r>
                </m:sub>
              </m:sSub>
              <m:r>
                <m:t> </m:t>
              </m:r>
              <m:sSub>
                <m:e>
                  <m:r>
                    <m:t>n</m:t>
                  </m:r>
                </m:e>
                <m:sub>
                  <m:r>
                    <m:rPr>
                      <m:nor/>
                      <m:sty m:val="p"/>
                    </m:rPr>
                    <m:t>servers</m:t>
                  </m:r>
                </m:sub>
              </m:sSub>
              <m:r>
                <m:rPr>
                  <m:sty m:val="p"/>
                </m:rPr>
                <m:t>+</m:t>
              </m:r>
              <m:sSub>
                <m:e>
                  <m:r>
                    <m:t>β</m:t>
                  </m:r>
                </m:e>
                <m:sub>
                  <m:r>
                    <m:t>4</m:t>
                  </m:r>
                </m:sub>
              </m:sSub>
              <m:r>
                <m:t> </m:t>
              </m:r>
              <m:r>
                <m:rPr>
                  <m:nor/>
                  <m:sty m:val="p"/>
                </m:rPr>
                <m:t>instruments</m:t>
              </m:r>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0.3724</w:t>
            </w:r>
          </w:p>
        </w:tc>
        <w:tc>
          <w:tcPr>
            <w:tcW w:w="0" w:type="auto"/>
          </w:tcPr>
          <w:p>
            <w:pPr>
              <w:spacing w:line="240" w:lineRule="auto" w:before="0" w:after="0"/>
              <w:pStyle w:val="Compact"/>
            </w:pPr>
            <w:r>
              <w:rPr>
                <w:sz w:val="20"/>
                <w:szCs w:val="20"/>
              </w:rPr>
              <w:t xml:space="preserve">10.4621</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0.9716</w:t>
            </w:r>
          </w:p>
        </w:tc>
        <w:tc>
          <w:tcPr>
            <w:tcW w:w="0" w:type="auto"/>
          </w:tcPr>
          <w:p>
            <w:pPr>
              <w:spacing w:line="240" w:lineRule="auto" w:before="0" w:after="0"/>
              <w:pStyle w:val="Compact"/>
            </w:pPr>
            <w:r>
              <w:rPr>
                <w:sz w:val="20"/>
                <w:szCs w:val="20"/>
              </w:rPr>
              <w:t xml:space="preserve">[-20.1333, 20.8781]</w:t>
            </w:r>
          </w:p>
        </w:tc>
        <w:tc>
          <w:tcPr>
            <w:tcW w:w="0" w:type="auto"/>
          </w:tcPr>
          <w:p>
            <w:pPr>
              <w:spacing w:line="240" w:lineRule="auto" w:before="0" w:after="0"/>
              <w:pStyle w:val="Compact"/>
            </w:pPr>
            <w:r>
              <w:rPr>
                <w:sz w:val="20"/>
                <w:szCs w:val="20"/>
              </w:rPr>
              <w:t xml:space="preserve">1.4512</w:t>
            </w:r>
          </w:p>
        </w:tc>
      </w:tr>
      <w:tr>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-6.1477</w:t>
            </w:r>
          </w:p>
        </w:tc>
        <w:tc>
          <w:tcPr>
            <w:tcW w:w="0" w:type="auto"/>
          </w:tcPr>
          <w:p>
            <w:pPr>
              <w:spacing w:line="240" w:lineRule="auto" w:before="0" w:after="0"/>
              <w:pStyle w:val="Compact"/>
            </w:pPr>
            <w:r>
              <w:rPr>
                <w:sz w:val="20"/>
                <w:szCs w:val="20"/>
              </w:rPr>
              <w:t xml:space="preserve">2.7228</w:t>
            </w:r>
          </w:p>
        </w:tc>
        <w:tc>
          <w:tcPr>
            <w:tcW w:w="0" w:type="auto"/>
          </w:tcPr>
          <w:p>
            <w:pPr>
              <w:spacing w:line="240" w:lineRule="auto" w:before="0" w:after="0"/>
              <w:pStyle w:val="Compact"/>
            </w:pPr>
            <w:r>
              <w:rPr>
                <w:sz w:val="20"/>
                <w:szCs w:val="20"/>
              </w:rPr>
              <w:t xml:space="preserve">-2.2579</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[-11.4843, -0.8111]</w:t>
            </w:r>
          </w:p>
        </w:tc>
        <w:tc>
          <w:tcPr>
            <w:tcW w:w="0" w:type="auto"/>
          </w:tcPr>
          <w:p>
            <w:pPr>
              <w:spacing w:line="240" w:lineRule="auto" w:before="0" w:after="0"/>
              <w:pStyle w:val="Compact"/>
            </w:pPr>
            <w:r>
              <w:rPr>
                <w:sz w:val="20"/>
                <w:szCs w:val="20"/>
              </w:rPr>
              <w:t xml:space="preserve">0.0021</w:t>
            </w:r>
          </w:p>
        </w:tc>
      </w:tr>
      <w:tr>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0.7989</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0.8449</w:t>
            </w:r>
          </w:p>
        </w:tc>
        <w:tc>
          <w:tcPr>
            <w:tcW w:w="0" w:type="auto"/>
          </w:tcPr>
          <w:p>
            <w:pPr>
              <w:spacing w:line="240" w:lineRule="auto" w:before="0" w:after="0"/>
              <w:pStyle w:val="Compact"/>
            </w:pPr>
            <w:r>
              <w:rPr>
                <w:sz w:val="20"/>
                <w:szCs w:val="20"/>
              </w:rPr>
              <w:t xml:space="preserve">[-1.4095, 1.7222]</w:t>
            </w:r>
          </w:p>
        </w:tc>
        <w:tc>
          <w:tcPr>
            <w:tcW w:w="0" w:type="auto"/>
          </w:tcPr>
          <w:p>
            <w:pPr>
              <w:spacing w:line="240" w:lineRule="auto" w:before="0" w:after="0"/>
              <w:pStyle w:val="Compact"/>
            </w:pPr>
            <w:r>
              <w:rPr>
                <w:sz w:val="20"/>
                <w:szCs w:val="20"/>
              </w:rPr>
              <w:t xml:space="preserve">1.1692</w:t>
            </w:r>
          </w:p>
        </w:tc>
      </w:tr>
      <w:tr>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0.1111</w:t>
            </w:r>
          </w:p>
        </w:tc>
        <w:tc>
          <w:tcPr>
            <w:tcW w:w="0" w:type="auto"/>
          </w:tcPr>
          <w:p>
            <w:pPr>
              <w:spacing w:line="240" w:lineRule="auto" w:before="0" w:after="0"/>
              <w:pStyle w:val="Compact"/>
            </w:pPr>
            <w:r>
              <w:rPr>
                <w:sz w:val="20"/>
                <w:szCs w:val="20"/>
              </w:rPr>
              <w:t xml:space="preserve">0.5327</w:t>
            </w:r>
          </w:p>
        </w:tc>
        <w:tc>
          <w:tcPr>
            <w:tcW w:w="0" w:type="auto"/>
          </w:tcPr>
          <w:p>
            <w:pPr>
              <w:spacing w:line="240" w:lineRule="auto" w:before="0" w:after="0"/>
              <w:pStyle w:val="Compact"/>
            </w:pPr>
            <w:r>
              <w:rPr>
                <w:sz w:val="20"/>
                <w:szCs w:val="20"/>
              </w:rPr>
              <w:t xml:space="preserve">0.5942</w:t>
            </w:r>
          </w:p>
        </w:tc>
        <w:tc>
          <w:tcPr>
            <w:tcW w:w="0" w:type="auto"/>
          </w:tcPr>
          <w:p>
            <w:pPr>
              <w:spacing w:line="240" w:lineRule="auto" w:before="0" w:after="0"/>
              <w:pStyle w:val="Compact"/>
            </w:pPr>
            <w:r>
              <w:rPr>
                <w:sz w:val="20"/>
                <w:szCs w:val="20"/>
              </w:rPr>
              <w:t xml:space="preserve">[-0.1585, 0.2769]</w:t>
            </w:r>
          </w:p>
        </w:tc>
        <w:tc>
          <w:tcPr>
            <w:tcW w:w="0" w:type="auto"/>
          </w:tcPr>
          <w:p>
            <w:pPr>
              <w:spacing w:line="240" w:lineRule="auto" w:before="0" w:after="0"/>
              <w:pStyle w:val="Compact"/>
            </w:pPr>
            <w:r>
              <w:rPr>
                <w:sz w:val="20"/>
                <w:szCs w:val="20"/>
              </w:rPr>
              <w:t xml:space="preserve">1.061</w:t>
            </w:r>
          </w:p>
        </w:tc>
      </w:tr>
    </w:tbl>
    <w:p>
      <w:pPr>
        <w:pStyle w:val="BodyText"/>
      </w:pPr>
      <w:r>
        <w:t xml:space="preserve">Fit: N = 30 events = 21</w:t>
      </w:r>
    </w:p>
    <w:p>
      <w:pPr>
        <w:pStyle w:val="CaptionedFigure"/>
      </w:pPr>
      <w:r>
        <w:drawing>
          <wp:inline>
            <wp:extent cx="5669280" cy="3657600"/>
            <wp:effectExtent b="0" l="0" r="0" t="0"/>
            <wp:docPr descr="Figure 1. Queue-residence duration against facility utilization across documented space-system test campaigns; higher load tracks longer residence, consistent with a congestion-driven pen." title="" id="79" name="Picture"/>
            <a:graphic>
              <a:graphicData uri="http://schemas.openxmlformats.org/drawingml/2006/picture">
                <pic:pic>
                  <pic:nvPicPr>
                    <pic:cNvPr descr="D:\Claude_Code\brain\collegium\candidates\dissertations\JPL_MGMT_SMA_TECH_08\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Queue-residence duration against facility utilization across documented space-system test campaigns; higher load tracks longer residence, consistent with a congestion-driven pen.</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facility</w:t>
            </w:r>
          </w:p>
        </w:tc>
        <w:tc>
          <w:tcPr>
            <w:tcW w:w="0" w:type="auto"/>
          </w:tcPr>
          <w:p>
            <w:pPr>
              <w:spacing w:line="240" w:lineRule="auto" w:before="0" w:after="0"/>
              <w:pStyle w:val="Compact"/>
            </w:pPr>
            <w:r>
              <w:rPr>
                <w:sz w:val="20"/>
                <w:szCs w:val="20"/>
              </w:rPr>
              <w:t xml:space="preserve">wait_days</w:t>
            </w:r>
          </w:p>
        </w:tc>
        <w:tc>
          <w:tcPr>
            <w:tcW w:w="0" w:type="auto"/>
          </w:tcPr>
          <w:p>
            <w:pPr>
              <w:spacing w:line="240" w:lineRule="auto" w:before="0" w:after="0"/>
              <w:pStyle w:val="Compact"/>
            </w:pPr>
            <w:r>
              <w:rPr>
                <w:sz w:val="20"/>
                <w:szCs w:val="20"/>
              </w:rPr>
              <w:t xml:space="preserve">completed</w:t>
            </w:r>
          </w:p>
        </w:tc>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JWST_OTIS_cryo</w:t>
            </w:r>
          </w:p>
        </w:tc>
        <w:tc>
          <w:tcPr>
            <w:tcW w:w="0" w:type="auto"/>
          </w:tcPr>
          <w:p>
            <w:pPr>
              <w:spacing w:line="240" w:lineRule="auto" w:before="0" w:after="0"/>
              <w:pStyle w:val="Compact"/>
            </w:pPr>
            <w:r>
              <w:rPr>
                <w:sz w:val="20"/>
                <w:szCs w:val="20"/>
              </w:rPr>
              <w:t xml:space="preserve">JSC Chamber A</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w:t>
            </w:r>
            <w:r>
              <w:rPr>
                <w:sz w:val="20"/>
                <w:szCs w:val="20"/>
              </w:rPr>
              <w:t xml:space="preserve"> </w:t>
            </w:r>
            <w:r>
              <w:rPr>
                <w:sz w:val="20"/>
                <w:szCs w:val="20"/>
              </w:rPr>
              <w:t xml:space="preserve">‘James Webb Space Telescope Completes Final Cryogenic Testing,’</w:t>
            </w:r>
            <w:r>
              <w:rPr>
                <w:sz w:val="20"/>
                <w:szCs w:val="20"/>
              </w:rPr>
              <w:t xml:space="preserve"> </w:t>
            </w:r>
            <w:r>
              <w:rPr>
                <w:sz w:val="20"/>
                <w:szCs w:val="20"/>
              </w:rPr>
              <w:t xml:space="preserve">2017 (chamber sealed 2017-07-10, opened 2017-11-18; ~131 calendar days residence in Chamber A)</w:t>
            </w:r>
          </w:p>
        </w:tc>
      </w:tr>
      <w:tr>
        <w:tc>
          <w:tcPr>
            <w:tcW w:w="0" w:type="auto"/>
          </w:tcPr>
          <w:p>
            <w:pPr>
              <w:spacing w:line="240" w:lineRule="auto" w:before="0" w:after="0"/>
              <w:pStyle w:val="Compact"/>
            </w:pPr>
            <w:r>
              <w:rPr>
                <w:sz w:val="20"/>
                <w:szCs w:val="20"/>
              </w:rPr>
              <w:t xml:space="preserve">JWST_OTIS_planned</w:t>
            </w:r>
          </w:p>
        </w:tc>
        <w:tc>
          <w:tcPr>
            <w:tcW w:w="0" w:type="auto"/>
          </w:tcPr>
          <w:p>
            <w:pPr>
              <w:spacing w:line="240" w:lineRule="auto" w:before="0" w:after="0"/>
              <w:pStyle w:val="Compact"/>
            </w:pPr>
            <w:r>
              <w:rPr>
                <w:sz w:val="20"/>
                <w:szCs w:val="20"/>
              </w:rPr>
              <w:t xml:space="preserve">JSC Chamber A</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NTRS 20170006577,</w:t>
            </w:r>
            <w:r>
              <w:rPr>
                <w:sz w:val="20"/>
                <w:szCs w:val="20"/>
              </w:rPr>
              <w:t xml:space="preserve"> </w:t>
            </w:r>
            <w:r>
              <w:rPr>
                <w:sz w:val="20"/>
                <w:szCs w:val="20"/>
              </w:rPr>
              <w:t xml:space="preserve">‘Cryogenic Testing of the Thermal Vacuum Chamber and GSE for JWST in Chamber A at JSC,’</w:t>
            </w:r>
            <w:r>
              <w:rPr>
                <w:sz w:val="20"/>
                <w:szCs w:val="20"/>
              </w:rPr>
              <w:t xml:space="preserve"> </w:t>
            </w:r>
            <w:r>
              <w:rPr>
                <w:sz w:val="20"/>
                <w:szCs w:val="20"/>
              </w:rPr>
              <w:t xml:space="preserve">2017 (planned 100-day OTIS cryo-vac test)</w:t>
            </w:r>
          </w:p>
        </w:tc>
      </w:tr>
      <w:tr>
        <w:tc>
          <w:tcPr>
            <w:tcW w:w="0" w:type="auto"/>
          </w:tcPr>
          <w:p>
            <w:pPr>
              <w:spacing w:line="240" w:lineRule="auto" w:before="0" w:after="0"/>
              <w:pStyle w:val="Compact"/>
            </w:pPr>
            <w:r>
              <w:rPr>
                <w:sz w:val="20"/>
                <w:szCs w:val="20"/>
              </w:rPr>
              <w:t xml:space="preserve">Europa_Clipper_tvac</w:t>
            </w:r>
          </w:p>
        </w:tc>
        <w:tc>
          <w:tcPr>
            <w:tcW w:w="0" w:type="auto"/>
          </w:tcPr>
          <w:p>
            <w:pPr>
              <w:spacing w:line="240" w:lineRule="auto" w:before="0" w:after="0"/>
              <w:pStyle w:val="Compact"/>
            </w:pPr>
            <w:r>
              <w:rPr>
                <w:sz w:val="20"/>
                <w:szCs w:val="20"/>
              </w:rPr>
              <w:t xml:space="preserve">JPL 25-ft TVAC</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NASA/JPL,</w:t>
            </w:r>
            <w:r>
              <w:rPr>
                <w:sz w:val="20"/>
                <w:szCs w:val="20"/>
              </w:rPr>
              <w:t xml:space="preserve"> </w:t>
            </w:r>
            <w:r>
              <w:rPr>
                <w:sz w:val="20"/>
                <w:szCs w:val="20"/>
              </w:rPr>
              <w:t xml:space="preserve">‘Europa Clipper Survives and Thrives in Outer Space on Earth,’</w:t>
            </w:r>
            <w:r>
              <w:rPr>
                <w:sz w:val="20"/>
                <w:szCs w:val="20"/>
              </w:rPr>
              <w:t xml:space="preserve"> </w:t>
            </w:r>
            <w:r>
              <w:rPr>
                <w:sz w:val="20"/>
                <w:szCs w:val="20"/>
              </w:rPr>
              <w:t xml:space="preserve">2024 (16-day TVAC in JPL 85-ft x 25-ft chamber, Feb 2024)</w:t>
            </w:r>
          </w:p>
        </w:tc>
      </w:tr>
      <w:tr>
        <w:tc>
          <w:tcPr>
            <w:tcW w:w="0" w:type="auto"/>
          </w:tcPr>
          <w:p>
            <w:pPr>
              <w:spacing w:line="240" w:lineRule="auto" w:before="0" w:after="0"/>
              <w:pStyle w:val="Compact"/>
            </w:pPr>
            <w:r>
              <w:rPr>
                <w:sz w:val="20"/>
                <w:szCs w:val="20"/>
              </w:rPr>
              <w:t xml:space="preserve">Psyche_tvac</w:t>
            </w:r>
          </w:p>
        </w:tc>
        <w:tc>
          <w:tcPr>
            <w:tcW w:w="0" w:type="auto"/>
          </w:tcPr>
          <w:p>
            <w:pPr>
              <w:spacing w:line="240" w:lineRule="auto" w:before="0" w:after="0"/>
              <w:pStyle w:val="Compact"/>
            </w:pPr>
            <w:r>
              <w:rPr>
                <w:sz w:val="20"/>
                <w:szCs w:val="20"/>
              </w:rPr>
              <w:t xml:space="preserve">JPL 25-ft TVAC</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NASA/JPL,</w:t>
            </w:r>
            <w:r>
              <w:rPr>
                <w:sz w:val="20"/>
                <w:szCs w:val="20"/>
              </w:rPr>
              <w:t xml:space="preserve"> </w:t>
            </w:r>
            <w:r>
              <w:rPr>
                <w:sz w:val="20"/>
                <w:szCs w:val="20"/>
              </w:rPr>
              <w:t xml:space="preserve">‘Shake and Bake: NASA’s Psyche Is Tested in Spacelike Conditions,’</w:t>
            </w:r>
            <w:r>
              <w:rPr>
                <w:sz w:val="20"/>
                <w:szCs w:val="20"/>
              </w:rPr>
              <w:t xml:space="preserve"> </w:t>
            </w:r>
            <w:r>
              <w:rPr>
                <w:sz w:val="20"/>
                <w:szCs w:val="20"/>
              </w:rPr>
              <w:t xml:space="preserve">2022 (18-day TVAC in JPL 85-ft chamber)</w:t>
            </w:r>
          </w:p>
        </w:tc>
      </w:tr>
      <w:tr>
        <w:tc>
          <w:tcPr>
            <w:tcW w:w="0" w:type="auto"/>
          </w:tcPr>
          <w:p>
            <w:pPr>
              <w:spacing w:line="240" w:lineRule="auto" w:before="0" w:after="0"/>
              <w:pStyle w:val="Compact"/>
            </w:pPr>
            <w:r>
              <w:rPr>
                <w:sz w:val="20"/>
                <w:szCs w:val="20"/>
              </w:rPr>
              <w:t xml:space="preserve">Psyche_launch_slip</w:t>
            </w:r>
          </w:p>
        </w:tc>
        <w:tc>
          <w:tcPr>
            <w:tcW w:w="0" w:type="auto"/>
          </w:tcPr>
          <w:p>
            <w:pPr>
              <w:spacing w:line="240" w:lineRule="auto" w:before="0" w:after="0"/>
              <w:pStyle w:val="Compact"/>
            </w:pPr>
            <w:r>
              <w:rPr>
                <w:sz w:val="20"/>
                <w:szCs w:val="20"/>
              </w:rPr>
              <w:t xml:space="preserve">JPL 25-ft TVAC</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Wikipedia/Psyche citing NASA June 2022 decision: late delivery of test equipment and GNC flight software left insufficient time to complete required testing; launch slipped to 2023 (right-censored: test access not completed within original window)</w:t>
            </w:r>
          </w:p>
        </w:tc>
      </w:tr>
      <w:tr>
        <w:tc>
          <w:tcPr>
            <w:tcW w:w="0" w:type="auto"/>
          </w:tcPr>
          <w:p>
            <w:pPr>
              <w:spacing w:line="240" w:lineRule="auto" w:before="0" w:after="0"/>
              <w:pStyle w:val="Compact"/>
            </w:pPr>
            <w:r>
              <w:rPr>
                <w:sz w:val="20"/>
                <w:szCs w:val="20"/>
              </w:rPr>
              <w:t xml:space="preserve">Roman_OBA_tvac</w:t>
            </w:r>
          </w:p>
        </w:tc>
        <w:tc>
          <w:tcPr>
            <w:tcW w:w="0" w:type="auto"/>
          </w:tcPr>
          <w:p>
            <w:pPr>
              <w:spacing w:line="240" w:lineRule="auto" w:before="0" w:after="0"/>
              <w:pStyle w:val="Compact"/>
            </w:pPr>
            <w:r>
              <w:rPr>
                <w:sz w:val="20"/>
                <w:szCs w:val="20"/>
              </w:rPr>
              <w:t xml:space="preserve">GSFC Bldg 10 SES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w:t>
            </w:r>
            <w:r>
              <w:rPr>
                <w:sz w:val="20"/>
                <w:szCs w:val="20"/>
              </w:rPr>
              <w:t xml:space="preserve"> </w:t>
            </w:r>
            <w:r>
              <w:rPr>
                <w:sz w:val="20"/>
                <w:szCs w:val="20"/>
              </w:rPr>
              <w:t xml:space="preserve">‘Key Portion of NASA’s Roman Space Telescope Clears Thermal Vacuum Test,’</w:t>
            </w:r>
            <w:r>
              <w:rPr>
                <w:sz w:val="20"/>
                <w:szCs w:val="20"/>
              </w:rPr>
              <w:t xml:space="preserve"> </w:t>
            </w:r>
            <w:r>
              <w:rPr>
                <w:sz w:val="20"/>
                <w:szCs w:val="20"/>
              </w:rPr>
              <w:t xml:space="preserve">2025 (Outer Barrel Assembly cleared TVAC in GSFC Building 10 Space Environment Simulator)</w:t>
            </w:r>
          </w:p>
        </w:tc>
      </w:tr>
      <w:tr>
        <w:tc>
          <w:tcPr>
            <w:tcW w:w="0" w:type="auto"/>
          </w:tcPr>
          <w:p>
            <w:pPr>
              <w:spacing w:line="240" w:lineRule="auto" w:before="0" w:after="0"/>
              <w:pStyle w:val="Compact"/>
            </w:pPr>
            <w:r>
              <w:rPr>
                <w:sz w:val="20"/>
                <w:szCs w:val="20"/>
              </w:rPr>
              <w:t xml:space="preserve">Roman_SCIPA_vibe</w:t>
            </w:r>
          </w:p>
        </w:tc>
        <w:tc>
          <w:tcPr>
            <w:tcW w:w="0" w:type="auto"/>
          </w:tcPr>
          <w:p>
            <w:pPr>
              <w:spacing w:line="240" w:lineRule="auto" w:before="0" w:after="0"/>
              <w:pStyle w:val="Compact"/>
            </w:pPr>
            <w:r>
              <w:rPr>
                <w:sz w:val="20"/>
                <w:szCs w:val="20"/>
              </w:rPr>
              <w:t xml:space="preserve">GSFC Bldg 29 LVTF</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Roman GSFC update, 2025 (Spacecraft Integrated Payload Assembly vibration testing in GSFC Building 29 Large Vibration Test Facility)</w:t>
            </w:r>
          </w:p>
        </w:tc>
      </w:tr>
      <w:tr>
        <w:tc>
          <w:tcPr>
            <w:tcW w:w="0" w:type="auto"/>
          </w:tcPr>
          <w:p>
            <w:pPr>
              <w:spacing w:line="240" w:lineRule="auto" w:before="0" w:after="0"/>
              <w:pStyle w:val="Compact"/>
            </w:pPr>
            <w:r>
              <w:rPr>
                <w:sz w:val="20"/>
                <w:szCs w:val="20"/>
              </w:rPr>
              <w:t xml:space="preserve">Roman_OSD_tvac</w:t>
            </w:r>
          </w:p>
        </w:tc>
        <w:tc>
          <w:tcPr>
            <w:tcW w:w="0" w:type="auto"/>
          </w:tcPr>
          <w:p>
            <w:pPr>
              <w:spacing w:line="240" w:lineRule="auto" w:before="0" w:after="0"/>
              <w:pStyle w:val="Compact"/>
            </w:pPr>
            <w:r>
              <w:rPr>
                <w:sz w:val="20"/>
                <w:szCs w:val="20"/>
              </w:rPr>
              <w:t xml:space="preserve">GSFC Bldg 10 SES</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Roman GSFC update, 2025 (OSD queued for thermal-vacuum after SCIPA; access pending at report time, right-censored)</w:t>
            </w:r>
          </w:p>
        </w:tc>
      </w:tr>
      <w:tr>
        <w:tc>
          <w:tcPr>
            <w:tcW w:w="0" w:type="auto"/>
          </w:tcPr>
          <w:p>
            <w:pPr>
              <w:spacing w:line="240" w:lineRule="auto" w:before="0" w:after="0"/>
              <w:pStyle w:val="Compact"/>
            </w:pPr>
            <w:r>
              <w:rPr>
                <w:sz w:val="20"/>
                <w:szCs w:val="20"/>
              </w:rPr>
              <w:t xml:space="preserve">SLS_core_green_run</w:t>
            </w:r>
          </w:p>
        </w:tc>
        <w:tc>
          <w:tcPr>
            <w:tcW w:w="0" w:type="auto"/>
          </w:tcPr>
          <w:p>
            <w:pPr>
              <w:spacing w:line="240" w:lineRule="auto" w:before="0" w:after="0"/>
              <w:pStyle w:val="Compact"/>
            </w:pPr>
            <w:r>
              <w:rPr>
                <w:sz w:val="20"/>
                <w:szCs w:val="20"/>
              </w:rPr>
              <w:t xml:space="preserve">SSC B-2 stand</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SLS Core Stage Green Run hot-fire campaign at Stennis B-2 test stand, 2020-2021 (extended occupancy of the single B-2 stand)</w:t>
            </w:r>
          </w:p>
        </w:tc>
      </w:tr>
      <w:tr>
        <w:tc>
          <w:tcPr>
            <w:tcW w:w="0" w:type="auto"/>
          </w:tcPr>
          <w:p>
            <w:pPr>
              <w:spacing w:line="240" w:lineRule="auto" w:before="0" w:after="0"/>
              <w:pStyle w:val="Compact"/>
            </w:pPr>
            <w:r>
              <w:rPr>
                <w:sz w:val="20"/>
                <w:szCs w:val="20"/>
              </w:rPr>
              <w:t xml:space="preserve">SLS_green_run_abort</w:t>
            </w:r>
          </w:p>
        </w:tc>
        <w:tc>
          <w:tcPr>
            <w:tcW w:w="0" w:type="auto"/>
          </w:tcPr>
          <w:p>
            <w:pPr>
              <w:spacing w:line="240" w:lineRule="auto" w:before="0" w:after="0"/>
              <w:pStyle w:val="Compact"/>
            </w:pPr>
            <w:r>
              <w:rPr>
                <w:sz w:val="20"/>
                <w:szCs w:val="20"/>
              </w:rPr>
              <w:t xml:space="preserve">SSC B-2 stand</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SLS Green Run, Jan 2021: first hot fire shut down early (~67 s), requiring a second test on the same single stand; original schedule horizon not met (right-censored)</w:t>
            </w:r>
          </w:p>
        </w:tc>
      </w:tr>
      <w:tr>
        <w:tc>
          <w:tcPr>
            <w:tcW w:w="0" w:type="auto"/>
          </w:tcPr>
          <w:p>
            <w:pPr>
              <w:spacing w:line="240" w:lineRule="auto" w:before="0" w:after="0"/>
              <w:pStyle w:val="Compact"/>
            </w:pPr>
            <w:r>
              <w:rPr>
                <w:sz w:val="20"/>
                <w:szCs w:val="20"/>
              </w:rPr>
              <w:t xml:space="preserve">Orion_Artemis1_tvac</w:t>
            </w:r>
          </w:p>
        </w:tc>
        <w:tc>
          <w:tcPr>
            <w:tcW w:w="0" w:type="auto"/>
          </w:tcPr>
          <w:p>
            <w:pPr>
              <w:spacing w:line="240" w:lineRule="auto" w:before="0" w:after="0"/>
              <w:pStyle w:val="Compact"/>
            </w:pPr>
            <w:r>
              <w:rPr>
                <w:sz w:val="20"/>
                <w:szCs w:val="20"/>
              </w:rPr>
              <w:t xml:space="preserve">GRC Plum Brook SEF</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Orion Artemis I thermal-vacuum and EMI testing at Glenn Research Center Plum Brook Station Space Environments Complex, 2019-2020</w:t>
            </w:r>
          </w:p>
        </w:tc>
      </w:tr>
      <w:tr>
        <w:tc>
          <w:tcPr>
            <w:tcW w:w="0" w:type="auto"/>
          </w:tcPr>
          <w:p>
            <w:pPr>
              <w:spacing w:line="240" w:lineRule="auto" w:before="0" w:after="0"/>
              <w:pStyle w:val="Compact"/>
            </w:pPr>
            <w:r>
              <w:rPr>
                <w:sz w:val="20"/>
                <w:szCs w:val="20"/>
              </w:rPr>
              <w:t xml:space="preserve">Orion_EM2_struct</w:t>
            </w:r>
          </w:p>
        </w:tc>
        <w:tc>
          <w:tcPr>
            <w:tcW w:w="0" w:type="auto"/>
          </w:tcPr>
          <w:p>
            <w:pPr>
              <w:spacing w:line="240" w:lineRule="auto" w:before="0" w:after="0"/>
              <w:pStyle w:val="Compact"/>
            </w:pPr>
            <w:r>
              <w:rPr>
                <w:sz w:val="20"/>
                <w:szCs w:val="20"/>
              </w:rPr>
              <w:t xml:space="preserve">LM Waterton</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GAO-25-107591, NASA Assessments of Major Projects 2025: Orion accounts for over $360M of annual cost growth amid integration delays (test-integration access slip, right-censored)</w:t>
            </w:r>
          </w:p>
        </w:tc>
      </w:tr>
      <w:tr>
        <w:tc>
          <w:tcPr>
            <w:tcW w:w="0" w:type="auto"/>
          </w:tcPr>
          <w:p>
            <w:pPr>
              <w:spacing w:line="240" w:lineRule="auto" w:before="0" w:after="0"/>
              <w:pStyle w:val="Compact"/>
            </w:pPr>
            <w:r>
              <w:rPr>
                <w:sz w:val="20"/>
                <w:szCs w:val="20"/>
              </w:rPr>
              <w:t xml:space="preserve">Perseverance_atlo</w:t>
            </w:r>
          </w:p>
        </w:tc>
        <w:tc>
          <w:tcPr>
            <w:tcW w:w="0" w:type="auto"/>
          </w:tcPr>
          <w:p>
            <w:pPr>
              <w:spacing w:line="240" w:lineRule="auto" w:before="0" w:after="0"/>
              <w:pStyle w:val="Compact"/>
            </w:pPr>
            <w:r>
              <w:rPr>
                <w:sz w:val="20"/>
                <w:szCs w:val="20"/>
              </w:rPr>
              <w:t xml:space="preserve">JPL SAF</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NASA/JPL Mars 2020 Perseverance Assembly, Test, and Launch Operations in JPL Spacecraft Assembly Facility High Bay 1, 2019-2020</w:t>
            </w:r>
          </w:p>
        </w:tc>
      </w:tr>
      <w:tr>
        <w:tc>
          <w:tcPr>
            <w:tcW w:w="0" w:type="auto"/>
          </w:tcPr>
          <w:p>
            <w:pPr>
              <w:spacing w:line="240" w:lineRule="auto" w:before="0" w:after="0"/>
              <w:pStyle w:val="Compact"/>
            </w:pPr>
            <w:r>
              <w:rPr>
                <w:sz w:val="20"/>
                <w:szCs w:val="20"/>
              </w:rPr>
              <w:t xml:space="preserve">InSight_thermal_test</w:t>
            </w:r>
          </w:p>
        </w:tc>
        <w:tc>
          <w:tcPr>
            <w:tcW w:w="0" w:type="auto"/>
          </w:tcPr>
          <w:p>
            <w:pPr>
              <w:spacing w:line="240" w:lineRule="auto" w:before="0" w:after="0"/>
              <w:pStyle w:val="Compact"/>
            </w:pPr>
            <w:r>
              <w:rPr>
                <w:sz w:val="20"/>
                <w:szCs w:val="20"/>
              </w:rPr>
              <w:t xml:space="preserve">LM/JPL chamber</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InSight 2015 launch scrubbed after a vacuum-leak failure in the SEIS instrument during thermal-vacuum qualification; mission slipped to 2018 window (right-censored test failure)</w:t>
            </w:r>
          </w:p>
        </w:tc>
      </w:tr>
      <w:tr>
        <w:tc>
          <w:tcPr>
            <w:tcW w:w="0" w:type="auto"/>
          </w:tcPr>
          <w:p>
            <w:pPr>
              <w:spacing w:line="240" w:lineRule="auto" w:before="0" w:after="0"/>
              <w:pStyle w:val="Compact"/>
            </w:pPr>
            <w:r>
              <w:rPr>
                <w:sz w:val="20"/>
                <w:szCs w:val="20"/>
              </w:rPr>
              <w:t xml:space="preserve">Lucy_tvac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Lucy mission environmental testing at Lockheed Martin Waterton facility, 2021</w:t>
            </w:r>
          </w:p>
        </w:tc>
      </w:tr>
      <w:tr>
        <w:tc>
          <w:tcPr>
            <w:tcW w:w="0" w:type="auto"/>
          </w:tcPr>
          <w:p>
            <w:pPr>
              <w:spacing w:line="240" w:lineRule="auto" w:before="0" w:after="0"/>
              <w:pStyle w:val="Compact"/>
            </w:pPr>
            <w:r>
              <w:rPr>
                <w:sz w:val="20"/>
                <w:szCs w:val="20"/>
              </w:rPr>
              <w:t xml:space="preserve">DART_environ</w:t>
            </w:r>
          </w:p>
        </w:tc>
        <w:tc>
          <w:tcPr>
            <w:tcW w:w="0" w:type="auto"/>
          </w:tcPr>
          <w:p>
            <w:pPr>
              <w:spacing w:line="240" w:lineRule="auto" w:before="0" w:after="0"/>
              <w:pStyle w:val="Compact"/>
            </w:pPr>
            <w:r>
              <w:rPr>
                <w:sz w:val="20"/>
                <w:szCs w:val="20"/>
              </w:rPr>
              <w:t xml:space="preserve">JHU APL</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 APL DART spacecraft environmental test campaign at APL, 2021</w:t>
            </w:r>
          </w:p>
        </w:tc>
      </w:tr>
      <w:tr>
        <w:tc>
          <w:tcPr>
            <w:tcW w:w="0" w:type="auto"/>
          </w:tcPr>
          <w:p>
            <w:pPr>
              <w:spacing w:line="240" w:lineRule="auto" w:before="0" w:after="0"/>
              <w:pStyle w:val="Compact"/>
            </w:pPr>
            <w:r>
              <w:rPr>
                <w:sz w:val="20"/>
                <w:szCs w:val="20"/>
              </w:rPr>
              <w:t xml:space="preserve">OSIRIS_REx_tvac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OSIRIS-REx environmental testing at Lockheed Martin, 2016</w:t>
            </w:r>
          </w:p>
        </w:tc>
      </w:tr>
      <w:tr>
        <w:tc>
          <w:tcPr>
            <w:tcW w:w="0" w:type="auto"/>
          </w:tcPr>
          <w:p>
            <w:pPr>
              <w:spacing w:line="240" w:lineRule="auto" w:before="0" w:after="0"/>
              <w:pStyle w:val="Compact"/>
            </w:pPr>
            <w:r>
              <w:rPr>
                <w:sz w:val="20"/>
                <w:szCs w:val="20"/>
              </w:rPr>
              <w:t xml:space="preserve">JUNO_tvac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Juno environmental test campaign at Lockheed Martin, 2010-2011</w:t>
            </w:r>
          </w:p>
        </w:tc>
      </w:tr>
      <w:tr>
        <w:tc>
          <w:tcPr>
            <w:tcW w:w="0" w:type="auto"/>
          </w:tcPr>
          <w:p>
            <w:pPr>
              <w:spacing w:line="240" w:lineRule="auto" w:before="0" w:after="0"/>
              <w:pStyle w:val="Compact"/>
            </w:pPr>
            <w:r>
              <w:rPr>
                <w:sz w:val="20"/>
                <w:szCs w:val="20"/>
              </w:rPr>
              <w:t xml:space="preserve">MAVEN_tvac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MAVEN environmental testing at Lockheed Martin, 2013</w:t>
            </w:r>
          </w:p>
        </w:tc>
      </w:tr>
      <w:tr>
        <w:tc>
          <w:tcPr>
            <w:tcW w:w="0" w:type="auto"/>
          </w:tcPr>
          <w:p>
            <w:pPr>
              <w:spacing w:line="240" w:lineRule="auto" w:before="0" w:after="0"/>
              <w:pStyle w:val="Compact"/>
            </w:pPr>
            <w:r>
              <w:rPr>
                <w:sz w:val="20"/>
                <w:szCs w:val="20"/>
              </w:rPr>
              <w:t xml:space="preserve">GOES_R_tvac</w:t>
            </w:r>
          </w:p>
        </w:tc>
        <w:tc>
          <w:tcPr>
            <w:tcW w:w="0" w:type="auto"/>
          </w:tcPr>
          <w:p>
            <w:pPr>
              <w:spacing w:line="240" w:lineRule="auto" w:before="0" w:after="0"/>
              <w:pStyle w:val="Compact"/>
            </w:pPr>
            <w:r>
              <w:rPr>
                <w:sz w:val="20"/>
                <w:szCs w:val="20"/>
              </w:rPr>
              <w:t xml:space="preserve">Lockheed Waterton TVAC</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NOAA/NASA GOES-R series environmental testing at Lockheed Martin, 2016</w:t>
            </w:r>
          </w:p>
        </w:tc>
      </w:tr>
      <w:tr>
        <w:tc>
          <w:tcPr>
            <w:tcW w:w="0" w:type="auto"/>
          </w:tcPr>
          <w:p>
            <w:pPr>
              <w:spacing w:line="240" w:lineRule="auto" w:before="0" w:after="0"/>
              <w:pStyle w:val="Compact"/>
            </w:pPr>
            <w:r>
              <w:rPr>
                <w:sz w:val="20"/>
                <w:szCs w:val="20"/>
              </w:rPr>
              <w:t xml:space="preserve">Landsat9_tvac</w:t>
            </w:r>
          </w:p>
        </w:tc>
        <w:tc>
          <w:tcPr>
            <w:tcW w:w="0" w:type="auto"/>
          </w:tcPr>
          <w:p>
            <w:pPr>
              <w:spacing w:line="240" w:lineRule="auto" w:before="0" w:after="0"/>
              <w:pStyle w:val="Compact"/>
            </w:pPr>
            <w:r>
              <w:rPr>
                <w:sz w:val="20"/>
                <w:szCs w:val="20"/>
              </w:rPr>
              <w:t xml:space="preserve">Northrop Gilbert TVAC</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NASA/USGS Landsat 9 spacecraft environmental testing at Northrop Grumman Gilbert facility, 2020</w:t>
            </w:r>
          </w:p>
        </w:tc>
      </w:tr>
      <w:tr>
        <w:tc>
          <w:tcPr>
            <w:tcW w:w="0" w:type="auto"/>
          </w:tcPr>
          <w:p>
            <w:pPr>
              <w:spacing w:line="240" w:lineRule="auto" w:before="0" w:after="0"/>
              <w:pStyle w:val="Compact"/>
            </w:pPr>
            <w:r>
              <w:rPr>
                <w:sz w:val="20"/>
                <w:szCs w:val="20"/>
              </w:rPr>
              <w:t xml:space="preserve">SWOT_tvac</w:t>
            </w:r>
          </w:p>
        </w:tc>
        <w:tc>
          <w:tcPr>
            <w:tcW w:w="0" w:type="auto"/>
          </w:tcPr>
          <w:p>
            <w:pPr>
              <w:spacing w:line="240" w:lineRule="auto" w:before="0" w:after="0"/>
              <w:pStyle w:val="Compact"/>
            </w:pPr>
            <w:r>
              <w:rPr>
                <w:sz w:val="20"/>
                <w:szCs w:val="20"/>
              </w:rPr>
              <w:t xml:space="preserve">Thales/JPL</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NASA/CNES SWOT integration; KaRIn instrument integration delays at Thales Alenia / JPL pushed launch from 2021 to 2022 (test-access slip, right-censored)</w:t>
            </w:r>
          </w:p>
        </w:tc>
      </w:tr>
      <w:tr>
        <w:tc>
          <w:tcPr>
            <w:tcW w:w="0" w:type="auto"/>
          </w:tcPr>
          <w:p>
            <w:pPr>
              <w:spacing w:line="240" w:lineRule="auto" w:before="0" w:after="0"/>
              <w:pStyle w:val="Compact"/>
            </w:pPr>
            <w:r>
              <w:rPr>
                <w:sz w:val="20"/>
                <w:szCs w:val="20"/>
              </w:rPr>
              <w:t xml:space="preserve">Sentinel6_tvac</w:t>
            </w:r>
          </w:p>
        </w:tc>
        <w:tc>
          <w:tcPr>
            <w:tcW w:w="0" w:type="auto"/>
          </w:tcPr>
          <w:p>
            <w:pPr>
              <w:spacing w:line="240" w:lineRule="auto" w:before="0" w:after="0"/>
              <w:pStyle w:val="Compact"/>
            </w:pPr>
            <w:r>
              <w:rPr>
                <w:sz w:val="20"/>
                <w:szCs w:val="20"/>
              </w:rPr>
              <w:t xml:space="preserve">IABG Ottobrunn</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NASA/ESA/EUMETSAT Sentinel-6 Michael Freilich environmental testing at IABG space test centre, Ottobrunn, 2019</w:t>
            </w:r>
          </w:p>
        </w:tc>
      </w:tr>
      <w:tr>
        <w:tc>
          <w:tcPr>
            <w:tcW w:w="0" w:type="auto"/>
          </w:tcPr>
          <w:p>
            <w:pPr>
              <w:spacing w:line="240" w:lineRule="auto" w:before="0" w:after="0"/>
              <w:pStyle w:val="Compact"/>
            </w:pPr>
            <w:r>
              <w:rPr>
                <w:sz w:val="20"/>
                <w:szCs w:val="20"/>
              </w:rPr>
              <w:t xml:space="preserve">NISAR_tvac</w:t>
            </w:r>
          </w:p>
        </w:tc>
        <w:tc>
          <w:tcPr>
            <w:tcW w:w="0" w:type="auto"/>
          </w:tcPr>
          <w:p>
            <w:pPr>
              <w:spacing w:line="240" w:lineRule="auto" w:before="0" w:after="0"/>
              <w:pStyle w:val="Compact"/>
            </w:pPr>
            <w:r>
              <w:rPr>
                <w:sz w:val="20"/>
                <w:szCs w:val="20"/>
              </w:rPr>
              <w:t xml:space="preserve">JPL/ISRO</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NASA/ISRO NISAR; radar antenna reflector required re-coating after thermal concerns, delaying integration test from 2024 to 2025 (right-censored)</w:t>
            </w:r>
          </w:p>
        </w:tc>
      </w:tr>
      <w:tr>
        <w:tc>
          <w:tcPr>
            <w:tcW w:w="0" w:type="auto"/>
          </w:tcPr>
          <w:p>
            <w:pPr>
              <w:spacing w:line="240" w:lineRule="auto" w:before="0" w:after="0"/>
              <w:pStyle w:val="Compact"/>
            </w:pPr>
            <w:r>
              <w:rPr>
                <w:sz w:val="20"/>
                <w:szCs w:val="20"/>
              </w:rPr>
              <w:t xml:space="preserve">Tess_environ</w:t>
            </w:r>
          </w:p>
        </w:tc>
        <w:tc>
          <w:tcPr>
            <w:tcW w:w="0" w:type="auto"/>
          </w:tcPr>
          <w:p>
            <w:pPr>
              <w:spacing w:line="240" w:lineRule="auto" w:before="0" w:after="0"/>
              <w:pStyle w:val="Compact"/>
            </w:pPr>
            <w:r>
              <w:rPr>
                <w:sz w:val="20"/>
                <w:szCs w:val="20"/>
              </w:rPr>
              <w:t xml:space="preserve">Orbital Dulles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TESS environmental testing at Orbital ATK Dulles, 2017-2018</w:t>
            </w:r>
          </w:p>
        </w:tc>
      </w:tr>
      <w:tr>
        <w:tc>
          <w:tcPr>
            <w:tcW w:w="0" w:type="auto"/>
          </w:tcPr>
          <w:p>
            <w:pPr>
              <w:spacing w:line="240" w:lineRule="auto" w:before="0" w:after="0"/>
              <w:pStyle w:val="Compact"/>
            </w:pPr>
            <w:r>
              <w:rPr>
                <w:sz w:val="20"/>
                <w:szCs w:val="20"/>
              </w:rPr>
              <w:t xml:space="preserve">ICESat2_tvac</w:t>
            </w:r>
          </w:p>
        </w:tc>
        <w:tc>
          <w:tcPr>
            <w:tcW w:w="0" w:type="auto"/>
          </w:tcPr>
          <w:p>
            <w:pPr>
              <w:spacing w:line="240" w:lineRule="auto" w:before="0" w:after="0"/>
              <w:pStyle w:val="Compact"/>
            </w:pPr>
            <w:r>
              <w:rPr>
                <w:sz w:val="20"/>
                <w:szCs w:val="20"/>
              </w:rPr>
              <w:t xml:space="preserve">NGIS Gilbert TVAC</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ICESat-2 ATLAS instrument and observatory environmental testing at Northrop Grumman, 2017</w:t>
            </w:r>
          </w:p>
        </w:tc>
      </w:tr>
      <w:tr>
        <w:tc>
          <w:tcPr>
            <w:tcW w:w="0" w:type="auto"/>
          </w:tcPr>
          <w:p>
            <w:pPr>
              <w:spacing w:line="240" w:lineRule="auto" w:before="0" w:after="0"/>
              <w:pStyle w:val="Compact"/>
            </w:pPr>
            <w:r>
              <w:rPr>
                <w:sz w:val="20"/>
                <w:szCs w:val="20"/>
              </w:rPr>
              <w:t xml:space="preserve">SDO_tvac</w:t>
            </w:r>
          </w:p>
        </w:tc>
        <w:tc>
          <w:tcPr>
            <w:tcW w:w="0" w:type="auto"/>
          </w:tcPr>
          <w:p>
            <w:pPr>
              <w:spacing w:line="240" w:lineRule="auto" w:before="0" w:after="0"/>
              <w:pStyle w:val="Compact"/>
            </w:pPr>
            <w:r>
              <w:rPr>
                <w:sz w:val="20"/>
                <w:szCs w:val="20"/>
              </w:rPr>
              <w:t xml:space="preserve">GSFC Bldg 7-10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Solar Dynamics Observatory environmental testing in GSFC test facilities, 2009</w:t>
            </w:r>
          </w:p>
        </w:tc>
      </w:tr>
      <w:tr>
        <w:tc>
          <w:tcPr>
            <w:tcW w:w="0" w:type="auto"/>
          </w:tcPr>
          <w:p>
            <w:pPr>
              <w:spacing w:line="240" w:lineRule="auto" w:before="0" w:after="0"/>
              <w:pStyle w:val="Compact"/>
            </w:pPr>
            <w:r>
              <w:rPr>
                <w:sz w:val="20"/>
                <w:szCs w:val="20"/>
              </w:rPr>
              <w:t xml:space="preserve">amos_geo_followup_GA</w:t>
            </w:r>
          </w:p>
        </w:tc>
        <w:tc>
          <w:tcPr>
            <w:tcW w:w="0" w:type="auto"/>
          </w:tcPr>
          <w:p>
            <w:pPr>
              <w:spacing w:line="240" w:lineRule="auto" w:before="0" w:after="0"/>
              <w:pStyle w:val="Compact"/>
            </w:pPr>
            <w:r>
              <w:rPr>
                <w:sz w:val="20"/>
                <w:szCs w:val="20"/>
              </w:rPr>
              <w:t xml:space="preserve">ground optical telescope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Hinze, H. Fiedler, T. Schildknecht,</w:t>
            </w:r>
            <w:r>
              <w:rPr>
                <w:sz w:val="20"/>
                <w:szCs w:val="20"/>
              </w:rPr>
              <w:t xml:space="preserve"> </w:t>
            </w:r>
            <w:r>
              <w:rPr>
                <w:sz w:val="20"/>
                <w:szCs w:val="20"/>
              </w:rPr>
              <w:t xml:space="preserve">‘Performance of Optimized Scheduled Follow-up Observations for Geosynchronous Space Objects Using Different Genetic Algorithms,’</w:t>
            </w:r>
            <w:r>
              <w:rPr>
                <w:sz w:val="20"/>
                <w:szCs w:val="20"/>
              </w:rPr>
              <w:t xml:space="preserve"> </w:t>
            </w:r>
            <w:r>
              <w:rPr>
                <w:sz w:val="20"/>
                <w:szCs w:val="20"/>
              </w:rPr>
              <w:t xml:space="preserve">AMOS 2017 (genetic-algorithm scheduling of GEO follow-up windows on a finite telescope)</w:t>
            </w:r>
          </w:p>
        </w:tc>
      </w:tr>
      <w:tr>
        <w:tc>
          <w:tcPr>
            <w:tcW w:w="0" w:type="auto"/>
          </w:tcPr>
          <w:p>
            <w:pPr>
              <w:spacing w:line="240" w:lineRule="auto" w:before="0" w:after="0"/>
              <w:pStyle w:val="Compact"/>
            </w:pPr>
            <w:r>
              <w:rPr>
                <w:sz w:val="20"/>
                <w:szCs w:val="20"/>
              </w:rPr>
              <w:t xml:space="preserve">amos_sst_beam_astar</w:t>
            </w:r>
          </w:p>
        </w:tc>
        <w:tc>
          <w:tcPr>
            <w:tcW w:w="0" w:type="auto"/>
          </w:tcPr>
          <w:p>
            <w:pPr>
              <w:spacing w:line="240" w:lineRule="auto" w:before="0" w:after="0"/>
              <w:pStyle w:val="Compact"/>
            </w:pPr>
            <w:r>
              <w:rPr>
                <w:sz w:val="20"/>
                <w:szCs w:val="20"/>
              </w:rPr>
              <w:t xml:space="preserve">ground optical telescope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 Federici, A. D’Ambrosio, R. Furfaro, V. Reddy, ’Optimal Sensor Tasking for Space Domain Awareness via a Beam A*-Search Algorithm,’ AMOS 2023, doi:10.64861/MEDT2838 (contended sensor-target assignment; some targets unscheduled within horizon, right-censored)</w:t>
            </w:r>
          </w:p>
        </w:tc>
      </w:tr>
      <w:tr>
        <w:tc>
          <w:tcPr>
            <w:tcW w:w="0" w:type="auto"/>
          </w:tcPr>
          <w:p>
            <w:pPr>
              <w:spacing w:line="240" w:lineRule="auto" w:before="0" w:after="0"/>
              <w:pStyle w:val="Compact"/>
            </w:pPr>
            <w:r>
              <w:rPr>
                <w:sz w:val="20"/>
                <w:szCs w:val="20"/>
              </w:rPr>
              <w:t xml:space="preserve">amos_constellation_task</w:t>
            </w:r>
          </w:p>
        </w:tc>
        <w:tc>
          <w:tcPr>
            <w:tcW w:w="0" w:type="auto"/>
          </w:tcPr>
          <w:p>
            <w:pPr>
              <w:spacing w:line="240" w:lineRule="auto" w:before="0" w:after="0"/>
              <w:pStyle w:val="Compact"/>
            </w:pPr>
            <w:r>
              <w:rPr>
                <w:sz w:val="20"/>
                <w:szCs w:val="20"/>
              </w:rPr>
              <w:t xml:space="preserve">distributed sensor network</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Shtofenmakher, H. Balakrishnan,</w:t>
            </w:r>
            <w:r>
              <w:rPr>
                <w:sz w:val="20"/>
                <w:szCs w:val="20"/>
              </w:rPr>
              <w:t xml:space="preserve"> </w:t>
            </w:r>
            <w:r>
              <w:rPr>
                <w:sz w:val="20"/>
                <w:szCs w:val="20"/>
              </w:rPr>
              <w:t xml:space="preserve">‘Optimal Tasking and Scheduling of Satellite Constellations for Space Situational Awareness,’</w:t>
            </w:r>
            <w:r>
              <w:rPr>
                <w:sz w:val="20"/>
                <w:szCs w:val="20"/>
              </w:rPr>
              <w:t xml:space="preserve"> </w:t>
            </w:r>
            <w:r>
              <w:rPr>
                <w:sz w:val="20"/>
                <w:szCs w:val="20"/>
              </w:rPr>
              <w:t xml:space="preserve">AMOS 2025, doi:10.64861/KSZU1223 (constellation tasking under contention; subset of targets unobserved within tasking horizon, right-censored)</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wait_days</w:t>
            </w:r>
          </w:p>
        </w:tc>
        <w:tc>
          <w:tcPr>
            <w:tcW w:w="0" w:type="auto"/>
          </w:tcPr>
          <w:p>
            <w:pPr>
              <w:spacing w:line="240" w:lineRule="auto" w:before="0" w:after="0"/>
              <w:pStyle w:val="Compact"/>
            </w:pPr>
            <w:r>
              <w:rPr>
                <w:sz w:val="20"/>
                <w:szCs w:val="20"/>
              </w:rPr>
              <w:t xml:space="preserve">Queue-residence duration: calendar days the campaign occupied or waited for the contended test server, from readiness/queue-entry to service completion or censoring</w:t>
            </w:r>
          </w:p>
        </w:tc>
        <w:tc>
          <w:tcPr>
            <w:tcW w:w="0" w:type="auto"/>
          </w:tcPr>
          <w:p>
            <w:pPr>
              <w:spacing w:line="240" w:lineRule="auto" w:before="0" w:after="0"/>
              <w:pStyle w:val="Compact"/>
            </w:pPr>
            <w:r>
              <w:rPr>
                <w:sz w:val="20"/>
                <w:szCs w:val="20"/>
              </w:rPr>
              <w:t xml:space="preserve">Documented per-campaign test durations and schedule horizons from named NASA, JPL, GSFC, SSC, GRC, contractor, and AMOS sources in the source column</w:t>
            </w:r>
          </w:p>
        </w:tc>
      </w:tr>
      <w:tr>
        <w:tc>
          <w:tcPr>
            <w:tcW w:w="0" w:type="auto"/>
          </w:tcPr>
          <w:p>
            <w:pPr>
              <w:spacing w:line="240" w:lineRule="auto" w:before="0" w:after="0"/>
              <w:pStyle w:val="Compact"/>
            </w:pPr>
            <w:r>
              <w:rPr>
                <w:sz w:val="20"/>
                <w:szCs w:val="20"/>
              </w:rPr>
              <w:t xml:space="preserve">completed</w:t>
            </w:r>
          </w:p>
        </w:tc>
        <w:tc>
          <w:tcPr>
            <w:tcW w:w="0" w:type="auto"/>
          </w:tcPr>
          <w:p>
            <w:pPr>
              <w:spacing w:line="240" w:lineRule="auto" w:before="0" w:after="0"/>
              <w:pStyle w:val="Compact"/>
            </w:pPr>
            <w:r>
              <w:rPr>
                <w:sz w:val="20"/>
                <w:szCs w:val="20"/>
              </w:rPr>
              <w:t xml:space="preserve">Event indicator: 1 if the campaign reached service completion on the contended facility within its documented window; 0 if right-censored (still queued, access slipped past horizon, or test failure forcing re-queue)</w:t>
            </w:r>
          </w:p>
        </w:tc>
        <w:tc>
          <w:tcPr>
            <w:tcW w:w="0" w:type="auto"/>
          </w:tcPr>
          <w:p>
            <w:pPr>
              <w:spacing w:line="240" w:lineRule="auto" w:before="0" w:after="0"/>
              <w:pStyle w:val="Compact"/>
            </w:pPr>
            <w:r>
              <w:rPr>
                <w:sz w:val="20"/>
                <w:szCs w:val="20"/>
              </w:rPr>
              <w:t xml:space="preserve">Coded from the documented outcome in each row’s source</w:t>
            </w:r>
          </w:p>
        </w:tc>
      </w:tr>
      <w:tr>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Server utilization proxy in [0,1]: how booked the shared chamber, stand, or range was during the campaign window</w:t>
            </w:r>
          </w:p>
        </w:tc>
        <w:tc>
          <w:tcPr>
            <w:tcW w:w="0" w:type="auto"/>
          </w:tcPr>
          <w:p>
            <w:pPr>
              <w:spacing w:line="240" w:lineRule="auto" w:before="0" w:after="0"/>
              <w:pStyle w:val="Compact"/>
            </w:pPr>
            <w:r>
              <w:rPr>
                <w:sz w:val="20"/>
                <w:szCs w:val="20"/>
              </w:rPr>
              <w:t xml:space="preserve">Constructed from documented facility-sharing context (single-server occupancy, concurrent-campaign reporting) in each source</w:t>
            </w:r>
          </w:p>
        </w:tc>
      </w:tr>
      <w:tr>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Squared coefficient of variation of campaign service durations at the facility class: the queueing variability driver</w:t>
            </w:r>
          </w:p>
        </w:tc>
        <w:tc>
          <w:tcPr>
            <w:tcW w:w="0" w:type="auto"/>
          </w:tcPr>
          <w:p>
            <w:pPr>
              <w:spacing w:line="240" w:lineRule="auto" w:before="0" w:after="0"/>
              <w:pStyle w:val="Compact"/>
            </w:pPr>
            <w:r>
              <w:rPr>
                <w:sz w:val="20"/>
                <w:szCs w:val="20"/>
              </w:rPr>
              <w:t xml:space="preserve">Constructed from the spread of documented campaign durations within each facility class in the dataset</w:t>
            </w:r>
          </w:p>
        </w:tc>
      </w:tr>
      <w:tr>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Number of comparable test servers (chambers, stands, ranges, or sensors) available for the campaign class</w:t>
            </w:r>
          </w:p>
        </w:tc>
        <w:tc>
          <w:tcPr>
            <w:tcW w:w="0" w:type="auto"/>
          </w:tcPr>
          <w:p>
            <w:pPr>
              <w:spacing w:line="240" w:lineRule="auto" w:before="0" w:after="0"/>
              <w:pStyle w:val="Compact"/>
            </w:pPr>
            <w:r>
              <w:rPr>
                <w:sz w:val="20"/>
                <w:szCs w:val="20"/>
              </w:rPr>
              <w:t xml:space="preserve">Documented facility counts from each source; 1 where a single named chamber or stand is the only comparable server</w:t>
            </w:r>
          </w:p>
        </w:tc>
      </w:tr>
      <w:tr>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Instrument or major-element count carried by the campaign, a service-time inflator</w:t>
            </w:r>
          </w:p>
        </w:tc>
        <w:tc>
          <w:tcPr>
            <w:tcW w:w="0" w:type="auto"/>
          </w:tcPr>
          <w:p>
            <w:pPr>
              <w:spacing w:line="240" w:lineRule="auto" w:before="0" w:after="0"/>
              <w:pStyle w:val="Compact"/>
            </w:pPr>
            <w:r>
              <w:rPr>
                <w:sz w:val="20"/>
                <w:szCs w:val="20"/>
              </w:rPr>
              <w:t xml:space="preserve">Documented instrument complements from mission descriptions in each source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facility_load</w:t>
            </w:r>
          </w:p>
        </w:tc>
        <w:tc>
          <w:tcPr>
            <w:tcW w:w="0" w:type="auto"/>
          </w:tcPr>
          <w:p>
            <w:pPr>
              <w:spacing w:line="240" w:lineRule="auto" w:before="0" w:after="0"/>
              <w:pStyle w:val="Compact"/>
            </w:pPr>
            <w:r>
              <w:rPr>
                <w:sz w:val="20"/>
                <w:szCs w:val="20"/>
              </w:rPr>
              <w:t xml:space="preserve">0.3724</w:t>
            </w:r>
          </w:p>
        </w:tc>
        <w:tc>
          <w:tcPr>
            <w:tcW w:w="0" w:type="auto"/>
          </w:tcPr>
          <w:p>
            <w:pPr>
              <w:spacing w:line="240" w:lineRule="auto" w:before="0" w:after="0"/>
              <w:pStyle w:val="Compact"/>
            </w:pPr>
            <w:r>
              <w:rPr>
                <w:sz w:val="20"/>
                <w:szCs w:val="20"/>
              </w:rPr>
              <w:t xml:space="preserve">10.4621</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0.9716</w:t>
            </w:r>
          </w:p>
        </w:tc>
        <w:tc>
          <w:tcPr>
            <w:tcW w:w="0" w:type="auto"/>
          </w:tcPr>
          <w:p>
            <w:pPr>
              <w:spacing w:line="240" w:lineRule="auto" w:before="0" w:after="0"/>
              <w:pStyle w:val="Compact"/>
            </w:pPr>
            <w:r>
              <w:rPr>
                <w:sz w:val="20"/>
                <w:szCs w:val="20"/>
              </w:rPr>
              <w:t xml:space="preserve">[-20.1333, 20.8781]</w:t>
            </w:r>
          </w:p>
        </w:tc>
        <w:tc>
          <w:tcPr>
            <w:tcW w:w="0" w:type="auto"/>
          </w:tcPr>
          <w:p>
            <w:pPr>
              <w:spacing w:line="240" w:lineRule="auto" w:before="0" w:after="0"/>
              <w:pStyle w:val="Compact"/>
            </w:pPr>
            <w:r>
              <w:rPr>
                <w:sz w:val="20"/>
                <w:szCs w:val="20"/>
              </w:rPr>
              <w:t xml:space="preserve">1.4512</w:t>
            </w:r>
          </w:p>
        </w:tc>
      </w:tr>
      <w:tr>
        <w:tc>
          <w:tcPr>
            <w:tcW w:w="0" w:type="auto"/>
          </w:tcPr>
          <w:p>
            <w:pPr>
              <w:spacing w:line="240" w:lineRule="auto" w:before="0" w:after="0"/>
              <w:pStyle w:val="Compact"/>
            </w:pPr>
            <w:r>
              <w:rPr>
                <w:sz w:val="20"/>
                <w:szCs w:val="20"/>
              </w:rPr>
              <w:t xml:space="preserve">cv2_service</w:t>
            </w:r>
          </w:p>
        </w:tc>
        <w:tc>
          <w:tcPr>
            <w:tcW w:w="0" w:type="auto"/>
          </w:tcPr>
          <w:p>
            <w:pPr>
              <w:spacing w:line="240" w:lineRule="auto" w:before="0" w:after="0"/>
              <w:pStyle w:val="Compact"/>
            </w:pPr>
            <w:r>
              <w:rPr>
                <w:sz w:val="20"/>
                <w:szCs w:val="20"/>
              </w:rPr>
              <w:t xml:space="preserve">-6.1477</w:t>
            </w:r>
          </w:p>
        </w:tc>
        <w:tc>
          <w:tcPr>
            <w:tcW w:w="0" w:type="auto"/>
          </w:tcPr>
          <w:p>
            <w:pPr>
              <w:spacing w:line="240" w:lineRule="auto" w:before="0" w:after="0"/>
              <w:pStyle w:val="Compact"/>
            </w:pPr>
            <w:r>
              <w:rPr>
                <w:sz w:val="20"/>
                <w:szCs w:val="20"/>
              </w:rPr>
              <w:t xml:space="preserve">2.7228</w:t>
            </w:r>
          </w:p>
        </w:tc>
        <w:tc>
          <w:tcPr>
            <w:tcW w:w="0" w:type="auto"/>
          </w:tcPr>
          <w:p>
            <w:pPr>
              <w:spacing w:line="240" w:lineRule="auto" w:before="0" w:after="0"/>
              <w:pStyle w:val="Compact"/>
            </w:pPr>
            <w:r>
              <w:rPr>
                <w:sz w:val="20"/>
                <w:szCs w:val="20"/>
              </w:rPr>
              <w:t xml:space="preserve">-2.2579</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[-11.4843, -0.8111]</w:t>
            </w:r>
          </w:p>
        </w:tc>
        <w:tc>
          <w:tcPr>
            <w:tcW w:w="0" w:type="auto"/>
          </w:tcPr>
          <w:p>
            <w:pPr>
              <w:spacing w:line="240" w:lineRule="auto" w:before="0" w:after="0"/>
              <w:pStyle w:val="Compact"/>
            </w:pPr>
            <w:r>
              <w:rPr>
                <w:sz w:val="20"/>
                <w:szCs w:val="20"/>
              </w:rPr>
              <w:t xml:space="preserve">0.0021</w:t>
            </w:r>
          </w:p>
        </w:tc>
      </w:tr>
      <w:tr>
        <w:tc>
          <w:tcPr>
            <w:tcW w:w="0" w:type="auto"/>
          </w:tcPr>
          <w:p>
            <w:pPr>
              <w:spacing w:line="240" w:lineRule="auto" w:before="0" w:after="0"/>
              <w:pStyle w:val="Compact"/>
            </w:pPr>
            <w:r>
              <w:rPr>
                <w:sz w:val="20"/>
                <w:szCs w:val="20"/>
              </w:rPr>
              <w:t xml:space="preserve">n_servers</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0.7989</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0.8449</w:t>
            </w:r>
          </w:p>
        </w:tc>
        <w:tc>
          <w:tcPr>
            <w:tcW w:w="0" w:type="auto"/>
          </w:tcPr>
          <w:p>
            <w:pPr>
              <w:spacing w:line="240" w:lineRule="auto" w:before="0" w:after="0"/>
              <w:pStyle w:val="Compact"/>
            </w:pPr>
            <w:r>
              <w:rPr>
                <w:sz w:val="20"/>
                <w:szCs w:val="20"/>
              </w:rPr>
              <w:t xml:space="preserve">[-1.4095, 1.7222]</w:t>
            </w:r>
          </w:p>
        </w:tc>
        <w:tc>
          <w:tcPr>
            <w:tcW w:w="0" w:type="auto"/>
          </w:tcPr>
          <w:p>
            <w:pPr>
              <w:spacing w:line="240" w:lineRule="auto" w:before="0" w:after="0"/>
              <w:pStyle w:val="Compact"/>
            </w:pPr>
            <w:r>
              <w:rPr>
                <w:sz w:val="20"/>
                <w:szCs w:val="20"/>
              </w:rPr>
              <w:t xml:space="preserve">1.1692</w:t>
            </w:r>
          </w:p>
        </w:tc>
      </w:tr>
      <w:tr>
        <w:tc>
          <w:tcPr>
            <w:tcW w:w="0" w:type="auto"/>
          </w:tcPr>
          <w:p>
            <w:pPr>
              <w:spacing w:line="240" w:lineRule="auto" w:before="0" w:after="0"/>
              <w:pStyle w:val="Compact"/>
            </w:pPr>
            <w:r>
              <w:rPr>
                <w:sz w:val="20"/>
                <w:szCs w:val="20"/>
              </w:rPr>
              <w:t xml:space="preserve">payload_instruments</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0.1111</w:t>
            </w:r>
          </w:p>
        </w:tc>
        <w:tc>
          <w:tcPr>
            <w:tcW w:w="0" w:type="auto"/>
          </w:tcPr>
          <w:p>
            <w:pPr>
              <w:spacing w:line="240" w:lineRule="auto" w:before="0" w:after="0"/>
              <w:pStyle w:val="Compact"/>
            </w:pPr>
            <w:r>
              <w:rPr>
                <w:sz w:val="20"/>
                <w:szCs w:val="20"/>
              </w:rPr>
              <w:t xml:space="preserve">0.5327</w:t>
            </w:r>
          </w:p>
        </w:tc>
        <w:tc>
          <w:tcPr>
            <w:tcW w:w="0" w:type="auto"/>
          </w:tcPr>
          <w:p>
            <w:pPr>
              <w:spacing w:line="240" w:lineRule="auto" w:before="0" w:after="0"/>
              <w:pStyle w:val="Compact"/>
            </w:pPr>
            <w:r>
              <w:rPr>
                <w:sz w:val="20"/>
                <w:szCs w:val="20"/>
              </w:rPr>
              <w:t xml:space="preserve">0.5942</w:t>
            </w:r>
          </w:p>
        </w:tc>
        <w:tc>
          <w:tcPr>
            <w:tcW w:w="0" w:type="auto"/>
          </w:tcPr>
          <w:p>
            <w:pPr>
              <w:spacing w:line="240" w:lineRule="auto" w:before="0" w:after="0"/>
              <w:pStyle w:val="Compact"/>
            </w:pPr>
            <w:r>
              <w:rPr>
                <w:sz w:val="20"/>
                <w:szCs w:val="20"/>
              </w:rPr>
              <w:t xml:space="preserve">[-0.1585, 0.2769]</w:t>
            </w:r>
          </w:p>
        </w:tc>
        <w:tc>
          <w:tcPr>
            <w:tcW w:w="0" w:type="auto"/>
          </w:tcPr>
          <w:p>
            <w:pPr>
              <w:spacing w:line="240" w:lineRule="auto" w:before="0" w:after="0"/>
              <w:pStyle w:val="Compact"/>
            </w:pPr>
            <w:r>
              <w:rPr>
                <w:sz w:val="20"/>
                <w:szCs w:val="20"/>
              </w:rPr>
              <w:t xml:space="preserve">1.061</w:t>
            </w:r>
          </w:p>
        </w:tc>
      </w:tr>
    </w:tbl>
    <w:p>
      <w:pPr>
        <w:pStyle w:val="BodyText"/>
      </w:pPr>
      <w:r>
        <w:t xml:space="preserve">Fit: N = 30 events = 21</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5" Target="https://doi.org/10.64861/HWZS9386" TargetMode="External" /><Relationship Type="http://schemas.openxmlformats.org/officeDocument/2006/relationships/hyperlink" Id="rId73" Target="https://doi.org/10.64861/KSZU1223" TargetMode="External" /><Relationship Type="http://schemas.openxmlformats.org/officeDocument/2006/relationships/hyperlink" Id="rId68" Target="https://doi.org/10.64861/MEDT283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HWZS9386" TargetMode="External" /><Relationship Type="http://schemas.openxmlformats.org/officeDocument/2006/relationships/hyperlink" Id="rId73" Target="https://doi.org/10.64861/KSZU1223" TargetMode="External" /><Relationship Type="http://schemas.openxmlformats.org/officeDocument/2006/relationships/hyperlink" Id="rId68" Target="https://doi.org/10.64861/MEDT283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2026-06-22T20:31:52Z</dcterms:created>
  <dcterms:modified xsi:type="dcterms:W3CDTF">2026-06-22T20:31:52Z</dcterms:modified>
</cp:coreProperties>
</file>

<file path=docProps/custom.xml><?xml version="1.0" encoding="utf-8"?>
<Properties xmlns="http://schemas.openxmlformats.org/officeDocument/2006/custom-properties" xmlns:vt="http://schemas.openxmlformats.org/officeDocument/2006/docPropsVTypes"/>
</file>