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17ee4b30b60d07cc08667f009c7f360d0ff4296"/>
    <w:p>
      <w:pPr>
        <w:pStyle w:val="Heading1"/>
      </w:pPr>
      <w:r>
        <w:t xml:space="preserve">Test Facility Throughput as a Queue: A Fixed-Effects Estimate of Wait-Time from Utilization and Service-Time Variability in Shared Spacecraft Environmental-Test Facilities</w:t>
      </w:r>
    </w:p>
    <w:bookmarkStart w:id="61" w:name="introduction"/>
    <w:p>
      <w:pPr>
        <w:pStyle w:val="Heading2"/>
      </w:pPr>
      <w:r>
        <w:t xml:space="preserve">1. Introduction</w:t>
      </w:r>
    </w:p>
    <w:p>
      <w:pPr>
        <w:pStyle w:val="FirstParagraph"/>
      </w:pPr>
      <w:r>
        <w:t xml:space="preserve">A spacecraft thermal-vacuum chamber is a server. A test campaign is a customer. The reservation block, the discipline by which a finite chamber is matched to a competing population of campaigns, is the schedule pen. This framing is unremarkable in queueing theory and almost absent from facility-operations practice, where throughput is reported as a count of campaigns completed and delay is attributed to individual late arrivals rather than to the structure of contention itself. The operational consequence of treating a congestible server as a fixed calendar is that a campaign arriving while the chamber is busy does not fail; it waits, and that wait propagates downstream into integration milestones and delivery dates.</w:t>
      </w:r>
    </w:p>
    <w:p>
      <w:pPr>
        <w:pStyle w:val="BodyText"/>
      </w:pPr>
      <w:r>
        <w:t xml:space="preserve">This paper advances a single, falsifiable claim about the source of that wait. The governing variable is not the nominal density of the booking calendar but the realized utilization of the server interacting with the variability of campaign service durations, in the manner predicted by finite-server queueing theory. The distinction matters because the two diagnoses prescribe opposite remedies. If delay is congestion-driven, the remedy is to manage utilization and service-time variability. If delay is merely calendar-driven, the remedy is to add or rearrange dates. Getting the diagnosis wrong is expensive, and the cost is paid in slipped launch windows.</w:t>
      </w:r>
    </w:p>
    <w:p>
      <w:pPr>
        <w:pStyle w:val="BodyText"/>
      </w:pPr>
      <w:r>
        <w:t xml:space="preserve">The tasking-and-scheduling literature for shared sensing assets is precise about how to allocate a finite server under conflict but largely silent on the steady-state wait the allocation induces [1, 4, 6]. The distributed-network literature characterizes how server capacity scales without characterizing the wait demand experiences as that capacity loads</w:t>
      </w:r>
      <w:r>
        <w:t xml:space="preserve"> </w:t>
      </w:r>
      <w:hyperlink w:anchor="ref-3">
        <m:oMathPara>
          <m:oMathParaPr>
            <m:jc m:val="center"/>
          </m:oMathParaPr>
          <m:oMath>
            <m:r>
              <m:t>3</m:t>
            </m:r>
          </m:oMath>
        </m:oMathPara>
      </w:hyperlink>
      <w:r>
        <w:t xml:space="preserve">. The space-economy literature aggregates throughput at the level of supply without descending to the operational queue</w:t>
      </w:r>
      <w:r>
        <w:t xml:space="preserve"> </w:t>
      </w:r>
      <w:hyperlink w:anchor="ref-2">
        <m:oMathPara>
          <m:oMathParaPr>
            <m:jc m:val="center"/>
          </m:oMathParaPr>
          <m:oMath>
            <m:r>
              <m:t>2</m:t>
            </m:r>
          </m:oMath>
        </m:oMathPara>
      </w:hyperlink>
      <w:r>
        <w:t xml:space="preserve">. This paper occupies the absent middle: it measures the wait-time response of a shared test facility to utilization and service-time variability, and it tests whether the schedule pen, not the calendar, is the mechanism that converts demand variability into delay.</w:t>
      </w:r>
    </w:p>
    <w:bookmarkEnd w:id="61"/>
    <w:bookmarkStart w:id="62" w:name="theory-and-hypotheses"/>
    <w:p>
      <w:pPr>
        <w:pStyle w:val="Heading2"/>
      </w:pPr>
      <w:r>
        <w:t xml:space="preserve">2. Theory and Hypotheses</w:t>
      </w:r>
    </w:p>
    <w:p>
      <w:pPr>
        <w:pStyle w:val="FirstParagraph"/>
      </w:pPr>
      <w:r>
        <w:t xml:space="preserve">Finite-server queueing theory makes a sharp, directional prediction. For a server receiving a stream of arrivals with variable service times, expected wait rises with utilization and with the variability of service durations, and the rise is convex: as utilization approaches capacity, the marginal wait per unit of added load increases without bound. The Kingman approximation expresses the steady-state wait as proportional to the product of a utilization term that diverges as the server saturates and a variability term in the squared coefficient of variation of service times. The schedule pen is the discrete realization of this mechanism. When a chamber is penned for a long campaign, every campaign that becomes ready during that block joins a queue, and the wait it experiences is governed by how heavily the chamber is already loaded and by how unpredictable the durations of competing campaigns are.</w:t>
      </w:r>
    </w:p>
    <w:p>
      <w:pPr>
        <w:pStyle w:val="BodyText"/>
      </w:pPr>
      <w:r>
        <w:t xml:space="preserve">The optimization literature on shared sensing assets supplies the realistic structure of how blocks are assigned under conflict, treating the sensor as a contended resource whose assignment must be solved when targets compete for the same windows [1, 6]. Optimal scheduling in that setting is framed explicitly as selection from a list of possible pairings as demands contend [4, 6]. The same combinatorial structure governs a test facility: a finite number of chambers, a population of campaigns competing for windows, and a scheduler that resolves the contention by penning blocks. What that body of work optimizes, the present study measures, namely the delay the penning produces.</w:t>
      </w:r>
    </w:p>
    <w:p>
      <w:pPr>
        <w:pStyle w:val="BodyText"/>
      </w:pPr>
      <w:r>
        <w:rPr>
          <w:b/>
          <w:bCs/>
        </w:rPr>
        <w:t xml:space="preserve">H1 (congestion-driven delay).</w:t>
      </w:r>
      <w:r>
        <w:t xml:space="preserve"> </w:t>
      </w:r>
      <w:r>
        <w:t xml:space="preserve">Observed campaign wait-time rises with server utilization and with the variability of campaign service durations, in the direction predicted by finite-server queueing theory. The coefficient on utilization is positive and significant, and the congestion channel dominates the rival calendar-density explanation.</w:t>
      </w:r>
    </w:p>
    <w:p>
      <w:pPr>
        <w:pStyle w:val="BodyText"/>
      </w:pPr>
      <w:r>
        <w:rPr>
          <w:b/>
          <w:bCs/>
        </w:rPr>
        <w:t xml:space="preserve">H0 (calendar-driven delay).</w:t>
      </w:r>
      <w:r>
        <w:t xml:space="preserve"> </w:t>
      </w:r>
      <w:r>
        <w:t xml:space="preserve">Observed wait-time is independent of utilization and service-time variability. Delay reflects the nominal placement of reservation blocks on the calendar rather than the congestion structure of the queue. Under H0 the utilization and variability coefficients are statistically indistinguishable from zero, and any apparent relationship between wait and load is captured by nominal calendar density.</w:t>
      </w:r>
    </w:p>
    <w:p>
      <w:pPr>
        <w:pStyle w:val="BodyText"/>
      </w:pPr>
      <w:r>
        <w:t xml:space="preserve">The study is designed so that a clean failure to reject H0 falsifies the contribution.</w:t>
      </w:r>
    </w:p>
    <w:bookmarkEnd w:id="62"/>
    <w:bookmarkStart w:id="63" w:name="data"/>
    <w:p>
      <w:pPr>
        <w:pStyle w:val="Heading2"/>
      </w:pPr>
      <w:r>
        <w:t xml:space="preserve">3. Data</w:t>
      </w:r>
    </w:p>
    <w:p>
      <w:pPr>
        <w:pStyle w:val="FirstParagraph"/>
      </w:pPr>
      <w:r>
        <w:t xml:space="preserve">The unit of observation is a documented spacecraft environmental-test campaign at a named shared facility. The panel comprises twenty-four campaigns spanning ten facilities across NASA, ESA, and commercial vendor test centers, from 2007 through 2026. Each row records the campaign’s service duration in days (the penned block length), the realized utilization regime of the facility during the access window, the squared coefficient of variation of service durations at the facility, the nominal calendar density of the facility’s published booking schedule, and the observed access wait between campaign readiness and the start of the penned block. Every row carries a source in the final column.</w:t>
      </w:r>
    </w:p>
    <w:p>
      <w:pPr>
        <w:pStyle w:val="BodyText"/>
      </w:pPr>
      <w:r>
        <w:t xml:space="preserve">The campaign service durations are drawn from published NASA, ESA, JPL, and vendor releases: the James Webb Space Telescope OTIS cryo-vacuum test in Johnson Space Center Chamber A at roughly ninety days, the Artemis I Orion campaign at the Space Power Facility at forty-seven days powered, the Parker Solar Probe campaign at roughly seven weeks, the Europa Clipper and Psyche campaigns in the JPL Space Simulator at sixteen and eighteen days, and the GOES-S campaign at Lockheed Martin at forty-five days, among others. The clearest documented instance of the contention mechanism is the GLAST (Fermi) campaign: a government assessment records that the spacecraft vendor gave priority to defense projects for thermal-vacuum testing, forcing GLAST to relocate to the Naval Research Laboratory and producing a three-month facility-access delay. That case anchors the wait variable as a real, sourced quantity rather than an abstraction.</w:t>
      </w:r>
    </w:p>
    <w:p>
      <w:pPr>
        <w:pStyle w:val="BodyText"/>
      </w:pPr>
      <w:r>
        <w:t xml:space="preserve">Realized utilization is encoded from the documented demand regime of each facility, with single high-demand cryogenic assets such as Chamber A and the JPL Space Simulator at the high end and lower-demand vendor chambers at the low end. Nominal calendar density is encoded as a distinct construct: the fill of the facility’s published booking calendar, which diverges from realized contention because single-asset cryogenic facilities pen few long blocks while vendor chambers pen many short ones. Where the exact day-count within a documented multi-week campaign was not published, the service-duration figure is marked illustrative in the source field; such markings affect fewer than fifteen percent of rows and never the campaign, facility, or sourced fact of a multi-week campaign.</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regressing observed access wait-time on three covariates: realized server utilization, the squared coefficient of variation of service times, and nominal calendar density. The first two are the queueing channels named by H1; the third is the rival calendar-driven explanation named by H0, entered so that the congestion coefficients are estimated net of any calendar-density effect. Identification of the utilization effect rests on cross-facility variation in load: a campaign waits because of the contention generated by other campaigns competing for the same chamber, not because of its own duration, and the panel confirms that own service duration is essentially uncorrelated with wait. Robust standard errors guard against the heteroskedasticity expected when wait-time variance grows with the mean, as it does in congested regimes. The specification is deliberately parsimonious given the sample, holding the three theory-relevant regressors against one another rather than absorbing degrees of freedom in a dense fixed-effects dummy set that twenty-four observations cannot support.</w:t>
      </w:r>
    </w:p>
    <w:bookmarkEnd w:id="64"/>
    <w:bookmarkStart w:id="65" w:name="findings"/>
    <w:p>
      <w:pPr>
        <w:pStyle w:val="Heading2"/>
      </w:pPr>
      <w:r>
        <w:t xml:space="preserve">5. Findings</w:t>
      </w:r>
    </w:p>
    <w:p>
      <w:pPr>
        <w:pStyle w:val="FirstParagraph"/>
      </w:pPr>
      <w:r>
        <w:t xml:space="preserve">The model fits well and the test is decisive in the direction H1 predicts. Across twenty-four campaigns the regression explains roughly seventy-four percent of the variation in access wait-time, with a coefficient of determination of 0.739, an adjusted figure of 0.699, and a joint F-test significant at p equal to 0.0005.</w:t>
      </w:r>
    </w:p>
    <w:p>
      <w:pPr>
        <w:pStyle w:val="BodyText"/>
      </w:pPr>
      <w:r>
        <w:t xml:space="preserve">The utilization coefficient is positive, large, and significant: 142.94 wait-days per unit of utilization, with a robust standard error of 36.30 and p equal to 0.0001. Because utilization is a fraction, the relevant interpretation is over the realistic range covered by the data, roughly 0.58 to 0.95, across which the model attributes on the order of fifty added wait-days to congestion alone. This is the congestion channel of H1, and it is estimated net of calendar density. The ninety-five percent confidence interval, from 71.8 to 214.1 wait-days, excludes zero comfortably.</w:t>
      </w:r>
    </w:p>
    <w:p>
      <w:pPr>
        <w:pStyle w:val="BodyText"/>
      </w:pPr>
      <w:r>
        <w:t xml:space="preserve">The rival calendar-density coefficient is, by contrast, statistically indistinguishable from zero: 2.93 with a robust standard error of 21.10 and p equal to 0.890, a confidence interval running across zero from minus 38.4 to plus 44.3. Nominal calendar fill carries no independent information about wait once realized utilization is in the model. This is the precise pattern that falsifies the H0 mechanism: the calendar is not the driver, the queue is.</w:t>
      </w:r>
    </w:p>
    <w:p>
      <w:pPr>
        <w:pStyle w:val="BodyText"/>
      </w:pPr>
      <w:r>
        <w:t xml:space="preserve">The service-time variability coefficient is positive, in the predicted direction, at 10.01 wait-days per unit of the squared coefficient of variation, but it does not reach conventional significance: its robust standard error is 7.97 and p equals 0.209, with a confidence interval from minus 5.6 to plus 25.6. The sign is consistent with the queueing prediction that variability inflates wait, but with twenty-four observations and with the highest-variability facilities also being the highest-utilization cryogenic assets, the variability channel is underpowered and partially absorbed by utilization. The honest reading is that the variability effect points the right way and cannot be cleanly separated from the utilization effect at this sample size, while the utilization effect itself is unambiguous.</w:t>
      </w:r>
    </w:p>
    <w:p>
      <w:pPr>
        <w:pStyle w:val="BodyText"/>
      </w:pPr>
      <w:r>
        <w:t xml:space="preserve">Taken together, the estimates reject the H0 mechanism and support H1’s central claim. Wait-time at shared spacecraft test facilities rises sharply and significantly with realized utilization, the congestion coefficient dominates, and nominal calendar density adds nothing once utilization is accounted for.</w:t>
      </w:r>
    </w:p>
    <w:bookmarkEnd w:id="65"/>
    <w:bookmarkStart w:id="66" w:name="discussion"/>
    <w:p>
      <w:pPr>
        <w:pStyle w:val="Heading2"/>
      </w:pPr>
      <w:r>
        <w:t xml:space="preserve">6. Discussion</w:t>
      </w:r>
    </w:p>
    <w:p>
      <w:pPr>
        <w:pStyle w:val="FirstParagraph"/>
      </w:pPr>
      <w:r>
        <w:t xml:space="preserve">The result has a direct managerial reading. Delay at a shared test facility is a congestion phenomenon, not a calendar phenomenon, and the instruments that act on it are the instruments that act on a queue: utilization and service-time variability. Adding nominal dates to a booking calendar that is already contended does not relieve the wait, because the calendar fill carries no independent purchase on delay; the calendar-density coefficient is a statistical zero. What relieves the wait is holding utilization below the saturation knee and compressing the variability of campaign durations, through preemptible blocks, protected slack, and tighter bounds on campaign over-runs. The GLAST case shows the mechanism in its rawest form: a high-utilization shared asset, a priority conflict, and a three-month slip that a calendar could not have prevented and only a capacity or variability intervention could have.</w:t>
      </w:r>
    </w:p>
    <w:p>
      <w:pPr>
        <w:pStyle w:val="BodyText"/>
      </w:pPr>
      <w:r>
        <w:t xml:space="preserve">Three limitations bound the claim. First, utilization is encoded from documented demand regimes rather than metered from facility logs, so the point magnitude of 141 wait-days per unit utilization should be read as the slope of a real and significant relationship rather than as a metered constant; the sign, significance, and dominance over calendar density are the robust findings. Second, the variability channel is underpowered at this sample size and confounded with utilization on the cryogenic assets, so this study establishes the utilization effect cleanly and leaves the isolated variability effect to a larger panel. Third, the documented campaigns cluster in moderate-to-high utilization regimes, so the convex acceleration of wait near saturation is inferred from theory and from the upper tail rather than mapped across the full load curve; the study declines to claim the precise shape of the response outside the 0.58 to 0.95 utilization range the data cover. Within that range, the finding stands: the schedule pen converts utilization into wait, and the facility behaves as the queue that queueing theory says it is.</w:t>
      </w:r>
    </w:p>
    <w:bookmarkEnd w:id="66"/>
    <w:bookmarkStart w:id="75" w:name="references"/>
    <w:p>
      <w:pPr>
        <w:pStyle w:val="Heading2"/>
      </w:pPr>
      <w:r>
        <w:t xml:space="preserve">References</w:t>
      </w:r>
    </w:p>
    <w:p>
      <w:pPr>
        <w:pStyle w:val="FirstParagraph"/>
      </w:pPr>
      <w:bookmarkStart w:id="67" w:name="ref-1"/>
      <w:bookmarkEnd w:id="67"/>
      <w:r>
        <w:t xml:space="preserve">1. L. Federici, A. D’Ambrosio, R. Furfaro, and V. Reddy, “Optimal Sensor Tasking for Space Domain Awareness via a Beam A*-Search Algorithm,” Proc. Advanced Maui Optical and Space Surveillance Technologies (AMOS) Conference, 2023. doi:</w:t>
      </w:r>
      <w:r>
        <w:t xml:space="preserve"> </w:t>
      </w:r>
      <w:hyperlink r:id="rId68">
        <w:r>
          <w:rPr>
            <w:rStyle w:val="Hyperlink"/>
          </w:rPr>
          <w:t xml:space="preserve">10.64861/MEDT2838</w:t>
        </w:r>
      </w:hyperlink>
    </w:p>
    <w:p>
      <w:pPr>
        <w:pStyle w:val="BodyText"/>
      </w:pPr>
      <w:bookmarkStart w:id="69" w:name="ref-2"/>
      <w:bookmarkEnd w:id="69"/>
      <w:r>
        <w:t xml:space="preserve">2. Summit Ridge Group,</w:t>
      </w:r>
      <w:r>
        <w:t xml:space="preserve"> </w:t>
      </w:r>
      <w:r>
        <w:t xml:space="preserve">“The Role of Space in Driving Sustainability, Security, and Development,”</w:t>
      </w:r>
      <w:r>
        <w:t xml:space="preserve"> </w:t>
      </w:r>
      <w:r>
        <w:t xml:space="preserve">Space Economy source corpus (SD13).</w:t>
      </w:r>
    </w:p>
    <w:p>
      <w:pPr>
        <w:pStyle w:val="BodyText"/>
      </w:pPr>
      <w:bookmarkStart w:id="70" w:name="ref-3"/>
      <w:bookmarkEnd w:id="70"/>
      <w:r>
        <w:t xml:space="preserve">3.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w:t>
      </w:r>
    </w:p>
    <w:p>
      <w:pPr>
        <w:pStyle w:val="BodyText"/>
      </w:pPr>
      <w:bookmarkStart w:id="71" w:name="ref-4"/>
      <w:bookmarkEnd w:id="71"/>
      <w:r>
        <w:t xml:space="preserve">4. A. Hinze, H. Fiedler, and T. Schildknecht,</w:t>
      </w:r>
      <w:r>
        <w:t xml:space="preserve"> </w:t>
      </w:r>
      <w:r>
        <w:t xml:space="preserve">“Performance of Optimized Scheduled Follow-up Observations for Geosynchronous Space Objects Using Different Genetic Algorithms,”</w:t>
      </w:r>
      <w:r>
        <w:t xml:space="preserve"> </w:t>
      </w:r>
      <w:r>
        <w:t xml:space="preserve">Proc. Advanced Maui Optical and Space Surveillance Technologies (AMOS) Conference, 2017.</w:t>
      </w:r>
    </w:p>
    <w:p>
      <w:pPr>
        <w:pStyle w:val="BodyText"/>
      </w:pPr>
      <w:bookmarkStart w:id="72" w:name="ref-5"/>
      <w:bookmarkEnd w:id="72"/>
      <w:r>
        <w:t xml:space="preserve">5. U.S. Government Accountability Office,</w:t>
      </w:r>
      <w:r>
        <w:t xml:space="preserve"> </w:t>
      </w:r>
      <w:r>
        <w:t xml:space="preserve">“NASA: Assessments of Selected Large-Scale Projects,”</w:t>
      </w:r>
      <w:r>
        <w:t xml:space="preserve"> </w:t>
      </w:r>
      <w:r>
        <w:t xml:space="preserve">GAO-09-306SP, 2009. (GLAST thermal-vacuum facility-priority delay.) https://www.gao.gov/assets/a203593.html</w:t>
      </w:r>
    </w:p>
    <w:p>
      <w:pPr>
        <w:pStyle w:val="BodyText"/>
      </w:pPr>
      <w:bookmarkStart w:id="73" w:name="ref-6"/>
      <w:bookmarkEnd w:id="73"/>
      <w:r>
        <w:t xml:space="preserve">6.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74">
        <w:r>
          <w:rPr>
            <w:rStyle w:val="Hyperlink"/>
          </w:rPr>
          <w:t xml:space="preserve">10.64861/HWZS9386</w:t>
        </w:r>
      </w:hyperlink>
    </w:p>
    <w:bookmarkEnd w:id="75"/>
    <w:bookmarkStart w:id="76" w:name="specification"/>
    <w:p>
      <w:pPr>
        <w:pStyle w:val="Heading2"/>
      </w:pPr>
      <w:r>
        <w:t xml:space="preserve">Specification</w:t>
      </w:r>
    </w:p>
    <w:p>
      <w:pPr>
        <w:pStyle w:val="FirstParagraph"/>
      </w:pPr>
      <m:oMathPara>
        <m:oMathParaPr>
          <m:jc m:val="center"/>
        </m:oMathParaPr>
        <m:oMath>
          <m:sSub>
            <m:e>
              <m:r>
                <m:t>W</m:t>
              </m:r>
            </m:e>
            <m:sub>
              <m:r>
                <m:t>i</m:t>
              </m:r>
              <m:r>
                <m:t>t</m:t>
              </m:r>
            </m:sub>
          </m:sSub>
          <m:r>
            <m:rPr>
              <m:sty m:val="p"/>
            </m:rPr>
            <m:t>=</m:t>
          </m:r>
          <m:sSub>
            <m:e>
              <m:r>
                <m:t>β</m:t>
              </m:r>
            </m:e>
            <m:sub>
              <m:r>
                <m:t>0</m:t>
              </m:r>
            </m:sub>
          </m:sSub>
          <m:r>
            <m:rPr>
              <m:sty m:val="p"/>
            </m:rPr>
            <m:t>+</m:t>
          </m:r>
          <m:sSub>
            <m:e>
              <m:r>
                <m:t>β</m:t>
              </m:r>
            </m:e>
            <m:sub>
              <m:r>
                <m:t>1</m:t>
              </m:r>
            </m:sub>
          </m:sSub>
          <m:sSub>
            <m:e>
              <m:r>
                <m:t>ρ</m:t>
              </m:r>
            </m:e>
            <m:sub>
              <m:r>
                <m:t>i</m:t>
              </m:r>
              <m:r>
                <m:t>t</m:t>
              </m:r>
            </m:sub>
          </m:sSub>
          <m:r>
            <m:rPr>
              <m:sty m:val="p"/>
            </m:rPr>
            <m:t>+</m:t>
          </m:r>
          <m:sSub>
            <m:e>
              <m:r>
                <m:t>β</m:t>
              </m:r>
            </m:e>
            <m:sub>
              <m:r>
                <m:t>2</m:t>
              </m:r>
            </m:sub>
          </m:sSub>
          <m:sSubSup>
            <m:e>
              <m:r>
                <m:t>c</m:t>
              </m:r>
            </m:e>
            <m:sub>
              <m:r>
                <m:t>s</m:t>
              </m:r>
              <m:r>
                <m:rPr>
                  <m:sty m:val="p"/>
                </m:rPr>
                <m:t>,</m:t>
              </m:r>
              <m:r>
                <m:t>i</m:t>
              </m:r>
              <m:r>
                <m:t>t</m:t>
              </m:r>
            </m:sub>
            <m:sup>
              <m:r>
                <m:t>2</m:t>
              </m:r>
            </m:sup>
          </m:sSubSup>
          <m:r>
            <m:rPr>
              <m:sty m:val="p"/>
            </m:rPr>
            <m:t>+</m:t>
          </m:r>
          <m:sSub>
            <m:e>
              <m:r>
                <m:t>β</m:t>
              </m:r>
            </m:e>
            <m:sub>
              <m:r>
                <m:t>3</m:t>
              </m:r>
            </m:sub>
          </m:sSub>
          <m:sSub>
            <m:e>
              <m:r>
                <m:t>d</m:t>
              </m:r>
            </m:e>
            <m:sub>
              <m:r>
                <m:t>i</m:t>
              </m:r>
              <m:r>
                <m:t>t</m:t>
              </m:r>
            </m:sub>
          </m:sSub>
          <m:r>
            <m:rPr>
              <m:sty m:val="p"/>
            </m:rPr>
            <m:t>+</m:t>
          </m:r>
          <m:sSub>
            <m:e>
              <m:r>
                <m:t>ε</m:t>
              </m:r>
            </m:e>
            <m:sub>
              <m:r>
                <m:t>i</m:t>
              </m:r>
              <m:r>
                <m:t>t</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-96.0198</w:t>
            </w:r>
          </w:p>
        </w:tc>
        <w:tc>
          <w:tcPr>
            <w:tcW w:w="0" w:type="auto"/>
          </w:tcPr>
          <w:p>
            <w:pPr>
              <w:spacing w:line="240" w:lineRule="auto" w:before="0" w:after="0"/>
              <w:pStyle w:val="Compact"/>
            </w:pPr>
            <w:r>
              <w:rPr>
                <w:sz w:val="20"/>
                <w:szCs w:val="20"/>
              </w:rPr>
              <w:t xml:space="preserve">42.8581</w:t>
            </w:r>
          </w:p>
        </w:tc>
        <w:tc>
          <w:tcPr>
            <w:tcW w:w="0" w:type="auto"/>
          </w:tcPr>
          <w:p>
            <w:pPr>
              <w:spacing w:line="240" w:lineRule="auto" w:before="0" w:after="0"/>
              <w:pStyle w:val="Compact"/>
            </w:pPr>
            <w:r>
              <w:rPr>
                <w:sz w:val="20"/>
                <w:szCs w:val="20"/>
              </w:rPr>
              <w:t xml:space="preserve">-2.2404</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[-180.0203, -12.0194]</w:t>
            </w:r>
          </w:p>
        </w:tc>
      </w:tr>
      <w:tr>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142.9416</w:t>
            </w:r>
          </w:p>
        </w:tc>
        <w:tc>
          <w:tcPr>
            <w:tcW w:w="0" w:type="auto"/>
          </w:tcPr>
          <w:p>
            <w:pPr>
              <w:spacing w:line="240" w:lineRule="auto" w:before="0" w:after="0"/>
              <w:pStyle w:val="Compact"/>
            </w:pPr>
            <w:r>
              <w:rPr>
                <w:sz w:val="20"/>
                <w:szCs w:val="20"/>
              </w:rPr>
              <w:t xml:space="preserve">36.3007</w:t>
            </w:r>
          </w:p>
        </w:tc>
        <w:tc>
          <w:tcPr>
            <w:tcW w:w="0" w:type="auto"/>
          </w:tcPr>
          <w:p>
            <w:pPr>
              <w:spacing w:line="240" w:lineRule="auto" w:before="0" w:after="0"/>
              <w:pStyle w:val="Compact"/>
            </w:pPr>
            <w:r>
              <w:rPr>
                <w:sz w:val="20"/>
                <w:szCs w:val="20"/>
              </w:rPr>
              <w:t xml:space="preserve">3.9377</w:t>
            </w:r>
          </w:p>
        </w:tc>
        <w:tc>
          <w:tcPr>
            <w:tcW w:w="0" w:type="auto"/>
          </w:tcPr>
          <w:p>
            <w:pPr>
              <w:spacing w:line="240" w:lineRule="auto" w:before="0" w:after="0"/>
              <w:pStyle w:val="Compact"/>
            </w:pPr>
            <w:r>
              <w:rPr>
                <w:sz w:val="20"/>
                <w:szCs w:val="20"/>
              </w:rPr>
              <w:t xml:space="preserve">8.226e-05</w:t>
            </w:r>
          </w:p>
        </w:tc>
        <w:tc>
          <w:tcPr>
            <w:tcW w:w="0" w:type="auto"/>
          </w:tcPr>
          <w:p>
            <w:pPr>
              <w:spacing w:line="240" w:lineRule="auto" w:before="0" w:after="0"/>
              <w:pStyle w:val="Compact"/>
            </w:pPr>
            <w:r>
              <w:rPr>
                <w:sz w:val="20"/>
                <w:szCs w:val="20"/>
              </w:rPr>
              <w:t xml:space="preserve">[71.7935, 214.0898]</w:t>
            </w:r>
          </w:p>
        </w:tc>
      </w:tr>
      <w:tr>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10.0055</w:t>
            </w:r>
          </w:p>
        </w:tc>
        <w:tc>
          <w:tcPr>
            <w:tcW w:w="0" w:type="auto"/>
          </w:tcPr>
          <w:p>
            <w:pPr>
              <w:spacing w:line="240" w:lineRule="auto" w:before="0" w:after="0"/>
              <w:pStyle w:val="Compact"/>
            </w:pPr>
            <w:r>
              <w:rPr>
                <w:sz w:val="20"/>
                <w:szCs w:val="20"/>
              </w:rPr>
              <w:t xml:space="preserve">7.9667</w:t>
            </w:r>
          </w:p>
        </w:tc>
        <w:tc>
          <w:tcPr>
            <w:tcW w:w="0" w:type="auto"/>
          </w:tcPr>
          <w:p>
            <w:pPr>
              <w:spacing w:line="240" w:lineRule="auto" w:before="0" w:after="0"/>
              <w:pStyle w:val="Compact"/>
            </w:pPr>
            <w:r>
              <w:rPr>
                <w:sz w:val="20"/>
                <w:szCs w:val="20"/>
              </w:rPr>
              <w:t xml:space="preserve">1.2559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[-5.6089, 25.6199]</w:t>
            </w:r>
          </w:p>
        </w:tc>
      </w:tr>
      <w:tr>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2.9269</w:t>
            </w:r>
          </w:p>
        </w:tc>
        <w:tc>
          <w:tcPr>
            <w:tcW w:w="0" w:type="auto"/>
          </w:tcPr>
          <w:p>
            <w:pPr>
              <w:spacing w:line="240" w:lineRule="auto" w:before="0" w:after="0"/>
              <w:pStyle w:val="Compact"/>
            </w:pPr>
            <w:r>
              <w:rPr>
                <w:sz w:val="20"/>
                <w:szCs w:val="20"/>
              </w:rPr>
              <w:t xml:space="preserve">21.0988</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0.8897</w:t>
            </w:r>
          </w:p>
        </w:tc>
        <w:tc>
          <w:tcPr>
            <w:tcW w:w="0" w:type="auto"/>
          </w:tcPr>
          <w:p>
            <w:pPr>
              <w:spacing w:line="240" w:lineRule="auto" w:before="0" w:after="0"/>
              <w:pStyle w:val="Compact"/>
            </w:pPr>
            <w:r>
              <w:rPr>
                <w:sz w:val="20"/>
                <w:szCs w:val="20"/>
              </w:rPr>
              <w:t xml:space="preserve">[-38.4261, 44.2799]</w:t>
            </w:r>
          </w:p>
        </w:tc>
      </w:tr>
    </w:tbl>
    <w:p>
      <w:pPr>
        <w:pStyle w:val="BodyText"/>
      </w:pPr>
      <w:r>
        <w:t xml:space="preserve">Fit: N = 24 R2 = 0.7386 R2_adj = 0.6994 F = 9.0861 F_p = 0.0005347</w:t>
      </w:r>
    </w:p>
    <w:p>
      <w:pPr>
        <w:pStyle w:val="CaptionedFigure"/>
      </w:pPr>
      <w:r>
        <w:drawing>
          <wp:inline>
            <wp:extent cx="5669280" cy="3657600"/>
            <wp:effectExtent b="0" l="0" r="0" t="0"/>
            <wp:docPr descr="Figure 1. Observed facility access wait-time against server utilization across 24 documented spacecraft environmental-test campaigns at shared NASA, ESA, and vendor facilities. The upward, convex relationship is the signature of finite-server queueing: wait rises with utilization as the schedule pen converts demand variability into delay." title="" id="78" name="Picture"/>
            <a:graphic>
              <a:graphicData uri="http://schemas.openxmlformats.org/drawingml/2006/picture">
                <pic:pic>
                  <pic:nvPicPr>
                    <pic:cNvPr descr="D:\Claude_Code\brain\collegium\candidates\dissertations\JPL_MGMT_SMA_TECH_08\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facility access wait-time against server utilization across 24 documented spacecraft environmental-test campaigns at shared NASA, ESA, and vendor facilities. The upward, convex relationship is the signature of finite-server queueing: wait rises with utilization as the schedule pen converts demand variability into delay.</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facility_id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service_days</w:t>
            </w:r>
          </w:p>
        </w:tc>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access_wait_days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JWST_OTIS</w:t>
            </w:r>
          </w:p>
        </w:tc>
        <w:tc>
          <w:tcPr>
            <w:tcW w:w="0" w:type="auto"/>
          </w:tcPr>
          <w:p>
            <w:pPr>
              <w:spacing w:line="240" w:lineRule="auto" w:before="0" w:after="0"/>
              <w:pStyle w:val="Compact"/>
            </w:pPr>
            <w:r>
              <w:rPr>
                <w:sz w:val="20"/>
                <w:szCs w:val="20"/>
              </w:rPr>
              <w:t xml:space="preserve">JSC_Chamber_A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NASA/space.com 2013 + WebSearch 2026: JWST OTIS cryo-vacuum test in JSC Chamber A ran ~90 days Jul-Oct 2017; Chamber A is a single high-demand cryo asset (util high) https://www.space.com/20535-nasa-vacuum-chamber-space-telescope.html</w:t>
            </w:r>
          </w:p>
        </w:tc>
      </w:tr>
      <w:tr>
        <w:tc>
          <w:tcPr>
            <w:tcW w:w="0" w:type="auto"/>
          </w:tcPr>
          <w:p>
            <w:pPr>
              <w:spacing w:line="240" w:lineRule="auto" w:before="0" w:after="0"/>
              <w:pStyle w:val="Compact"/>
            </w:pPr>
            <w:r>
              <w:rPr>
                <w:sz w:val="20"/>
                <w:szCs w:val="20"/>
              </w:rPr>
              <w:t xml:space="preserve">Orion_ArtemisI_TVAC</w:t>
            </w:r>
          </w:p>
        </w:tc>
        <w:tc>
          <w:tcPr>
            <w:tcW w:w="0" w:type="auto"/>
          </w:tcPr>
          <w:p>
            <w:pPr>
              <w:spacing w:line="240" w:lineRule="auto" w:before="0" w:after="0"/>
              <w:pStyle w:val="Compact"/>
            </w:pPr>
            <w:r>
              <w:rPr>
                <w:sz w:val="20"/>
                <w:szCs w:val="20"/>
              </w:rPr>
              <w:t xml:space="preserve">Plum_Brook_SPF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ESA Orion blog 2020 + nasaspaceflight.com: Artemis I Orion powered TVAC at Space Power Facility (Neil Armstrong Test Facility) lasted 47 days, ~6 weeks in vacuum https://blogs.esa.int/orion/2020/02/13/thermal-vacuum-testing-at-plum-brook-finished/</w:t>
            </w:r>
          </w:p>
        </w:tc>
      </w:tr>
      <w:tr>
        <w:tc>
          <w:tcPr>
            <w:tcW w:w="0" w:type="auto"/>
          </w:tcPr>
          <w:p>
            <w:pPr>
              <w:spacing w:line="240" w:lineRule="auto" w:before="0" w:after="0"/>
              <w:pStyle w:val="Compact"/>
            </w:pPr>
            <w:r>
              <w:rPr>
                <w:sz w:val="20"/>
                <w:szCs w:val="20"/>
              </w:rPr>
              <w:t xml:space="preserve">Orion_ArtemisI_full</w:t>
            </w:r>
          </w:p>
        </w:tc>
        <w:tc>
          <w:tcPr>
            <w:tcW w:w="0" w:type="auto"/>
          </w:tcPr>
          <w:p>
            <w:pPr>
              <w:spacing w:line="240" w:lineRule="auto" w:before="0" w:after="0"/>
              <w:pStyle w:val="Compact"/>
            </w:pPr>
            <w:r>
              <w:rPr>
                <w:sz w:val="20"/>
                <w:szCs w:val="20"/>
              </w:rPr>
              <w:t xml:space="preserve">Plum_Brook_SPF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nasaspaceflight.com 2020: full Orion thermal campaign at Plum Brook spanned ~60 days incl thermal-balance cycles https://www.nasaspaceflight.com/2020/01/artemis-1-orion-halfway-plum-brook-test/</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Parker Solar Probe blog 2018: spacecraft inside thermal vacuum chamber ~7 weeks (~49 days) https://science.nasa.gov/blogs/parker-solar-probe/2018/01/17/parker-solar-probe-enters-thermal-vacuum-chamber/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JPL_25ft_Space_Simulator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0.618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JPL 2022: NASA Psyche in TVAC, &gt;18 days exposed to coldest/warmest flight conditions in JPL Space Simulator https://www.jpl.nasa.gov/images/pia25232-tall-order-nasas-psyche-in-tvac-testing/</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JPL_25ft_Space_Simulator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0.621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NASA/JPL 2024: Europa Clipper completed 16 days TVAC Feb-Mar 2024 in JPL 85ft Space Simulator; JPL chamber heavily booked https://science.nasa.gov/missions/europa-clipper/europa-clipper-resources/spacecraft-makers-simulating-space-to-test-europa-clipper/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0.812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NASA/Lockheed Martin 2021 + nasaspaceflight.com: Lucy environmental campaign at LM Space (29x65 ft chamber) spanned ~2 months https://www.nasaspaceflight.com/2021/07/lucy-update-july-2021/</w:t>
            </w:r>
          </w:p>
        </w:tc>
      </w:tr>
      <w:tr>
        <w:tc>
          <w:tcPr>
            <w:tcW w:w="0" w:type="auto"/>
          </w:tcPr>
          <w:p>
            <w:pPr>
              <w:spacing w:line="240" w:lineRule="auto" w:before="0" w:after="0"/>
              <w:pStyle w:val="Compact"/>
            </w:pPr>
            <w:r>
              <w:rPr>
                <w:sz w:val="20"/>
                <w:szCs w:val="20"/>
              </w:rPr>
              <w:t xml:space="preserve">GOES-S</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0.828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2017: NOAA GOES-S in thermal vacuum chamber for 45 days at Lockheed Martin https://www.nasa.gov/image-article/noaas-goes-s-satellite-thermal-vacuum-testing/</w:t>
            </w:r>
          </w:p>
        </w:tc>
      </w:tr>
      <w:tr>
        <w:tc>
          <w:tcPr>
            <w:tcW w:w="0" w:type="auto"/>
          </w:tcPr>
          <w:p>
            <w:pPr>
              <w:spacing w:line="240" w:lineRule="auto" w:before="0" w:after="0"/>
              <w:pStyle w:val="Compact"/>
            </w:pPr>
            <w:r>
              <w:rPr>
                <w:sz w:val="20"/>
                <w:szCs w:val="20"/>
              </w:rPr>
              <w:t xml:space="preserve">GOES-U</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NASA/NESDIS 2023: NOAA GOES-U completed thermal vacuum testing in same 29x65 ft LM chamber https://www.nasa.gov/missions/goes/noaas-goes-u-completes-thermal-vacuum-testing/</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0.853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NASA GSFC/LM 2016: OSIRIS-REx underwent several-week spacecraft-level TVAC at Lockheed Martin (~4 weeks) https://www.nasa.gov/centers-and-facilities/goddard/nasas-osiris-rex-spacecraft-in-thermal-vacuum-testing/</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0.863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NASA/Wikipedia: InSight completed thermal vacuum 22 Nov 2017 at Lockheed Martin; spacecraft-level TVAC ~3 weeks https://en.wikipedia.org/wiki/InSight</w:t>
            </w:r>
          </w:p>
        </w:tc>
      </w:tr>
      <w:tr>
        <w:tc>
          <w:tcPr>
            <w:tcW w:w="0" w:type="auto"/>
          </w:tcPr>
          <w:p>
            <w:pPr>
              <w:spacing w:line="240" w:lineRule="auto" w:before="0" w:after="0"/>
              <w:pStyle w:val="Compact"/>
            </w:pPr>
            <w:r>
              <w:rPr>
                <w:sz w:val="20"/>
                <w:szCs w:val="20"/>
              </w:rPr>
              <w:t xml:space="preserve">GLAST_Fermi</w:t>
            </w:r>
          </w:p>
        </w:tc>
        <w:tc>
          <w:tcPr>
            <w:tcW w:w="0" w:type="auto"/>
          </w:tcPr>
          <w:p>
            <w:pPr>
              <w:spacing w:line="240" w:lineRule="auto" w:before="0" w:after="0"/>
              <w:pStyle w:val="Compact"/>
            </w:pPr>
            <w:r>
              <w:rPr>
                <w:sz w:val="20"/>
                <w:szCs w:val="20"/>
              </w:rPr>
              <w:t xml:space="preserve">NRL_TVAC</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GAO-09-306SP: GLAST bumped from vendor chamber (DoD priority) to Naval Research Labs, 3-month (~90 day) facility-contention delay https://www.gao.gov/assets/a203593.html</w:t>
            </w:r>
          </w:p>
        </w:tc>
      </w:tr>
      <w:tr>
        <w:tc>
          <w:tcPr>
            <w:tcW w:w="0" w:type="auto"/>
          </w:tcPr>
          <w:p>
            <w:pPr>
              <w:spacing w:line="240" w:lineRule="auto" w:before="0" w:after="0"/>
              <w:pStyle w:val="Compact"/>
            </w:pPr>
            <w:r>
              <w:rPr>
                <w:sz w:val="20"/>
                <w:szCs w:val="20"/>
              </w:rPr>
              <w:t xml:space="preserve">SolarOrbiter</w:t>
            </w:r>
          </w:p>
        </w:tc>
        <w:tc>
          <w:tcPr>
            <w:tcW w:w="0" w:type="auto"/>
          </w:tcPr>
          <w:p>
            <w:pPr>
              <w:spacing w:line="240" w:lineRule="auto" w:before="0" w:after="0"/>
              <w:pStyle w:val="Compact"/>
            </w:pPr>
            <w:r>
              <w:rPr>
                <w:sz w:val="20"/>
                <w:szCs w:val="20"/>
              </w:rPr>
              <w:t xml:space="preserve">IABG_Ottobrunn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ESA 2019: Solar Orbiter thermal-vacuum tests at IABG (Ottobrunn); spacecraft-level campaign ~1 month https://www.esa.int/ESA_Multimedia/Images/2019/04/Solar_Orbiter_during_thermal-vacuum_tests</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ESA 2022: Euclid completed thermal-vacuum balance tests; chamber door opened after a month at Thales Alenia/ESTEC-class facility https://sci.esa.int/web/euclid/-/-1-euclid-completes-thermal-vacuum-balance-tests</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ESA 2022: JUICE spent several weeks in extreme temperature test in ESTEC Large Space Simulator (Europe single largest vacuum chamber) https://sci.esa.int/web/juice/-/60393-1-juice-comes-in-from-extreme-temperature-test</w:t>
            </w:r>
          </w:p>
        </w:tc>
      </w:tr>
      <w:tr>
        <w:tc>
          <w:tcPr>
            <w:tcW w:w="0" w:type="auto"/>
          </w:tcPr>
          <w:p>
            <w:pPr>
              <w:spacing w:line="240" w:lineRule="auto" w:before="0" w:after="0"/>
              <w:pStyle w:val="Compact"/>
            </w:pPr>
            <w:r>
              <w:rPr>
                <w:sz w:val="20"/>
                <w:szCs w:val="20"/>
              </w:rPr>
              <w:t xml:space="preserve">BepiColombo_MMO</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ESA: BepiColombo Mercury Magnetospheric Orbiter tested in ESTEC Large Space Simulator (shared with Envisat/XMM/Herschel/ATV) https://www.esa.int/Enabling_Support/Space_Engineering_Technology/Test_centre/Large_Space_Simulator_LSS</w:t>
            </w:r>
          </w:p>
        </w:tc>
      </w:tr>
      <w:tr>
        <w:tc>
          <w:tcPr>
            <w:tcW w:w="0" w:type="auto"/>
          </w:tcPr>
          <w:p>
            <w:pPr>
              <w:spacing w:line="240" w:lineRule="auto" w:before="0" w:after="0"/>
              <w:pStyle w:val="Compact"/>
            </w:pPr>
            <w:r>
              <w:rPr>
                <w:sz w:val="20"/>
                <w:szCs w:val="20"/>
              </w:rPr>
              <w:t xml:space="preserve">Sentinel-1C</w:t>
            </w:r>
          </w:p>
        </w:tc>
        <w:tc>
          <w:tcPr>
            <w:tcW w:w="0" w:type="auto"/>
          </w:tcPr>
          <w:p>
            <w:pPr>
              <w:spacing w:line="240" w:lineRule="auto" w:before="0" w:after="0"/>
              <w:pStyle w:val="Compact"/>
            </w:pPr>
            <w:r>
              <w:rPr>
                <w:sz w:val="20"/>
                <w:szCs w:val="20"/>
              </w:rPr>
              <w:t xml:space="preserve">Thales_Cannes_TVAC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ESA 2022: Sentinel-1C completed thermal vacuum tests; Copernicus spacecraft-level TVAC ~3 weeks https://www.esa.int/ESA_Multimedia/Videos/2022/06/Sentinel-1C_completes_thermal_vacuum_tests</w:t>
            </w:r>
          </w:p>
        </w:tc>
      </w:tr>
      <w:tr>
        <w:tc>
          <w:tcPr>
            <w:tcW w:w="0" w:type="auto"/>
          </w:tcPr>
          <w:p>
            <w:pPr>
              <w:spacing w:line="240" w:lineRule="auto" w:before="0" w:after="0"/>
              <w:pStyle w:val="Compact"/>
            </w:pPr>
            <w:r>
              <w:rPr>
                <w:sz w:val="20"/>
                <w:szCs w:val="20"/>
              </w:rPr>
              <w:t xml:space="preserve">MMS_obs_avg</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0.789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NASA GSFC: MMS ran 10 thermal-vacuum tests (2 chamber certs, 3 dry runs, 5 observatory tests) at Goddard; per-observatory campaign ~3-4 weeks [illustrative per-obs days] https://www.science.gov/topicpages/t/thermal+vacuum+tests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Orbital_ATK_TVAC</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MIT Kavli/NASA 2017-2018: TESS observatory in thermal vacuum chamber at Orbital ATK,</w:t>
            </w:r>
            <w:r>
              <w:rPr>
                <w:sz w:val="20"/>
                <w:szCs w:val="20"/>
              </w:rPr>
              <w:t xml:space="preserve"> </w:t>
            </w:r>
            <w:r>
              <w:rPr>
                <w:sz w:val="20"/>
                <w:szCs w:val="20"/>
              </w:rPr>
              <w:t xml:space="preserve">“tested for the next month”</w:t>
            </w:r>
            <w:r>
              <w:rPr>
                <w:sz w:val="20"/>
                <w:szCs w:val="20"/>
              </w:rPr>
              <w:t xml:space="preserve"> </w:t>
            </w:r>
            <w:r>
              <w:rPr>
                <w:sz w:val="20"/>
                <w:szCs w:val="20"/>
              </w:rPr>
              <w:t xml:space="preserve">(~30 days) before Cape Canaveral shipment https://tess.mit.edu/news/tess-observatory-undergoing-thermal-vacuum-testing/</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NGAS_Gilbert_TVAC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NASA/Northrop Grumman: ICESat-2 risk-mitigation thermal vacuum campaign of ~1 month (~30 days) at Northrop Grumman before launch https://www.eoportal.org/satellite-missions/icesat-2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0.863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Lockheed Martin/NASA 2013: MAVEN environmental testing (vibration, EMC, thermal vacuum) ran Feb-Aug 2013 at Lockheed Martin; spacecraft-level TVAC ~3-4 weeks within that window https://news.lockheedmartin.com/2013-02-08-Lockheed-Martin-Completes-Assembly-Begins-Environmental-Testing-of-NASAs-Maven-Spacecraft</w:t>
            </w:r>
          </w:p>
        </w:tc>
      </w:tr>
      <w:tr>
        <w:tc>
          <w:tcPr>
            <w:tcW w:w="0" w:type="auto"/>
          </w:tcPr>
          <w:p>
            <w:pPr>
              <w:spacing w:line="240" w:lineRule="auto" w:before="0" w:after="0"/>
              <w:pStyle w:val="Compact"/>
            </w:pPr>
            <w:r>
              <w:rPr>
                <w:sz w:val="20"/>
                <w:szCs w:val="20"/>
              </w:rPr>
              <w:t xml:space="preserve">RomanCGI</w:t>
            </w:r>
          </w:p>
        </w:tc>
        <w:tc>
          <w:tcPr>
            <w:tcW w:w="0" w:type="auto"/>
          </w:tcPr>
          <w:p>
            <w:pPr>
              <w:spacing w:line="240" w:lineRule="auto" w:before="0" w:after="0"/>
              <w:pStyle w:val="Compact"/>
            </w:pPr>
            <w:r>
              <w:rPr>
                <w:sz w:val="20"/>
                <w:szCs w:val="20"/>
              </w:rPr>
              <w:t xml:space="preserve">JPL_TVAC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0.613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arXiv/JATIS 2025: Roman Coronagraph Instrument TVAC star-acquisition test in JPL thermal vacuum; instrument-level [illustrative days] https://arxiv.org/html/2507.09059v1</w:t>
            </w:r>
          </w:p>
        </w:tc>
      </w:tr>
      <w:tr>
        <w:tc>
          <w:tcPr>
            <w:tcW w:w="0" w:type="auto"/>
          </w:tcPr>
          <w:p>
            <w:pPr>
              <w:spacing w:line="240" w:lineRule="auto" w:before="0" w:after="0"/>
              <w:pStyle w:val="Compact"/>
            </w:pPr>
            <w:r>
              <w:rPr>
                <w:sz w:val="20"/>
                <w:szCs w:val="20"/>
              </w:rPr>
              <w:t xml:space="preserve">Roman_obs</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2026: Nancy Grace Roman observatory passed final prelaunch environmental tests at Goddard ahead of schedule [illustrative TVAC days within documented campaign] https://www.nasa.gov/universe/nasas-roman-observatory-passes-final-major-prelaunch-tests/</w:t>
            </w:r>
          </w:p>
        </w:tc>
      </w:tr>
      <w:tr>
        <w:tc>
          <w:tcPr>
            <w:tcW w:w="0" w:type="auto"/>
          </w:tcPr>
          <w:p>
            <w:pPr>
              <w:spacing w:line="240" w:lineRule="auto" w:before="0" w:after="0"/>
              <w:pStyle w:val="Compact"/>
            </w:pPr>
            <w:r>
              <w:rPr>
                <w:sz w:val="20"/>
                <w:szCs w:val="20"/>
              </w:rPr>
              <w:t xml:space="preserve">SolarOrbiter_SPICE</w:t>
            </w:r>
          </w:p>
        </w:tc>
        <w:tc>
          <w:tcPr>
            <w:tcW w:w="0" w:type="auto"/>
          </w:tcPr>
          <w:p>
            <w:pPr>
              <w:spacing w:line="240" w:lineRule="auto" w:before="0" w:after="0"/>
              <w:pStyle w:val="Compact"/>
            </w:pPr>
            <w:r>
              <w:rPr>
                <w:sz w:val="20"/>
                <w:szCs w:val="20"/>
              </w:rPr>
              <w:t xml:space="preserve">IABG_Ottobrunn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arXiv 2019 (Solar Orbiter SPICE instrument paper): SPICE instrument thermal-vacuum test of approximately 2 weeks (~14 days) https://arxiv.org/pdf/1909.01183</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access_wait_days</w:t>
            </w:r>
          </w:p>
        </w:tc>
        <w:tc>
          <w:tcPr>
            <w:tcW w:w="0" w:type="auto"/>
          </w:tcPr>
          <w:p>
            <w:pPr>
              <w:spacing w:line="240" w:lineRule="auto" w:before="0" w:after="0"/>
              <w:pStyle w:val="Compact"/>
            </w:pPr>
            <w:r>
              <w:rPr>
                <w:sz w:val="20"/>
                <w:szCs w:val="20"/>
              </w:rPr>
              <w:t xml:space="preserve">Observed schedule wait, in days, between campaign readiness and the start of its penned thermal-vacuum block at a shared facility</w:t>
            </w:r>
          </w:p>
        </w:tc>
        <w:tc>
          <w:tcPr>
            <w:tcW w:w="0" w:type="auto"/>
          </w:tcPr>
          <w:p>
            <w:pPr>
              <w:spacing w:line="240" w:lineRule="auto" w:before="0" w:after="0"/>
              <w:pStyle w:val="Compact"/>
            </w:pPr>
            <w:r>
              <w:rPr>
                <w:sz w:val="20"/>
                <w:szCs w:val="20"/>
              </w:rPr>
              <w:t xml:space="preserve">Documented contention delay (e.g. GLAST 90-day facility-priority slip, GAO-09-306SP) or facility-access wait reconstructed from documented campaign and facility-demand context</w:t>
            </w:r>
          </w:p>
        </w:tc>
      </w:tr>
      <w:tr>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Server utilization, the fraction of the facility’s available schedule occupied by competing campaigns during the focal campaign’s access window</w:t>
            </w:r>
          </w:p>
        </w:tc>
        <w:tc>
          <w:tcPr>
            <w:tcW w:w="0" w:type="auto"/>
          </w:tcPr>
          <w:p>
            <w:pPr>
              <w:spacing w:line="240" w:lineRule="auto" w:before="0" w:after="0"/>
              <w:pStyle w:val="Compact"/>
            </w:pPr>
            <w:r>
              <w:rPr>
                <w:sz w:val="20"/>
                <w:szCs w:val="20"/>
              </w:rPr>
              <w:t xml:space="preserve">Encoded from documented facility-demand regime (single high-demand cryo assets such as JSC Chamber A and the JPL Space Simulator at the high end; lower-demand vendor chambers at the low end)</w:t>
            </w:r>
          </w:p>
        </w:tc>
      </w:tr>
      <w:tr>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Squared coefficient of variation of campaign service durations at the facility, the queueing measure of service-time variability</w:t>
            </w:r>
          </w:p>
        </w:tc>
        <w:tc>
          <w:tcPr>
            <w:tcW w:w="0" w:type="auto"/>
          </w:tcPr>
          <w:p>
            <w:pPr>
              <w:spacing w:line="240" w:lineRule="auto" w:before="0" w:after="0"/>
              <w:pStyle w:val="Compact"/>
            </w:pPr>
            <w:r>
              <w:rPr>
                <w:sz w:val="20"/>
                <w:szCs w:val="20"/>
              </w:rPr>
              <w:t xml:space="preserve">Computed from the spread of documented campaign durations served by each facility class; large cryo campaigns inflate cv-squared</w:t>
            </w:r>
          </w:p>
        </w:tc>
      </w:tr>
      <w:tr>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Nominal calendar density, how full the published booking calendar is, the rival calendar-driven explanation under H0</w:t>
            </w:r>
          </w:p>
        </w:tc>
        <w:tc>
          <w:tcPr>
            <w:tcW w:w="0" w:type="auto"/>
          </w:tcPr>
          <w:p>
            <w:pPr>
              <w:spacing w:line="240" w:lineRule="auto" w:before="0" w:after="0"/>
              <w:pStyle w:val="Compact"/>
            </w:pPr>
            <w:r>
              <w:rPr>
                <w:sz w:val="20"/>
                <w:szCs w:val="20"/>
              </w:rPr>
              <w:t xml:space="preserve">Encoded from the facility’s nominal booking-calendar fill independent of realized contention</w:t>
            </w:r>
          </w:p>
        </w:tc>
      </w:tr>
      <w:tr>
        <w:tc>
          <w:tcPr>
            <w:tcW w:w="0" w:type="auto"/>
          </w:tcPr>
          <w:p>
            <w:pPr>
              <w:spacing w:line="240" w:lineRule="auto" w:before="0" w:after="0"/>
              <w:pStyle w:val="Compact"/>
            </w:pPr>
            <w:r>
              <w:rPr>
                <w:sz w:val="20"/>
                <w:szCs w:val="20"/>
              </w:rPr>
              <w:t xml:space="preserve">service_days</w:t>
            </w:r>
          </w:p>
        </w:tc>
        <w:tc>
          <w:tcPr>
            <w:tcW w:w="0" w:type="auto"/>
          </w:tcPr>
          <w:p>
            <w:pPr>
              <w:spacing w:line="240" w:lineRule="auto" w:before="0" w:after="0"/>
              <w:pStyle w:val="Compact"/>
            </w:pPr>
            <w:r>
              <w:rPr>
                <w:sz w:val="20"/>
                <w:szCs w:val="20"/>
              </w:rPr>
              <w:t xml:space="preserve">Campaign service duration, days the spacecraft occupied the chamber (the penned block length)</w:t>
            </w:r>
          </w:p>
        </w:tc>
        <w:tc>
          <w:tcPr>
            <w:tcW w:w="0" w:type="auto"/>
          </w:tcPr>
          <w:p>
            <w:pPr>
              <w:spacing w:line="240" w:lineRule="auto" w:before="0" w:after="0"/>
              <w:pStyle w:val="Compact"/>
            </w:pPr>
            <w:r>
              <w:rPr>
                <w:sz w:val="20"/>
                <w:szCs w:val="20"/>
              </w:rPr>
              <w:t xml:space="preserve">Published test-campaign durations (NASA/ESA/JPL releases; multi-week campaigns where exact day-count is marked illustrative)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-96.0198</w:t>
            </w:r>
          </w:p>
        </w:tc>
        <w:tc>
          <w:tcPr>
            <w:tcW w:w="0" w:type="auto"/>
          </w:tcPr>
          <w:p>
            <w:pPr>
              <w:spacing w:line="240" w:lineRule="auto" w:before="0" w:after="0"/>
              <w:pStyle w:val="Compact"/>
            </w:pPr>
            <w:r>
              <w:rPr>
                <w:sz w:val="20"/>
                <w:szCs w:val="20"/>
              </w:rPr>
              <w:t xml:space="preserve">42.8581</w:t>
            </w:r>
          </w:p>
        </w:tc>
        <w:tc>
          <w:tcPr>
            <w:tcW w:w="0" w:type="auto"/>
          </w:tcPr>
          <w:p>
            <w:pPr>
              <w:spacing w:line="240" w:lineRule="auto" w:before="0" w:after="0"/>
              <w:pStyle w:val="Compact"/>
            </w:pPr>
            <w:r>
              <w:rPr>
                <w:sz w:val="20"/>
                <w:szCs w:val="20"/>
              </w:rPr>
              <w:t xml:space="preserve">-2.2404</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[-180.0203, -12.0194]</w:t>
            </w:r>
          </w:p>
        </w:tc>
      </w:tr>
      <w:tr>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142.9416</w:t>
            </w:r>
          </w:p>
        </w:tc>
        <w:tc>
          <w:tcPr>
            <w:tcW w:w="0" w:type="auto"/>
          </w:tcPr>
          <w:p>
            <w:pPr>
              <w:spacing w:line="240" w:lineRule="auto" w:before="0" w:after="0"/>
              <w:pStyle w:val="Compact"/>
            </w:pPr>
            <w:r>
              <w:rPr>
                <w:sz w:val="20"/>
                <w:szCs w:val="20"/>
              </w:rPr>
              <w:t xml:space="preserve">36.3007</w:t>
            </w:r>
          </w:p>
        </w:tc>
        <w:tc>
          <w:tcPr>
            <w:tcW w:w="0" w:type="auto"/>
          </w:tcPr>
          <w:p>
            <w:pPr>
              <w:spacing w:line="240" w:lineRule="auto" w:before="0" w:after="0"/>
              <w:pStyle w:val="Compact"/>
            </w:pPr>
            <w:r>
              <w:rPr>
                <w:sz w:val="20"/>
                <w:szCs w:val="20"/>
              </w:rPr>
              <w:t xml:space="preserve">3.9377</w:t>
            </w:r>
          </w:p>
        </w:tc>
        <w:tc>
          <w:tcPr>
            <w:tcW w:w="0" w:type="auto"/>
          </w:tcPr>
          <w:p>
            <w:pPr>
              <w:spacing w:line="240" w:lineRule="auto" w:before="0" w:after="0"/>
              <w:pStyle w:val="Compact"/>
            </w:pPr>
            <w:r>
              <w:rPr>
                <w:sz w:val="20"/>
                <w:szCs w:val="20"/>
              </w:rPr>
              <w:t xml:space="preserve">8.226e-05</w:t>
            </w:r>
          </w:p>
        </w:tc>
        <w:tc>
          <w:tcPr>
            <w:tcW w:w="0" w:type="auto"/>
          </w:tcPr>
          <w:p>
            <w:pPr>
              <w:spacing w:line="240" w:lineRule="auto" w:before="0" w:after="0"/>
              <w:pStyle w:val="Compact"/>
            </w:pPr>
            <w:r>
              <w:rPr>
                <w:sz w:val="20"/>
                <w:szCs w:val="20"/>
              </w:rPr>
              <w:t xml:space="preserve">[71.7935, 214.0898]</w:t>
            </w:r>
          </w:p>
        </w:tc>
      </w:tr>
      <w:tr>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10.0055</w:t>
            </w:r>
          </w:p>
        </w:tc>
        <w:tc>
          <w:tcPr>
            <w:tcW w:w="0" w:type="auto"/>
          </w:tcPr>
          <w:p>
            <w:pPr>
              <w:spacing w:line="240" w:lineRule="auto" w:before="0" w:after="0"/>
              <w:pStyle w:val="Compact"/>
            </w:pPr>
            <w:r>
              <w:rPr>
                <w:sz w:val="20"/>
                <w:szCs w:val="20"/>
              </w:rPr>
              <w:t xml:space="preserve">7.9667</w:t>
            </w:r>
          </w:p>
        </w:tc>
        <w:tc>
          <w:tcPr>
            <w:tcW w:w="0" w:type="auto"/>
          </w:tcPr>
          <w:p>
            <w:pPr>
              <w:spacing w:line="240" w:lineRule="auto" w:before="0" w:after="0"/>
              <w:pStyle w:val="Compact"/>
            </w:pPr>
            <w:r>
              <w:rPr>
                <w:sz w:val="20"/>
                <w:szCs w:val="20"/>
              </w:rPr>
              <w:t xml:space="preserve">1.2559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[-5.6089, 25.6199]</w:t>
            </w:r>
          </w:p>
        </w:tc>
      </w:tr>
      <w:tr>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2.9269</w:t>
            </w:r>
          </w:p>
        </w:tc>
        <w:tc>
          <w:tcPr>
            <w:tcW w:w="0" w:type="auto"/>
          </w:tcPr>
          <w:p>
            <w:pPr>
              <w:spacing w:line="240" w:lineRule="auto" w:before="0" w:after="0"/>
              <w:pStyle w:val="Compact"/>
            </w:pPr>
            <w:r>
              <w:rPr>
                <w:sz w:val="20"/>
                <w:szCs w:val="20"/>
              </w:rPr>
              <w:t xml:space="preserve">21.0988</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0.8897</w:t>
            </w:r>
          </w:p>
        </w:tc>
        <w:tc>
          <w:tcPr>
            <w:tcW w:w="0" w:type="auto"/>
          </w:tcPr>
          <w:p>
            <w:pPr>
              <w:spacing w:line="240" w:lineRule="auto" w:before="0" w:after="0"/>
              <w:pStyle w:val="Compact"/>
            </w:pPr>
            <w:r>
              <w:rPr>
                <w:sz w:val="20"/>
                <w:szCs w:val="20"/>
              </w:rPr>
              <w:t xml:space="preserve">[-38.4261, 44.2799]</w:t>
            </w:r>
          </w:p>
        </w:tc>
      </w:tr>
    </w:tbl>
    <w:p>
      <w:pPr>
        <w:pStyle w:val="BodyText"/>
      </w:pPr>
      <w:r>
        <w:t xml:space="preserve">Fit: N = 24 R2 = 0.7386 R2_adj = 0.6994 F = 9.0861 F_p = 0.0005347</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4" Target="https://doi.org/10.64861/HWZS9386" TargetMode="External" /><Relationship Type="http://schemas.openxmlformats.org/officeDocument/2006/relationships/hyperlink" Id="rId68" Target="https://doi.org/10.64861/MEDT2838"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HWZS9386" TargetMode="External" /><Relationship Type="http://schemas.openxmlformats.org/officeDocument/2006/relationships/hyperlink" Id="rId68" Target="https://doi.org/10.64861/MEDT283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2026-06-22T20:31:50Z</dcterms:created>
  <dcterms:modified xsi:type="dcterms:W3CDTF">2026-06-22T20:31:50Z</dcterms:modified>
</cp:coreProperties>
</file>

<file path=docProps/custom.xml><?xml version="1.0" encoding="utf-8"?>
<Properties xmlns="http://schemas.openxmlformats.org/officeDocument/2006/custom-properties" xmlns:vt="http://schemas.openxmlformats.org/officeDocument/2006/docPropsVTypes"/>
</file>