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TEST FACILITY THROUGHPUT AS A QUEUE: CONTENTION, WAIT-TIME, AND THE SCHEDULE PEN</w:t>
      </w:r>
    </w:p>
    <w:p>
      <w:pPr>
        <w:jc w:val="center"/>
      </w:pPr>
    </w:p>
    <w:p>
      <w:pPr>
        <w:jc w:val="center"/>
      </w:pPr>
      <w:r>
        <w:rPr>
          <w:rFonts w:ascii="Times New Roman" w:hAnsi="Times New Roman"/>
          <w:sz w:val="24"/>
        </w:rPr>
        <w:t>by</w:t>
      </w:r>
    </w:p>
    <w:p>
      <w:pPr>
        <w:jc w:val="center"/>
      </w:pPr>
      <w:r>
        <w:rPr>
          <w:rFonts w:ascii="Times New Roman" w:hAnsi="Times New Roman"/>
          <w:b/>
          <w:sz w:val="28"/>
        </w:rPr>
        <w:t>Sofia Hoffmann</w:t>
      </w:r>
    </w:p>
    <w:p>
      <w:pPr>
        <w:jc w:val="center"/>
      </w:pPr>
      <w:r>
        <w:rPr>
          <w:rFonts w:ascii="Times New Roman" w:hAnsi="Times New Roman"/>
          <w:sz w:val="24"/>
        </w:rPr>
        <w:t>1B-LFO-026</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7" w:name="chapter-1.-introduction"/>
    <w:p>
      <w:pPr>
        <w:pStyle w:val="Heading1"/>
        <w:spacing w:line="480" w:lineRule="auto"/>
      </w:pPr>
      <w:r>
        <w:t xml:space="preserve">Chapter 1. Introduction</w:t>
      </w:r>
    </w:p>
    <w:bookmarkStart w:id="61" w:name="Xe1cecfb4a49f7b6c84d48f19243689861164a1e"/>
    <w:p>
      <w:pPr>
        <w:pStyle w:val="Heading2"/>
        <w:spacing w:line="480" w:lineRule="auto"/>
      </w:pPr>
      <w:r>
        <w:t xml:space="preserve">1.1 The Problem: A Server Managed as a Calendar</w:t>
      </w:r>
    </w:p>
    <w:p>
      <w:pPr>
        <w:pStyle w:val="FirstParagraph"/>
        <w:spacing w:line="480" w:lineRule="auto"/>
      </w:pPr>
      <w:r>
        <w:t xml:space="preserve">A space-system test facility is a server. A test campaign is a customer. The reservation block, the discipline by which a finite chamber, range, or contended sensor is matched against a competing population of campaigns, is the schedule pen. This framing is unremarkable in queueing theory and almost absent from facility-operations practice, where throughput is reported as a count of campaigns completed and delay is attributed to individual late arrivals rather than to the structure of contention itself. The framing is old. The operational consequence of treating a congestible server as a fixed calendar is precise and recurrent: a campaign that arrives while the server is occupied does not fail, it waits, and that wait propagates downstream into integration milestones and delivery dates.</w:t>
      </w:r>
    </w:p>
    <w:p>
      <w:pPr>
        <w:pStyle w:val="BodyText"/>
        <w:spacing w:line="480" w:lineRule="auto"/>
        <w:ind w:firstLine="720"/>
      </w:pPr>
      <w:r>
        <w:t xml:space="preserve">The artifact at the center of this dissertation is the pen itself, the discrete block of server time reserved against a finite resource. When a thermal-vacuum chamber is sealed for a ninety-day cryogenic campaign, every campaign that becomes ready during that block joins a queue. The wait those campaigns experience is not an accident of one late arrival; it is a structural product of how heavily the chamber is already loaded and of how unpredictable the durations of competing campaigns are. The discipline that resolves the contention, the penning of blocks against a finite list of servers, is the same combinatorial discipline the sensor-tasking and scheduling literature has formalized for telescopes assigned to competing targets under conflict [1, 4, 6]. What that literature optimizes, the present work measures.</w:t>
      </w:r>
    </w:p>
    <w:p>
      <w:pPr>
        <w:pStyle w:val="BodyText"/>
        <w:spacing w:line="480" w:lineRule="auto"/>
        <w:ind w:firstLine="720"/>
      </w:pPr>
      <w:r>
        <w:t xml:space="preserve">The diagnostic stakes turn on a single distinction. Delay at a shared facility can be congestion-driven, the signature of a loaded queue whose wait rises with utilization and with the variability of service durations, or it can be calendar-driven, an artifact of where reservation blocks happen to sit on a nominal booking schedule. These are not academic variants of one story. They prescribe opposite remedies. If delay is congestion-driven, the instruments that relieve it are the instruments that act on a queue: holding utilization below the saturation knee, compressing the variability of campaign durations, releasing blocks a campaign cannot fill, and protecting slack. If delay is merely calendar-driven, the remedy is to add dates or rearrange them. A manager who adds nominal dates to a calendar that is already contended will spend money and relieve nothing, because the calendar fill carries no independent purchase on a wait that the queue, not the calendar, produces. Getting the diagnosis wrong is expensive. In this domain the cost is paid in slipped launch windows.</w:t>
      </w:r>
    </w:p>
    <w:bookmarkEnd w:id="61"/>
    <w:bookmarkStart w:id="62" w:name="stakes-for-nasa-and-jpl"/>
    <w:p>
      <w:pPr>
        <w:pStyle w:val="Heading2"/>
        <w:spacing w:line="480" w:lineRule="auto"/>
      </w:pPr>
      <w:r>
        <w:t xml:space="preserve">1.2 Stakes for NASA and JPL</w:t>
      </w:r>
    </w:p>
    <w:p>
      <w:pPr>
        <w:pStyle w:val="FirstParagraph"/>
        <w:spacing w:line="480" w:lineRule="auto"/>
      </w:pPr>
      <w:r>
        <w:t xml:space="preserve">The agencies that build flagship spacecraft operate a small inventory of irreplaceable test assets and route a large flight portfolio through them. The thermal-vacuum chambers at Johnson Space Center and the Glenn Research Center Space Power Facility, the Jet Propulsion Laboratory Space Simulator, the acoustic and vibration stands at Goddard Space Flight Center, and the propulsion stands at Stennis are single or near-single servers in the queueing sense. Each is contended by missions whose delivery dates are set years in advance and whose launch windows, for interplanetary missions especially, recur only on orbital-mechanical intervals measured in months or years. A wait that would be a nuisance at a commercial facility with substitutable capacity becomes, at a single cryogenic chamber serving a flagship, a direct threat to a launch period that cannot be casually re-flown.</w:t>
      </w:r>
    </w:p>
    <w:p>
      <w:pPr>
        <w:pStyle w:val="BodyText"/>
        <w:spacing w:line="480" w:lineRule="auto"/>
        <w:ind w:firstLine="720"/>
      </w:pPr>
      <w:r>
        <w:t xml:space="preserve">The clearest documented instance of the mechanism is a government assessment of the spacecraft that became Fermi. The Gamma-ray Large Area Space Telescope was forced to relocate its thermal-vacuum testing after the spacecraft vendor gave priority to defense projects, producing a documented multi-month facility-access delay</w:t>
      </w:r>
      <w:r>
        <w:t xml:space="preserve"> </w:t>
      </w:r>
      <w:hyperlink w:anchor="ref-7">
        <w:r>
          <w:rPr>
            <w:rStyle w:val="Hyperlink"/>
          </w:rPr>
          <w:t xml:space="preserve">[7]</w:t>
        </w:r>
      </w:hyperlink>
      <w:r>
        <w:t xml:space="preserve">. That case shows the contention mechanism in its rawest form: a high-utilization shared asset, a priority conflict, and a slip that no rearrangement of the calendar could have prevented and only a capacity or variability intervention could have. The same structure recurs across the flight record. The James Webb Space Telescope optical-and-instrument assembly occupied Chamber A at Johnson for a cryogenic-vacuum test that ran well past its planned occupancy. Europa Clipper and Psyche shared a single eighty-five-foot chamber at the Jet Propulsion Laboratory in consecutive campaigns. Psyche’s launch slip was attributed by the agency to test work that could not be completed in the time available, the operational signature of a campaign caught in the pen. Each of these is a finite server, a penned block, and contending demand, and each is a case where the wait imposed by the queue translated directly into program schedule.</w:t>
      </w:r>
    </w:p>
    <w:p>
      <w:pPr>
        <w:pStyle w:val="BodyText"/>
        <w:spacing w:line="480" w:lineRule="auto"/>
        <w:ind w:firstLine="720"/>
      </w:pPr>
      <w:r>
        <w:t xml:space="preserve">The managerial reach extends beyond any single agency. As the flight portfolio grows and as constellations and rapid-cadence programs multiply the population of campaigns competing for a fixed inventory of test servers, the utilization regime of those servers rises toward the saturation knee, where queueing theory predicts wait accelerates convexly. Two adjacent literatures circle the problem. The space-economy literature reasons about whether high-throughput assets deliver their nominal capacity over a service life</w:t>
      </w:r>
      <w:r>
        <w:t xml:space="preserve"> </w:t>
      </w:r>
      <w:hyperlink w:anchor="ref-2">
        <w:r>
          <w:rPr>
            <w:rStyle w:val="Hyperlink"/>
          </w:rPr>
          <w:t xml:space="preserve">[2]</w:t>
        </w:r>
      </w:hyperlink>
      <w:r>
        <w:t xml:space="preserve">, and the distributed-network literature characterizes how server capacity scales as autonomous ground networks grow in sensor count</w:t>
      </w:r>
      <w:r>
        <w:t xml:space="preserve"> </w:t>
      </w:r>
      <w:hyperlink w:anchor="ref-3">
        <w:r>
          <w:rPr>
            <w:rStyle w:val="Hyperlink"/>
          </w:rPr>
          <w:t xml:space="preserve">[3]</w:t>
        </w:r>
      </w:hyperlink>
      <w:r>
        <w:t xml:space="preserve">, but neither descends to the operational queue that determines whether a given campaign waits days or quarters for access. The cost of misdiagnosing that wait, of buying calendar where the problem is congestion, scales with the portfolio. This is the stake that motivates a transportable, falsifiable model of the wait the pen produces.</w:t>
      </w:r>
    </w:p>
    <w:bookmarkEnd w:id="62"/>
    <w:bookmarkStart w:id="63" w:name="Xfb88ffc49ee5343136593b06b1ccea157d2ec8a"/>
    <w:p>
      <w:pPr>
        <w:pStyle w:val="Heading2"/>
        <w:spacing w:line="480" w:lineRule="auto"/>
      </w:pPr>
      <w:r>
        <w:t xml:space="preserve">1.3 The Gap Between the Domain Literature and the Method Literature</w:t>
      </w:r>
    </w:p>
    <w:p>
      <w:pPr>
        <w:pStyle w:val="FirstParagraph"/>
        <w:spacing w:line="480" w:lineRule="auto"/>
      </w:pPr>
      <w:r>
        <w:t xml:space="preserve">Two literatures bracket this problem and neither closes it. The gap between them is the absent middle this dissertation occupies.</w:t>
      </w:r>
    </w:p>
    <w:p>
      <w:pPr>
        <w:pStyle w:val="BodyText"/>
        <w:spacing w:line="480" w:lineRule="auto"/>
        <w:ind w:firstLine="720"/>
      </w:pPr>
      <w:r>
        <w:t xml:space="preserve">On the domain side stands a mature body of work on the tasking and scheduling of finite, contended sensing assets. It formalizes the assignment of telescopes to targets under conflict, frames optimal scheduling explicitly as selection from a list of feasible sensor-target pairings as sensors and targets contend for the same windows, and develops beam-search and metaheuristic solvers for the resulting combinatorial problem [1, 4, 6]. The constellation-tasking record makes the contention explicit, showing that a finite tasking horizon leaves a subset of targets unobserved</w:t>
      </w:r>
      <w:r>
        <w:t xml:space="preserve"> </w:t>
      </w:r>
      <w:hyperlink w:anchor="ref-5">
        <w:r>
          <w:rPr>
            <w:rStyle w:val="Hyperlink"/>
          </w:rPr>
          <w:t xml:space="preserve">[5]</w:t>
        </w:r>
      </w:hyperlink>
      <w:r>
        <w:t xml:space="preserve">, which is precisely a censored wait. This work is precise about how to allocate a contended server. It is largely silent on the steady-state delay distribution that an allocation policy induces. It optimizes the pen; it does not measure the queue. A scheduler that optimizes the assignment of finite servers under conflict is optimizing the placement of blocks, but the wait those blocks induce is governed by a service-time variability the scheduler does not control, so an optimal assignment over a high-variance service distribution still produces long waits. The domain literature has therefore built sophisticated machinery for the allocation while leaving the consequence of the allocation, the wait, unmodeled.</w:t>
      </w:r>
    </w:p>
    <w:p>
      <w:pPr>
        <w:pStyle w:val="BodyText"/>
        <w:spacing w:line="480" w:lineRule="auto"/>
        <w:ind w:firstLine="720"/>
      </w:pPr>
      <w:r>
        <w:t xml:space="preserve">On the method side stands the econometrics of duration, congestion, and survival. Finite-server queueing theory makes a sharp directional prediction that the domain literature never tests on facility data. The Pollaczek-Khinchine relation makes mean wait at a single server rise with the squared coefficient of variation of service times and convexly with utilization as load approaches capacity; Kingman’s heavy-traffic approximation generalizes the intuition so that variability and utilization, not the nominal density of the calendar, govern delay. The accompanying estimation toolkit is equally mature: fixed-effects regression to absorb time-invariant capacity differences across servers, instrumentation to break the simultaneity between load and the scheduling decisions that respond to it, and proportional-hazards models to handle the censoring that is endemic to queue-residence data, where some campaigns complete on the contended server and others are still queued when the record closes or slip past the planning horizon. These methods are standard wherever delay at a congestible resource is studied. They have not been brought to bear on the spacecraft test facility.</w:t>
      </w:r>
    </w:p>
    <w:p>
      <w:pPr>
        <w:pStyle w:val="BodyText"/>
        <w:spacing w:line="480" w:lineRule="auto"/>
        <w:ind w:firstLine="720"/>
      </w:pPr>
      <w:r>
        <w:t xml:space="preserve">The gap is the join. No retrieved source models the test or sensing facility as a finite-server queue, estimates wait-time as a function of utilization and service-time variability, and tests whether the discrete reservation block is the mechanism that converts demand variability into observed delay. The tasking literature optimizes the assignment [1, 4, 6], the network literature scales the supply</w:t>
      </w:r>
      <w:r>
        <w:t xml:space="preserve"> </w:t>
      </w:r>
      <w:hyperlink w:anchor="ref-3">
        <w:r>
          <w:rPr>
            <w:rStyle w:val="Hyperlink"/>
          </w:rPr>
          <w:t xml:space="preserve">[3]</w:t>
        </w:r>
      </w:hyperlink>
      <w:r>
        <w:t xml:space="preserve">, and the economy literature aggregates the capacity</w:t>
      </w:r>
      <w:r>
        <w:t xml:space="preserve"> </w:t>
      </w:r>
      <w:hyperlink w:anchor="ref-2">
        <w:r>
          <w:rPr>
            <w:rStyle w:val="Hyperlink"/>
          </w:rPr>
          <w:t xml:space="preserve">[2]</w:t>
        </w:r>
      </w:hyperlink>
      <w:r>
        <w:t xml:space="preserve">, but the wait-time response itself, the object the econometric method literature is built to estimate, is left unspecified for this class of asset. The domain has the resource; the method has the estimator; the two have not been put together. This dissertation puts them together.</w:t>
      </w:r>
    </w:p>
    <w:bookmarkEnd w:id="63"/>
    <w:bookmarkStart w:id="64" w:name="the-single-falsifiable-contribution"/>
    <w:p>
      <w:pPr>
        <w:pStyle w:val="Heading2"/>
        <w:spacing w:line="480" w:lineRule="auto"/>
      </w:pPr>
      <w:r>
        <w:t xml:space="preserve">1.4 The Single Falsifiable Contribution</w:t>
      </w:r>
    </w:p>
    <w:p>
      <w:pPr>
        <w:pStyle w:val="FirstParagraph"/>
        <w:spacing w:line="480" w:lineRule="auto"/>
      </w:pPr>
      <w:r>
        <w:t xml:space="preserve">The contribution reduces to one testable proposition about the source of facility delay, stated so that a clean empirical failure falsifies it.</w:t>
      </w:r>
    </w:p>
    <w:p>
      <w:pPr>
        <w:pStyle w:val="BodyText"/>
        <w:spacing w:line="480" w:lineRule="auto"/>
        <w:ind w:firstLine="720"/>
      </w:pPr>
      <w:r>
        <w:rPr>
          <w:b/>
          <w:bCs/>
        </w:rPr>
        <w:t xml:space="preserve">The claim.</w:t>
      </w:r>
      <w:r>
        <w:t xml:space="preserve"> </w:t>
      </w:r>
      <w:r>
        <w:t xml:space="preserve">Observed campaign wait-time at a shared space-system test or sensing facility is governed by server utilization and by the variability of campaign service durations, in the direction and convexity that finite-server queueing theory predicts, and not by the nominal density of the booking calendar. The schedule pen, the discrete reservation block, is the mechanism that converts demand variability into delay.</w:t>
      </w:r>
    </w:p>
    <w:p>
      <w:pPr>
        <w:pStyle w:val="BodyText"/>
        <w:spacing w:line="480" w:lineRule="auto"/>
        <w:ind w:firstLine="720"/>
      </w:pPr>
      <w:r>
        <w:rPr>
          <w:b/>
          <w:bCs/>
        </w:rPr>
        <w:t xml:space="preserve">H1 (congestion-driven delay).</w:t>
      </w:r>
      <w:r>
        <w:t xml:space="preserve"> </w:t>
      </w:r>
      <w:r>
        <w:t xml:space="preserve">Observed wait-time rises with realized server utilization and with the variability of campaign service durations, in the direction predicted by finite-server queueing theory, and the congestion channel dominates the rival calendar-density explanation. In a regression of wait-time, the utilization coefficient is positive and significant and the variability coefficient is positive; in a hazard formulation, higher utilization and higher service-time variability lower the instantaneous rate of service completion, carrying hazard ratios below one. As utilization approaches capacity the marginal wait per unit of added load increases.</w:t>
      </w:r>
    </w:p>
    <w:p>
      <w:pPr>
        <w:pStyle w:val="BodyText"/>
        <w:spacing w:line="480" w:lineRule="auto"/>
        <w:ind w:firstLine="720"/>
      </w:pPr>
      <w:r>
        <w:rPr>
          <w:b/>
          <w:bCs/>
        </w:rPr>
        <w:t xml:space="preserve">H0 (calendar-driven delay).</w:t>
      </w:r>
      <w:r>
        <w:t xml:space="preserve"> </w:t>
      </w:r>
      <w:r>
        <w:t xml:space="preserve">Observed wait-time is independent of utilization and of service-time variability. Delay reflects the nominal placement of reservation blocks on the calendar rather than the congestion structure of the queue, and the utilization and variability coefficients are statistically indistinguishable from zero, any apparent relationship between wait and load being captured instead by nominal calendar density.</w:t>
      </w:r>
    </w:p>
    <w:p>
      <w:pPr>
        <w:pStyle w:val="BodyText"/>
        <w:spacing w:line="480" w:lineRule="auto"/>
        <w:ind w:firstLine="720"/>
      </w:pPr>
      <w:r>
        <w:t xml:space="preserve">The single falsifiable claim is H1 against H0: that wait is governed by utilization and service-time variability as queueing theory predicts, and not by calendar density alone. The study is designed so that a clean failure to reject H0, a utilization or variability coefficient indistinguishable from zero alongside a calendar-density coefficient that carries the explanatory weight, falsifies the contribution. The claim is precise in three respects. It names the governing variables, utilization and the squared coefficient of variation of service times, rather than asserting a vague congestion story. It names the rival it must beat, nominal calendar density, and requires the queueing channels to dominate that rival rather than merely to be present. And it names the mechanism, the discrete pen, so that the test is not only of an association but of the structural object that produces it.</w:t>
      </w:r>
    </w:p>
    <w:p>
      <w:pPr>
        <w:pStyle w:val="BodyText"/>
        <w:spacing w:line="480" w:lineRule="auto"/>
        <w:ind w:firstLine="720"/>
      </w:pPr>
      <w:r>
        <w:t xml:space="preserve">Two prior empirical studies anchor the claim. Reported in Chapters 3 and 4 of this dissertation, they establish that the claim survives first contact with the sourced flight record and locate where it is and is not yet identified. A fixed-effects regression on a panel of documented spacecraft environmental-test campaigns finds the utilization channel positive, large, and significant, explaining the majority of the variation in access wait-time, while the rival calendar-density coefficient is a statistical zero that adds nothing once realized utilization is in the model. A proportional-hazards model on a censored panel finds the service-time variability channel significant and signed exactly as the Pollaczek-Khinchine relation requires, with higher-variability campaigns clearing the contended server at a sharply lower instantaneous rate, while declining to claim the utilization channel the smaller censored sample cannot bear. Read together, the two studies support H1’s central claim that the pen converts utilization and service-time variability into wait, falsify the calendar-density account as the weaker of the two, and define the open identification problem, the clean separation of the utilization channel from the variability channel, that this dissertation’s full empirical program is built to close. The contribution is therefore not a single point estimate but a transportable, falsifiable wait-time model for facility operations that distinguishes congestion-driven delay from calendar-driven delay, with direct managerial implications for how reservation blocks are sized and released.</w:t>
      </w:r>
    </w:p>
    <w:bookmarkEnd w:id="64"/>
    <w:bookmarkStart w:id="65" w:name="scope-method-posture-and-data"/>
    <w:p>
      <w:pPr>
        <w:pStyle w:val="Heading2"/>
        <w:spacing w:line="480" w:lineRule="auto"/>
      </w:pPr>
      <w:r>
        <w:t xml:space="preserve">1.5 Scope, Method Posture, and Data</w:t>
      </w:r>
    </w:p>
    <w:p>
      <w:pPr>
        <w:pStyle w:val="FirstParagraph"/>
        <w:spacing w:line="480" w:lineRule="auto"/>
      </w:pPr>
      <w:r>
        <w:t xml:space="preserve">The empirical object is held constant across every server studied: a finite server, a penned block, and contending demand. That invariance is what makes the model transportable. A thermal-vacuum chamber, an acoustic stand, a propulsion test cell, and a contended optical sensor differ in the shape of their service-time distributions and in their physical mechanics, but each is a queueing object of the same type, so the wait-time mechanism is asset-agnostic even where the empirical magnitudes are not. The dissertation states its claims at the level of the wait-time mechanism, and where magnitudes are reported it bounds their transport to the regime the data cover.</w:t>
      </w:r>
    </w:p>
    <w:p>
      <w:pPr>
        <w:pStyle w:val="BodyText"/>
        <w:spacing w:line="480" w:lineRule="auto"/>
        <w:ind w:firstLine="720"/>
      </w:pPr>
      <w:r>
        <w:t xml:space="preserve">The method posture is quantitative and layered. A structural queueing specification represents the reservation block explicitly as the service epoch, yielding a theory-derived prediction for wait as a function of utilization and the squared coefficient of variation of service times. Reduced-form estimation then regresses realized wait on utilization, the variability measure, and the rival calendar-density construct, with the identification of the utilization effect resting on variation in load that is plausibly exogenous to any individual campaign’s own duration: a campaign waits because of the contention generated by other campaigns, not by itself. A hazard formulation extends the analysis to the censored campaigns that a linear model of observed duration would discard or, worse, treat as completed, asking at each instant a campaign is still queued what the instantaneous rate of clearance is and how that rate moves with load and variability. A model comparison tests the queueing-derived specification out-of-sample against a calendar-density specification, with H1 requiring the queueing account to dominate in predictive accuracy. The tasking-optimization literature supplies the realistic structure of how blocks are assigned under conflict [1, 4, 6], which disciplines a discrete-block simulation used to validate each estimator before it touches observed data.</w:t>
      </w:r>
    </w:p>
    <w:p>
      <w:pPr>
        <w:pStyle w:val="BodyText"/>
        <w:spacing w:line="480" w:lineRule="auto"/>
        <w:ind w:firstLine="720"/>
      </w:pPr>
      <w:r>
        <w:t xml:space="preserve">The data are a fully sourced record of documented space-system test campaigns at named, shared facilities, drawn from NASA, Jet Propulsion Laboratory, Goddard Space Flight Center, Stennis, Glenn Research Center, prime-contractor, and AMOS sources, supplemented by the published sensor-tasking and scheduling traces that report, for a finite server, the queue of candidate pairings, the schedule actually produced, and the resulting allocation of finite server time across competing demands [1, 4, 5]. The distributed-ground-network record supplies the supply-side scaling relationship, sensor count to capacity, needed to parameterize server availability</w:t>
      </w:r>
      <w:r>
        <w:t xml:space="preserve"> </w:t>
      </w:r>
      <w:hyperlink w:anchor="ref-3">
        <w:r>
          <w:rPr>
            <w:rStyle w:val="Hyperlink"/>
          </w:rPr>
          <w:t xml:space="preserve">[3]</w:t>
        </w:r>
      </w:hyperlink>
      <w:r>
        <w:t xml:space="preserve">. Provenance is traceable to a named source for every row, no fact is reconstructed where it can be cited, and the queueing object is identical across rows, which is what permits the estimator developed on one class of server to transport to another.</w:t>
      </w:r>
    </w:p>
    <w:bookmarkEnd w:id="65"/>
    <w:bookmarkStart w:id="66" w:name="roadmap"/>
    <w:p>
      <w:pPr>
        <w:pStyle w:val="Heading2"/>
        <w:spacing w:line="480" w:lineRule="auto"/>
      </w:pPr>
      <w:r>
        <w:t xml:space="preserve">1.6 Roadmap</w:t>
      </w:r>
    </w:p>
    <w:p>
      <w:pPr>
        <w:pStyle w:val="FirstParagraph"/>
        <w:spacing w:line="480" w:lineRule="auto"/>
      </w:pPr>
      <w:r>
        <w:t xml:space="preserve">The dissertation proceeds in the order the argument requires. Chapter 2 reviews the three bracketing literatures, the tasking-and-scheduling optimization of contended sensing assets [1, 4, 6], the distributed-network scaling of supply</w:t>
      </w:r>
      <w:r>
        <w:t xml:space="preserve"> </w:t>
      </w:r>
      <w:hyperlink w:anchor="ref-3">
        <w:r>
          <w:rPr>
            <w:rStyle w:val="Hyperlink"/>
          </w:rPr>
          <w:t xml:space="preserve">[3]</w:t>
        </w:r>
      </w:hyperlink>
      <w:r>
        <w:t xml:space="preserve">, and the space-economy aggregation of capacity</w:t>
      </w:r>
      <w:r>
        <w:t xml:space="preserve"> </w:t>
      </w:r>
      <w:hyperlink w:anchor="ref-2">
        <w:r>
          <w:rPr>
            <w:rStyle w:val="Hyperlink"/>
          </w:rPr>
          <w:t xml:space="preserve">[2]</w:t>
        </w:r>
      </w:hyperlink>
      <w:r>
        <w:t xml:space="preserve">, and reads them against the econometric method literature on queueing, duration, and censoring, to fix precisely where the absent middle lies. Chapter 3 reports the fixed-effects estimate of wait-time from utilization and service-time variability on the panel of documented environmental-test campaigns, isolating the utilization channel and showing the calendar-density rival to be a statistical zero. Chapter 4 reports the proportional-hazards model of queue residence and service completion on the censored panel, recovering the service-time variability channel with the sign queueing theory demands and using the censored campaigns rather than discarding them. Chapter 5 takes up identification directly, instrumenting utilization against concurrent demand from unrelated campaign cohorts to separate the congestion channel from demand composition, and validating the estimator on a discrete-block simulation calibrated to the documented assignment structure [1, 6]. Chapter 6 addresses the threats to validity that bound the claim, the endogeneity of utilization, external validity across asset classes, the discreteness of the pen, and the falsification risk that arises if the obtainable schedules cluster in low-utilization regimes where congestion never binds. Chapter 7 draws the managerial implications for how reservation blocks are sized, released, and protected, and states the conditions under which the model transports beyond the regime the data cover. A concluding chapter restates the single falsifiable contribution against the evidence assembled for it and marks the boundary of what the record can and cannot yet bear.</w:t>
      </w:r>
    </w:p>
    <w:bookmarkEnd w:id="66"/>
    <w:bookmarkEnd w:id="67"/>
    <w:bookmarkStart w:id="82" w:name="chapter-2.-literature-review"/>
    <w:p>
      <w:pPr>
        <w:pStyle w:val="Heading1"/>
        <w:spacing w:line="480" w:lineRule="auto"/>
      </w:pPr>
      <w:r>
        <w:t xml:space="preserve">Chapter 2. Literature Review</w:t>
      </w:r>
    </w:p>
    <w:bookmarkStart w:id="68" w:name="two-literatures-that-do-not-speak"/>
    <w:p>
      <w:pPr>
        <w:pStyle w:val="Heading2"/>
        <w:spacing w:line="480" w:lineRule="auto"/>
      </w:pPr>
      <w:r>
        <w:t xml:space="preserve">2.1 Two Literatures That Do Not Speak</w:t>
      </w:r>
    </w:p>
    <w:p>
      <w:pPr>
        <w:pStyle w:val="FirstParagraph"/>
        <w:spacing w:line="480" w:lineRule="auto"/>
      </w:pPr>
      <w:r>
        <w:t xml:space="preserve">The argument of this dissertation rests on a simple observation about the state of knowledge: two mature bodies of scholarship describe the same physical object, the contended test or sensing facility, and neither has been asked to do the work of the other. The first is the domain-technical literature on space-system test facilities and shared sensing assets, an engineering and operations-research tradition that knows in exhaustive detail how a finite server is loaded, how blocks of time are assigned under conflict, and how schedules are produced and disrupted. The second is the cliometric and econometric methodology tradition, a quantitative social-science apparatus built to recover causal relationships from observational records, to model durations and censoring, and to separate a hypothesized mechanism from its rivals. The domain literature has the object and the data. The methodology literature has the estimators and the identification logic. They have never been joined on the question of facility wait-time. That absent join is the gap this dissertation occupies.</w:t>
      </w:r>
    </w:p>
    <w:p>
      <w:pPr>
        <w:pStyle w:val="BodyText"/>
        <w:spacing w:line="480" w:lineRule="auto"/>
        <w:ind w:firstLine="720"/>
      </w:pPr>
      <w:r>
        <w:t xml:space="preserve">This chapter reviews each literature on its own terms before bringing them into contact. Section 2.2 surveys the technical literature on the optimization of contended servers, the scheduling of finite sensing assets, and the documented behavior of test facilities as congestible resources. Section 2.3 surveys the methodological tradition that this dissertation imports, reading it through the domain instances in which discrete-event simulation, survival analysis, reinforcement-learning control, and reduced-form estimation already appear in the space-operations record. Section 2.4 synthesizes the two and states precisely what each supplies and what each withholds. Section 2.5 names the gap and frames the contribution. Throughout, the review treats the schedule pen, the discrete reservation block assigned against a finite server, as the unit at which the two literatures must be reconciled.</w:t>
      </w:r>
    </w:p>
    <w:bookmarkEnd w:id="68"/>
    <w:bookmarkStart w:id="73" w:name="Xb7b7f59296e2266101011819d1e2d1c74e941d4"/>
    <w:p>
      <w:pPr>
        <w:pStyle w:val="Heading2"/>
        <w:spacing w:line="480" w:lineRule="auto"/>
      </w:pPr>
      <w:r>
        <w:t xml:space="preserve">2.2 The Domain Literature: Contended Servers and the Schedule Pen</w:t>
      </w:r>
    </w:p>
    <w:bookmarkStart w:id="69" w:name="Xdd7c255bf37e822764a466f7c57179e45646599"/>
    <w:p>
      <w:pPr>
        <w:pStyle w:val="Heading3"/>
        <w:spacing w:line="480" w:lineRule="auto"/>
      </w:pPr>
      <w:r>
        <w:t xml:space="preserve">2.2.1 Optimization of finite contended sensing assets</w:t>
      </w:r>
    </w:p>
    <w:p>
      <w:pPr>
        <w:pStyle w:val="FirstParagraph"/>
        <w:spacing w:line="480" w:lineRule="auto"/>
      </w:pPr>
      <w:r>
        <w:t xml:space="preserve">The most developed treatment of the contended-server problem in the space domain comes from the sensor-tasking and scheduling literature, which formalizes the assignment of a finite telescope or sensor network to a competing population of targets. This literature is precise about the combinatorial character of the assignment. Federici and colleagues frame optimal sensor tasking for space domain awareness as a search over feasible sensor-target pairings, and develop a beam A*-search solver to navigate the combinatorial explosion that arises when many targets contend for the same observation windows</w:t>
      </w:r>
      <w:r>
        <w:t xml:space="preserve"> </w:t>
      </w:r>
      <w:hyperlink w:anchor="ref-1">
        <w:r>
          <w:rPr>
            <w:rStyle w:val="Hyperlink"/>
          </w:rPr>
          <w:t xml:space="preserve">[1]</w:t>
        </w:r>
      </w:hyperlink>
      <w:r>
        <w:t xml:space="preserve">. The framing is exactly the framing this dissertation needs: a finite server, a population of demands, and a scheduler that must resolve contention by committing the server to one demand at the expense of others. What the beam-search formulation optimizes is the assignment; what it does not characterize is the steady-state wait that the assignment induces on the demands it defers.</w:t>
      </w:r>
    </w:p>
    <w:p>
      <w:pPr>
        <w:pStyle w:val="BodyText"/>
        <w:spacing w:line="480" w:lineRule="auto"/>
        <w:ind w:firstLine="720"/>
      </w:pPr>
      <w:r>
        <w:t xml:space="preserve">The genetic-algorithm scheduling of follow-up observations for geosynchronous objects extends the same structure to a single telescope tasked across a season</w:t>
      </w:r>
      <w:r>
        <w:t xml:space="preserve"> </w:t>
      </w:r>
      <w:hyperlink w:anchor="ref-4">
        <w:r>
          <w:rPr>
            <w:rStyle w:val="Hyperlink"/>
          </w:rPr>
          <w:t xml:space="preserve">[4]</w:t>
        </w:r>
      </w:hyperlink>
      <w:r>
        <w:t xml:space="preserve">. Hinze, Fiedler, and Schildknecht report per-object scheduled windows produced by competing metaheuristic solvers, and the artifact they produce is a schedule: an ordered allocation of finite server time across objects that arrive for observation and must wait their turn. This is, read through a queueing lens, an arrival-and-service trace, the precise object whose wait-time response remains unmodeled. The constellation-tasking work of Shtofenmakher and Balakrishnan makes the contention even more legible, because the optimal tasking of a satellite constellation against a target set over a finite horizon leaves a determinate subset of targets unobserved within the horizon</w:t>
      </w:r>
      <w:r>
        <w:t xml:space="preserve"> </w:t>
      </w:r>
      <w:hyperlink w:anchor="ref-5">
        <w:r>
          <w:rPr>
            <w:rStyle w:val="Hyperlink"/>
          </w:rPr>
          <w:t xml:space="preserve">[5]</w:t>
        </w:r>
      </w:hyperlink>
      <w:r>
        <w:t xml:space="preserve">. An unobserved target at horizon close is, in the language of this dissertation, a censored wait: a demand that entered the queue and did not clear the server before the record closed. The constellation literature thus produces censoring as a structural feature of finite-horizon tasking without naming the structure or estimating its consequence.</w:t>
      </w:r>
    </w:p>
    <w:p>
      <w:pPr>
        <w:pStyle w:val="BodyText"/>
        <w:spacing w:line="480" w:lineRule="auto"/>
        <w:ind w:firstLine="720"/>
      </w:pPr>
      <w:r>
        <w:t xml:space="preserve">The human-machine-teaming literature on autonomous space sensing reinforces the same combinatorial picture from the operator’s side, treating the sensor as a contended resource whose assignment under conflict must be trusted by the humans who supervise it</w:t>
      </w:r>
      <w:r>
        <w:t xml:space="preserve"> </w:t>
      </w:r>
      <w:hyperlink w:anchor="ref-6">
        <w:r>
          <w:rPr>
            <w:rStyle w:val="Hyperlink"/>
          </w:rPr>
          <w:t xml:space="preserve">[6]</w:t>
        </w:r>
      </w:hyperlink>
      <w:r>
        <w:t xml:space="preserve">. Fitzgerald and colleagues frame the scheduling problem as selection from a list of possible sensor-target pairings as sensors and targets contend for the same windows, which is the identical selection-under-conflict structure that governs a test facility penning chambers against campaigns. The pattern holds across all four. Across these sources [1, 4, 5, 6], the tasking literature is rich on how to allocate a contended server and silent on the delay distribution that allocation produces. It optimizes the pen. It does not measure the queue.</w:t>
      </w:r>
    </w:p>
    <w:bookmarkEnd w:id="69"/>
    <w:bookmarkStart w:id="70" w:name="X80e9e1fa19efcb04080efe502d679b7adeefb0f"/>
    <w:p>
      <w:pPr>
        <w:pStyle w:val="Heading3"/>
        <w:spacing w:line="480" w:lineRule="auto"/>
      </w:pPr>
      <w:r>
        <w:t xml:space="preserve">2.2.2 Scaling the supply side: distributed networks and replanning</w:t>
      </w:r>
    </w:p>
    <w:p>
      <w:pPr>
        <w:pStyle w:val="FirstParagraph"/>
        <w:spacing w:line="480" w:lineRule="auto"/>
      </w:pPr>
      <w:r>
        <w:t xml:space="preserve">A second strand of the domain literature characterizes the supply side of the contended-server problem, the growth of server capacity, without characterizing the wait that demand experiences as that capacity loads. Britton and colleagues describe an autonomous geographically distributed ground network engineered to scale to arbitrary sensor count, and establish that optimal scheduling in such a network requires selecting among sensor-target pairings as the network grows</w:t>
      </w:r>
      <w:r>
        <w:t xml:space="preserve"> </w:t>
      </w:r>
      <w:hyperlink w:anchor="ref-3">
        <w:r>
          <w:rPr>
            <w:rStyle w:val="Hyperlink"/>
          </w:rPr>
          <w:t xml:space="preserve">[3]</w:t>
        </w:r>
      </w:hyperlink>
      <w:r>
        <w:t xml:space="preserve">. This is the canonical supply-side result: it tells us how the number of servers can be increased and how the assignment problem grows with it, the sensor-count-to-capacity relationship that any wait-time model must take as a parameter. It does not tell us how heavily a given level of supply is loaded by demand, nor how much wait a campaign experiences at a given utilization.</w:t>
      </w:r>
    </w:p>
    <w:p>
      <w:pPr>
        <w:pStyle w:val="BodyText"/>
        <w:spacing w:line="480" w:lineRule="auto"/>
        <w:ind w:firstLine="720"/>
      </w:pPr>
      <w:r>
        <w:t xml:space="preserve">The scheduling-automation literature for the Space Surveillance Network occupies the same supply-and-assignment territory. Stottler’s program of work on improved SSN scheduling applies artificial-intelligence techniques to the allocation of finite sensing assets against a tasking load</w:t>
      </w:r>
      <w:r>
        <w:t xml:space="preserve"> </w:t>
      </w:r>
      <w:hyperlink w:anchor="ref-12">
        <w:r>
          <w:rPr>
            <w:rStyle w:val="Hyperlink"/>
          </w:rPr>
          <w:t xml:space="preserve">[12]</w:t>
        </w:r>
      </w:hyperlink>
      <w:r>
        <w:t xml:space="preserve">, and the companion work on automatic, rapid replanning of satellite operations addresses the disruption case, in which a committed schedule must be torn up and reconstituted when conditions change</w:t>
      </w:r>
      <w:r>
        <w:t xml:space="preserve"> </w:t>
      </w:r>
      <w:hyperlink w:anchor="ref-13">
        <w:r>
          <w:rPr>
            <w:rStyle w:val="Hyperlink"/>
          </w:rPr>
          <w:t xml:space="preserve">[13]</w:t>
        </w:r>
      </w:hyperlink>
      <w:r>
        <w:t xml:space="preserve">. The commercial extension automates the scheduling of commercial SSA sensors against contended demand</w:t>
      </w:r>
      <w:r>
        <w:t xml:space="preserve"> </w:t>
      </w:r>
      <w:hyperlink w:anchor="ref-15">
        <w:r>
          <w:rPr>
            <w:rStyle w:val="Hyperlink"/>
          </w:rPr>
          <w:t xml:space="preserve">[15]</w:t>
        </w:r>
      </w:hyperlink>
      <w:r>
        <w:t xml:space="preserve">. These sources are operationally explicit about how a finite network of servers is scheduled and rescheduled under load, and they confront directly the replanning problem that arises when a penned block is invalidated. What they do not do is treat the wait itself as the dependent quantity. The disruption-tolerant communications work, which applies reinforcement learning to a delay-and-disruption-tolerant link, similarly treats delay as an engineering constraint to be tolerated rather than as a response variable to be estimated</w:t>
      </w:r>
      <w:r>
        <w:t xml:space="preserve"> </w:t>
      </w:r>
      <w:hyperlink w:anchor="ref-11">
        <w:r>
          <w:rPr>
            <w:rStyle w:val="Hyperlink"/>
          </w:rPr>
          <w:t xml:space="preserve">[11]</w:t>
        </w:r>
      </w:hyperlink>
      <w:r>
        <w:t xml:space="preserve">. The supply-side literature thus brackets the wait-time question on the capacity side: it parameterizes how many servers exist and how their assignments are computed, and it leaves the demand-side wait response open.</w:t>
      </w:r>
    </w:p>
    <w:bookmarkEnd w:id="70"/>
    <w:bookmarkStart w:id="71" w:name="X430bea585f742504efd01c4895cef75ea109293"/>
    <w:p>
      <w:pPr>
        <w:pStyle w:val="Heading3"/>
        <w:spacing w:line="480" w:lineRule="auto"/>
      </w:pPr>
      <w:r>
        <w:t xml:space="preserve">2.2.3 The test facility as a congestible resource</w:t>
      </w:r>
    </w:p>
    <w:p>
      <w:pPr>
        <w:pStyle w:val="FirstParagraph"/>
        <w:spacing w:line="480" w:lineRule="auto"/>
      </w:pPr>
      <w:r>
        <w:t xml:space="preserve">The narrowest and most directly relevant strand of the domain literature treats the spacecraft test facility itself as a shared, congestible resource. Here the evidence is largely documentary rather than analytic, but it is decisive on the existence of the mechanism this dissertation models. The Government Accountability Office assessment of selected large-scale NASA projects records the GLAST, later Fermi, campaign in which the spacecraft vendor gave priority to defense projects for thermal-vacuum testing, forcing the observatory to relocate and producing a documented multi-month facility-access delay</w:t>
      </w:r>
      <w:r>
        <w:t xml:space="preserve"> </w:t>
      </w:r>
      <w:hyperlink w:anchor="ref-7">
        <w:r>
          <w:rPr>
            <w:rStyle w:val="Hyperlink"/>
          </w:rPr>
          <w:t xml:space="preserve">[7]</w:t>
        </w:r>
      </w:hyperlink>
      <w:r>
        <w:t xml:space="preserve">. This is the contention mechanism in its rawest documented form: a finite, high-demand thermal-vacuum asset, a priority conflict between competing campaigns, and a wait that propagated directly into the project schedule. The GAO record anchors facility wait-time as a real, sourced quantity rather than an abstraction, and it does so in precisely the asset class, the shared environmental-test chamber, that the first companion paper of this dissertation estimates.</w:t>
      </w:r>
    </w:p>
    <w:p>
      <w:pPr>
        <w:pStyle w:val="BodyText"/>
        <w:spacing w:line="480" w:lineRule="auto"/>
        <w:ind w:firstLine="720"/>
      </w:pPr>
      <w:r>
        <w:t xml:space="preserve">The facility-usage literature provides the complementary statistical picture of how a shared space asset is actually loaded over time. Walsh and colleagues analyze facility usage on the International Space Station, treating the station’s research facilities as shared servers whose utilization can be measured and whose loading varies across payloads and over time</w:t>
      </w:r>
      <w:r>
        <w:t xml:space="preserve"> </w:t>
      </w:r>
      <w:hyperlink w:anchor="ref-21">
        <w:r>
          <w:rPr>
            <w:rStyle w:val="Hyperlink"/>
          </w:rPr>
          <w:t xml:space="preserve">[21]</w:t>
        </w:r>
      </w:hyperlink>
      <w:r>
        <w:t xml:space="preserve">. This is the closest the domain literature comes to the utilization construct this dissertation places at the center of its model, and it demonstrates that facility loading is a measurable, time-varying quantity rather than a fixed calendar property. The radiation-hardness-assurance review of Dijks and colleagues catalogs the engineering and testing approaches for commercial space avionics and, in doing so, documents the diversity and duration of test campaigns that contend for shared radiation and environmental facilities</w:t>
      </w:r>
      <w:r>
        <w:t xml:space="preserve"> </w:t>
      </w:r>
      <w:hyperlink w:anchor="ref-16">
        <w:r>
          <w:rPr>
            <w:rStyle w:val="Hyperlink"/>
          </w:rPr>
          <w:t xml:space="preserve">[16]</w:t>
        </w:r>
      </w:hyperlink>
      <w:r>
        <w:t xml:space="preserve">. The systematic-review form of that work matters methodologically as well as substantively, because it establishes that the test-campaign population is heterogeneous in service requirement, which is the source of the service-time variability that queueing theory places at the center of wait.</w:t>
      </w:r>
    </w:p>
    <w:p>
      <w:pPr>
        <w:pStyle w:val="BodyText"/>
        <w:spacing w:line="480" w:lineRule="auto"/>
        <w:ind w:firstLine="720"/>
      </w:pPr>
      <w:r>
        <w:t xml:space="preserve">Adjacent engineering-test literature confirms the heterogeneity and duration structure of the campaigns that load these facilities. The experimental and simulative evaluation of a reinforcement-learning cold-gas thrust-chamber pressure controller documents the multi-stage character of a propulsion test campaign and the iteration it requires</w:t>
      </w:r>
      <w:r>
        <w:t xml:space="preserve"> </w:t>
      </w:r>
      <w:hyperlink w:anchor="ref-19">
        <w:r>
          <w:rPr>
            <w:rStyle w:val="Hyperlink"/>
          </w:rPr>
          <w:t xml:space="preserve">[19]</w:t>
        </w:r>
      </w:hyperlink>
      <w:r>
        <w:t xml:space="preserve">, and the work on smart capture tooling for space robots and on RoboCrane power-and-communication systems documents the extended, multi-phase test and qualification programs that capture and surface-robotics hardware must complete before flight [22, 17]. The CubeSat-constellation architecting literature documents the messaging-service qualification path for distributed small-satellite systems and the test load it implies</w:t>
      </w:r>
      <w:r>
        <w:t xml:space="preserve"> </w:t>
      </w:r>
      <w:hyperlink w:anchor="ref-20">
        <w:r>
          <w:rPr>
            <w:rStyle w:val="Hyperlink"/>
          </w:rPr>
          <w:t xml:space="preserve">[20]</w:t>
        </w:r>
      </w:hyperlink>
      <w:r>
        <w:t xml:space="preserve">, and the life-support research on urine hydrolysis in a bioregenerative system documents the long-duration, high-variance test campaigns characteristic of closed-loop life-support hardware</w:t>
      </w:r>
      <w:r>
        <w:t xml:space="preserve"> </w:t>
      </w:r>
      <w:hyperlink w:anchor="ref-23">
        <w:r>
          <w:rPr>
            <w:rStyle w:val="Hyperlink"/>
          </w:rPr>
          <w:t xml:space="preserve">[23]</w:t>
        </w:r>
      </w:hyperlink>
      <w:r>
        <w:t xml:space="preserve">. None of these sources models wait. Each contributes a documented service-duration profile. Collectively they establish the empirical fact on which the queueing argument depends: that test-campaign service times are long, heterogeneous, and high in variance, exactly the conditions under which a finite server converts demand into delay.</w:t>
      </w:r>
    </w:p>
    <w:p>
      <w:pPr>
        <w:pStyle w:val="BodyText"/>
        <w:spacing w:line="480" w:lineRule="auto"/>
        <w:ind w:firstLine="720"/>
      </w:pPr>
      <w:r>
        <w:t xml:space="preserve">The automated-telescope literature closes the loop between the test-facility and the sensing-asset strands. Ngwane and colleagues describe a rapid-response, fully automated near-Earth-asteroid follow-up program on a one-meter telescope, in which observation requests arrive, contend for the single instrument, and are scheduled automatically against a queue</w:t>
      </w:r>
      <w:r>
        <w:t xml:space="preserve"> </w:t>
      </w:r>
      <w:hyperlink w:anchor="ref-18">
        <w:r>
          <w:rPr>
            <w:rStyle w:val="Hyperlink"/>
          </w:rPr>
          <w:t xml:space="preserve">[18]</w:t>
        </w:r>
      </w:hyperlink>
      <w:r>
        <w:t xml:space="preserve">. This is a test or sensing facility operating explicitly as a queue with automated service, and it confirms that the queue object, finite server plus penned block plus contending demand, is identical across the optical-sensor and environmental-test asset classes. The transportability claim of this dissertation rests on that identity.</w:t>
      </w:r>
    </w:p>
    <w:bookmarkEnd w:id="71"/>
    <w:bookmarkStart w:id="72" w:name="X998fe1d2c10d972b1e554dce8902aa8554e0068"/>
    <w:p>
      <w:pPr>
        <w:pStyle w:val="Heading3"/>
        <w:spacing w:line="480" w:lineRule="auto"/>
      </w:pPr>
      <w:r>
        <w:t xml:space="preserve">2.2.4 What the domain literature establishes and withholds</w:t>
      </w:r>
    </w:p>
    <w:p>
      <w:pPr>
        <w:pStyle w:val="FirstParagraph"/>
        <w:spacing w:line="480" w:lineRule="auto"/>
      </w:pPr>
      <w:r>
        <w:t xml:space="preserve">Taken together, the domain literature establishes four things. First, the contended server is real and pervasive across asset classes, from optical sensors [1, 4, 5, 6, 18] through distributed networks [3, 12, 13, 15] to environmental-test chambers [7, 16, 21]. Second, the assignment of finite server time under conflict is a hard combinatorial problem that practitioners resolve with search and metaheuristic solvers [1, 4, 6, 12]. Third, the service times that load these facilities are long, heterogeneous, and high in variance [16, 17, 19, 20, 22, 23]. Fourth, the wait the assignment produces is real, documented, and consequential, propagating into mission schedules</w:t>
      </w:r>
      <w:r>
        <w:t xml:space="preserve"> </w:t>
      </w:r>
      <w:hyperlink w:anchor="ref-7">
        <w:r>
          <w:rPr>
            <w:rStyle w:val="Hyperlink"/>
          </w:rPr>
          <w:t xml:space="preserve">[7]</w:t>
        </w:r>
      </w:hyperlink>
      <w:r>
        <w:t xml:space="preserve">.</w:t>
      </w:r>
    </w:p>
    <w:p>
      <w:pPr>
        <w:pStyle w:val="BodyText"/>
        <w:spacing w:line="480" w:lineRule="auto"/>
        <w:ind w:firstLine="720"/>
      </w:pPr>
      <w:r>
        <w:t xml:space="preserve">What the domain literature withholds is the wait-time model. No source in this body of work estimates campaign wait-time as a function of server utilization and service-time variability, tests whether the discrete reservation block is the mechanism that converts demand variability into delay, or distinguishes congestion-driven delay from calendar-driven delay. The tasking literature optimizes the assignment, the network literature scales the supply, the economy literature aggregates the capacity</w:t>
      </w:r>
      <w:r>
        <w:t xml:space="preserve"> </w:t>
      </w:r>
      <w:hyperlink w:anchor="ref-2">
        <w:r>
          <w:rPr>
            <w:rStyle w:val="Hyperlink"/>
          </w:rPr>
          <w:t xml:space="preserve">[2]</w:t>
        </w:r>
      </w:hyperlink>
      <w:r>
        <w:t xml:space="preserve">, and the facility-usage literature measures the load</w:t>
      </w:r>
      <w:r>
        <w:t xml:space="preserve"> </w:t>
      </w:r>
      <w:hyperlink w:anchor="ref-21">
        <w:r>
          <w:rPr>
            <w:rStyle w:val="Hyperlink"/>
          </w:rPr>
          <w:t xml:space="preserve">[21]</w:t>
        </w:r>
      </w:hyperlink>
      <w:r>
        <w:t xml:space="preserve">, but the wait-time response itself is unmodeled. The domain literature has the object and the data; it lacks the estimator and the identification logic. For those it must turn to a literature it has never been formally joined with.</w:t>
      </w:r>
    </w:p>
    <w:bookmarkEnd w:id="72"/>
    <w:bookmarkEnd w:id="73"/>
    <w:bookmarkStart w:id="79" w:name="Xc50fd8d0aee5e24cf1fc0f377411d043d9c5e6e"/>
    <w:p>
      <w:pPr>
        <w:pStyle w:val="Heading2"/>
        <w:spacing w:line="480" w:lineRule="auto"/>
      </w:pPr>
      <w:r>
        <w:t xml:space="preserve">2.3 The Methodology Literature: Cliometric and Econometric Inference</w:t>
      </w:r>
    </w:p>
    <w:bookmarkStart w:id="74" w:name="X213ba3e6742bc54d2c9e344d79b36bfcbaebc1b"/>
    <w:p>
      <w:pPr>
        <w:pStyle w:val="Heading3"/>
        <w:spacing w:line="480" w:lineRule="auto"/>
      </w:pPr>
      <w:r>
        <w:t xml:space="preserve">2.3.1 The cliometric program and the queueing primitive</w:t>
      </w:r>
    </w:p>
    <w:p>
      <w:pPr>
        <w:pStyle w:val="FirstParagraph"/>
        <w:spacing w:line="480" w:lineRule="auto"/>
      </w:pPr>
      <w:r>
        <w:t xml:space="preserve">The second literature this dissertation draws on is the cliometric and econometric tradition of recovering causal mechanisms from observational records. The cliometric program, at its core, takes a body of documented historical outcomes, specifies a theory that predicts the shape of those outcomes, and estimates whether the data move as the theory says they should, while holding rival explanations in the same specification. The theoretical primitive this dissertation imports from operations research into that program is the queueing relation. Finite-server queueing theory makes a directional, falsifiable prediction: for a server receiving variable-duration arrivals, expected wait rises with utilization and with the squared coefficient of variation of service times, and the rise is convex as utilization approaches capacity. The Pollaczek-Khinchine relation places service-time variability at the center of single-server wait, and Kingman’s heavy-traffic approximation generalizes the intuition, expressing the steady-state wait as the product of a utilization term that diverges at saturation and a variability term in the squared coefficient of variation. These are the analytic objects that the companion papers of this dissertation operationalize as coefficient signs in an estimated model.</w:t>
      </w:r>
    </w:p>
    <w:p>
      <w:pPr>
        <w:pStyle w:val="BodyText"/>
        <w:spacing w:line="480" w:lineRule="auto"/>
        <w:ind w:firstLine="720"/>
      </w:pPr>
      <w:r>
        <w:t xml:space="preserve">The methodology literature contributes the discipline by which such a theoretical prediction is tested against an observational record rather than asserted. The cliometric move is to convert the queueing prediction into an estimable specification in which the utilization and variability coefficients are signed by theory, and the calendar-density rival is signed by the null, so that the data adjudicate between them. The first companion paper executes precisely this move with a reduced-form fixed-effects estimator, regressing observed access wait on realized utilization, the squared coefficient of variation of service times, and nominal calendar density, with the calendar-density coefficient entered specifically so that the congestion coefficients are estimated net of the rival. The methodological content of that design, the holding of a theory-relevant regressor against a named rival in a single specification, is the cliometric program applied to a facility-operations record.</w:t>
      </w:r>
    </w:p>
    <w:bookmarkEnd w:id="74"/>
    <w:bookmarkStart w:id="75" w:name="X1b0f8342b80f962a2a9525e14518b897bbc9a2e"/>
    <w:p>
      <w:pPr>
        <w:pStyle w:val="Heading3"/>
        <w:spacing w:line="480" w:lineRule="auto"/>
      </w:pPr>
      <w:r>
        <w:t xml:space="preserve">2.3.2 Discrete-event simulation as the validation bridge</w:t>
      </w:r>
    </w:p>
    <w:p>
      <w:pPr>
        <w:pStyle w:val="FirstParagraph"/>
        <w:spacing w:line="480" w:lineRule="auto"/>
      </w:pPr>
      <w:r>
        <w:t xml:space="preserve">The methodology literature also supplies the simulation discipline by which an estimator is validated before it touches observed data, and this discipline already appears in the space-operations record. Jefferson and Leek apply parallel discrete-event simulation to the Space Surveillance Network, modeling the network as a population of servers processing a stream of tasking events and reproducing the system’s loading behavior in simulation</w:t>
      </w:r>
      <w:r>
        <w:t xml:space="preserve"> </w:t>
      </w:r>
      <w:hyperlink w:anchor="ref-9">
        <w:r>
          <w:rPr>
            <w:rStyle w:val="Hyperlink"/>
          </w:rPr>
          <w:t xml:space="preserve">[9]</w:t>
        </w:r>
      </w:hyperlink>
      <w:r>
        <w:t xml:space="preserve">. Discrete-event simulation is the natural bridge between the analytic queueing prediction and the messy observational record, because it allows the discrete, lumpy, sometimes non-preemptive structure of the real reservation block to be represented exactly while the underlying arrival and service distributions are controlled. The methodological role of</w:t>
      </w:r>
      <w:r>
        <w:t xml:space="preserve"> </w:t>
      </w:r>
      <w:hyperlink w:anchor="ref-9">
        <w:r>
          <w:rPr>
            <w:rStyle w:val="Hyperlink"/>
          </w:rPr>
          <w:t xml:space="preserve">[9]</w:t>
        </w:r>
      </w:hyperlink>
      <w:r>
        <w:t xml:space="preserve"> </w:t>
      </w:r>
      <w:r>
        <w:t xml:space="preserve">in this dissertation is as the precedent for a discrete-block simulation, calibrated to the documented assignment structure of the tasking literature [1, 6], on which the wait-time estimator can be validated before it is applied to observed schedules. The simulation establishes that the estimator recovers the known queueing parameters from synthetic data generated by the same discrete-pen mechanism the theory describes, which is the standard cliometric safeguard against an estimator that fits the data for the wrong reason.</w:t>
      </w:r>
    </w:p>
    <w:bookmarkEnd w:id="75"/>
    <w:bookmarkStart w:id="76" w:name="Xd896601de094f364da183a72805641c4a7e4957"/>
    <w:p>
      <w:pPr>
        <w:pStyle w:val="Heading3"/>
        <w:spacing w:line="480" w:lineRule="auto"/>
      </w:pPr>
      <w:r>
        <w:t xml:space="preserve">2.3.3 Survival analysis and the censoring problem</w:t>
      </w:r>
    </w:p>
    <w:p>
      <w:pPr>
        <w:pStyle w:val="FirstParagraph"/>
        <w:spacing w:line="480" w:lineRule="auto"/>
      </w:pPr>
      <w:r>
        <w:t xml:space="preserve">The single most important methodological import is survival analysis, and its necessity follows directly from the structure of the domain data. Queue-residence records are censored by construction: some campaigns complete their test within the documented window and are observed in full, while others are still queued when the record closes, slip past the planning horizon, or are forced back into the queue by a test failure. The constellation-tasking literature produces this censoring structurally, leaving a subset of targets unobserved at horizon close</w:t>
      </w:r>
      <w:r>
        <w:t xml:space="preserve"> </w:t>
      </w:r>
      <w:hyperlink w:anchor="ref-5">
        <w:r>
          <w:rPr>
            <w:rStyle w:val="Hyperlink"/>
          </w:rPr>
          <w:t xml:space="preserve">[5]</w:t>
        </w:r>
      </w:hyperlink>
      <w:r>
        <w:t xml:space="preserve">, and the rapid-launch and replanning literatures document the slips and disruptions that truncate a campaign’s wait before completion [10, 13]. A linear model of observed duration must either discard the censored campaigns or, worse, treat a truncated wait as a completed one, and either choice biases the estimate.</w:t>
      </w:r>
    </w:p>
    <w:p>
      <w:pPr>
        <w:pStyle w:val="BodyText"/>
        <w:spacing w:line="480" w:lineRule="auto"/>
        <w:ind w:firstLine="720"/>
      </w:pPr>
      <w:r>
        <w:t xml:space="preserve">The proportional-hazards estimator is the methodological response. It uses every campaign, completed or censored, and asks the operationally exact question: at any instant a campaign is still waiting, what is the instantaneous rate at which it clears the server, and how does that rate move with load and with variability. The second companion paper of this dissertation executes this design with a Cox proportional-hazards model fit by partial likelihood, leaving the baseline hazard unspecified and estimating the multiplicative shift each covariate applies to it. The hazard formulation converts each queueing prediction into a sign on a coefficient: a covariate that lengthens queue residence lowers the hazard of completion and carries a hazard ratio below one, the direction theory predicts for both utilization and variability. The censored campaigns, the Psyche launch slip attributed to insufficient test time, the SLS green-run early shutdown that forced a second test on the single Stennis stand, and the AMOS sensor-tasking scenarios that left targets unscheduled [1, 5], contribute their partial information about the wait without being mistaken for completions. This is the canonical survival-analysis treatment of censoring, imported into a facility-operations record for the first time.</w:t>
      </w:r>
    </w:p>
    <w:bookmarkEnd w:id="76"/>
    <w:bookmarkStart w:id="77" w:name="X99aaca85a860f4fc4cc0720d86152196875ed0d"/>
    <w:p>
      <w:pPr>
        <w:pStyle w:val="Heading3"/>
        <w:spacing w:line="480" w:lineRule="auto"/>
      </w:pPr>
      <w:r>
        <w:t xml:space="preserve">2.3.4 Reinforcement learning and the policy layer</w:t>
      </w:r>
    </w:p>
    <w:p>
      <w:pPr>
        <w:pStyle w:val="FirstParagraph"/>
        <w:spacing w:line="480" w:lineRule="auto"/>
      </w:pPr>
      <w:r>
        <w:t xml:space="preserve">A fourth methodological strand, reinforcement-learning control, appears in the space-operations record and bears on the policy implications of the wait-time model. The disruption-tolerant communications work applies reinforcement learning to a delay-and-disruption-tolerant link, learning a policy that adapts to changing channel conditions</w:t>
      </w:r>
      <w:r>
        <w:t xml:space="preserve"> </w:t>
      </w:r>
      <w:hyperlink w:anchor="ref-11">
        <w:r>
          <w:rPr>
            <w:rStyle w:val="Hyperlink"/>
          </w:rPr>
          <w:t xml:space="preserve">[11]</w:t>
        </w:r>
      </w:hyperlink>
      <w:r>
        <w:t xml:space="preserve">, and the cold-gas thrust-chamber controller learns a pressure-control policy from experimental and simulated interaction</w:t>
      </w:r>
      <w:r>
        <w:t xml:space="preserve"> </w:t>
      </w:r>
      <w:hyperlink w:anchor="ref-19">
        <w:r>
          <w:rPr>
            <w:rStyle w:val="Hyperlink"/>
          </w:rPr>
          <w:t xml:space="preserve">[19]</w:t>
        </w:r>
      </w:hyperlink>
      <w:r>
        <w:t xml:space="preserve">. These sources establish that a learned policy can govern a contended or time-varying resource, which is the methodological precedent for the managerial intervention the wait-time model implies: a release policy for penned blocks that responds to realized utilization and service-time variability rather than to nominal calendar density. The reinforcement-learning literature does not, however, estimate the wait-time response that such a policy would act on; it learns to control a system whose wait structure it takes as given. The policy layer therefore presupposes the estimation layer this dissertation supplies.</w:t>
      </w:r>
    </w:p>
    <w:bookmarkEnd w:id="77"/>
    <w:bookmarkStart w:id="78" w:name="Xd3a186ece67807efd6d83a61978d104c9d359e3"/>
    <w:p>
      <w:pPr>
        <w:pStyle w:val="Heading3"/>
        <w:spacing w:line="480" w:lineRule="auto"/>
      </w:pPr>
      <w:r>
        <w:t xml:space="preserve">2.3.5 What the methodology literature establishes and withholds</w:t>
      </w:r>
    </w:p>
    <w:p>
      <w:pPr>
        <w:pStyle w:val="FirstParagraph"/>
        <w:spacing w:line="480" w:lineRule="auto"/>
      </w:pPr>
      <w:r>
        <w:t xml:space="preserve">The methodology literature establishes the estimators, the identification logic, and the validation discipline that the wait-time question requires: the reduced-form specification that holds a theory-signed mechanism against a named rival, the discrete-event simulation that validates the estimator before it touches data</w:t>
      </w:r>
      <w:r>
        <w:t xml:space="preserve"> </w:t>
      </w:r>
      <w:hyperlink w:anchor="ref-9">
        <w:r>
          <w:rPr>
            <w:rStyle w:val="Hyperlink"/>
          </w:rPr>
          <w:t xml:space="preserve">[9]</w:t>
        </w:r>
      </w:hyperlink>
      <w:r>
        <w:t xml:space="preserve">, the proportional-hazards model that handles the censoring the domain data unavoidably contain [5, 10, 13], and the policy-learning apparatus that the managerial implication presupposes [11, 19]. What this literature withholds is the object. The cliometric and econometric tradition is method without a facility; it supplies the apparatus for estimating a wait-time mechanism but has not been pointed at the test or sensing facility, because the facility belongs to the domain literature that has never invited the method in.</w:t>
      </w:r>
    </w:p>
    <w:bookmarkEnd w:id="78"/>
    <w:bookmarkEnd w:id="79"/>
    <w:bookmarkStart w:id="80" w:name="synthesis-the-absent-middle"/>
    <w:p>
      <w:pPr>
        <w:pStyle w:val="Heading2"/>
        <w:spacing w:line="480" w:lineRule="auto"/>
      </w:pPr>
      <w:r>
        <w:t xml:space="preserve">2.4 Synthesis: The Absent Middle</w:t>
      </w:r>
    </w:p>
    <w:p>
      <w:pPr>
        <w:pStyle w:val="FirstParagraph"/>
        <w:spacing w:line="480" w:lineRule="auto"/>
      </w:pPr>
      <w:r>
        <w:t xml:space="preserve">The fit is exact. The two literatures are complementary in the most precise sense: each holds what the other lacks. The domain literature has the contended server, the documented service durations, the recorded waits, and the assignment structure, but no wait-time estimator and no identification strategy. The methodology literature has the estimator, the censoring-robust survival model, the simulation validation, and the rival-discrimination logic, but no facility to point them at. Between them lies an absent middle: a model of the test or sensing facility as a finite-server queue, an estimate of wait-time as a function of utilization and service-time variability, and a test of whether the discrete reservation block is the mechanism that converts demand variability into observed delay.</w:t>
      </w:r>
    </w:p>
    <w:p>
      <w:pPr>
        <w:pStyle w:val="BodyText"/>
        <w:spacing w:line="480" w:lineRule="auto"/>
        <w:ind w:firstLine="720"/>
      </w:pPr>
      <w:r>
        <w:t xml:space="preserve">The structure of the gap can be stated by triangulating the strands reviewed above. The tasking literature optimizes the assignment of a finite server under conflict [1, 4, 6] and even produces censoring as a byproduct of finite-horizon tasking</w:t>
      </w:r>
      <w:r>
        <w:t xml:space="preserve"> </w:t>
      </w:r>
      <w:hyperlink w:anchor="ref-5">
        <w:r>
          <w:rPr>
            <w:rStyle w:val="Hyperlink"/>
          </w:rPr>
          <w:t xml:space="preserve">[5]</w:t>
        </w:r>
      </w:hyperlink>
      <w:r>
        <w:t xml:space="preserve">, but stops at the schedule and does not estimate the wait. The supply-side literature scales the server count and computes the replanning [3, 12, 13, 15], but does not load the supply with demand and measure the response. The space-economy literature aggregates throughput at the level of supply over a service life</w:t>
      </w:r>
      <w:r>
        <w:t xml:space="preserve"> </w:t>
      </w:r>
      <w:hyperlink w:anchor="ref-2">
        <w:r>
          <w:rPr>
            <w:rStyle w:val="Hyperlink"/>
          </w:rPr>
          <w:t xml:space="preserve">[2]</w:t>
        </w:r>
      </w:hyperlink>
      <w:r>
        <w:t xml:space="preserve">, but does not descend to the discrete reservation block. The facility-usage literature measures utilization as a time-varying quantity</w:t>
      </w:r>
      <w:r>
        <w:t xml:space="preserve"> </w:t>
      </w:r>
      <w:hyperlink w:anchor="ref-21">
        <w:r>
          <w:rPr>
            <w:rStyle w:val="Hyperlink"/>
          </w:rPr>
          <w:t xml:space="preserve">[21]</w:t>
        </w:r>
      </w:hyperlink>
      <w:r>
        <w:t xml:space="preserve">, but does not relate it to a wait. The documentary record proves the wait is real and consequential</w:t>
      </w:r>
      <w:r>
        <w:t xml:space="preserve"> </w:t>
      </w:r>
      <w:hyperlink w:anchor="ref-7">
        <w:r>
          <w:rPr>
            <w:rStyle w:val="Hyperlink"/>
          </w:rPr>
          <w:t xml:space="preserve">[7]</w:t>
        </w:r>
      </w:hyperlink>
      <w:r>
        <w:t xml:space="preserve">, but does not model it. And the methodology that could close every one of these gaps, reduced-form estimation, discrete-event validation, and survival analysis, sits in a separate literature</w:t>
      </w:r>
      <w:r>
        <w:t xml:space="preserve"> </w:t>
      </w:r>
      <w:hyperlink w:anchor="ref-9">
        <w:r>
          <w:rPr>
            <w:rStyle w:val="Hyperlink"/>
          </w:rPr>
          <w:t xml:space="preserve">[9]</w:t>
        </w:r>
      </w:hyperlink>
      <w:r>
        <w:t xml:space="preserve"> </w:t>
      </w:r>
      <w:r>
        <w:t xml:space="preserve">that the domain has never formally engaged.</w:t>
      </w:r>
    </w:p>
    <w:p>
      <w:pPr>
        <w:pStyle w:val="BodyText"/>
        <w:spacing w:line="480" w:lineRule="auto"/>
        <w:ind w:firstLine="720"/>
      </w:pPr>
      <w:r>
        <w:t xml:space="preserve">The synthesis this dissertation performs is to join the two. It takes the contended-server object, the documented service durations, and the recorded waits from the domain literature, and it applies to them the reduced-form fixed-effects estimator, the discrete-block simulation, and the proportional-hazards model from the methodology literature. The first companion paper executes the reduced-form join, estimating that wait rises sharply and significantly with realized utilization while nominal calendar density carries no independent information once utilization is in the model, exactly the pattern that falsifies the calendar-driven account and supports the congestion-driven one. The second companion paper executes the survival join, estimating on a censored record that the squared coefficient of variation of service times significantly lowers the hazard of completion, locating the mechanism by which the pen converts demand into delay in service-time variability, the same quantity the Pollaczek-Khinchine relation places at the center of single-server wait. Each paper is a demonstration that the two literatures, once joined, produce a falsifiable wait-time model that neither could produce alone.</w:t>
      </w:r>
    </w:p>
    <w:bookmarkEnd w:id="80"/>
    <w:bookmarkStart w:id="81" w:name="the-gap-and-the-contribution"/>
    <w:p>
      <w:pPr>
        <w:pStyle w:val="Heading2"/>
        <w:spacing w:line="480" w:lineRule="auto"/>
      </w:pPr>
      <w:r>
        <w:t xml:space="preserve">2.5 The Gap and the Contribution</w:t>
      </w:r>
    </w:p>
    <w:p>
      <w:pPr>
        <w:pStyle w:val="FirstParagraph"/>
        <w:spacing w:line="480" w:lineRule="auto"/>
      </w:pPr>
      <w:r>
        <w:t xml:space="preserve">The gap is therefore not a missing fact within either literature but a missing connection between them. The domain literature does not lack data and the methodology literature does not lack estimators; what is absent is the act of pointing the second at the first on the specific question of facility wait-time. No retrieved source models the test or sensing facility as a finite-server queue, estimates wait-time as a function of utilization and service-time variability, and tests whether the discrete reservation block converts demand variability into observed delay. The tasking literature optimizes the pen [1, 4, 6], the network literature scales the supply</w:t>
      </w:r>
      <w:r>
        <w:t xml:space="preserve"> </w:t>
      </w:r>
      <w:hyperlink w:anchor="ref-3">
        <w:r>
          <w:rPr>
            <w:rStyle w:val="Hyperlink"/>
          </w:rPr>
          <w:t xml:space="preserve">[3]</w:t>
        </w:r>
      </w:hyperlink>
      <w:r>
        <w:t xml:space="preserve">, the economy literature aggregates the capacity</w:t>
      </w:r>
      <w:r>
        <w:t xml:space="preserve"> </w:t>
      </w:r>
      <w:hyperlink w:anchor="ref-2">
        <w:r>
          <w:rPr>
            <w:rStyle w:val="Hyperlink"/>
          </w:rPr>
          <w:t xml:space="preserve">[2]</w:t>
        </w:r>
      </w:hyperlink>
      <w:r>
        <w:t xml:space="preserve">, the facility-usage literature measures the load</w:t>
      </w:r>
      <w:r>
        <w:t xml:space="preserve"> </w:t>
      </w:r>
      <w:hyperlink w:anchor="ref-21">
        <w:r>
          <w:rPr>
            <w:rStyle w:val="Hyperlink"/>
          </w:rPr>
          <w:t xml:space="preserve">[21]</w:t>
        </w:r>
      </w:hyperlink>
      <w:r>
        <w:t xml:space="preserve">, the documentary record proves the wait</w:t>
      </w:r>
      <w:r>
        <w:t xml:space="preserve"> </w:t>
      </w:r>
      <w:hyperlink w:anchor="ref-7">
        <w:r>
          <w:rPr>
            <w:rStyle w:val="Hyperlink"/>
          </w:rPr>
          <w:t xml:space="preserve">[7]</w:t>
        </w:r>
      </w:hyperlink>
      <w:r>
        <w:t xml:space="preserve">, and the methodology literature supplies the unused apparatus</w:t>
      </w:r>
      <w:r>
        <w:t xml:space="preserve"> </w:t>
      </w:r>
      <w:hyperlink w:anchor="ref-9">
        <w:r>
          <w:rPr>
            <w:rStyle w:val="Hyperlink"/>
          </w:rPr>
          <w:t xml:space="preserve">[9]</w:t>
        </w:r>
      </w:hyperlink>
      <w:r>
        <w:t xml:space="preserve">, but the wait-time response itself has gone unmodeled. This dissertation occupies that absent middle.</w:t>
      </w:r>
    </w:p>
    <w:p>
      <w:pPr>
        <w:pStyle w:val="BodyText"/>
        <w:spacing w:line="480" w:lineRule="auto"/>
        <w:ind w:firstLine="720"/>
      </w:pPr>
      <w:r>
        <w:t xml:space="preserve">The contribution is a transportable, falsifiable wait-time model for facility operations that distinguishes congestion-driven delay from calendar-driven delay, with direct managerial implications for how reservation blocks are sized and released. The transportability rests on the identity of the queue object across asset classes established in the domain review: the finite server, the penned block, and the contending demand are the same whether the server is an optical sensor scheduled automatically against arriving requests</w:t>
      </w:r>
      <w:r>
        <w:t xml:space="preserve"> </w:t>
      </w:r>
      <w:hyperlink w:anchor="ref-18">
        <w:r>
          <w:rPr>
            <w:rStyle w:val="Hyperlink"/>
          </w:rPr>
          <w:t xml:space="preserve">[18]</w:t>
        </w:r>
      </w:hyperlink>
      <w:r>
        <w:t xml:space="preserve">, a distributed sensing network</w:t>
      </w:r>
      <w:r>
        <w:t xml:space="preserve"> </w:t>
      </w:r>
      <w:hyperlink w:anchor="ref-3">
        <w:r>
          <w:rPr>
            <w:rStyle w:val="Hyperlink"/>
          </w:rPr>
          <w:t xml:space="preserve">[3]</w:t>
        </w:r>
      </w:hyperlink>
      <w:r>
        <w:t xml:space="preserve">, or a thermal-vacuum chamber penned against environmental-test campaigns</w:t>
      </w:r>
      <w:r>
        <w:t xml:space="preserve"> </w:t>
      </w:r>
      <w:hyperlink w:anchor="ref-7">
        <w:r>
          <w:rPr>
            <w:rStyle w:val="Hyperlink"/>
          </w:rPr>
          <w:t xml:space="preserve">[7]</w:t>
        </w:r>
      </w:hyperlink>
      <w:r>
        <w:t xml:space="preserve">. Because the queueing object is shared, an estimator developed on one asset class transports to another at the level of the wait-time mechanism, even where the empirical magnitudes do not. The falsifiability rests on the cliometric discipline imported from the methodology literature: the model is specified so that a clean failure to find a utilization or variability effect, net of the calendar-density rival, falsifies the congestion account and vindicates the calendar account. The two literatures reviewed in this chapter each render that test impossible on their own. Joined, they render it routine, and the remainder of this dissertation carries the join through estimation, validation, and managerial interpretation.</w:t>
      </w:r>
    </w:p>
    <w:p>
      <w:pPr>
        <w:pStyle w:val="BodyText"/>
        <w:spacing w:line="480" w:lineRule="auto"/>
        <w:ind w:firstLine="720"/>
      </w:pPr>
      <w:r>
        <w:t xml:space="preserve">The review thus motivates the dissertation’s central claim by exhibiting its precondition. The claim is that observed wait-time at a shared test or sensing facility is governed by the variability of campaign service durations interacting with server utilization, in the manner predicted by finite-server queueing theory, and not by nominal calendar density. That claim is testable only because the domain literature supplies a contended-server record [1, 3, 4, 5, 6, 7, 16, 17, 18, 19, 20, 21, 22, 23] and the methodology literature supplies a censoring-robust, rival-discriminating estimator [9, 11]. The gap is the space between them. The contribution is the bridge.</w:t>
      </w:r>
    </w:p>
    <w:bookmarkEnd w:id="81"/>
    <w:bookmarkEnd w:id="82"/>
    <w:bookmarkStart w:id="91" w:name="Xcfcc00a3ded59aed0c781c16bfc121f2a509603"/>
    <w:p>
      <w:pPr>
        <w:pStyle w:val="Heading1"/>
        <w:spacing w:line="480" w:lineRule="auto"/>
      </w:pPr>
      <w:r>
        <w:t xml:space="preserve">Chapter 3. Theoretical Framework and Hypotheses</w:t>
      </w:r>
    </w:p>
    <w:bookmarkStart w:id="83" w:name="purpose-and-scope-of-the-chapter"/>
    <w:p>
      <w:pPr>
        <w:pStyle w:val="Heading2"/>
        <w:spacing w:line="480" w:lineRule="auto"/>
      </w:pPr>
      <w:r>
        <w:t xml:space="preserve">3.1 Purpose and Scope of the Chapter</w:t>
      </w:r>
    </w:p>
    <w:p>
      <w:pPr>
        <w:pStyle w:val="FirstParagraph"/>
        <w:spacing w:line="480" w:lineRule="auto"/>
      </w:pPr>
      <w:r>
        <w:t xml:space="preserve">The two empirical chapters that precede the dissertation’s own primary estimation established, on real and fully sourced records, that wait-time at a shared space-system test facility moves with the structural quantities queueing theory names rather than with the nominal density of the booking calendar. The fixed-effects estimate found a large and significant utilization slope and a calendar-density coefficient that was a statistical zero. The proportional-hazards estimate found that the variability of service durations lowered the instantaneous rate of service completion at conventional significance, while the raw-load channel went unidentified in a small, censored sample. Those results are convergent in mechanism even where they diverge in which channel each record could power. The purpose of this chapter is to set out, formally and from first principles, the theoretical apparatus that generates both predictions, to specify the causal logic that connects an unremarkable result in queueing theory to the operational artifact this dissertation calls the schedule pen, and to state the two competing hypotheses, H0 and H1, in a form sharp enough that a clean failure to reject the null would falsify the dissertation’s contribution.</w:t>
      </w:r>
    </w:p>
    <w:p>
      <w:pPr>
        <w:pStyle w:val="BodyText"/>
        <w:spacing w:line="480" w:lineRule="auto"/>
        <w:ind w:firstLine="720"/>
      </w:pPr>
      <w:r>
        <w:t xml:space="preserve">This chapter does not estimate. It builds the object to be estimated. It proceeds from the definition of a test facility as a congestible server, through the canonical wait-time results that govern such a server, to the explicit identification of the reservation block as the mechanism by which demand variability is converted into observed delay, and it closes with the formal statement of the hypotheses and the conditions under which each would be confirmed or rejected. Throughout, the framing is asset-agnostic by design. The queueing object under study, a finite server, a penned block of service, and a population of contending campaigns, is identical whether the server is a thermal-vacuum chamber, a vibration stand, an anechoic range, or a shared optical sensor, and the theoretical claims of this chapter are stated at the level of that shared object rather than at the level of any one asset class.</w:t>
      </w:r>
    </w:p>
    <w:bookmarkEnd w:id="83"/>
    <w:bookmarkStart w:id="84" w:name="X7529491e9586c6a429ec33e31b5591c61cd431d"/>
    <w:p>
      <w:pPr>
        <w:pStyle w:val="Heading2"/>
        <w:spacing w:line="480" w:lineRule="auto"/>
      </w:pPr>
      <w:r>
        <w:t xml:space="preserve">3.2 The Test Facility as a Congestible Server</w:t>
      </w:r>
    </w:p>
    <w:p>
      <w:pPr>
        <w:pStyle w:val="FirstParagraph"/>
        <w:spacing w:line="480" w:lineRule="auto"/>
      </w:pPr>
      <w:r>
        <w:t xml:space="preserve">A test facility is a server. A test campaign is a customer. The reservation block is the discipline by which the two are matched. This framing is unremarkable in queueing theory and almost absent from facility-operations practice, where throughput is reported as a count of campaigns completed and delay is attributed to individual late arrivals rather than to the structure of contention itself. The framework takes the framing seriously and insists on its consequences.</w:t>
      </w:r>
    </w:p>
    <w:p>
      <w:pPr>
        <w:pStyle w:val="BodyText"/>
        <w:spacing w:line="480" w:lineRule="auto"/>
        <w:ind w:firstLine="720"/>
      </w:pPr>
      <w:r>
        <w:t xml:space="preserve">A server is congestible when its capacity is finite and indivisible over the interval of a single service. A thermal-vacuum chamber is occupied by one campaign at a time; a single contended optical sensor is tasked against one target list per observation window [1, 4]. While that service is in progress, the server is unavailable to any other customer, and a campaign that becomes ready during the occupancy does not fail and does not vanish. It waits. The wait is not a defect in the calendar; it is the defining output of a congestible server under stochastic demand. This distinguishes a test facility from an unconstrained resource, where readiness implies immediate service, and aligns it precisely with the class of systems that queueing theory was built to describe.</w:t>
      </w:r>
    </w:p>
    <w:p>
      <w:pPr>
        <w:pStyle w:val="BodyText"/>
        <w:spacing w:line="480" w:lineRule="auto"/>
        <w:ind w:firstLine="720"/>
      </w:pPr>
      <w:r>
        <w:t xml:space="preserve">The operational consequence is that delay at a test facility is a property of the system, not of any single campaign. A campaign waits because of the contention generated by other campaigns competing for the same server, and the wait it experiences is a function of how heavily the server is already loaded and of how unpredictable the durations of competing campaigns are. The space-domain-awareness literature has matured a sophisticated treatment of exactly this contention on the supply and assignment side, formalizing the allocation of finite telescopes to competing targets as selection from a list of feasible sensor-target pairings as sensors and targets contend for the same windows [1, 6], and developing beam-search and metaheuristic solvers for the resulting combinatorial assignment [1, 4]. The distributed-network literature characterizes how server capacity itself scales as autonomous ground networks grow in sensor count</w:t>
      </w:r>
      <w:r>
        <w:t xml:space="preserve"> </w:t>
      </w:r>
      <w:hyperlink w:anchor="ref-3">
        <w:r>
          <w:rPr>
            <w:rStyle w:val="Hyperlink"/>
          </w:rPr>
          <w:t xml:space="preserve">[3]</w:t>
        </w:r>
      </w:hyperlink>
      <w:r>
        <w:t xml:space="preserve">. The constellation-tasking record makes the contention explicit by showing that a finite tasking horizon leaves a subset of targets unobserved</w:t>
      </w:r>
      <w:r>
        <w:t xml:space="preserve"> </w:t>
      </w:r>
      <w:hyperlink w:anchor="ref-5">
        <w:r>
          <w:rPr>
            <w:rStyle w:val="Hyperlink"/>
          </w:rPr>
          <w:t xml:space="preserve">[5]</w:t>
        </w:r>
      </w:hyperlink>
      <w:r>
        <w:t xml:space="preserve">, which, read as a queue, is a wait that is never served within the observation window. What that body of work optimizes and scales, this dissertation measures: the steady-state wait the allocation induces.</w:t>
      </w:r>
    </w:p>
    <w:p>
      <w:pPr>
        <w:pStyle w:val="BodyText"/>
        <w:spacing w:line="480" w:lineRule="auto"/>
        <w:ind w:firstLine="720"/>
      </w:pPr>
      <w:r>
        <w:t xml:space="preserve">The reframing carries a managerial stake that motivates the entire theoretical exercise. If delay is congestion-driven, the instruments that act on it are the instruments that act on a queue, namely utilization and service-time variability. If delay is merely calendar-driven, the instrument is the calendar, and the remedy is to add or rearrange dates. These prescriptions diverge. Getting the diagnosis wrong is expensive, because the cost is paid in slipped integration milestones and launch windows. The framework exists to make the diagnosis decidable.</w:t>
      </w:r>
    </w:p>
    <w:bookmarkEnd w:id="84"/>
    <w:bookmarkStart w:id="85" w:name="the-canonical-wait-time-results"/>
    <w:p>
      <w:pPr>
        <w:pStyle w:val="Heading2"/>
        <w:spacing w:line="480" w:lineRule="auto"/>
      </w:pPr>
      <w:r>
        <w:t xml:space="preserve">3.3 The Canonical Wait-Time Results</w:t>
      </w:r>
    </w:p>
    <w:p>
      <w:pPr>
        <w:pStyle w:val="FirstParagraph"/>
        <w:spacing w:line="480" w:lineRule="auto"/>
      </w:pPr>
      <w:r>
        <w:t xml:space="preserve">Finite-server queueing theory makes a sharp, directional, and convex prediction about the wait a congestible server imposes, and the dissertation’s hypotheses are derived directly from it. Two canonical results anchor the framework.</w:t>
      </w:r>
    </w:p>
    <w:p>
      <w:pPr>
        <w:pStyle w:val="BodyText"/>
        <w:spacing w:line="480" w:lineRule="auto"/>
        <w:ind w:firstLine="720"/>
      </w:pPr>
      <w:r>
        <w:t xml:space="preserve">The first is the Pollaczek-Khinchine relation for a single server receiving Poisson arrivals and serving customers with a general service-time distribution. The relation expresses the mean wait in queue as proportional to the product of two terms: a utilization term that grows without bound as the server’s load approaches its capacity, and a variability term that rises with the squared coefficient of variation of the service-time distribution. The second result is Kingman’s heavy-traffic approximation, which generalizes the same intuition to servers whose arrival process is itself variable. Kingman’s approximation expresses the steady-state wait as proportional to a utilization factor that diverges as the server saturates, multiplied by a variability factor in the squared coefficient of variation of service times and, where relevant, of inter-arrival times. Both results agree on the two structural drivers of delay and on the shape of the response. Mean wait rises with utilization, rises with service-time variability, and rises convexly in utilization, so that as the server approaches saturation the marginal wait per unit of added load increases without bound.</w:t>
      </w:r>
    </w:p>
    <w:p>
      <w:pPr>
        <w:pStyle w:val="BodyText"/>
        <w:spacing w:line="480" w:lineRule="auto"/>
        <w:ind w:firstLine="720"/>
      </w:pPr>
      <w:r>
        <w:t xml:space="preserve">Three features of these results are load-bearing for the dissertation and warrant emphasis.</w:t>
      </w:r>
    </w:p>
    <w:p>
      <w:pPr>
        <w:pStyle w:val="BodyText"/>
        <w:spacing w:line="480" w:lineRule="auto"/>
        <w:ind w:firstLine="720"/>
      </w:pPr>
      <w:r>
        <w:t xml:space="preserve">First, the calendar does not appear anywhere. Neither the Pollaczek-Khinchine relation nor Kingman’s approximation contains a term for the nominal density of a booking schedule. The quantities that govern wait are realized utilization and realized service-time variability, both of which are properties of how the server is actually loaded and how unpredictable the service durations actually are, not of how full the published calendar appears to be. This absence is not an omission to be repaired; it is the central theoretical claim. The calendar is an accounting surface, while the queue is a physical system, and the two need not move together. A single high-demand cryogenic chamber may pen few long blocks and present a sparse calendar while running at a utilization that produces severe wait, and a vendor chamber may pen many short blocks and present a dense calendar while running at a utilization that produces little. The theory predicts that wait tracks the utilization and not the calendar fill, and the empirical work in the preceding chapters confirmed exactly that separation, with the calendar-density coefficient indistinguishable from zero once realized utilization entered the model.</w:t>
      </w:r>
    </w:p>
    <w:p>
      <w:pPr>
        <w:pStyle w:val="BodyText"/>
        <w:spacing w:line="480" w:lineRule="auto"/>
        <w:ind w:firstLine="720"/>
      </w:pPr>
      <w:r>
        <w:t xml:space="preserve">Second, the convexity is the signature. A linear relationship between load and wait would fit many mechanisms. The divergence of wait as utilization approaches capacity is the specific fingerprint of a finite-server queue. The convexity is what gives the saturation knee its operational meaning: below the knee, added load produces modest added wait, while above it, the same increment of load produces a wait that rises steeply. The managerial recommendation that follows, holding utilization below the saturation knee, is a direct reading of this convexity and has no analogue in a calendar account of delay.</w:t>
      </w:r>
    </w:p>
    <w:p>
      <w:pPr>
        <w:pStyle w:val="BodyText"/>
        <w:spacing w:line="480" w:lineRule="auto"/>
        <w:ind w:firstLine="720"/>
      </w:pPr>
      <w:r>
        <w:t xml:space="preserve">Third, variability is a primitive, not a nuisance. In both canonical results the squared coefficient of variation of service times enters multiplicatively, so that variability and utilization compound rather than merely add. A server can be held at moderate utilization and still produce long waits if its service-time distribution is heavy-tailed, because a single long campaign penned against a single contended chamber forces every campaign that becomes ready during that block to wait. This is the channel the proportional-hazards chapter identified as the significant driver of queue residence, with the squared coefficient of variation carrying a negative coefficient and a hazard ratio sharply below one, meaning that a campaign drawn from a higher-variability service regime cleared the contended server at a markedly lower instantaneous rate. The variability primitive is also the channel most directly actionable by a facility manager, through standardized campaign durations, caps on the right tail of service time, and the release of penned blocks a campaign cannot fill.</w:t>
      </w:r>
    </w:p>
    <w:bookmarkEnd w:id="85"/>
    <w:bookmarkStart w:id="86" w:name="the-schedule-pen-as-the-causal-mechanism"/>
    <w:p>
      <w:pPr>
        <w:pStyle w:val="Heading2"/>
        <w:spacing w:line="480" w:lineRule="auto"/>
      </w:pPr>
      <w:r>
        <w:t xml:space="preserve">3.4 The Schedule Pen as the Causal Mechanism</w:t>
      </w:r>
    </w:p>
    <w:p>
      <w:pPr>
        <w:pStyle w:val="FirstParagraph"/>
        <w:spacing w:line="480" w:lineRule="auto"/>
      </w:pPr>
      <w:r>
        <w:t xml:space="preserve">The canonical results describe an idealized queue. The contribution of this dissertation rests on identifying the concrete artifact in facility operations that realizes the idealized mechanism, and on showing that the realization is faithful enough that the theory’s predictions transport to the observed record. That artifact is the schedule pen: the discrete block of server time reserved against a finite resource on behalf of a single campaign.</w:t>
      </w:r>
    </w:p>
    <w:p>
      <w:pPr>
        <w:pStyle w:val="BodyText"/>
        <w:spacing w:line="480" w:lineRule="auto"/>
        <w:ind w:firstLine="720"/>
      </w:pPr>
      <w:r>
        <w:t xml:space="preserve">The causal logic runs as follows. A facility scheduler resolves contention among competing campaigns by penning blocks, that is, by assigning each campaign a discrete, bounded interval of exclusive access to a finite server. The pen is the service epoch made operational. When a chamber is penned for a long campaign, every campaign that becomes ready during that block is, by construction, placed in a queue, because the server is indivisible over the interval of a single service and cannot admit a second customer. The wait such a campaign experiences is therefore governed by two quantities and only two: how heavily the server is already loaded, which determines how many penned blocks stand between the campaign’s readiness and its own block, and how unpredictable the durations of the competing campaigns are, which determines how long those intervening blocks run and how poorly the campaign’s own access time can be anticipated. These are exactly the utilization and variability of the canonical results. The pen is the mechanism by which demand variability is converted into observed delay.</w:t>
      </w:r>
    </w:p>
    <w:p>
      <w:pPr>
        <w:pStyle w:val="BodyText"/>
        <w:spacing w:line="480" w:lineRule="auto"/>
        <w:ind w:firstLine="720"/>
      </w:pPr>
      <w:r>
        <w:t xml:space="preserve">The fidelity of the realization is established by the structure of how blocks are actually assigned. The tasking-optimization literature supplies the realistic combinatorial structure of penning under conflict, treating the finite server as a contended resource whose assignment must be solved when competing demands vie for the same windows [1, 4, 6], and framing optimal scheduling explicitly as selection from a list of feasible pairings as demands contend [4, 6]. The same combinatorial structure governs a test facility exactly: a finite number of chambers, ranges, and sensors; a population of campaigns competing for windows; and a scheduler that resolves the contention by penning blocks. What that literature optimizes is the assignment of the pen; what it leaves unmeasured is the wait the penning induces. The dissertation’s claim is that the wait is not a separate phenomenon to be explained by an external calendar but the inevitable output of the same penning the literature already studies, governed by the utilization and variability the canonical results name.</w:t>
      </w:r>
    </w:p>
    <w:p>
      <w:pPr>
        <w:pStyle w:val="BodyText"/>
        <w:spacing w:line="480" w:lineRule="auto"/>
        <w:ind w:firstLine="720"/>
      </w:pPr>
      <w:r>
        <w:t xml:space="preserve">Two refinements of the mechanism deserve statement because they distinguish a real pen from an idealized service epoch and because they were visible in the empirical records. The first is discreteness. Real reservation blocks are lumpy, of finite and often substantial length, and frequently non-preemptive, so that once a campaign is penned it cannot be interrupted by a higher-priority arrival. A continuous-arrival queue may understate the wait such lumpiness produces, because a single long non-preemptive block can dominate the experience of every campaign behind it. The James Webb Space Telescope cryogenic-vacuum test, which occupied a single chamber for roughly one hundred and thirty calendar days against a planned hundred-day occupancy, is the canonical instance of a long non-preemptive pen whose over-run propagates directly into the wait of any campaign that contends for the same chamber. The second refinement is priority. A pen can be re-assigned when a higher-priority customer arrives, displacing the incumbent into a longer wait. The clearest documented instance of the mechanism in its rawest form is the GLAST campaign recorded in the government assessment of selected NASA projects, where a spacecraft vendor gave priority to defense projects for thermal-vacuum testing, forcing the displaced campaign to relocate and producing a three-month facility-access delay</w:t>
      </w:r>
      <w:r>
        <w:t xml:space="preserve"> </w:t>
      </w:r>
      <w:hyperlink w:anchor="ref-7">
        <w:r>
          <w:rPr>
            <w:rStyle w:val="Hyperlink"/>
          </w:rPr>
          <w:t xml:space="preserve">[7]</w:t>
        </w:r>
      </w:hyperlink>
      <w:r>
        <w:t xml:space="preserve">. That case anchors the wait as a real, sourced quantity produced by contention at a high-utilization shared asset, a delay that a calendar could not have prevented and that only a capacity or variability intervention could have addressed.</w:t>
      </w:r>
    </w:p>
    <w:p>
      <w:pPr>
        <w:pStyle w:val="BodyText"/>
        <w:spacing w:line="480" w:lineRule="auto"/>
        <w:ind w:firstLine="720"/>
      </w:pPr>
      <w:r>
        <w:t xml:space="preserve">The causal claim of the framework is therefore precise and falsifiable. Observed wait at a shared test facility is caused by the penning of a finite server under contending demand, and the magnitude of that wait is governed by the realized utilization of the server and the variability of the penned blocks’ durations, in the direction and convexity the canonical results predict. The rival causal claim, that wait is caused by the placement of blocks on a nominal calendar and is therefore relieved by adding or rearranging dates, is the null this dissertation is built to test.</w:t>
      </w:r>
    </w:p>
    <w:bookmarkEnd w:id="86"/>
    <w:bookmarkStart w:id="87" w:name="distinguishing-the-two-causal-accounts"/>
    <w:p>
      <w:pPr>
        <w:pStyle w:val="Heading2"/>
        <w:spacing w:line="480" w:lineRule="auto"/>
      </w:pPr>
      <w:r>
        <w:t xml:space="preserve">3.5 Distinguishing the Two Causal Accounts</w:t>
      </w:r>
    </w:p>
    <w:p>
      <w:pPr>
        <w:pStyle w:val="FirstParagraph"/>
        <w:spacing w:line="480" w:lineRule="auto"/>
      </w:pPr>
      <w:r>
        <w:t xml:space="preserve">The theoretical framework is sharpest where the two causal accounts make divergent, observable predictions. The congestion account and the calendar account are not rephrasings of one another; they identify different governing variables, prescribe different remedies, and imply different empirical signatures.</w:t>
      </w:r>
    </w:p>
    <w:p>
      <w:pPr>
        <w:pStyle w:val="BodyText"/>
        <w:spacing w:line="480" w:lineRule="auto"/>
        <w:ind w:firstLine="720"/>
      </w:pPr>
      <w:r>
        <w:t xml:space="preserve">The congestion account holds that wait is a function of realized utilization and service-time variability, that the relationship is convex in utilization, and that nominal calendar density carries no independent information about wait once realized utilization is in the model. Its empirical signature is a positive and significant utilization coefficient, a variability coefficient of the predicted sign, and a calendar-density coefficient indistinguishable from zero. Its remedy is to manage the queue: hold utilization below the saturation knee, compress the variability of campaign durations, and release penned blocks that a campaign cannot fill.</w:t>
      </w:r>
    </w:p>
    <w:p>
      <w:pPr>
        <w:pStyle w:val="BodyText"/>
        <w:spacing w:line="480" w:lineRule="auto"/>
        <w:ind w:firstLine="720"/>
      </w:pPr>
      <w:r>
        <w:t xml:space="preserve">The calendar account holds that wait is a function of how full the published booking schedule is, that adding or rearranging dates relieves the wait, and that realized utilization, once the calendar is accounted for, carries no independent purchase on delay. Its empirical signature is a significant calendar-density coefficient and a utilization coefficient driven to insignificance. Its remedy is to manage the calendar: add nominal slots or reschedule existing ones.</w:t>
      </w:r>
    </w:p>
    <w:p>
      <w:pPr>
        <w:pStyle w:val="BodyText"/>
        <w:spacing w:line="480" w:lineRule="auto"/>
        <w:ind w:firstLine="720"/>
      </w:pPr>
      <w:r>
        <w:t xml:space="preserve">The two accounts can coincide only in the degenerate case where realized utilization and nominal calendar density move together, and the structure of real facilities ensures they do not. Single-server cryogenic assets pen few long blocks and present sparse calendars while running at high realized contention; multi-chamber vendor facilities pen many short blocks and present dense calendars while running at lower contention. This divergence between the calendar surface and the contention beneath it is what makes the two accounts empirically separable, and it is the reason the dissertation encodes realized utilization and nominal calendar density as distinct constructs entered jointly, so that the congestion coefficients are estimated net of any calendar-density effect and the calendar coefficient is estimated net of utilization.</w:t>
      </w:r>
    </w:p>
    <w:p>
      <w:pPr>
        <w:pStyle w:val="BodyText"/>
        <w:spacing w:line="480" w:lineRule="auto"/>
        <w:ind w:firstLine="720"/>
      </w:pPr>
      <w:r>
        <w:t xml:space="preserve">A second, complementary separation operates through the censoring structure of queue residence. A campaign that completes its test on the contended server within the documented window is an observed completion; a campaign that is still queued when the record closes, whose access slips past the planning horizon, or that a test failure forces back into the queue, is a censored wait. The Psyche launch slip, attributed to late delivery of test equipment and software that left insufficient time to complete required testing, and the SLS core-stage green-run that shut down early and forced a second test on a single contended stand, are real queue failures that the censored formulation encodes rather than discards. The congestion account predicts that censoring concentrates at high load and high variability, where the queue binds hardest; the calendar account makes no such prediction. The proportional-hazards treatment of the preceding chapter exploited exactly this, using every campaign, completed or censored, to ask at what instantaneous rate a still-waiting campaign clears the server and how that rate moves with load and variability.</w:t>
      </w:r>
    </w:p>
    <w:bookmarkEnd w:id="87"/>
    <w:bookmarkStart w:id="88" w:name="identification-of-the-congestion-channel"/>
    <w:p>
      <w:pPr>
        <w:pStyle w:val="Heading2"/>
        <w:spacing w:line="480" w:lineRule="auto"/>
      </w:pPr>
      <w:r>
        <w:t xml:space="preserve">3.6 Identification of the Congestion Channel</w:t>
      </w:r>
    </w:p>
    <w:p>
      <w:pPr>
        <w:pStyle w:val="FirstParagraph"/>
        <w:spacing w:line="480" w:lineRule="auto"/>
      </w:pPr>
      <w:r>
        <w:t xml:space="preserve">For the congestion account to be testable rather than merely plausible, the utilization effect must be separable from a mechanical artifact in which a campaign’s own duration drives its own measured wait. The theoretical framework specifies the identifying logic that makes this separation possible.</w:t>
      </w:r>
    </w:p>
    <w:p>
      <w:pPr>
        <w:pStyle w:val="BodyText"/>
        <w:spacing w:line="480" w:lineRule="auto"/>
        <w:ind w:firstLine="720"/>
      </w:pPr>
      <w:r>
        <w:t xml:space="preserve">The identifying claim is that a campaign waits because of the contention generated by other campaigns competing for the same server, not because of its own service duration. Identification of the utilization effect therefore rests on variation in load that is plausibly exogenous to any individual campaign’s own duration. Within-server variation in load, generated by the arrivals and durations of unrelated campaign cohorts, provides this variation: a campaign that becomes ready during a heavily loaded interval waits longer than the same campaign would have waited during a lightly loaded interval, and the difference is attributable to congestion rather than to the campaign’s own characteristics. The fixed-effects design absorbs time-invariant capacity differences across assets so that the utilization coefficient is identified from variation in load within a server rather than from differences in capacity across servers, and the panel confirms that own service duration is essentially uncorrelated with observed wait, which is the empirical condition the identifying logic requires.</w:t>
      </w:r>
    </w:p>
    <w:p>
      <w:pPr>
        <w:pStyle w:val="BodyText"/>
        <w:spacing w:line="480" w:lineRule="auto"/>
        <w:ind w:firstLine="720"/>
      </w:pPr>
      <w:r>
        <w:t xml:space="preserve">Two threats to this identification are anticipated by the framework and are stated here because they bound the strength of the causal claim. The first is endogeneity of utilization: if high-utilization intervals coincide with campaigns that are intrinsically longer or more urgent, the utilization coefficient could capture demand composition rather than congestion. The framework addresses this with the fixed-effects design and, where the data support it, with an instrument for utilization drawn from concurrent demand by unrelated campaign cohorts, whose exogeneity is an assumption to be probed rather than assumed. The second is the collinearity of load with the censoring structure: when the campaigns that slip past their horizon concentrate at high documented load, the raw-load channel becomes nearly collinear with the censoring, and the variability channel rather than the raw-load channel carries the identified signal. This is precisely the pattern the proportional-hazards chapter encountered, where the variability coefficient was significant and the load coefficient, with a very large standard error, could not be distinguished from no effect. The honest reading the framework licenses is that the congestion mechanism is supported through whichever channel a given record can power, that the two channels compound in theory, and that no effect is claimed beyond what the data can identify.</w:t>
      </w:r>
    </w:p>
    <w:bookmarkEnd w:id="88"/>
    <w:bookmarkStart w:id="89" w:name="formal-hypotheses"/>
    <w:p>
      <w:pPr>
        <w:pStyle w:val="Heading2"/>
        <w:spacing w:line="480" w:lineRule="auto"/>
      </w:pPr>
      <w:r>
        <w:t xml:space="preserve">3.7 Formal Hypotheses</w:t>
      </w:r>
    </w:p>
    <w:p>
      <w:pPr>
        <w:pStyle w:val="FirstParagraph"/>
        <w:spacing w:line="480" w:lineRule="auto"/>
      </w:pPr>
      <w:r>
        <w:t xml:space="preserve">The theoretical framework reduces to one testable proposition about the source of facility delay, stated as a null and a single falsifiable alternative. The hypotheses are framed so that the congestion mechanism and the calendar mechanism make mutually exclusive predictions and so that a clean failure to reject the null falsifies the dissertation’s contribution.</w:t>
      </w:r>
    </w:p>
    <w:p>
      <w:pPr>
        <w:pStyle w:val="BodyText"/>
        <w:spacing w:line="480" w:lineRule="auto"/>
        <w:ind w:firstLine="720"/>
      </w:pPr>
      <w:r>
        <w:rPr>
          <w:b/>
          <w:bCs/>
        </w:rPr>
        <w:t xml:space="preserve">H0 (the null: calendar-driven delay).</w:t>
      </w:r>
      <w:r>
        <w:t xml:space="preserve"> </w:t>
      </w:r>
      <w:r>
        <w:t xml:space="preserve">Observed campaign wait-time at a shared test or sensing facility is independent of server utilization and of service-time variability. Delay is calendar-driven: it reflects the placement of reservation blocks on the nominal calendar and not the congestion structure of the queue. Under H0, in a model of wait-time the coefficient on realized utilization and the coefficient on the squared coefficient of variation of service durations are each statistically indistinguishable from zero, any apparent relationship between wait and load is captured instead by nominal calendar density, and a calendar-density specification is not outperformed by a queueing-derived specification in out-of-sample wait-time prediction. In the survival formulation, the equivalent statement is that the hazard of service completion is independent of utilization and of service-time variability, so that the corresponding coefficients are statistically indistinguishable from zero and the associated hazard ratios from one.</w:t>
      </w:r>
    </w:p>
    <w:p>
      <w:pPr>
        <w:pStyle w:val="BodyText"/>
        <w:spacing w:line="480" w:lineRule="auto"/>
        <w:ind w:firstLine="720"/>
      </w:pPr>
      <w:r>
        <w:rPr>
          <w:b/>
          <w:bCs/>
        </w:rPr>
        <w:t xml:space="preserve">H1 (the alternative: congestion-driven delay).</w:t>
      </w:r>
      <w:r>
        <w:t xml:space="preserve"> </w:t>
      </w:r>
      <w:r>
        <w:t xml:space="preserve">Observed wait-time rises with server utilization and with the variability of campaign service durations, in the direction and convexity predicted by finite-server queueing theory. Delay is congestion-driven: the schedule pen converts demand variability into wait, and as utilization approaches capacity the marginal wait per unit of added load increases. Under H1, the utilization and variability coefficients in a wait-time model are positive and significant, the congestion channel dominates the rival calendar-density explanation, and a queueing-derived specification outperforms a calendar-density specification in out-of-sample wait-time prediction. In the survival formulation, the equivalent statement decomposes into two directional sub-hypotheses that follow from the sign convention of a proportional-hazards model, in which a covariate that lengthens queue residence lowers the hazard of completion and so carries a coefficient below zero and a hazard ratio below one. H1a holds that higher service-time variability lowers the hazard of service completion, the coefficient on the squared coefficient of variation being negative and its hazard ratio below one, because variability is the channel through which the pen converts demand into delay. H1b holds that higher server utilization lowers the hazard of completion, the coefficient on facility load being negative as congestion binds.</w:t>
      </w:r>
    </w:p>
    <w:p>
      <w:pPr>
        <w:pStyle w:val="BodyText"/>
        <w:spacing w:line="480" w:lineRule="auto"/>
        <w:ind w:firstLine="720"/>
      </w:pPr>
      <w:r>
        <w:t xml:space="preserve">The single falsifiable claim of the dissertation is H1 against H0: that wait-time is governed by realized utilization and service-time variability as queueing theory predicts, and not by nominal calendar density alone. The framework commits in advance to the conditions of confirmation and falsification. H1 is confirmed where the utilization or variability coefficient is of the predicted sign and reaches significance and the calendar-density coefficient does not; H0 is supported, and the contribution falsified, where the utilization and variability coefficients are jointly indistinguishable from zero while calendar density carries the explanatory weight. The framework also commits to the boundary of the test. Because the obtainable records cluster in moderate-to-high utilization regimes, the convex acceleration of wait near saturation is inferred from theory and from the upper tail rather than mapped across the full load curve, and no claim of confirmation or falsification is made outside the utilization range the data cover. Where a record powers only one of the two congestion channels, as the small censored panel powered the variability channel and not the load channel, the framework supports the mechanism through the identified channel and declines to claim the other, rather than overstating a uniform result the evidence cannot bear.</w:t>
      </w:r>
    </w:p>
    <w:bookmarkEnd w:id="89"/>
    <w:bookmarkStart w:id="90" w:name="X38d0a5eb7bc05f7a0cac469c78271469ee10a17"/>
    <w:p>
      <w:pPr>
        <w:pStyle w:val="Heading2"/>
        <w:spacing w:line="480" w:lineRule="auto"/>
      </w:pPr>
      <w:r>
        <w:t xml:space="preserve">3.8 Boundary Conditions and the Transportability Claim</w:t>
      </w:r>
    </w:p>
    <w:p>
      <w:pPr>
        <w:pStyle w:val="FirstParagraph"/>
        <w:spacing w:line="480" w:lineRule="auto"/>
      </w:pPr>
      <w:r>
        <w:t xml:space="preserve">The theoretical framework is asset-agnostic by construction, and this section states the boundary conditions under which that agnosticism holds and the sense in which the model’s claims transport across asset classes.</w:t>
      </w:r>
    </w:p>
    <w:p>
      <w:pPr>
        <w:pStyle w:val="BodyText"/>
        <w:spacing w:line="480" w:lineRule="auto"/>
        <w:ind w:firstLine="720"/>
      </w:pPr>
      <w:r>
        <w:t xml:space="preserve">The queueing object is shared across every asset the dissertation considers. A thermal-vacuum chamber, a vibration stand, an anechoic range, and a contended optical sensor are each a finite server matched to contending demand by a penned block, and the structural prediction, that wait rises with utilization and variability and is convex in utilization, follows from the shared object and not from the physics of any one asset. For this reason the framework states its claims at the level of the wait-time mechanism rather than at the level of point estimates. The mechanism is asserted to transport; the empirical magnitudes are not. The richest obtainable schedules are optical-sensor tasking traces and single-server thermal-vacuum records [1, 4, 5], and the service-time distributions of anechoic chambers, vibration stands, and multi-server ranges may differ in shape, so a coefficient estimated on one asset class is not asserted to hold numerically on another. What transports is the sign, the dominance of the congestion channel over the calendar channel, and the convex shape; what does not transport without re-estimation is the slope.</w:t>
      </w:r>
    </w:p>
    <w:p>
      <w:pPr>
        <w:pStyle w:val="BodyText"/>
        <w:spacing w:line="480" w:lineRule="auto"/>
        <w:ind w:firstLine="720"/>
      </w:pPr>
      <w:r>
        <w:t xml:space="preserve">Three boundary conditions delimit the framework’s claims. First, the discreteness and non-preemptibility of real pens mean that a continuous-arrival idealization can understate wait, so the framework’s predictions are to be validated against a discrete-block representation calibrated to the documented assignment structure [1, 6] before they are read as exact. Second, external validity across asset classes is asserted only at the level of the mechanism, and the framework declines to claim that the magnitude of the utilization or variability effect estimated on sensor or chamber records transports to other servers. Third, the power of any single test is bounded by the utilization range the underlying record covers; where a record is drawn predominantly from low-utilization regimes, congestion may never bind and the test may lack power to distinguish H1 from H0, in which case the framework requires that the utilization range be reported and that no falsification be claimed outside it.</w:t>
      </w:r>
    </w:p>
    <w:p>
      <w:pPr>
        <w:pStyle w:val="BodyText"/>
        <w:spacing w:line="480" w:lineRule="auto"/>
        <w:ind w:firstLine="720"/>
      </w:pPr>
      <w:r>
        <w:t xml:space="preserve">Within these boundaries the framework yields a transportable, falsifiable wait-time model that distinguishes congestion-driven delay from calendar-driven delay and carries direct managerial implications for how reservation blocks are sized and released. The theoretical claim is single and decidable: the schedule pen converts realized utilization and service-time variability into observed wait, the facility behaves as the queue that queueing theory says it is, and the nominal calendar is the weaker of the two accounts of facility delay. The empirical chapters test that claim, and the framework set out here is the object they test.</w:t>
      </w:r>
    </w:p>
    <w:bookmarkEnd w:id="90"/>
    <w:bookmarkEnd w:id="91"/>
    <w:bookmarkStart w:id="102" w:name="chapter-4.-data-and-measurement"/>
    <w:p>
      <w:pPr>
        <w:pStyle w:val="Heading1"/>
        <w:spacing w:line="480" w:lineRule="auto"/>
      </w:pPr>
      <w:r>
        <w:t xml:space="preserve">Chapter 4. Data and Measurement</w:t>
      </w:r>
    </w:p>
    <w:bookmarkStart w:id="92" w:name="purpose-and-scope-of-the-chapter-1"/>
    <w:p>
      <w:pPr>
        <w:pStyle w:val="Heading2"/>
        <w:spacing w:line="480" w:lineRule="auto"/>
      </w:pPr>
      <w:r>
        <w:t xml:space="preserve">4.1 Purpose and Scope of the Chapter</w:t>
      </w:r>
    </w:p>
    <w:p>
      <w:pPr>
        <w:pStyle w:val="FirstParagraph"/>
        <w:spacing w:line="480" w:lineRule="auto"/>
      </w:pPr>
      <w:r>
        <w:t xml:space="preserve">The two empirical studies that anchor this dissertation share a single object of inquiry, the wait a space-system test campaign incurs while a finite test server is occupied, but they realize that object in two distinct datasets governed by two distinct estimators. The first study estimates the wait-time response of a shared test facility with ordinary least squares over a panel of twenty-four campaigns. The second re-poses the same mechanism as a survival problem and estimates a Cox proportional-hazards model over a panel of thirty campaigns, of which a portion are right-censored. This chapter documents both datasets at the level of detail a replication demands: what the unit of analysis is, where each record comes from, how each variable is constructed from primary documentation, and what the construction rules concede about measurement error. The chapter does not report findings or interpret coefficients; those belong to the empirical chapters that follow. It establishes only that the data exist, that their provenance is traceable, and that each constructed variable maps onto a defensible primary record.</w:t>
      </w:r>
    </w:p>
    <w:p>
      <w:pPr>
        <w:pStyle w:val="BodyText"/>
        <w:spacing w:line="480" w:lineRule="auto"/>
        <w:ind w:firstLine="720"/>
      </w:pPr>
      <w:r>
        <w:t xml:space="preserve">The governing discipline throughout is that the queueing object is identical across every row in both panels: a finite server, a discrete reservation block penned against that server, and a population of contending demand. Because the object is invariant, a measurement protocol developed for one asset class transports to another even where the physical asset differs. A thermal-vacuum chamber, a vibration stand, an acoustic cell, and a contended ground-based optical sensor are all, for the purposes of measurement, the same server with the same three coordinates: a service epoch, a load, and a wait. The chapter is organized around that invariance.</w:t>
      </w:r>
    </w:p>
    <w:bookmarkEnd w:id="92"/>
    <w:bookmarkStart w:id="93" w:name="unit-of-analysis"/>
    <w:p>
      <w:pPr>
        <w:pStyle w:val="Heading2"/>
        <w:spacing w:line="480" w:lineRule="auto"/>
      </w:pPr>
      <w:r>
        <w:t xml:space="preserve">4.2 Unit of Analysis</w:t>
      </w:r>
    </w:p>
    <w:p>
      <w:pPr>
        <w:pStyle w:val="FirstParagraph"/>
        <w:spacing w:line="480" w:lineRule="auto"/>
      </w:pPr>
      <w:r>
        <w:t xml:space="preserve">Both studies take the documented test campaign at a named shared facility as the unit of observation. A campaign is the indivisible package of environmental or functional testing that a flight article undergoes on a single contended server: a spacecraft’s cryo-vacuum test in one chamber, a stage’s hot-fire on one stand, an instrument’s thermal-balance run in one simulator. The campaign is the row. Not the spacecraft, and not the facility. A single spacecraft can generate more than one campaign if it occupies more than one contended server in sequence, and a single facility contributes as many rows as it hosts distinct campaigns in the observation window. This choice fixes the unit at the grain where the queueing mechanism operates, because it is the campaign that arrives, that joins the queue when the server is busy, that is penned into a block, and that experiences the wait. Reporting at the facility level would aggregate away the arrival process; reporting at the spacecraft level would obscure that one article can wait on several servers. The campaign level is the only grain at which arrival, service, and wait are jointly observable.</w:t>
      </w:r>
    </w:p>
    <w:p>
      <w:pPr>
        <w:pStyle w:val="BodyText"/>
        <w:spacing w:line="480" w:lineRule="auto"/>
        <w:ind w:firstLine="720"/>
      </w:pPr>
      <w:r>
        <w:t xml:space="preserve">In the first study the panel comprises twenty-four campaigns spanning ten facilities across NASA, ESA, and commercial vendor test centers, covering the interval from 2007 through 2026. In the second study the panel comprises thirty campaigns drawn from NASA, the Jet Propulsion Laboratory, Goddard Space Flight Center, Stennis, Glenn Research Center, prime-contractor, and AMOS sources. The two panels overlap in their treatment of the flagship cryogenic campaigns but are not nested: the second study extends the record toward propulsion test stands and toward sensor-tasking scenarios precisely because those settings supply the censoring structure its estimator requires. The difference in count between the two panels is therefore substantive and not an artifact of revision. The first study restricts itself to campaigns whose access wait can be read or bounded as a completed quantity, which suits a linear model of observed wait. The second study deliberately admits campaigns whose wait is truncated, because a proportional-hazards estimator is constructed to use exactly those censored durations.</w:t>
      </w:r>
    </w:p>
    <w:bookmarkEnd w:id="93"/>
    <w:bookmarkStart w:id="94" w:name="Xb1e32476d982c616096cc657f481049f5438aff"/>
    <w:p>
      <w:pPr>
        <w:pStyle w:val="Heading2"/>
        <w:spacing w:line="480" w:lineRule="auto"/>
      </w:pPr>
      <w:r>
        <w:t xml:space="preserve">4.3 The Three Coordinates of the Queueing Object</w:t>
      </w:r>
    </w:p>
    <w:p>
      <w:pPr>
        <w:pStyle w:val="FirstParagraph"/>
        <w:spacing w:line="480" w:lineRule="auto"/>
      </w:pPr>
      <w:r>
        <w:t xml:space="preserve">Every row in both panels is reduced to the same small set of measured coordinates. The service epoch is the penned block: the length of time the campaign occupies the server once it begins, recorded in days. The load is the realized utilization of the server during the campaign’s access window, recorded on the unit interval. The wait is the interval between the campaign’s readiness and the start of its penned block, recorded in days and treated as the dependent quantity. A fourth coordinate, the variability of service durations at the facility, is constructed as a facility-level statistic and attached to each campaign that the facility hosts. The remainder of this chapter treats each of these in turn, distinguishing the variables that are read directly from primary records from the variables that are constructed from documented context under a stated rule.</w:t>
      </w:r>
    </w:p>
    <w:p>
      <w:pPr>
        <w:pStyle w:val="BodyText"/>
        <w:spacing w:line="480" w:lineRule="auto"/>
        <w:ind w:firstLine="720"/>
      </w:pPr>
      <w:r>
        <w:t xml:space="preserve">The distinction between read and constructed is the central methodological commitment of the data chapter. A read variable is one whose value appears, as a number or a datable event, in a primary source: a chamber-seal date, a chamber-open date, a planned-occupancy figure, a documented launch slip with an attributed cause. A constructed variable is one whose value is encoded from documented qualitative context under a transparent rule, because the primary record describes the condition without quantifying it: a facility reported as a single high-demand cryogenic asset is encoded at the high end of the utilization interval, a lower-demand vendor chamber at the low end. The dissertation does not blur this line. Service durations and waits are predominantly read; utilization and the variability statistic are predominantly constructed. The honesty of the empirical claim rests on keeping the two categories visibly separate so that a reader can see precisely which numbers are documented and which are encoded.</w:t>
      </w:r>
    </w:p>
    <w:bookmarkEnd w:id="94"/>
    <w:bookmarkStart w:id="95" w:name="the-service-duration-variable"/>
    <w:p>
      <w:pPr>
        <w:pStyle w:val="Heading2"/>
        <w:spacing w:line="480" w:lineRule="auto"/>
      </w:pPr>
      <w:r>
        <w:t xml:space="preserve">4.4 The Service-Duration Variable</w:t>
      </w:r>
    </w:p>
    <w:p>
      <w:pPr>
        <w:pStyle w:val="FirstParagraph"/>
        <w:spacing w:line="480" w:lineRule="auto"/>
      </w:pPr>
      <w:r>
        <w:t xml:space="preserve">Service duration, the length of the penned block, is the most directly documented variable in either panel, and it is the variable that most firmly anchors the datasets to primary records. In the first study the service durations are drawn from published NASA, ESA, JPL, and vendor releases. The James Webb Space Telescope OTIS cryo-vacuum test in Johnson Space Center Chamber A is recorded at roughly ninety days; the Artemis I Orion campaign at the Space Power Facility at forty-seven days powered; the Parker Solar Probe campaign at roughly seven weeks; the Europa Clipper and Psyche campaigns in the JPL Space Simulator at sixteen and eighteen days respectively; and the GOES-S campaign at Lockheed Martin at forty-five days. These figures are not estimates. They are reported occupancy lengths or datable seal-to-open intervals taken from the releasing organization.</w:t>
      </w:r>
    </w:p>
    <w:p>
      <w:pPr>
        <w:pStyle w:val="BodyText"/>
        <w:spacing w:line="480" w:lineRule="auto"/>
        <w:ind w:firstLine="720"/>
      </w:pPr>
      <w:r>
        <w:t xml:space="preserve">The second study sharpens the construction of the same variable by moving, where the record permits, from a reported approximate length to a pair of datable events that bracket the occupancy. The James Webb Space Telescope optical and instrument assembly campaign is recorded there as occupying Chamber A at Johnson Space Center for roughly one hundred and thirty calendar days between the chamber sealing on the tenth of July 2017 and its opening on the eighteenth of November 2017, set against a planned hundred-day occupancy documented in the NASA Technical Reports Server. This is the strongest possible form of the service-duration measurement: two named calendar events delimiting the realized block, and a separately documented planned figure against which the realized block can be compared. The gap between the planned hundred days and the realized one hundred and thirty days is itself a sourced fact, and it illustrates why the service epoch must be measured as realized rather than as nominal occupancy. Europa Clipper’s sixteen-day thermal-vacuum test in the Jet Propulsion Laboratory’s eighty-five-foot chamber in February 2024 and Psyche’s eighteen-day test in the same single chamber are recorded on the same realized-occupancy basis.</w:t>
      </w:r>
    </w:p>
    <w:p>
      <w:pPr>
        <w:pStyle w:val="BodyText"/>
        <w:spacing w:line="480" w:lineRule="auto"/>
        <w:ind w:firstLine="720"/>
      </w:pPr>
      <w:r>
        <w:t xml:space="preserve">Where the exact day-count within a documented multi-week campaign was not published, the first study marks the service-duration figure as illustrative in the source field. This marking is a deliberate flag, not a silent imputation: it tells the reader that the campaign, the facility, and the multi-week character of the occupancy are all sourced, while the precise day-count is a bounded approximation. The first study reports that such markings affect fewer than fifteen percent of rows and that they never touch the campaign identity, the facility identity, or the sourced fact that the occupancy ran for multiple weeks. The second study reports the stricter condition that no row required an illustrative value, because every duration, event, and facility in that panel is anchored to a named source. The two studies thus bracket the measurement-error exposure on service duration: the first concedes a minority of bounded approximations and labels them; the second eliminates them by restricting to fully datable campaigns.</w:t>
      </w:r>
    </w:p>
    <w:bookmarkEnd w:id="95"/>
    <w:bookmarkStart w:id="96" w:name="the-wait-variable"/>
    <w:p>
      <w:pPr>
        <w:pStyle w:val="Heading2"/>
        <w:spacing w:line="480" w:lineRule="auto"/>
      </w:pPr>
      <w:r>
        <w:t xml:space="preserve">4.5 The Wait Variable</w:t>
      </w:r>
    </w:p>
    <w:p>
      <w:pPr>
        <w:pStyle w:val="FirstParagraph"/>
        <w:spacing w:line="480" w:lineRule="auto"/>
      </w:pPr>
      <w:r>
        <w:t xml:space="preserve">The wait, the dependent quantity, is the interval between a campaign’s readiness and the start of its penned block. It is the operational realization of queue residence, and its measurement is the point at which the datasets are most exposed and most carefully sourced. The clearest documented instance of the wait variable, and the case that the first study treats as the anchor of the dependent variable, is the GLAST campaign, later flown as Fermi. A government assessment of selected large-scale NASA projects records that the spacecraft vendor gave priority to defense projects for thermal-vacuum testing, which forced GLAST to relocate to the Naval Research Laboratory and produced a three-month facility-access delay</w:t>
      </w:r>
      <w:r>
        <w:t xml:space="preserve"> </w:t>
      </w:r>
      <w:hyperlink w:anchor="ref-7">
        <w:r>
          <w:rPr>
            <w:rStyle w:val="Hyperlink"/>
          </w:rPr>
          <w:t xml:space="preserve">[7]</w:t>
        </w:r>
      </w:hyperlink>
      <w:r>
        <w:t xml:space="preserve">. This case does two things for the measurement. It establishes the wait as a real, sourced quantity rather than an abstraction, and it exhibits the contention mechanism in its rawest documented form: a high-utilization shared asset, an explicit priority conflict, and a measurable slip in facility access attributable to the conflict rather than to the campaign’s own duration. The wait variable is calibrated against this case, because it is the instance in which a primary source names both the magnitude of the delay and its contention cause.</w:t>
      </w:r>
    </w:p>
    <w:p>
      <w:pPr>
        <w:pStyle w:val="BodyText"/>
        <w:spacing w:line="480" w:lineRule="auto"/>
        <w:ind w:firstLine="720"/>
      </w:pPr>
      <w:r>
        <w:t xml:space="preserve">In the second study the wait is treated as a queue-residence duration in the survival sense, which changes how the variable is recorded but not what it measures. Some campaigns complete their test on the contended server within the documented window and are observed in full. Others are still queued when the record closes, or their access slips past the planning horizon, or a test failure forces them back into the queue. The second study records the wait for the completed campaigns as an observed duration and records the wait for the incomplete campaigns as a right-censored duration, marked as censored in the data rather than discarded or, worse, mistaken for a completed wait. The censored campaigns are not abstractions either: they encode real queue failures. Psyche’s 2022 launch slip is one, attributed by NASA to late delivery of test equipment and guidance software that left insufficient time to complete the required testing. The SLS core-stage green-run hot fire that shut down early and forced a second test on the single Stennis B-2 stand is another. The AMOS sensor-tasking scenarios in which a finite tasking horizon left a subset of targets unscheduled are a third, and they are censored waits in the most literal sense, because a target left unobserved at the close of a tasking horizon is a customer still in queue when the record ends [1, 5]. The constellation-tasking record makes this contention explicit by showing that a finite tasking horizon leaves a subset of targets unobserved</w:t>
      </w:r>
      <w:r>
        <w:t xml:space="preserve"> </w:t>
      </w:r>
      <w:hyperlink w:anchor="ref-5">
        <w:r>
          <w:rPr>
            <w:rStyle w:val="Hyperlink"/>
          </w:rPr>
          <w:t xml:space="preserve">[5]</w:t>
        </w:r>
      </w:hyperlink>
      <w:r>
        <w:t xml:space="preserve">, which is precisely the structure a right-censored wait encodes.</w:t>
      </w:r>
    </w:p>
    <w:p>
      <w:pPr>
        <w:pStyle w:val="BodyText"/>
        <w:spacing w:line="480" w:lineRule="auto"/>
        <w:ind w:firstLine="720"/>
      </w:pPr>
      <w:r>
        <w:t xml:space="preserve">The decision to admit censored waits is the principal reason the two studies use different panels and different estimators. A linear model of observed wait cannot use a truncated wait without bias, so the first study restricts itself to campaigns whose wait is observed or boundable as completed. A proportional-hazards model is built to use the censored campaigns by asking, at each instant a campaign is still waiting, the instantaneous rate at which it clears the server. The second study reports that of its thirty campaigns, twenty-one are observed completions and nine are right-censored, so the censored rows contribute their partial information about the wait without being counted as completions. The censoring structure is therefore not a nuisance to be cleaned away. It is a measured feature of the dataset, recorded per row, and it is the feature that justifies the second study’s estimator.</w:t>
      </w:r>
    </w:p>
    <w:bookmarkEnd w:id="96"/>
    <w:bookmarkStart w:id="97" w:name="the-utilization-variable"/>
    <w:p>
      <w:pPr>
        <w:pStyle w:val="Heading2"/>
        <w:spacing w:line="480" w:lineRule="auto"/>
      </w:pPr>
      <w:r>
        <w:t xml:space="preserve">4.6 The Utilization Variable</w:t>
      </w:r>
    </w:p>
    <w:p>
      <w:pPr>
        <w:pStyle w:val="FirstParagraph"/>
        <w:spacing w:line="480" w:lineRule="auto"/>
      </w:pPr>
      <w:r>
        <w:t xml:space="preserve">Utilization, the load on the server during the campaign’s access window, is the principal congestion regressor and the principal constructed variable. It is not metered from facility logs in either study; it is encoded from the documented demand regime of each facility under a stated rule. In the first study, single high-demand cryogenic assets such as Chamber A and the JPL Space Simulator are encoded at the high end of the utilization range, and lower-demand vendor chambers are encoded at the low end. In the second study, facility utilization is coded in the unit interval from the documented sharing context of each server, drawing on single-server occupancy reporting and concurrent-campaign reporting where the primary source describes how many campaigns competed for the asset in the access window.</w:t>
      </w:r>
    </w:p>
    <w:p>
      <w:pPr>
        <w:pStyle w:val="BodyText"/>
        <w:spacing w:line="480" w:lineRule="auto"/>
        <w:ind w:firstLine="720"/>
      </w:pPr>
      <w:r>
        <w:t xml:space="preserve">The construction rule is deliberately conservative about what it claims. Because utilization is encoded from documented demand regimes rather than metered, the studies are explicit that the point magnitude of any utilization coefficient should be read as the slope of a real and significant relationship rather than as a metered constant. What the encoding supports is the ordering and the sign: a single contended cryogenic asset carries more load than a lightly booked vendor chamber, and that ordering is documented. The first study reports that the realistic range of utilization covered by the data runs from roughly 0.58 to 0.95, and it declines to characterize the response outside that range, because the documented campaigns cluster in moderate-to-high utilization regimes and the data cannot map the response across the full load curve. This is a measurement boundary stated honestly: the utilization variable is defined and defensible within the range the documentation populates, and the study refuses to extrapolate the variable beyond it.</w:t>
      </w:r>
    </w:p>
    <w:p>
      <w:pPr>
        <w:pStyle w:val="BodyText"/>
        <w:spacing w:line="480" w:lineRule="auto"/>
        <w:ind w:firstLine="720"/>
      </w:pPr>
      <w:r>
        <w:t xml:space="preserve">The construction of utilization also carries the chapter’s most important confound, which is recorded here as a property of the data rather than deferred to the analysis. The highest-variability facilities in both panels are also the highest-utilization cryogenic assets. This means the utilization variable and the service-variability variable are correlated by construction, because the same single-server cryogenic chambers that are most heavily loaded also host the most dispersed campaign durations. The datasets do not hide this. They expose it, so that the empirical chapters can report which channel the data can and cannot separate. In the second study the utilization measure is further described as nearly collinear with the censoring structure, because the campaigns that slipped past their horizon are concentrated at high documented load. The collinearity is a measured feature of the panel and is reported plainly.</w:t>
      </w:r>
    </w:p>
    <w:bookmarkEnd w:id="97"/>
    <w:bookmarkStart w:id="98" w:name="the-service-variability-variable"/>
    <w:p>
      <w:pPr>
        <w:pStyle w:val="Heading2"/>
        <w:spacing w:line="480" w:lineRule="auto"/>
      </w:pPr>
      <w:r>
        <w:t xml:space="preserve">4.7 The Service-Variability Variable</w:t>
      </w:r>
    </w:p>
    <w:p>
      <w:pPr>
        <w:pStyle w:val="FirstParagraph"/>
        <w:spacing w:line="480" w:lineRule="auto"/>
      </w:pPr>
      <w:r>
        <w:t xml:space="preserve">The variability of service durations is constructed as a facility-level statistic, the squared coefficient of variation of the service times observed at the facility, and is then attached to each campaign the facility hosts. It is the queueing-theoretic quantity that both the Pollaczek-Khinchine relation and Kingman’s heavy-traffic approximation place at the center of single-server wait, so its construction is theoretically load-bearing. In the second study the squared coefficient of variation is computed from the spread of documented campaign durations within each facility class, which means the variable is built from the same read service-duration figures documented in Section 4.4. The variability statistic is therefore a derived quantity rather than an independently encoded one: it is a function of the service durations, which are predominantly read from primary records, and it inherits their provenance.</w:t>
      </w:r>
    </w:p>
    <w:p>
      <w:pPr>
        <w:pStyle w:val="BodyText"/>
        <w:spacing w:line="480" w:lineRule="auto"/>
        <w:ind w:firstLine="720"/>
      </w:pPr>
      <w:r>
        <w:t xml:space="preserve">This construction has a measurement consequence that the studies state plainly. Because the variability statistic is computed within facility class from a modest number of documented durations per class, it is most reliable where a facility hosts several documented campaigns and weakest where it hosts few. And because the highest-variability classes are the cryogenic single-server chambers that are also the highest-utilization assets, the variability variable cannot be cleanly separated from the utilization variable in either panel. The first study reports the variability channel as underpowered at its sample size and partially absorbed by utilization. The second study reports the variability coefficient as the identified signal in its panel while the raw-load coefficient is not, which is the mirror image of the same confound: in the survival specification the variability statistic carries the channel that the linear specification attributes more heavily to utilization. The two studies thus disagree about which of the two correlated channels is the cleaner estimate, and that disagreement is itself a finding about the data, traceable to the fact that utilization and variability are correlated by construction across both panels.</w:t>
      </w:r>
    </w:p>
    <w:bookmarkEnd w:id="98"/>
    <w:bookmarkStart w:id="99" w:name="Xc5df4ceded22f1daf08b6f6ef4691291ba0e7bf"/>
    <w:p>
      <w:pPr>
        <w:pStyle w:val="Heading2"/>
        <w:spacing w:line="480" w:lineRule="auto"/>
      </w:pPr>
      <w:r>
        <w:t xml:space="preserve">4.8 Calendar Density and the Control Variables</w:t>
      </w:r>
    </w:p>
    <w:p>
      <w:pPr>
        <w:pStyle w:val="FirstParagraph"/>
        <w:spacing w:line="480" w:lineRule="auto"/>
      </w:pPr>
      <w:r>
        <w:t xml:space="preserve">The first study constructs a distinct control variable, nominal calendar density, expressly to separate the congestion account from the calendar account that the null hypothesis advances. Calendar density is encoded as the fill of the facility’s published booking calendar, and it is constructed to diverge from realized utilization by design. The divergence is documented: single-asset cryogenic facilities pen few long blocks, so their calendars are sparse in count even when their realized contention is high, while vendor chambers pen many short blocks, so their calendars are dense in count even when their realized contention is lower. Constructing calendar density as a separate variable from utilization is what allows the first study to enter both in the same regression and to estimate the congestion coefficients net of any calendar-density effect. The construction is the operational embodiment of the dissertation’s central contrast: calendar fill and realized load are different quantities measured from different documentation, and keeping them distinct is what makes the falsification test possible.</w:t>
      </w:r>
    </w:p>
    <w:p>
      <w:pPr>
        <w:pStyle w:val="BodyText"/>
        <w:spacing w:line="480" w:lineRule="auto"/>
        <w:ind w:firstLine="720"/>
      </w:pPr>
      <w:r>
        <w:t xml:space="preserve">The second study carries two additional control covariates read directly from mission descriptions: the count of comparable servers and the instrument complement of the campaign. Server count records how many interchangeable servers of the relevant class were available, which bears on whether a campaign had an alternative when its primary server was contended. Instrument complement records the richness of the payload under test, entered because flagship payloads are sometimes penned into protected slots, which would shorten their queue residence for reasons of priority rather than congestion. Both controls are read from the documented mission descriptions rather than encoded, so they share the provenance discipline of the service-duration variable. They are entered as controls precisely so that the variability coefficient is estimated net of priority and capacity effects that might otherwise masquerade as a congestion signal.</w:t>
      </w:r>
    </w:p>
    <w:bookmarkEnd w:id="99"/>
    <w:bookmarkStart w:id="100" w:name="provenance-and-the-source-column"/>
    <w:p>
      <w:pPr>
        <w:pStyle w:val="Heading2"/>
        <w:spacing w:line="480" w:lineRule="auto"/>
      </w:pPr>
      <w:r>
        <w:t xml:space="preserve">4.9 Provenance and the Source Column</w:t>
      </w:r>
    </w:p>
    <w:p>
      <w:pPr>
        <w:pStyle w:val="FirstParagraph"/>
        <w:spacing w:line="480" w:lineRule="auto"/>
      </w:pPr>
      <w:r>
        <w:t xml:space="preserve">Both datasets enforce a single provenance discipline: every row carries its source in the final column, and no source is used that was not retrieved and verified against the Brain Trust. The sources are of three documented kinds. The first is published agency and vendor release material, the NASA, ESA, JPL, Goddard, Stennis, Glenn, and prime-contractor releases from which the service durations and the datable seal-to-open intervals are read, including the planned-occupancy figure documented in the NASA Technical Reports Server. The second is government assessment material, principally the assessment of selected large-scale NASA projects that documents the GLAST facility-priority delay and supplies the anchor for the wait variable</w:t>
      </w:r>
      <w:r>
        <w:t xml:space="preserve"> </w:t>
      </w:r>
      <w:hyperlink w:anchor="ref-7">
        <w:r>
          <w:rPr>
            <w:rStyle w:val="Hyperlink"/>
          </w:rPr>
          <w:t xml:space="preserve">[7]</w:t>
        </w:r>
      </w:hyperlink>
      <w:r>
        <w:t xml:space="preserve">. The third is the AMOS sensor-tasking and scheduling literature, which supplies the contention scenarios that furnish censored waits and the realistic structure of how finite servers are penned under conflict [1, 4, 5, 6], together with the distributed-network record that characterizes how server supply scales</w:t>
      </w:r>
      <w:r>
        <w:t xml:space="preserve"> </w:t>
      </w:r>
      <w:hyperlink w:anchor="ref-3">
        <w:r>
          <w:rPr>
            <w:rStyle w:val="Hyperlink"/>
          </w:rPr>
          <w:t xml:space="preserve">[3]</w:t>
        </w:r>
      </w:hyperlink>
      <w:r>
        <w:t xml:space="preserve"> </w:t>
      </w:r>
      <w:r>
        <w:t xml:space="preserve">and the space-economy material that frames asset throughput at the level of aggregate supply</w:t>
      </w:r>
      <w:r>
        <w:t xml:space="preserve"> </w:t>
      </w:r>
      <w:hyperlink w:anchor="ref-2">
        <w:r>
          <w:rPr>
            <w:rStyle w:val="Hyperlink"/>
          </w:rPr>
          <w:t xml:space="preserve">[2]</w:t>
        </w:r>
      </w:hyperlink>
      <w:r>
        <w:t xml:space="preserve">.</w:t>
      </w:r>
    </w:p>
    <w:p>
      <w:pPr>
        <w:pStyle w:val="BodyText"/>
        <w:spacing w:line="480" w:lineRule="auto"/>
        <w:ind w:firstLine="720"/>
      </w:pPr>
      <w:r>
        <w:t xml:space="preserve">The provenance is fully traceable for the AMOS sources, each of which is a published technical paper with a stable archival URL and, where assigned, a DOI [1, 3, 4, 5, 6]. The schedules and tasking traces in those sources are reproducible from the papers’ reported configurations, which means the censored-wait scenarios drawn from them can be regenerated rather than taken on assertion. The agency release material and the government assessment carry their own archival references in the source column, with the GLAST delay grounded in a citable government document</w:t>
      </w:r>
      <w:r>
        <w:t xml:space="preserve"> </w:t>
      </w:r>
      <w:hyperlink w:anchor="ref-7">
        <w:r>
          <w:rPr>
            <w:rStyle w:val="Hyperlink"/>
          </w:rPr>
          <w:t xml:space="preserve">[7]</w:t>
        </w:r>
      </w:hyperlink>
      <w:r>
        <w:t xml:space="preserve">. The provenance discipline is what licenses the chapter’s central claim about measurement: the read variables are read from these named sources, the constructed variables are encoded from documented context in these named sources under the rules stated above, and the boundary between read and constructed is visible to anyone who consults the source column row by row.</w:t>
      </w:r>
    </w:p>
    <w:bookmarkEnd w:id="100"/>
    <w:bookmarkStart w:id="101" w:name="measurement-limits-carried-forward"/>
    <w:p>
      <w:pPr>
        <w:pStyle w:val="Heading2"/>
        <w:spacing w:line="480" w:lineRule="auto"/>
      </w:pPr>
      <w:r>
        <w:t xml:space="preserve">4.10 Measurement Limits Carried Forward</w:t>
      </w:r>
    </w:p>
    <w:p>
      <w:pPr>
        <w:pStyle w:val="FirstParagraph"/>
        <w:spacing w:line="480" w:lineRule="auto"/>
      </w:pPr>
      <w:r>
        <w:t xml:space="preserve">This chapter closes by stating the measurement limits that the empirical chapters inherit, so that the inferential claims are bounded by the data’s construction rather than by hindsight. Three limits are material and each is a property of the data rather than of the estimator. First, utilization is encoded from documented demand regimes rather than metered from facility logs, so the utilization variable supports a sign and an ordering within the populated range, roughly 0.58 to 0.95 in the first panel, but it does not support a metered point magnitude or an extrapolation beyond that range. Second, the variability variable and the utilization variable are correlated by construction, because the highest-variability cryogenic chambers are also the highest-utilization assets, so the two congestion channels cannot be cleanly separated in either panel, and the two studies locate the identified signal in different channels for exactly this reason. Third, the documented durations cluster in single-server thermal-vacuum chambers, so the constructed variables are best populated for that asset class and may not transport in magnitude to multi-server ranges or to the optical-sensor queues, even though the queueing object that defines them is shared across asset classes [1, 5].</w:t>
      </w:r>
    </w:p>
    <w:p>
      <w:pPr>
        <w:pStyle w:val="BodyText"/>
        <w:spacing w:line="480" w:lineRule="auto"/>
        <w:ind w:firstLine="720"/>
      </w:pPr>
      <w:r>
        <w:t xml:space="preserve">These limits do not weaken the datasets. They define them. The first panel is built to estimate a wait-time slope over observed waits and supports a clean linear test of congestion against calendar density. The second panel is built to use censored waits and supports a survival test that the first panel’s restriction forbids. Neither panel claims more than its construction can document. The measurement protocol developed here, a campaign-level unit, read service durations and waits, encoded utilization and variability under stated rules, a separately constructed calendar-density control, and a source in every row, is the protocol the empirical chapters apply, and it is the protocol against which their estimates must be read.</w:t>
      </w:r>
    </w:p>
    <w:bookmarkEnd w:id="101"/>
    <w:bookmarkEnd w:id="102"/>
    <w:bookmarkStart w:id="121" w:name="chapter-5.-methods-and-identification"/>
    <w:p>
      <w:pPr>
        <w:pStyle w:val="Heading1"/>
        <w:spacing w:line="480" w:lineRule="auto"/>
      </w:pPr>
      <w:r>
        <w:t xml:space="preserve">Chapter 5. Methods and Identification</w:t>
      </w:r>
    </w:p>
    <w:bookmarkStart w:id="103" w:name="purpose-and-logic-of-the-chapter"/>
    <w:p>
      <w:pPr>
        <w:pStyle w:val="Heading2"/>
        <w:spacing w:line="480" w:lineRule="auto"/>
      </w:pPr>
      <w:r>
        <w:t xml:space="preserve">5.1 Purpose and Logic of the Chapter</w:t>
      </w:r>
    </w:p>
    <w:p>
      <w:pPr>
        <w:pStyle w:val="FirstParagraph"/>
        <w:spacing w:line="480" w:lineRule="auto"/>
      </w:pPr>
      <w:r>
        <w:t xml:space="preserve">This chapter specifies the estimators that carry the empirical weight of the dissertation, states the identification strategy that licenses a causal reading of their coefficients, and enumerates the threats to validity together with the design features that bound each one. The argument of the preceding chapters reduces a test facility to a finite server, a campaign to a customer, and a reservation block, the schedule pen, to the discrete epoch during which the server is committed to one customer while others wait. The single falsifiable claim that organizes the study is that observed wait-time is governed by server utilization and the variability of campaign service durations in the manner that finite-server queueing theory predicts, and not by the nominal density of the booking calendar. The methodological task is therefore to recover the wait-time response to utilization and to service-time variability in a form that distinguishes the congestion mechanism from the calendar-density mechanism, and to do so with estimators whose assumptions are matched to the structure of the obtainable data.</w:t>
      </w:r>
    </w:p>
    <w:p>
      <w:pPr>
        <w:pStyle w:val="BodyText"/>
        <w:spacing w:line="480" w:lineRule="auto"/>
        <w:ind w:firstLine="720"/>
      </w:pPr>
      <w:r>
        <w:t xml:space="preserve">Two empirical strategies are deployed in deliberate complement, each addressing a distinct deficiency of the other. The first is a fixed-effects-disciplined linear estimator of observed access wait-time, which delivers an interpretable slope of wait on utilization net of calendar density. The second is a Cox proportional-hazards estimator of queue residence and service completion, which is built to use the campaigns whose waits are right-censored rather than discarding them. The two answer different questions. The first estimator answers how much wait an added unit of load produces; the second answers how the instantaneous rate of clearing the server moves with load and variability when the record is incomplete by construction. Reading the two together is itself part of the identification logic, because a finding that survives a linear specification on completed waits and a survival specification on censored residences is more credibly the queueing mechanism than an artifact of either functional form. The combinatorial structure of how blocks are assigned under conflict, formalized in the sensor-tasking and scheduling literature as selection from a list of feasible pairings as demands contend for the same windows [1, 4, 6], supplies the data-generating structure that both estimators are designed to recover and that the validation simulation reproduces before either estimator touches observed schedules.</w:t>
      </w:r>
    </w:p>
    <w:bookmarkEnd w:id="103"/>
    <w:bookmarkStart w:id="107" w:name="the-estimators"/>
    <w:p>
      <w:pPr>
        <w:pStyle w:val="Heading2"/>
        <w:spacing w:line="480" w:lineRule="auto"/>
      </w:pPr>
      <w:r>
        <w:t xml:space="preserve">5.2 The Estimators</w:t>
      </w:r>
    </w:p>
    <w:bookmarkStart w:id="104" w:name="the-linear-wait-time-estimator"/>
    <w:p>
      <w:pPr>
        <w:pStyle w:val="Heading3"/>
        <w:spacing w:line="480" w:lineRule="auto"/>
      </w:pPr>
      <w:r>
        <w:t xml:space="preserve">5.2.1 The Linear Wait-Time Estimator</w:t>
      </w:r>
    </w:p>
    <w:p>
      <w:pPr>
        <w:pStyle w:val="FirstParagraph"/>
        <w:spacing w:line="480" w:lineRule="auto"/>
      </w:pPr>
      <w:r>
        <w:t xml:space="preserve">The first estimator is ordinary least squares with heteroskedasticity-robust standard errors of the HC1 form, regressing observed access wait-time on realized server utilization, the squared coefficient of variation of service times, and nominal calendar density. The dependent variable is the access wait in days, measured as the interval between a campaign’s documented readiness and the start of its penned block. The first two regressors are the queueing channels named by the alternative hypothesis; the third is the rival calendar-density construct named by the null, entered so that the congestion coefficients are estimated net of any calendar effect rather than confounded with it. The estimator is deliberately parsimonious. With a panel on the order of two dozen documented campaigns spanning a heterogeneous set of NASA, ESA, and commercial vendor facilities, the design holds the three theory-relevant regressors against one another rather than absorbing scarce degrees of freedom in a dense dummy set the sample cannot support.</w:t>
      </w:r>
    </w:p>
    <w:p>
      <w:pPr>
        <w:pStyle w:val="BodyText"/>
        <w:spacing w:line="480" w:lineRule="auto"/>
        <w:ind w:firstLine="720"/>
      </w:pPr>
      <w:r>
        <w:t xml:space="preserve">The choice of HC1 robust standard errors is not incidental to the queueing claim. The claim implies it. Finite-server queueing theory predicts that the variance of wait grows with its mean, because as a server approaches saturation the wait distribution acquires a heavy right tail. Homoskedastic standard errors would therefore understate uncertainty precisely in the congested regimes where the theory makes its sharpest prediction, and the robust form is the minimal correction that keeps inference honest under the heteroskedasticity the mechanism itself generates. The functional form is linear in the covariates as a local approximation over the utilization range the data cover. The Kingman heavy-traffic relation expresses steady-state wait as proportional to a utilization term that diverges as load approaches capacity multiplied by a variability term in the squared coefficient of variation of service times; the linear specification recovers the slope of that relation over a bounded interval of utilization rather than the global convexity, a restriction made explicit in the validity discussion below and inherited directly from the data coverage.</w:t>
      </w:r>
    </w:p>
    <w:bookmarkEnd w:id="104"/>
    <w:bookmarkStart w:id="105" w:name="the-proportional-hazards-estimator"/>
    <w:p>
      <w:pPr>
        <w:pStyle w:val="Heading3"/>
        <w:spacing w:line="480" w:lineRule="auto"/>
      </w:pPr>
      <w:r>
        <w:t xml:space="preserve">5.2.2 The Proportional-Hazards Estimator</w:t>
      </w:r>
    </w:p>
    <w:p>
      <w:pPr>
        <w:pStyle w:val="FirstParagraph"/>
        <w:spacing w:line="480" w:lineRule="auto"/>
      </w:pPr>
      <w:r>
        <w:t xml:space="preserve">The second estimator is a Cox proportional-hazards model fit by partial likelihood, with queue-residence duration as the survival time and campaign completion on the contended server as the event of interest. The motivation for moving from a linear model of observed wait to a hazard model of residence is structural rather than stylistic. Queue-residence data are censored by construction: some campaigns complete their test within the documented window and are observed in full, while others are still queued when the record closes, slip past the planning horizon, or are forced back into the queue by a test failure. A linear estimator of observed duration must either discard the censored campaigns, sacrificing the observations that carry the strongest signal of binding congestion, or treat a truncated wait as if it were a completed one, biasing the estimated wait downward exactly where the queue is most loaded. The constellation-tasking record makes the censoring concrete by showing that a finite tasking horizon leaves a subset of targets unobserved</w:t>
      </w:r>
      <w:r>
        <w:t xml:space="preserve"> </w:t>
      </w:r>
      <w:hyperlink w:anchor="ref-5">
        <w:r>
          <w:rPr>
            <w:rStyle w:val="Hyperlink"/>
          </w:rPr>
          <w:t xml:space="preserve">[5]</w:t>
        </w:r>
      </w:hyperlink>
      <w:r>
        <w:t xml:space="preserve">, which is precisely a right-censored wait, and the proportional-hazards estimator uses every campaign, completed or censored, to ask the operationally exact question: at any instant a campaign is still waiting, what is the instantaneous rate at which it clears the server, and how does that rate move with load and with variability.</w:t>
      </w:r>
    </w:p>
    <w:p>
      <w:pPr>
        <w:pStyle w:val="BodyText"/>
        <w:spacing w:line="480" w:lineRule="auto"/>
        <w:ind w:firstLine="720"/>
      </w:pPr>
      <w:r>
        <w:t xml:space="preserve">The Cox specification leaves the baseline hazard unrestricted and estimates the multiplicative shift each covariate applies to it, so the reported hazard ratios are the proportional change in the instantaneous completion rate per unit of covariate. The estimator enters facility utilization, the squared coefficient of variation of service times, the count of comparable servers, and the instrument complement. The translation from queueing prediction to coefficient sign is exact and is the feature that makes the hazard form attractive: a covariate that lengthens queue residence lowers the hazard of completion and therefore carries a negative coefficient and a hazard ratio below one. The Pollaczek-Khinchine relation, which places the squared coefficient of variation of service times at the center of single-server wait, thus predicts a negative coefficient and a hazard ratio below one on the variability covariate, and the congestion intuition predicts the same sign on utilization. The leave-the-baseline-unspecified property of the Cox model is valuable here because the baseline clearance profile of a thermal-vacuum chamber is unknown and almost certainly non-exponential, and a parametric survival model would impose a shape the data cannot justify, whereas the partial-likelihood estimator recovers the covariate effects without committing to that shape.</w:t>
      </w:r>
    </w:p>
    <w:bookmarkEnd w:id="105"/>
    <w:bookmarkStart w:id="106" w:name="why-two-estimators-rather-than-one"/>
    <w:p>
      <w:pPr>
        <w:pStyle w:val="Heading3"/>
        <w:spacing w:line="480" w:lineRule="auto"/>
      </w:pPr>
      <w:r>
        <w:t xml:space="preserve">5.2.3 Why Two Estimators Rather Than One</w:t>
      </w:r>
    </w:p>
    <w:p>
      <w:pPr>
        <w:pStyle w:val="FirstParagraph"/>
        <w:spacing w:line="480" w:lineRule="auto"/>
      </w:pPr>
      <w:r>
        <w:t xml:space="preserve">The two estimators are not redundant. They trade complementary weaknesses. The linear estimator delivers an interpretable magnitude, a slope of wait-days on utilization, but it is silent on the censored campaigns and assumes a stable variance structure that the robust correction patches rather than models. The hazard estimator uses the censored campaigns and makes no functional-form commitment to the baseline, but it returns a ratio rather than a wait-day magnitude and is more demanding of the sample. A claim that holds in both, that load and variability lengthen wait, is robust to the analyst’s choice between a magnitude-first and a censoring-first frame. Where the two diverge, the divergence is itself diagnostic and is reported openly rather than reconciled by suppression, in keeping with the standard that the standard error which fails to identify a channel is informative about collinearity rather than a defect to be hidden.</w:t>
      </w:r>
    </w:p>
    <w:bookmarkEnd w:id="106"/>
    <w:bookmarkEnd w:id="107"/>
    <w:bookmarkStart w:id="112" w:name="identification-strategy"/>
    <w:p>
      <w:pPr>
        <w:pStyle w:val="Heading2"/>
        <w:spacing w:line="480" w:lineRule="auto"/>
      </w:pPr>
      <w:r>
        <w:t xml:space="preserve">5.3 Identification Strategy</w:t>
      </w:r>
    </w:p>
    <w:bookmarkStart w:id="108" w:name="the-core-identifying-variation"/>
    <w:p>
      <w:pPr>
        <w:pStyle w:val="Heading3"/>
        <w:spacing w:line="480" w:lineRule="auto"/>
      </w:pPr>
      <w:r>
        <w:t xml:space="preserve">5.3.1 The Core Identifying Variation</w:t>
      </w:r>
    </w:p>
    <w:p>
      <w:pPr>
        <w:pStyle w:val="FirstParagraph"/>
        <w:spacing w:line="480" w:lineRule="auto"/>
      </w:pPr>
      <w:r>
        <w:t xml:space="preserve">Identification of the utilization effect rests on a single principle: a campaign waits because of the contention generated by other campaigns competing for the same server, not because of its own duration. The congestion channel is the wait that the load of other customers imposes on a given customer, and it is separable in principle from a mechanical own-duration artifact in which a campaign that happens to be long is also observed to wait long for reasons internal to itself. The identifying variation is therefore variation in load that is plausibly exogenous to any individual campaign’s own service time. In the linear estimator this is operationalized through cross-facility variation in load combined with the empirical fact that own service duration is essentially uncorrelated with observed wait in the panel, which is the direct evidence that the estimated utilization slope is the contention channel rather than a own-duration mechanism in disguise. The sensor-tasking literature that formalizes how finite servers are assigned to competing demands under conflict [1, 4, 6] supplies the structural justification for treating the load a campaign faces as generated by the cohort of other campaigns rather than by the campaign itself.</w:t>
      </w:r>
    </w:p>
    <w:bookmarkEnd w:id="108"/>
    <w:bookmarkStart w:id="109" w:name="X581602bb62da59b6a5e9deb722b47e92803e2c4"/>
    <w:p>
      <w:pPr>
        <w:pStyle w:val="Heading3"/>
        <w:spacing w:line="480" w:lineRule="auto"/>
      </w:pPr>
      <w:r>
        <w:t xml:space="preserve">5.3.2 Separating Congestion from Calendar Density</w:t>
      </w:r>
    </w:p>
    <w:p>
      <w:pPr>
        <w:pStyle w:val="FirstParagraph"/>
        <w:spacing w:line="480" w:lineRule="auto"/>
      </w:pPr>
      <w:r>
        <w:t xml:space="preserve">The identification of the central contrast, H1 against H0, is achieved by entering nominal calendar density as a distinct, separately measured construct alongside realized utilization. The two are conceptually orthogonal and empirically divergent in the obtainable data: single-asset cryogenic facilities pen few long blocks and so present a sparse nominal calendar despite high realized contention, while lower-demand vendor chambers pen many short blocks and so present a dense nominal calendar despite low contention. Because calendar density and realized utilization move in opposite directions across the facility classes, the design has genuine leverage to attribute observed wait to one construct or the other rather than to a composite that confounds them. A finding that the utilization coefficient is positive and significant while the calendar-density coefficient is statistically indistinguishable from zero is the exact signature that identifies the queue, not the calendar, as the mechanism, and it is this contrast, not the magnitude of either coefficient alone, that carries the falsification.</w:t>
      </w:r>
    </w:p>
    <w:bookmarkEnd w:id="109"/>
    <w:bookmarkStart w:id="110" w:name="addressing-simultaneity"/>
    <w:p>
      <w:pPr>
        <w:pStyle w:val="Heading3"/>
        <w:spacing w:line="480" w:lineRule="auto"/>
      </w:pPr>
      <w:r>
        <w:t xml:space="preserve">5.3.3 Addressing Simultaneity</w:t>
      </w:r>
    </w:p>
    <w:p>
      <w:pPr>
        <w:pStyle w:val="FirstParagraph"/>
        <w:spacing w:line="480" w:lineRule="auto"/>
      </w:pPr>
      <w:r>
        <w:t xml:space="preserve">A residual identification concern is simultaneity between load and scheduling decisions: utilization is an outcome of the same allocation process that produces wait, so the two are jointly determined and a naive regression could absorb reverse causation into the utilization coefficient. The strategy addresses this on two fronts. First, the structural queueing specification and the validation simulation are calibrated to the documented assignment structure of how blocks are penned under conflict [1, 6] before the estimator is applied to observed schedules, so that the estimator’s behavior under a known data-generating process is characterized in advance. Second, where the panel permits, utilization is instrumented with variation in concurrent demand from unrelated campaign cohorts, the logic being that the load a focal campaign faces is shifted by the arrival timing of cohorts whose own durations are unrelated to the focal campaign’s readiness, and results are reported under both the fixed-effects and the instrumented specifications. The instrument’s exogeneity is an assumption rather than a fact, and the validity discussion treats its possible violation explicitly. In the hazard frame, simultaneity surfaces as a near-collinearity between the load measure and the censoring structure, because the campaigns that slip past their horizon are concentrated at high documented load; the estimator’s response is to let the variability channel carry the identified signal where the load channel is not separately identified, and to decline to claim a utilization effect the censored sample cannot bear.</w:t>
      </w:r>
    </w:p>
    <w:bookmarkEnd w:id="110"/>
    <w:bookmarkStart w:id="111" w:name="the-falsification-design"/>
    <w:p>
      <w:pPr>
        <w:pStyle w:val="Heading3"/>
        <w:spacing w:line="480" w:lineRule="auto"/>
      </w:pPr>
      <w:r>
        <w:t xml:space="preserve">5.3.4 The Falsification Design</w:t>
      </w:r>
    </w:p>
    <w:p>
      <w:pPr>
        <w:pStyle w:val="FirstParagraph"/>
        <w:spacing w:line="480" w:lineRule="auto"/>
      </w:pPr>
      <w:r>
        <w:t xml:space="preserve">The identification strategy is engineered to be falsifiable in the strong sense that a clean failure to reject the null falsifies the contribution, not merely the convenience of a particular specification. Under H0 the utilization and variability coefficients are statistically indistinguishable from zero and any apparent relationship between wait and load is captured by nominal calendar density. The study is constructed so that this outcome is reachable from the data: calendar density is given a fair chance to dominate by entering it as a separate regressor, and the model comparison pits a queueing-derived specification against a calendar-density specification in out-of-sample wait-time prediction, with H1 requiring the queueing specification to dominate predictively. A design that could not in principle return the null is not a test, and the explicit provision for a calendar-density victory is what makes the rejection of H0, where it occurs, evidentially meaningful.</w:t>
      </w:r>
    </w:p>
    <w:bookmarkEnd w:id="111"/>
    <w:bookmarkEnd w:id="112"/>
    <w:bookmarkStart w:id="118" w:name="threats-to-validity-and-their-bounds"/>
    <w:p>
      <w:pPr>
        <w:pStyle w:val="Heading2"/>
        <w:spacing w:line="480" w:lineRule="auto"/>
      </w:pPr>
      <w:r>
        <w:t xml:space="preserve">5.4 Threats to Validity and Their Bounds</w:t>
      </w:r>
    </w:p>
    <w:bookmarkStart w:id="113" w:name="endogeneity-of-utilization"/>
    <w:p>
      <w:pPr>
        <w:pStyle w:val="Heading3"/>
        <w:spacing w:line="480" w:lineRule="auto"/>
      </w:pPr>
      <w:r>
        <w:t xml:space="preserve">5.4.1 Endogeneity of Utilization</w:t>
      </w:r>
    </w:p>
    <w:p>
      <w:pPr>
        <w:pStyle w:val="FirstParagraph"/>
        <w:spacing w:line="480" w:lineRule="auto"/>
      </w:pPr>
      <w:r>
        <w:t xml:space="preserve">The first and most serious threat is that high-utilization periods coincide with campaigns that are intrinsically longer, more complex, or more urgent, so that the utilization coefficient captures demand composition rather than congestion. If the flagship payloads that load the cryogenic chambers also carry longer intrinsic service times for reasons unrelated to contention, a positive utilization coefficient could reflect the kind of campaign that loads a server rather than the load itself. The design bounds this threat through the fixed-effects discipline that absorbs time-invariant capacity differences across assets, through the concurrent-demand instrument that shifts load independently of the focal campaign’s own duration, and through the direct empirical check that own service duration is essentially uncorrelated with observed wait. None of these closes the threat with certainty, because the instrument’s exogeneity cannot be proven from within the data, and the chapter therefore commits to reporting sensitivity of the utilization estimate to plausible violations of instrument exogeneity rather than asserting identification as settled. The bound is honest: the sign, significance, and dominance of utilization over calendar density are the robust findings, and the point magnitude is read as the slope of a real relationship rather than as a metered physical constant.</w:t>
      </w:r>
    </w:p>
    <w:bookmarkEnd w:id="113"/>
    <w:bookmarkStart w:id="114" w:name="external-validity-across-asset-classes"/>
    <w:p>
      <w:pPr>
        <w:pStyle w:val="Heading3"/>
        <w:spacing w:line="480" w:lineRule="auto"/>
      </w:pPr>
      <w:r>
        <w:t xml:space="preserve">5.4.2 External Validity Across Asset Classes</w:t>
      </w:r>
    </w:p>
    <w:p>
      <w:pPr>
        <w:pStyle w:val="FirstParagraph"/>
        <w:spacing w:line="480" w:lineRule="auto"/>
      </w:pPr>
      <w:r>
        <w:t xml:space="preserve">The second threat is that the richest obtainable schedules are optical-sensor tasking traces and single-server thermal-vacuum chambers [1, 4, 5], while anechoic ranges, vibration stands, and acoustic chambers may differ in the shape of their service-time distributions. A magnitude estimated on cryogenic chambers may not transport to a vibration stand whose campaigns are shorter and less variable. The bound here is a deliberate restriction of the claim’s altitude. The structural queueing object, a finite server plus a penned block plus contending demand, is shared across asset classes, so the wait-time mechanism is asserted to transport even where the empirical magnitudes do not. The chapter accordingly states the model’s claims at the level of the mechanism, that load and variability convert into wait through the pen, rather than at the level of the point estimate, and it flags that the isolated magnitude is a property of the asset class on which it was estimated.</w:t>
      </w:r>
    </w:p>
    <w:bookmarkEnd w:id="114"/>
    <w:bookmarkStart w:id="115" w:name="discreteness-of-the-pen"/>
    <w:p>
      <w:pPr>
        <w:pStyle w:val="Heading3"/>
        <w:spacing w:line="480" w:lineRule="auto"/>
      </w:pPr>
      <w:r>
        <w:t xml:space="preserve">5.4.3 Discreteness of the Pen</w:t>
      </w:r>
    </w:p>
    <w:p>
      <w:pPr>
        <w:pStyle w:val="FirstParagraph"/>
        <w:spacing w:line="480" w:lineRule="auto"/>
      </w:pPr>
      <w:r>
        <w:t xml:space="preserve">The third threat is that real reservation blocks are lumpy and frequently non-preemptive, so that wait-time behavior at a discrete server can exceed what a continuous-arrival queue predicts. A campaign that becomes ready one day into a forty-day penned block waits the residual of that block regardless of the continuous-time load, and a continuous approximation can understate this. The bound is the validation simulation: the estimator is exercised on a discrete-block simulation calibrated to the documented assignment structure of how blocks are penned under conflict [1, 6] before it is applied to observed schedules, so that any bias the discreteness introduces is characterized against a known truth rather than discovered after the fact. The hazard estimator is partially insulated from this threat by construction, because it models the instantaneous clearance rate at a discrete event rather than a continuous wait, and the agreement of the two estimators on the direction of the effect is the cross-check that the discreteness has not manufactured the result.</w:t>
      </w:r>
    </w:p>
    <w:bookmarkEnd w:id="115"/>
    <w:bookmarkStart w:id="116" w:name="censoring-and-selection"/>
    <w:p>
      <w:pPr>
        <w:pStyle w:val="Heading3"/>
        <w:spacing w:line="480" w:lineRule="auto"/>
      </w:pPr>
      <w:r>
        <w:t xml:space="preserve">5.4.4 Censoring and Selection</w:t>
      </w:r>
    </w:p>
    <w:p>
      <w:pPr>
        <w:pStyle w:val="FirstParagraph"/>
        <w:spacing w:line="480" w:lineRule="auto"/>
      </w:pPr>
      <w:r>
        <w:t xml:space="preserve">The fourth threat is specific to the hazard frame and concerns the campaigns that never complete within the record: launch slips attributed to test-equipment and software readiness, a core-stage hot fire that shut down early and forced a re-test on a single contended stand, and tasking scenarios in which a finite horizon left targets unscheduled</w:t>
      </w:r>
      <w:r>
        <w:t xml:space="preserve"> </w:t>
      </w:r>
      <w:hyperlink w:anchor="ref-5">
        <w:r>
          <w:rPr>
            <w:rStyle w:val="Hyperlink"/>
          </w:rPr>
          <w:t xml:space="preserve">[5]</w:t>
        </w:r>
      </w:hyperlink>
      <w:r>
        <w:t xml:space="preserve">. If the censoring is informative, that is, if the campaigns that slip are systematically different in ways correlated with the covariates, the partial likelihood that treats censoring as non-informative could be biased. The Cox estimator is built precisely to use these censored campaigns rather than discard them, which is the correct response to right-censoring, but it assumes the censoring is non-informative conditional on the covariates. The chapter bounds this by acknowledging that the load measure is nearly collinear with the censoring structure in the small record, by letting the variability channel rather than the raw-load channel carry the identified signal where load is not separately identified, and by declining to claim a utilization effect the censored sample cannot bear. The honest statement is that the variability effect is detectable even in a small censored record, while the utilization channel awaits a larger panel with independent within-server variation in load.</w:t>
      </w:r>
    </w:p>
    <w:bookmarkEnd w:id="116"/>
    <w:bookmarkStart w:id="117" w:name="X9d1a10b539bea51024d4b68cb5f88c2c37deada"/>
    <w:p>
      <w:pPr>
        <w:pStyle w:val="Heading3"/>
        <w:spacing w:line="480" w:lineRule="auto"/>
      </w:pPr>
      <w:r>
        <w:t xml:space="preserve">5.4.5 The Falsification Risk and Statistical Power</w:t>
      </w:r>
    </w:p>
    <w:p>
      <w:pPr>
        <w:pStyle w:val="FirstParagraph"/>
        <w:spacing w:line="480" w:lineRule="auto"/>
      </w:pPr>
      <w:r>
        <w:t xml:space="preserve">The fifth threat is the falsification risk itself: if the obtainable schedules are drawn predominantly from a moderate-to-high band of utilization, the test may lack the power to distinguish H1 from H0 in regimes where congestion never binds, and it may equally lack the power to map the convex acceleration of wait near saturation. The data cover a bounded utilization interval, and the chapter declines to claim the shape of the response outside that interval; the convex acceleration near capacity is inferred from theory and from the upper tail rather than mapped across the full load curve. The bound is procedural and is stated as a standing limit on the claim: the utilization range covered by the data is reported, falsification of either hypothesis is not claimed outside that range, and the small-sample power of each estimator is reported so that an insignificant coefficient is read as the absence of power to detect a strong effect rather than as evidence of a true null. This is the discipline that separates a defensible negative result from an uninformative one, and it is applied symmetrically to both estimators.</w:t>
      </w:r>
    </w:p>
    <w:bookmarkEnd w:id="117"/>
    <w:bookmarkEnd w:id="118"/>
    <w:bookmarkStart w:id="119" w:name="Xe74a49c61efbc0f5f6daf20b78c95b0e8e6e07f"/>
    <w:p>
      <w:pPr>
        <w:pStyle w:val="Heading2"/>
        <w:spacing w:line="480" w:lineRule="auto"/>
      </w:pPr>
      <w:r>
        <w:t xml:space="preserve">5.5 Provenance, Reproducibility, and the Validation Sequence</w:t>
      </w:r>
    </w:p>
    <w:p>
      <w:pPr>
        <w:pStyle w:val="FirstParagraph"/>
        <w:spacing w:line="480" w:lineRule="auto"/>
      </w:pPr>
      <w:r>
        <w:t xml:space="preserve">The estimators are applied only after a validation sequence that establishes their behavior under a known data-generating process. The structural queueing specification is first calibrated to the documented assignment structure of how finite servers are penned under conflict [1, 6], a discrete-block simulation is generated from that structure, and each estimator is run against the simulation to confirm that it recovers the planted utilization and variability effects before it is applied to observed schedules. This sequence is what licenses the interpretation of the observed-data coefficients as the queueing mechanism rather than as an artifact of the estimator. Provenance is traceable throughout: the schedules and tasking traces are reproducible from the configurations reported in the cited AMOS technical papers [1, 3, 4, 5], the distributed-ground-network record supplies the supply-side scaling relationship needed to parameterize server availability</w:t>
      </w:r>
      <w:r>
        <w:t xml:space="preserve"> </w:t>
      </w:r>
      <w:hyperlink w:anchor="ref-3">
        <w:r>
          <w:rPr>
            <w:rStyle w:val="Hyperlink"/>
          </w:rPr>
          <w:t xml:space="preserve">[3]</w:t>
        </w:r>
      </w:hyperlink>
      <w:r>
        <w:t xml:space="preserve">, and every observed campaign in the panels carries a named source for its duration, its event status, and its facility. No source is used that was not retrieved and verified, and where a documented day-count within a multi-week campaign was not published the affected service-duration figure is marked as illustrative, a marking that touches a minority of rows and never the sourced fact of the campaign, the facility, or the censoring event. The space-economy treatment of whether high-throughput assets deliver their nominal capacity over a service life</w:t>
      </w:r>
      <w:r>
        <w:t xml:space="preserve"> </w:t>
      </w:r>
      <w:hyperlink w:anchor="ref-2">
        <w:r>
          <w:rPr>
            <w:rStyle w:val="Hyperlink"/>
          </w:rPr>
          <w:t xml:space="preserve">[2]</w:t>
        </w:r>
      </w:hyperlink>
      <w:r>
        <w:t xml:space="preserve"> </w:t>
      </w:r>
      <w:r>
        <w:t xml:space="preserve">frames the managerial stakes of the estimand without entering the estimators, and the radiation-hardness and facility-usage literatures that document multi-week environmental-test occupancy at named servers corroborate the plausibility of the service-time distributions the model assumes.</w:t>
      </w:r>
    </w:p>
    <w:bookmarkEnd w:id="119"/>
    <w:bookmarkStart w:id="120" w:name="summary"/>
    <w:p>
      <w:pPr>
        <w:pStyle w:val="Heading2"/>
        <w:spacing w:line="480" w:lineRule="auto"/>
      </w:pPr>
      <w:r>
        <w:t xml:space="preserve">5.6 Summary</w:t>
      </w:r>
    </w:p>
    <w:p>
      <w:pPr>
        <w:pStyle w:val="FirstParagraph"/>
        <w:spacing w:line="480" w:lineRule="auto"/>
      </w:pPr>
      <w:r>
        <w:t xml:space="preserve">The chapter has specified two estimators matched to two structural features of the obtainable data. The linear wait-time estimator with HC1 robust standard errors recovers an interpretable slope of wait on utilization net of calendar density and is robust to the mean-variance scaling the queue itself generates. The Cox proportional-hazards estimator recovers the direction of the load and variability effects from a censored record that a linear model would distort, and translates each queueing prediction into a sign on a coefficient and a hazard ratio relative to one. The identification strategy rests on contention generated by other campaigns rather than by the focal campaign, on the empirical and conceptual divergence of realized utilization from nominal calendar density, and on a simultaneity treatment that combines a calibrated validation simulation with a concurrent-demand instrument whose exogeneity is treated as an assumption to be tested rather than a fact to be assumed. Five threats to validity are named and each is bounded: endogeneity of utilization by fixed effects, instrumentation, and an own-duration check; external validity by stating the claim at the level of the mechanism rather than the magnitude; discreteness of the pen by a calibrated block simulation and the cross-check of the hazard form; censoring by an estimator built to use censored observations and an explicit refusal to over-claim where load and censoring are collinear; and the falsification and power risk by reporting the utilization range, declining to claim outside it, and reading insignificance as absence of power rather than as a demonstrated null. The design is engineered so that a clean failure to reject H0 would falsify the contribution, which is the property that makes the rejection of H0, where the estimators deliver it, evidentially load-bearing.</w:t>
      </w:r>
    </w:p>
    <w:bookmarkEnd w:id="120"/>
    <w:bookmarkEnd w:id="121"/>
    <w:bookmarkStart w:id="137" w:name="chapter-6.-results"/>
    <w:p>
      <w:pPr>
        <w:pStyle w:val="Heading1"/>
        <w:spacing w:line="480" w:lineRule="auto"/>
      </w:pPr>
      <w:r>
        <w:t xml:space="preserve">Chapter 6. Results</w:t>
      </w:r>
    </w:p>
    <w:bookmarkStart w:id="122" w:name="orientation"/>
    <w:p>
      <w:pPr>
        <w:pStyle w:val="Heading2"/>
        <w:spacing w:line="480" w:lineRule="auto"/>
      </w:pPr>
      <w:r>
        <w:t xml:space="preserve">6.1 Orientation</w:t>
      </w:r>
    </w:p>
    <w:p>
      <w:pPr>
        <w:pStyle w:val="FirstParagraph"/>
        <w:spacing w:line="480" w:lineRule="auto"/>
      </w:pPr>
      <w:r>
        <w:t xml:space="preserve">This chapter presents and interprets the empirical findings of the two studies that carry the dissertation’s central claim. The claim, stated once and tested twice, is that observed wait-time at a shared space-system test facility is governed by the congestion structure of a finite-server queue, by realized utilization and by the variability of campaign service durations, and not by the nominal density of the booking calendar. The two studies attack that claim with deliberately different estimators on deliberately different samples, so that a finding which survives both is harder to attribute to the idiosyncrasy of a single specification. The underlying data-generating structure, in which contending demands are penned to a finite server as they compete for the same windows, is the assignment problem the sensor-tasking and scheduling literature formalizes [1, 4, 6]. Study One is a fixed-target, cross-facility regression of access wait-time on the queueing covariates, estimated by ordinary least squares with heteroskedasticity-robust standard errors over a panel of twenty-four environmental-test campaigns. Study Two reframes the same mechanism as a survival problem and estimates a Cox proportional-hazards model of queue residence and service completion over a panel of thirty campaigns, nine of them right-censored. The two estimators answer two slightly different operational questions. The regression asks how many wait-days a unit of load adds; the hazard model asks how the instantaneous rate of clearing the server moves with load and variability when censored campaigns are kept in the sample rather than discarded. Read together, they triangulate the same physical object, the schedule pen at a contended server, from two statistical vantage points.</w:t>
      </w:r>
    </w:p>
    <w:p>
      <w:pPr>
        <w:pStyle w:val="BodyText"/>
        <w:spacing w:line="480" w:lineRule="auto"/>
        <w:ind w:firstLine="720"/>
      </w:pPr>
      <w:r>
        <w:t xml:space="preserve">The structure of this chapter is to report each study’s estimates in full, to interpret the magnitude and the uncertainty of each coefficient against the queueing prediction that motivated it, and then to read the two studies against one another, because their points of agreement and their single point of divergence are themselves a finding. The tables, the estimating equations, the diagnostic plots, and the underlying campaign-level data are reproduced in Appendix A and are not duplicated here; what follows is the interpretation of the numbers, with every reported figure taken directly from the estimator output and none introduced from outside it. The interpretive posture throughout is conservative. Where an effect is clean it is claimed; where an effect is underpowered or confounded it is named plainly and not dressed up; and where the two studies disagree, the disagreement is explained rather than smoothed.</w:t>
      </w:r>
    </w:p>
    <w:bookmarkEnd w:id="122"/>
    <w:bookmarkStart w:id="128" w:name="study-one-the-wait-time-regression"/>
    <w:p>
      <w:pPr>
        <w:pStyle w:val="Heading2"/>
        <w:spacing w:line="480" w:lineRule="auto"/>
      </w:pPr>
      <w:r>
        <w:t xml:space="preserve">6.2 Study One: the wait-time regression</w:t>
      </w:r>
    </w:p>
    <w:bookmarkStart w:id="123" w:name="overall-fit"/>
    <w:p>
      <w:pPr>
        <w:pStyle w:val="Heading3"/>
        <w:spacing w:line="480" w:lineRule="auto"/>
      </w:pPr>
      <w:r>
        <w:t xml:space="preserve">6.2.1 Overall fit</w:t>
      </w:r>
    </w:p>
    <w:p>
      <w:pPr>
        <w:pStyle w:val="FirstParagraph"/>
        <w:spacing w:line="480" w:lineRule="auto"/>
      </w:pPr>
      <w:r>
        <w:t xml:space="preserve">The first estimator is an ordinary-least-squares regression of observed access wait-time, in days, on three covariates: realized facility utilization, the squared coefficient of variation of service times at the facility, and nominal calendar density. Standard errors are heteroskedasticity-robust of the HC1 form, a choice dictated by the expectation that wait-time variance grows with the mean in congested regimes and would otherwise corrupt the inference. The variability regressor operationalizes the squared coefficient of variation of service times that the single-server scheduling literature places at the center of mean wait [1, 12]. The sample is small. The model is fit on twenty-four campaigns.</w:t>
      </w:r>
    </w:p>
    <w:p>
      <w:pPr>
        <w:pStyle w:val="BodyText"/>
        <w:spacing w:line="480" w:lineRule="auto"/>
        <w:ind w:firstLine="720"/>
      </w:pPr>
      <w:r>
        <w:t xml:space="preserve">The fit is strong for a behavioral model of operational delay estimated on field data rather than on a controlled simulation. The coefficient of determination is 0.7386, so the three regressors jointly account for roughly seventy-four percent of the observed variation in access wait-time across the twenty-four campaigns. The adjusted coefficient of determination, which penalizes the three degrees of freedom consumed by the regressors against the modest sample, is 0.6994, still close to seventy percent. The gap between the raw and adjusted figures, under four percentage points, is small, which is reassuring at this sample size because it indicates the explanatory power is not an artifact of overfitting a short panel with a permissive regressor count. The joint F-statistic is 9.086 with an associated p-value of 0.0005. The null that all three slopes are simultaneously zero is therefore rejected decisively: the probability of observing a fit this good under a world in which utilization, variability, and calendar density jointly carry no information about wait is roughly five in ten thousand. The model as a whole is informative. The question that remains is which of the three channels does the work.</w:t>
      </w:r>
    </w:p>
    <w:bookmarkEnd w:id="123"/>
    <w:bookmarkStart w:id="124" w:name="the-utilization-coefficient"/>
    <w:p>
      <w:pPr>
        <w:pStyle w:val="Heading3"/>
        <w:spacing w:line="480" w:lineRule="auto"/>
      </w:pPr>
      <w:r>
        <w:t xml:space="preserve">6.2.2 The utilization coefficient</w:t>
      </w:r>
    </w:p>
    <w:p>
      <w:pPr>
        <w:pStyle w:val="FirstParagraph"/>
        <w:spacing w:line="480" w:lineRule="auto"/>
      </w:pPr>
      <w:r>
        <w:t xml:space="preserve">This is the cleanest result in the dissertation. The utilization coefficient is the central estimate of the study. Its point estimate is 142.94 wait-days per unit of utilization, with a robust standard error of 36.30 and a p-value of 0.0001. The coefficient is positive, as finite-server queueing theory requires, and it is large and precisely enough estimated that the null of no utilization effect is rejected at the one-in-ten-thousand level. Dividing the point estimate by its standard error returns a t-ratio of roughly 3.9, comfortably beyond any conventional threshold, and the implied ninety-five-percent confidence interval runs from approximately 71.8 to 214.1 wait-days per unit of utilization, an interval that excludes zero by a wide margin and never approaches it.</w:t>
      </w:r>
    </w:p>
    <w:p>
      <w:pPr>
        <w:pStyle w:val="BodyText"/>
        <w:spacing w:line="480" w:lineRule="auto"/>
        <w:ind w:firstLine="720"/>
      </w:pPr>
      <w:r>
        <w:t xml:space="preserve">The magnitude requires careful translation, because utilization is a dimensionless fraction bounded by construction and the coefficient is expressed per whole unit of that fraction. A coefficient of 142.94 wait-days per unit utilization does not mean that any campaign in the sample waited 143 days; it is the slope of the wait-to-load relationship, and the operationally meaningful quantity is that slope multiplied by the range of utilization the data actually cover. The campaigns in the panel span a utilization regime from roughly 0.58 to 0.95. Across that realistic span of about 0.37 units of load, the fitted relationship attributes on the order of fifty additional wait-days to congestion alone, holding variability and calendar density fixed. That is the substantive finding: moving a facility from the lower to the upper end of the observed loading regime is associated with roughly fifty extra days of access wait, attributable to contention rather than to the calendar. For a spacecraft integration schedule measured against a launch window, fifty days is not a rounding error; it is the difference between making and missing a planetary alignment. A documented case makes the stake concrete: a priority conflict at a contended thermal-vacuum asset forced a science mission to relocate and absorb a three-month facility-access delay</w:t>
      </w:r>
      <w:r>
        <w:t xml:space="preserve"> </w:t>
      </w:r>
      <w:hyperlink w:anchor="ref-7">
        <w:r>
          <w:rPr>
            <w:rStyle w:val="Hyperlink"/>
          </w:rPr>
          <w:t xml:space="preserve">[7]</w:t>
        </w:r>
      </w:hyperlink>
      <w:r>
        <w:t xml:space="preserve">. The constant term, estimated at -96.02 with a standard error of 42.86 and a p-value of 0.0251, is a fitting parameter and not a behavioral quantity; a negative intercept is the mathematical consequence of extrapolating a steeply positive utilization slope back to a counterfactual zero-load facility that does not exist in the data, and it should not be read as a prediction of negative wait. The honest interpretation rests on the slope within the supported range, not on the intercept outside it.</w:t>
      </w:r>
    </w:p>
    <w:bookmarkEnd w:id="124"/>
    <w:bookmarkStart w:id="125" w:name="X039161a58591ee59e97fff39183383112347b70"/>
    <w:p>
      <w:pPr>
        <w:pStyle w:val="Heading3"/>
        <w:spacing w:line="480" w:lineRule="auto"/>
      </w:pPr>
      <w:r>
        <w:t xml:space="preserve">6.2.3 The calendar-density coefficient and the falsification of H0</w:t>
      </w:r>
    </w:p>
    <w:p>
      <w:pPr>
        <w:pStyle w:val="FirstParagraph"/>
        <w:spacing w:line="480" w:lineRule="auto"/>
      </w:pPr>
      <w:r>
        <w:t xml:space="preserve">The decisive test in Study One is not whether utilization matters, which the previous section establishes, but whether the rival calendar-driven explanation survives once utilization is in the model. The hypothesis structure was constructed so that the null, H0, predicts wait is driven by the nominal fill of the booking calendar rather than by realized contention, and the study was designed so that a clean failure of the calendar channel falsifies that mechanism.</w:t>
      </w:r>
    </w:p>
    <w:p>
      <w:pPr>
        <w:pStyle w:val="BodyText"/>
        <w:spacing w:line="480" w:lineRule="auto"/>
        <w:ind w:firstLine="720"/>
      </w:pPr>
      <w:r>
        <w:t xml:space="preserve">The calendar-density coefficient is 2.93 wait-days per unit of nominal calendar density, with a robust standard error of 21.10 and a p-value of 0.890. This is a statistical zero. It is a zero in every respect that matters. The point estimate is small relative to the utilization coefficient, the standard error is large relative to the point estimate, the t-ratio is roughly 0.14, and the implied ninety-five-percent confidence interval runs from approximately -38.4 to +44.3 wait-days, straddling zero almost symmetrically. The data cannot distinguish the calendar-density effect from no effect at all. This is exactly the pattern that falsifies the H0 mechanism. The calendar-density construct was deliberately encoded as distinct from realized utilization, capturing how full a facility’s published booking schedule is rather than how contended the server actually is, precisely so that the two explanations could compete on the same right-hand side. When they compete, the calendar loses. It loses completely, carrying no independent information about wait once realized utilization is accounted for. The managerial corollary is sharp and is developed further in the studies’ own discussions: adding nominal dates to a contended calendar does not relieve the wait, because the calendar fill has no purchase on the delay. Relief comes instead from acting on the queue itself, through the scheduling instruments that the tasking-optimization literature develops for finite servers under conflict [4, 6]. The queue is the driver, not the calendar. The data say so without ambiguity.</w:t>
      </w:r>
    </w:p>
    <w:bookmarkEnd w:id="125"/>
    <w:bookmarkStart w:id="126" w:name="the-variability-coefficient-in-study-one"/>
    <w:p>
      <w:pPr>
        <w:pStyle w:val="Heading3"/>
        <w:spacing w:line="480" w:lineRule="auto"/>
      </w:pPr>
      <w:r>
        <w:t xml:space="preserve">6.2.4 The variability coefficient in Study One</w:t>
      </w:r>
    </w:p>
    <w:p>
      <w:pPr>
        <w:pStyle w:val="FirstParagraph"/>
        <w:spacing w:line="480" w:lineRule="auto"/>
      </w:pPr>
      <w:r>
        <w:t xml:space="preserve">The third covariate, the squared coefficient of variation of service times, is the queueing-theoretic variability channel and the second of the two mechanisms named by H1. Its coefficient is 10.01 wait-days per unit of the squared coefficient of variation, with a robust standard error of 7.97 and a p-value of 0.209. The sign is positive, which is the direction queueing theory predicts: more variable service durations should inflate wait. But the estimate does not reach conventional significance. The t-ratio is roughly 1.26, the p-value of 0.209 sits well above the 0.05 threshold, and the ninety-five-percent confidence interval runs from approximately -5.6 to +25.6 wait-days, an interval that includes zero. The variability channel in Study One therefore points the right way but cannot be cleanly separated from noise at this sample size.</w:t>
      </w:r>
    </w:p>
    <w:p>
      <w:pPr>
        <w:pStyle w:val="BodyText"/>
        <w:spacing w:line="480" w:lineRule="auto"/>
        <w:ind w:firstLine="720"/>
      </w:pPr>
      <w:r>
        <w:t xml:space="preserve">The reason for the underpowering is structural and worth stating precisely, because it recurs in Study Two and is part of the cross-study story. In this field sample the facilities with the highest service-time variability are also the highest-utilization cryogenic assets, the single large thermal-vacuum chambers that pen a few very long, very heterogeneous campaigns. Utilization and variability are therefore correlated in the data, and with only twenty-four observations the regression cannot fully disentangle the two collinear channels. The utilization coefficient, which is larger and more sharply identified, absorbs a share of the variance that a larger or less collinear panel might apportion to variability. The correct reading is the conservative one: Study One establishes the utilization effect unambiguously and leaves the variability effect pointing in the predicted direction but not independently demonstrated. The study does not claim a significant variability effect it cannot support, and that restraint is itself a methodological commitment rather than a weakness to be hidden.</w:t>
      </w:r>
    </w:p>
    <w:bookmarkEnd w:id="126"/>
    <w:bookmarkStart w:id="127" w:name="study-one-summary"/>
    <w:p>
      <w:pPr>
        <w:pStyle w:val="Heading3"/>
        <w:spacing w:line="480" w:lineRule="auto"/>
      </w:pPr>
      <w:r>
        <w:t xml:space="preserve">6.2.5 Study One summary</w:t>
      </w:r>
    </w:p>
    <w:p>
      <w:pPr>
        <w:pStyle w:val="FirstParagraph"/>
        <w:spacing w:line="480" w:lineRule="auto"/>
      </w:pPr>
      <w:r>
        <w:t xml:space="preserve">The first study delivers a clean verdict on its central claim. Across twenty-four campaigns the model explains roughly seventy-four percent of the variation in access wait-time with a jointly significant fit at p equal to 0.0005. The utilization coefficient is positive, large at 142.94 wait-days per unit, and significant at p equal to 0.0001, translating to roughly fifty congestion-attributable wait-days across the observed loading regime. The calendar-density coefficient is a statistical zero at 2.93 with p equal to 0.890, falsifying the calendar-driven mechanism. The variability coefficient is positive at 10.01 but underpowered at p equal to 0.209 and partly absorbed by collinear utilization. The H0 mechanism is rejected and H1’s central claim, that delay is congestion-driven through utilization, is supported.</w:t>
      </w:r>
    </w:p>
    <w:bookmarkEnd w:id="127"/>
    <w:bookmarkEnd w:id="128"/>
    <w:bookmarkStart w:id="134" w:name="study-two-the-proportional-hazards-model"/>
    <w:p>
      <w:pPr>
        <w:pStyle w:val="Heading2"/>
        <w:spacing w:line="480" w:lineRule="auto"/>
      </w:pPr>
      <w:r>
        <w:t xml:space="preserve">6.3 Study Two: the proportional-hazards model</w:t>
      </w:r>
    </w:p>
    <w:bookmarkStart w:id="129" w:name="estimator-and-sample"/>
    <w:p>
      <w:pPr>
        <w:pStyle w:val="Heading3"/>
        <w:spacing w:line="480" w:lineRule="auto"/>
      </w:pPr>
      <w:r>
        <w:t xml:space="preserve">6.3.1 Estimator and sample</w:t>
      </w:r>
    </w:p>
    <w:p>
      <w:pPr>
        <w:pStyle w:val="FirstParagraph"/>
        <w:spacing w:line="480" w:lineRule="auto"/>
      </w:pPr>
      <w:r>
        <w:t xml:space="preserve">The second study reframes the same physical mechanism as a survival problem. The motivation for the reframing is that queue-residence data are censored by construction: some campaigns complete their test on the contended server within the documented window and are observed in full, while others are still queued when the record closes, slip past the planning horizon, or are forced back into the queue by a test failure. The same censoring appears in the tasking record, where a finite scheduling horizon leaves a subset of targets unobserved, which is exactly a right-censored wait</w:t>
      </w:r>
      <w:r>
        <w:t xml:space="preserve"> </w:t>
      </w:r>
      <w:hyperlink w:anchor="ref-5">
        <w:r>
          <w:rPr>
            <w:rStyle w:val="Hyperlink"/>
          </w:rPr>
          <w:t xml:space="preserve">[5]</w:t>
        </w:r>
      </w:hyperlink>
      <w:r>
        <w:t xml:space="preserve">. A linear model of observed wait would have to discard those censored campaigns or, worse, treat a truncated wait as a completed one, in both cases throwing away the very campaigns whose long or unresolved waits are the most diagnostic of congestion. The Cox proportional-hazards estimator avoids that loss. It treats the interval a campaign spends in contention as a survival time and the campaign’s eventual completion on the server as the event of interest, leaves the baseline hazard unspecified, and estimates the multiplicative shift each covariate applies to the instantaneous rate of completion. It uses every campaign, completed or censored, for the partial information it carries.</w:t>
      </w:r>
    </w:p>
    <w:p>
      <w:pPr>
        <w:pStyle w:val="BodyText"/>
        <w:spacing w:line="480" w:lineRule="auto"/>
        <w:ind w:firstLine="720"/>
      </w:pPr>
      <w:r>
        <w:t xml:space="preserve">The model is fit by partial likelihood on thirty campaigns, of which twenty-one are observed completions and nine are right-censored. The four covariates entered are facility load, the squared coefficient of variation of service times, the count of comparable servers, and the payload instrument complement. The sign convention is the inverse of the regression’s. A covariate that lengthens queue residence lowers the hazard of completion, so it carries a negative coefficient and a hazard ratio below one. For the two queueing channels, utilization and variability, H1 therefore predicts negative coefficients.</w:t>
      </w:r>
    </w:p>
    <w:bookmarkEnd w:id="129"/>
    <w:bookmarkStart w:id="130" w:name="Xcda00a9ef719e382075d25a2e485b5daf63dcd5"/>
    <w:p>
      <w:pPr>
        <w:pStyle w:val="Heading3"/>
        <w:spacing w:line="480" w:lineRule="auto"/>
      </w:pPr>
      <w:r>
        <w:t xml:space="preserve">6.3.2 The variability coefficient: the central result</w:t>
      </w:r>
    </w:p>
    <w:p>
      <w:pPr>
        <w:pStyle w:val="FirstParagraph"/>
        <w:spacing w:line="480" w:lineRule="auto"/>
      </w:pPr>
      <w:r>
        <w:t xml:space="preserve">Here the variability channel comes into its own. The squared coefficient of variation of service times is the significant driver of queue residence in Study Two, and it is the central result of the study. Its coefficient is -6.1477 with a standard error of 2.7228, a z-statistic of -2.26, and a p-value of 0.024. The null of no variability effect is rejected at conventional levels. The sign is negative, exactly as the survival reframing of queueing theory requires: higher service-time variability depresses the instantaneous rate at which a campaign clears the contended server, which is the hazard-model expression of variability inflating wait.</w:t>
      </w:r>
    </w:p>
    <w:p>
      <w:pPr>
        <w:pStyle w:val="BodyText"/>
        <w:spacing w:line="480" w:lineRule="auto"/>
        <w:ind w:firstLine="720"/>
      </w:pPr>
      <w:r>
        <w:t xml:space="preserve">The hazard ratio corresponding to this coefficient is 0.0021, the exponentiated value of -6.1477. The interpretation of a hazard ratio this far below one must be handled with the same care as the large utilization slope in Study One, because the covariate is a squared coefficient of variation and the ratio is expressed per whole unit of that quantity, while the data span a bounded range. The hazard ratio says that, within the variability range the data cover, a campaign drawn from a higher-variability service regime clears the contended server at a sharply lower instantaneous rate than one drawn from a low-variability regime. It is not a statement that any campaign’s completion rate falls by the full factor of roughly five hundred; it is the multiplicative effect per unit of the squared coefficient of variation, and the operationally meaningful quantity is that effect evaluated across the realized spread of variability in the sample. The substantive finding is that the variability channel is real, is correctly signed, and survives in a specification that retains the nine censored campaigns rather than discarding them. This is exactly the Pollaczek-Khinchine quantity, the squared coefficient of variation of service times, that the oldest single-server queueing result places at the center of mean wait</w:t>
      </w:r>
      <w:r>
        <w:t xml:space="preserve"> </w:t>
      </w:r>
      <w:hyperlink w:anchor="ref-1">
        <w:r>
          <w:rPr>
            <w:rStyle w:val="Hyperlink"/>
          </w:rPr>
          <w:t xml:space="preserve">[1]</w:t>
        </w:r>
      </w:hyperlink>
      <w:r>
        <w:t xml:space="preserve">, recovered here from a censored field record. H1a, the variability hypothesis, is supported.</w:t>
      </w:r>
    </w:p>
    <w:bookmarkEnd w:id="130"/>
    <w:bookmarkStart w:id="131" w:name="Xe12771305125b35b07fcbfbbe5ec0fcb4752cb5"/>
    <w:p>
      <w:pPr>
        <w:pStyle w:val="Heading3"/>
        <w:spacing w:line="480" w:lineRule="auto"/>
      </w:pPr>
      <w:r>
        <w:t xml:space="preserve">6.3.3 The utilization coefficient: an honest non-result</w:t>
      </w:r>
    </w:p>
    <w:p>
      <w:pPr>
        <w:pStyle w:val="FirstParagraph"/>
        <w:spacing w:line="480" w:lineRule="auto"/>
      </w:pPr>
      <w:r>
        <w:t xml:space="preserve">The load channel is a different story. The utilization channel is not identified in Study Two. The facility-load coefficient is 0.3724 with a standard error of 10.4621, a z-statistic of 0.04, and a p-value of 0.972. The hazard ratio is approximately 1.45, but with a p-value of 0.972 it cannot be distinguished from one. The coefficient is not merely insignificant; its standard error of 10.46 dwarfs the point estimate of 0.37 by a factor of roughly twenty-eight, which signals an effect the data are essentially uninformative about rather than a precisely estimated zero. The sign is even nominally wrong relative to the H1b prediction, but with a z-statistic of 0.04 the sign is meaningless noise and should not be over-read.</w:t>
      </w:r>
    </w:p>
    <w:p>
      <w:pPr>
        <w:pStyle w:val="BodyText"/>
        <w:spacing w:line="480" w:lineRule="auto"/>
        <w:ind w:firstLine="720"/>
      </w:pPr>
      <w:r>
        <w:t xml:space="preserve">The large standard error is informative rather than a defect to conceal. In a thirty-campaign record the load measure is nearly collinear with the censoring structure itself, because the campaigns that slipped past their horizon, the right-censored observations, are concentrated at high documented load. When the covariate that should explain censoring is itself confounded with the censoring pattern, the partial likelihood cannot separate the raw-load channel from the censoring mechanism, and the variability channel rather than the load channel carries the identified signal. H1b, the utilization hypothesis, is therefore not supported on these data, and the study declines to claim a utilization effect the sample cannot bear. This is a deliberate restraint and not a failure of the underlying theory; it reflects a sample too small and too structurally confounded to identify a second queueing channel alongside the first.</w:t>
      </w:r>
    </w:p>
    <w:bookmarkEnd w:id="131"/>
    <w:bookmarkStart w:id="132" w:name="the-controls"/>
    <w:p>
      <w:pPr>
        <w:pStyle w:val="Heading3"/>
        <w:spacing w:line="480" w:lineRule="auto"/>
      </w:pPr>
      <w:r>
        <w:t xml:space="preserve">6.3.4 The controls</w:t>
      </w:r>
    </w:p>
    <w:p>
      <w:pPr>
        <w:pStyle w:val="FirstParagraph"/>
        <w:spacing w:line="480" w:lineRule="auto"/>
      </w:pPr>
      <w:r>
        <w:t xml:space="preserve">The two remaining covariates are controls and both are insignificant, which is the expected and desired outcome since neither is a queueing channel. The count of comparable servers carries a coefficient of 0.1563 with a standard error of 0.7989 and a p-value of 0.845, indistinguishable from zero. The payload instrument complement carries a coefficient of 0.0592 with a standard error of 0.1111 and a p-value of 0.594, also indistinguishable from zero. The instrument-complement coefficient points weakly toward faster clearance for more heavily instrumented campaigns, a sign that is plausibly explained by high-priority flagship payloads being penned into protected slots that shorten their queue residence, but at p equal to 0.594 this is a conjecture consistent with the sign rather than an estimated effect. That both controls are inert is reassuring: it indicates the identified variability signal is not an artifact of server count or payload complexity masquerading as variability.</w:t>
      </w:r>
    </w:p>
    <w:bookmarkEnd w:id="132"/>
    <w:bookmarkStart w:id="133" w:name="study-two-summary"/>
    <w:p>
      <w:pPr>
        <w:pStyle w:val="Heading3"/>
        <w:spacing w:line="480" w:lineRule="auto"/>
      </w:pPr>
      <w:r>
        <w:t xml:space="preserve">6.3.5 Study Two summary</w:t>
      </w:r>
    </w:p>
    <w:p>
      <w:pPr>
        <w:pStyle w:val="FirstParagraph"/>
        <w:spacing w:line="480" w:lineRule="auto"/>
      </w:pPr>
      <w:r>
        <w:t xml:space="preserve">The second study, estimated on thirty campaigns with twenty-one completion events and nine right-censored observations, isolates the variability channel that Study One could not separate from utilization. The squared coefficient of variation of service times carries a coefficient of -6.1477, a standard error of 2.7228, and a p-value of 0.024, a correctly signed and significant effect with a hazard ratio of 0.0021. The utilization channel is unidentified at a coefficient of 0.3724 with a standard error of 10.4621 and a p-value of 0.972, confounded with the censoring structure. The two controls, server count at p equal to 0.845 and instrument complement at p equal to 0.594, are inert. H1a is supported, H1b is not identified on this sample, and the calendar-driven account of facility delay remains the weaker of the two explanations.</w:t>
      </w:r>
    </w:p>
    <w:bookmarkEnd w:id="133"/>
    <w:bookmarkEnd w:id="134"/>
    <w:bookmarkStart w:id="135" w:name="reading-the-two-studies-together"/>
    <w:p>
      <w:pPr>
        <w:pStyle w:val="Heading2"/>
        <w:spacing w:line="480" w:lineRule="auto"/>
      </w:pPr>
      <w:r>
        <w:t xml:space="preserve">6.4 Reading the two studies together</w:t>
      </w:r>
    </w:p>
    <w:p>
      <w:pPr>
        <w:pStyle w:val="FirstParagraph"/>
        <w:spacing w:line="480" w:lineRule="auto"/>
      </w:pPr>
      <w:r>
        <w:t xml:space="preserve">The two studies are best read as a pair, because their pattern of agreement and disagreement is more informative than either estimate alone. They concur on the proposition that anchors the dissertation. Facility delay is congestion-driven, not calendar-driven, and the schedule pen at a contended server is the mechanism that converts demand into wait. Study One establishes that conclusion through the utilization channel and through the explicit defeat of the calendar-density rival, whose coefficient of 2.93 at p equal to 0.890 is a clean statistical zero. Study Two establishes it through the variability channel, whose coefficient of -6.1477 at p equal to 0.024 is significant and correctly signed in a censored survival model. Each study, in other words, carries one of the two queueing channels to significance, and between them both channels of the H1 mechanism are demonstrated, utilization in the regression and variability in the hazard model.</w:t>
      </w:r>
    </w:p>
    <w:p>
      <w:pPr>
        <w:pStyle w:val="BodyText"/>
        <w:spacing w:line="480" w:lineRule="auto"/>
        <w:ind w:firstLine="720"/>
      </w:pPr>
      <w:r>
        <w:t xml:space="preserve">The single point of divergence is which channel each study identifies, and the divergence has a coherent explanation rather than being a contradiction. In both samples utilization and service-time variability are correlated, because the highest-variability facilities are the single high-demand cryogenic chambers that also run at the highest load. The two estimators then break the resulting collinearity in opposite directions. The OLS regression, with its larger and more sharply estimated utilization slope, resolves the shared variance toward utilization and leaves variability underpowered at p equal to 0.209. The Cox model, in which the load measure is additionally confounded with the censoring structure that concentrates slipped campaigns at high load, resolves the shared variance toward variability and leaves utilization unidentified at p equal to 0.972. The same underlying collinearity, encountered by two estimators with different sensitivities, surfaces as utilization in one and as variability in the other. This is not two studies disagreeing about whether the queue matters; it is two studies agreeing that the queue matters while each isolating the half of the queueing mechanism its estimator and sample are best positioned to see. Queueing theory predicts both channels jointly, and the dissertation recovers them jointly across the pair even though neither single specification recovers both at once.</w:t>
      </w:r>
    </w:p>
    <w:p>
      <w:pPr>
        <w:pStyle w:val="BodyText"/>
        <w:spacing w:line="480" w:lineRule="auto"/>
        <w:ind w:firstLine="720"/>
      </w:pPr>
      <w:r>
        <w:t xml:space="preserve">What neither study claims is also disciplined. Study One declines to map the convex acceleration of wait near saturation, because the documented campaigns cluster in the moderate-to-high utilization band of roughly 0.58 to 0.95 and the data cannot speak to the response outside that range. Study Two declines to claim a utilization effect its censored thirty-campaign record cannot identify. Both studies state their magnitudes as the slopes of real and significant relationships rather than as metered physical constants, because utilization in both is encoded from documented demand regimes rather than read from facility meters. These are limits on the point estimates, not on the qualitative finding. The qualitative finding is robust across both estimators, both samples, and both sign conventions: the calendar is inert, the queue is the driver, and the variability and utilization of campaign service at a contended server are the levers that move facility wait. Whether high-throughput shared assets deliver their nominal capacity over a service life is the supply-side question that frames the managerial stakes of this demand-side result</w:t>
      </w:r>
      <w:r>
        <w:t xml:space="preserve"> </w:t>
      </w:r>
      <w:hyperlink w:anchor="ref-2">
        <w:r>
          <w:rPr>
            <w:rStyle w:val="Hyperlink"/>
          </w:rPr>
          <w:t xml:space="preserve">[2]</w:t>
        </w:r>
      </w:hyperlink>
      <w:r>
        <w:t xml:space="preserve">.</w:t>
      </w:r>
    </w:p>
    <w:bookmarkEnd w:id="135"/>
    <w:bookmarkStart w:id="136" w:name="synthesis"/>
    <w:p>
      <w:pPr>
        <w:pStyle w:val="Heading2"/>
        <w:spacing w:line="480" w:lineRule="auto"/>
      </w:pPr>
      <w:r>
        <w:t xml:space="preserve">6.5 Synthesis</w:t>
      </w:r>
    </w:p>
    <w:p>
      <w:pPr>
        <w:pStyle w:val="FirstParagraph"/>
        <w:spacing w:line="480" w:lineRule="auto"/>
      </w:pPr>
      <w:r>
        <w:t xml:space="preserve">The results chapter closes where the dissertation’s claim began. The single falsifiable proposition was that observed wait-time at a shared test facility is governed by utilization and service-time variability in the manner predicted by finite-server queueing theory, and not by calendar density alone. Two studies tested that proposition with two estimators on two samples. The wait-time regression rejected the calendar mechanism outright, its calendar-density coefficient sitting at a statistical zero, and demonstrated the utilization channel at p equal to 0.0001 with a fit explaining roughly seventy-four percent of wait-time variation. The proportional-hazards model, using the censored campaigns a linear model would have thrown away, demonstrated the variability channel at p equal to 0.024 with a correctly signed hazard ratio below one. The two studies disagree only on which queueing channel each can isolate, and that disagreement is the predictable signature of utilization and variability traveling together in the field data. Across both, the calendar-driven account is the weaker explanation and the congestion account stands. The schedule pen converts the load and the variability of campaign service at a contended server into wait, and the facility behaves as the queue that queueing theory says it is. The managerial readings that follow from this finding, that adding dates to a contended calendar does nothing while managing utilization and compressing service-time variability does, are developed in the discussion that the next chapter takes up.</w:t>
      </w:r>
    </w:p>
    <w:bookmarkEnd w:id="136"/>
    <w:bookmarkEnd w:id="137"/>
    <w:bookmarkStart w:id="144" w:name="X21322cb5e29cbf4eb576afddcad42f86ace4e0d"/>
    <w:p>
      <w:pPr>
        <w:pStyle w:val="Heading1"/>
        <w:spacing w:line="480" w:lineRule="auto"/>
      </w:pPr>
      <w:r>
        <w:t xml:space="preserve">Chapter 7. Discussion and Governance Implications</w:t>
      </w:r>
    </w:p>
    <w:bookmarkStart w:id="138" w:name="what-the-dissertation-established"/>
    <w:p>
      <w:pPr>
        <w:pStyle w:val="Heading2"/>
        <w:spacing w:line="480" w:lineRule="auto"/>
      </w:pPr>
      <w:r>
        <w:t xml:space="preserve">7.1 What the Dissertation Established</w:t>
      </w:r>
    </w:p>
    <w:p>
      <w:pPr>
        <w:pStyle w:val="FirstParagraph"/>
        <w:spacing w:line="480" w:lineRule="auto"/>
      </w:pPr>
      <w:r>
        <w:t xml:space="preserve">This dissertation set out to test a single, falsifiable proposition: that the wait a space-system test campaign experiences at a shared facility is governed not by the nominal density of the booking calendar but by the realized utilization of the server interacting with the variability of campaign service durations, in the manner that finite-server queueing theory predicts. The two empirical studies that anchor the argument approach that proposition from deliberately different statistical directions, and they converge on a conclusion that is stronger than either could carry alone. The cross-sectional fixed-effects study estimated the wait-time response of twenty-four documented environmental-test campaigns to utilization, service-time variability, and nominal calendar density, and found the utilization channel positive, large, and significant while the calendar-density channel was a statistical zero. The survival study reformulated the same queue as a duration process, modeled the hazard of service completion across thirty campaigns under right-censoring, and found the service-time variability channel significant in exactly the sign queueing theory requires, with the calendar-density account again the weaker of the two explanations. The two designs do not agree on which queueing channel carries the identified signal, and that disagreement is itself a finding I return to below. They agree without qualification on the proposition that mattered most: across two specifications, two samples, and two estimators, the calendar-density mechanism that current facility practice implicitly assumes does not survive contact with the data, and a congestion mechanism does.</w:t>
      </w:r>
    </w:p>
    <w:p>
      <w:pPr>
        <w:pStyle w:val="BodyText"/>
        <w:spacing w:line="480" w:lineRule="auto"/>
        <w:ind w:firstLine="720"/>
      </w:pPr>
      <w:r>
        <w:t xml:space="preserve">That convergence is the load-bearing result of the dissertation, and it is worth stating in the plainest possible managerial language before drawing out its implications. The finding is simple to state. Delay at a shared spacecraft test facility is a property of the queue, not of the calendar. A campaign that arrives while a thermal-vacuum chamber is occupied does not slip because the calendar was poorly arranged; it slips because the server was already loaded and because the durations of the campaigns ahead of it were uncertain. The remedy that follows from a calendar diagnosis, namely adding or rearranging dates, is therefore the wrong instrument, and the dissertation’s estimates say so directly: in the cross-sectional study the coefficient on nominal calendar density was 2.93 wait-days with a robust standard error of 21.10 and a p-value of 0.890, a confidence interval that runs symmetrically across zero. Calendar fill carried no independent purchase on observed wait once realized utilization entered the model. The schedule pen, the discrete reservation block, is the mechanism that converts demand variability and server load into delay, and the instruments that act on delay are the instruments that act on a queue.</w:t>
      </w:r>
    </w:p>
    <w:bookmarkEnd w:id="138"/>
    <w:bookmarkStart w:id="139" w:name="implications-for-nasa-program-management"/>
    <w:p>
      <w:pPr>
        <w:pStyle w:val="Heading2"/>
        <w:spacing w:line="480" w:lineRule="auto"/>
      </w:pPr>
      <w:r>
        <w:t xml:space="preserve">7.2 Implications for NASA Program Management</w:t>
      </w:r>
    </w:p>
    <w:p>
      <w:pPr>
        <w:pStyle w:val="FirstParagraph"/>
        <w:spacing w:line="480" w:lineRule="auto"/>
      </w:pPr>
      <w:r>
        <w:t xml:space="preserve">The first implication is diagnostic. Every other implication follows from it. Program offices that report test-facility performance as a count of campaigns completed, and that attribute schedule slips to individual late arrivals, are measuring the wrong object. The right object is the wait-time distribution the facility produces as a function of how heavily it is loaded and how variable its campaigns are. A program manager who treats a thermal-vacuum chamber as a fixed calendar will see a series of apparently independent late arrivals and will reach for calendar instruments, more booking slots, earlier reservations, tighter milestone dates, none of which act on the congestion that is actually generating the slips. The dissertation’s contribution to NASA program management is to replace that diagnostic frame with a queueing frame in which delay is predictable from utilization and variability, and to do so with an estimator that transports across asset classes because the queueing object, a finite server plus a penned block plus contending demand, is identical whether the server is a cryogenic chamber, a vibration stand, or a contended optical sensor.</w:t>
      </w:r>
    </w:p>
    <w:p>
      <w:pPr>
        <w:pStyle w:val="BodyText"/>
        <w:spacing w:line="480" w:lineRule="auto"/>
        <w:ind w:firstLine="720"/>
      </w:pPr>
      <w:r>
        <w:t xml:space="preserve">The second implication is that the two policy levers a program office can actually pull are utilization and service-time variability, and the dissertation locates each with evidence. On the utilization lever, the cross-sectional study estimated a slope of 142.94 wait-days per unit of utilization, with a robust standard error of 36.30 and a p-value of 0.0001, and a ninety-five percent confidence interval from 71.8 to 214.1 that excludes zero comfortably. Read over the realistic utilization range the data cover, roughly 0.58 to 0.95, the model attributes on the order of fifty added wait-days to congestion alone. The managerial reading is that a facility held below its saturation knee delivers dramatically shorter waits than one run hot, and that the marginal cost of the last increment of utilization is paid in wait-days that propagate into integration milestones and launch windows. A NASA enterprise that schedules its highest-demand single-asset cryogenic chambers, the kind that Chamber A at Johnson Space Center and the JPL Space Simulator exemplify, at utilizations approaching capacity is purchasing throughput at a price denominated in downstream schedule risk, and that price rises convexly as the server saturates. The governance instrument that follows is a protected-slack policy: deliberately holding scheduled utilization below the knee so that the queue does not bind, treating the unbooked capacity not as waste but as the insurance premium that keeps wait finite.</w:t>
      </w:r>
    </w:p>
    <w:p>
      <w:pPr>
        <w:pStyle w:val="BodyText"/>
        <w:spacing w:line="480" w:lineRule="auto"/>
        <w:ind w:firstLine="720"/>
      </w:pPr>
      <w:r>
        <w:t xml:space="preserve">The third implication concerns variability. Here the survival study is decisive where the cross-sectional study was underpowered. The Cox model estimated the coefficient on the squared coefficient of variation of service times at -6.1477, with a standard error of 2.7228, a z-statistic of -2.26, and a p-value of 0.024, rejecting the null of no variability effect at conventional levels. The corresponding hazard ratio of 0.0021 says that, within the range the data cover, a campaign drawn from a higher-variability service regime clears the contended server at a sharply lower instantaneous rate than one drawn from a low-variability regime. The Pollaczek-Khinchine relation places service-time variability at the center of single-server wait, and the survival study recovered exactly that result from a censored, fully sourced record of real campaigns. The managerial reading is that a facility manager who standardizes campaign durations, caps the right tail of service time, and releases penned blocks that a campaign cannot fill will shorten queue residence more than one who simply lengthens the calendar. For NASA program management this reframes a familiar problem. Test-campaign over-runs are not merely the local schedule risk of a single project; they are an externality imposed on every campaign queued behind them at the same server, and the variability coefficient is the price the enterprise pays for tolerating that externality. A governance regime that bounds campaign over-runs, that penalizes the right tail of service time rather than only the mean, is acting directly on the channel the survival study identified as significant.</w:t>
      </w:r>
    </w:p>
    <w:p>
      <w:pPr>
        <w:pStyle w:val="BodyText"/>
        <w:spacing w:line="480" w:lineRule="auto"/>
        <w:ind w:firstLine="720"/>
      </w:pPr>
      <w:r>
        <w:t xml:space="preserve">The fourth implication is that the most expensive failures in the record are precisely the ones a calendar instrument could not have prevented. The cross-sectional study anchors its wait variable on the GLAST, later Fermi, campaign, in which a government assessment recorded that the spacecraft vendor gave priority to defense projects for thermal-vacuum testing, forcing the mission to relocate to the Naval Research Laboratory and producing a three-month facility-access delay</w:t>
      </w:r>
      <w:r>
        <w:t xml:space="preserve"> </w:t>
      </w:r>
      <w:hyperlink w:anchor="ref-7">
        <w:r>
          <w:rPr>
            <w:rStyle w:val="Hyperlink"/>
          </w:rPr>
          <w:t xml:space="preserve">[7]</w:t>
        </w:r>
      </w:hyperlink>
      <w:r>
        <w:t xml:space="preserve">. That case shows the congestion mechanism in its rawest form: a high-utilization shared asset, a priority conflict among contending demands, and a slip that no rearrangement of dates could have absorbed and only a capacity or variability intervention could have. The survival study’s censored campaigns tell the same story in the language of queue failure. Psyche’s launch slip, which NASA attributed to late delivery of test equipment and guidance software that left insufficient time to complete required testing, and the SLS core-stage green-run hot fire that shut down early and forced a second test on the single Stennis stand, are both campaigns whose access slipped past the planning horizon under load. These are not anecdotes appended to the statistics; they are the events the censoring structure encodes, and they are the events that make the enterprise case for managing the queue rather than the calendar.</w:t>
      </w:r>
    </w:p>
    <w:bookmarkEnd w:id="139"/>
    <w:bookmarkStart w:id="140" w:name="implications-for-jpl-decision-making"/>
    <w:p>
      <w:pPr>
        <w:pStyle w:val="Heading2"/>
        <w:spacing w:line="480" w:lineRule="auto"/>
      </w:pPr>
      <w:r>
        <w:t xml:space="preserve">7.3 Implications for JPL Decision-Making</w:t>
      </w:r>
    </w:p>
    <w:p>
      <w:pPr>
        <w:pStyle w:val="FirstParagraph"/>
        <w:spacing w:line="480" w:lineRule="auto"/>
      </w:pPr>
      <w:r>
        <w:t xml:space="preserve">For JPL the edge is sharper. The Laboratory operates exactly the kind of single-asset, high-demand cryogenic server on which the congestion mechanism is strongest. The JPL Space Simulator, the eighty-five-foot chamber that hosted Europa Clipper’s sixteen-day thermal-vacuum test and Psyche’s eighteen-day test in close succession, is a single contended server through which a substantial fraction of the Laboratory’s flagship environmental testing must pass. The dissertation’s estimates imply that the scheduling of that chamber is not a calendar-management problem but a queue-management problem, and that the Laboratory’s downstream delivery risk is a direct function of how heavily it loads that single asset and how variable the campaigns it pens there are.</w:t>
      </w:r>
    </w:p>
    <w:p>
      <w:pPr>
        <w:pStyle w:val="BodyText"/>
        <w:spacing w:line="480" w:lineRule="auto"/>
        <w:ind w:firstLine="720"/>
      </w:pPr>
      <w:r>
        <w:t xml:space="preserve">The first JPL-specific recommendation is that the Laboratory treat its scarcest single-server chambers as congestible resources whose scheduled utilization is a decision variable, not a residual. The cross-sectional study’s utilization slope says that the difference between scheduling such a chamber at the high and low ends of its observed demand range is measured in tens of wait-days per campaign, and at JPL those wait-days are the wait-days of flagship missions whose launch windows are astronomically constrained and whose slips are uniquely expensive. A protected-slack discipline applied to the Space Simulator, in which the Laboratory deliberately declines to book the chamber to saturation even under demand pressure, is the instrument the dissertation’s evidence most directly supports. The price of that discipline is visible unbooked capacity; the return is a queue that does not bind when a high-priority campaign becomes ready.</w:t>
      </w:r>
    </w:p>
    <w:p>
      <w:pPr>
        <w:pStyle w:val="BodyText"/>
        <w:spacing w:line="480" w:lineRule="auto"/>
        <w:ind w:firstLine="720"/>
      </w:pPr>
      <w:r>
        <w:t xml:space="preserve">The second JPL-specific recommendation follows from the survival study’s variability result and from the structure of the Laboratory’s own portfolio. Because JPL’s flagship campaigns are heterogeneous in duration, an Europa Clipper at sixteen days and a Psyche at eighteen days are close, but the James Webb optical and instrument assembly campaign occupied Chamber A for roughly one hundred and thirty calendar days against a planned hundred-day occupancy, the service-time distribution at the Laboratory’s chambers carries exactly the right-tail variability that the Pollaczek-Khinchine channel converts into wait. The survival study found that the campaign that over-runs its planned occupancy is not merely late itself; it lowers the completion hazard of every campaign queued behind it. For JPL the governance implication is that the planning-horizon discipline applied to a flagship test, the hundred-day plan that became a hundred-and-thirty-day occupancy, is not a local matter for that project’s schedule reserve but an enterprise matter for the chamber’s whole queue. A JPL scheduling authority that bounds the right tail of planned-versus-actual occupancy at its shared chambers is acting on the channel the dissertation identified as the significant driver of queue residence.</w:t>
      </w:r>
    </w:p>
    <w:p>
      <w:pPr>
        <w:pStyle w:val="BodyText"/>
        <w:spacing w:line="480" w:lineRule="auto"/>
        <w:ind w:firstLine="720"/>
      </w:pPr>
      <w:r>
        <w:t xml:space="preserve">The third JPL-specific recommendation is organizational rather than statistical, and it concerns where the scheduling authority for shared chambers should sit. The GLAST case is instructive precisely because the priority conflict that produced the three-month slip was resolved at the level of the vendor’s own project priorities, defense work ahead of a science mission, rather than at the level of an enterprise queue manager balancing total wait across all contending demands</w:t>
      </w:r>
      <w:r>
        <w:t xml:space="preserve"> </w:t>
      </w:r>
      <w:hyperlink w:anchor="ref-7">
        <w:r>
          <w:rPr>
            <w:rStyle w:val="Hyperlink"/>
          </w:rPr>
          <w:t xml:space="preserve">[7]</w:t>
        </w:r>
      </w:hyperlink>
      <w:r>
        <w:t xml:space="preserve">. The dissertation’s framing implies that a facility scheduled by the local priorities of whichever project currently holds it will produce more aggregate wait than one scheduled by an authority that internalizes the externality each campaign imposes on the others. For JPL, whose flagship missions contend for a small number of irreplaceable chambers, the case for a Laboratory-level queue-management function, one that owns utilization and variability as decision variables across the whole portfolio rather than leaving them to emerge from project-by-project booking, is the organizational counterpart to the statistical result.</w:t>
      </w:r>
    </w:p>
    <w:bookmarkEnd w:id="140"/>
    <w:bookmarkStart w:id="141" w:name="limitations"/>
    <w:p>
      <w:pPr>
        <w:pStyle w:val="Heading2"/>
        <w:spacing w:line="480" w:lineRule="auto"/>
      </w:pPr>
      <w:r>
        <w:t xml:space="preserve">7.4 Limitations</w:t>
      </w:r>
    </w:p>
    <w:p>
      <w:pPr>
        <w:pStyle w:val="FirstParagraph"/>
        <w:spacing w:line="480" w:lineRule="auto"/>
      </w:pPr>
      <w:r>
        <w:t xml:space="preserve">The dissertation’s claims are bounded, and the limitations are stated here without softening because the falsifiability of the contribution depends on naming the regimes in which the test had power and the regimes in which it did not.</w:t>
      </w:r>
    </w:p>
    <w:p>
      <w:pPr>
        <w:pStyle w:val="BodyText"/>
        <w:spacing w:line="480" w:lineRule="auto"/>
        <w:ind w:firstLine="720"/>
      </w:pPr>
      <w:r>
        <w:t xml:space="preserve">The first and most consequential limitation is that the two empirical studies split on which queueing channel carries the identified signal, and neither study identifies both channels cleanly. The cross-sectional study identified the utilization effect unambiguously and left the variability effect underpowered: its variability coefficient was positive at 10.01 wait-days per unit of the squared coefficient of variation, in the predicted direction, but with a robust standard error of 7.97 and a p-value of 0.209 it did not reach conventional significance, and the highest-variability facilities in that sample were also the highest-utilization cryogenic assets, so the variability channel was partially absorbed by utilization. The survival study identified the variability effect and left the utilization effect unidentified: its utilization coefficient was 0.3724 with a very large standard error of 10.4621 and a p-value of 0.972, a hazard ratio of 1.45 that cannot be distinguished from one, because in a thirty-campaign record the load measure was nearly collinear with the censoring structure, the slipped campaigns being concentrated at high documented load. The honest synthesis is that the dissertation establishes that the calendar-density account fails and a congestion account holds, but it cannot, at these sample sizes, jointly and cleanly separate the utilization channel from the variability channel within a single specification. The two channels are correlated in the real facilities the data document, because the heavily loaded single-server chambers are also the chambers with the most variable campaigns, and disentangling them requires a panel with independent within-server variation in load and variability that the obtainable record does not yet supply.</w:t>
      </w:r>
    </w:p>
    <w:p>
      <w:pPr>
        <w:pStyle w:val="BodyText"/>
        <w:spacing w:line="480" w:lineRule="auto"/>
        <w:ind w:firstLine="720"/>
      </w:pPr>
      <w:r>
        <w:t xml:space="preserve">The second limitation is that utilization in the cross-sectional study was encoded from documented demand regimes rather than metered from facility logs. The point magnitude of roughly 141 wait-days per unit of utilization should therefore be read as the slope of a real and significant relationship rather than as a metered physical constant. The robust findings are the sign, the significance, and the dominance over calendar density, not the precise value of the slope. A study with access to metered facility utilization logs would tighten the point estimate, and the dissertation does not claim more precision than its encoded measure can support.</w:t>
      </w:r>
    </w:p>
    <w:p>
      <w:pPr>
        <w:pStyle w:val="BodyText"/>
        <w:spacing w:line="480" w:lineRule="auto"/>
        <w:ind w:firstLine="720"/>
      </w:pPr>
      <w:r>
        <w:t xml:space="preserve">The third limitation is one of external validity across asset classes. The richest obtainable durations come from single-server thermal-vacuum chambers, and the variability magnitude the survival study recovered may not transport to multi-server vibration ranges or to the optical-sensor queues from which the supporting tasking literature is drawn [1, 5]. The structural queueing object is asset-agnostic, because a finite server with a penned block and contending demand is the same object whatever the server tests, but the empirical magnitudes are not guaranteed to transport, and the dissertation states its claims at the level of the wait-time mechanism rather than at the level of the point estimates. The tasking-optimization literature is precise about how blocks are assigned under conflict and supplies the realistic assignment structure that disciplines the queueing model [1, 4, 6], but that literature optimizes the assignment without measuring the steady-state wait, and the present work measures the wait without claiming that a single point estimate governs every asset class.</w:t>
      </w:r>
    </w:p>
    <w:p>
      <w:pPr>
        <w:pStyle w:val="BodyText"/>
        <w:spacing w:line="480" w:lineRule="auto"/>
        <w:ind w:firstLine="720"/>
      </w:pPr>
      <w:r>
        <w:t xml:space="preserve">The fourth limitation is a falsification-power limitation that the dissertation imposes on itself. The documented campaigns cluster in moderate-to-high utilization regimes, roughly 0.58 to 0.95 in the cross-sectional sample, so the convex acceleration of wait near saturation that queueing theory predicts is inferred from theory and from the upper tail of the data rather than mapped across the full load curve. The dissertation declines to claim the precise shape of the wait-time response outside the utilization range the data cover, and it declines to claim falsification of either hypothesis in regimes the data do not reach. Within the range the data cover, the finding stands; outside it, the dissertation is silent by design, because a claim made where congestion never binds would have no power to distinguish the congestion account from the calendar account.</w:t>
      </w:r>
    </w:p>
    <w:p>
      <w:pPr>
        <w:pStyle w:val="BodyText"/>
        <w:spacing w:line="480" w:lineRule="auto"/>
        <w:ind w:firstLine="720"/>
      </w:pPr>
      <w:r>
        <w:t xml:space="preserve">The fifth limitation concerns sample size directly. Twenty-four campaigns in the cross-sectional study and thirty in the survival study are small panels, and with samples of that size the tests have power to detect only strong effects. That the utilization effect surfaced cleanly in one design and the variability effect surfaced cleanly in the other is evidence that both effects are strong, because a weak effect would not have cleared significance at these sample sizes. But the small samples are also why the parsimonious specifications were chosen, holding the theory-relevant regressors against one another rather than absorbing degrees of freedom in dense fixed-effects dummy sets that the data cannot support, and a larger record would permit richer specifications and the joint identification the present work could not achieve.</w:t>
      </w:r>
    </w:p>
    <w:bookmarkEnd w:id="141"/>
    <w:bookmarkStart w:id="142" w:name="future-research"/>
    <w:p>
      <w:pPr>
        <w:pStyle w:val="Heading2"/>
        <w:spacing w:line="480" w:lineRule="auto"/>
      </w:pPr>
      <w:r>
        <w:t xml:space="preserve">7.5 Future Research</w:t>
      </w:r>
    </w:p>
    <w:p>
      <w:pPr>
        <w:pStyle w:val="FirstParagraph"/>
        <w:spacing w:line="480" w:lineRule="auto"/>
      </w:pPr>
      <w:r>
        <w:t xml:space="preserve">The future-research agenda follows directly from the limitations, and it is ordered by the leverage each next step would add to the contribution.</w:t>
      </w:r>
    </w:p>
    <w:p>
      <w:pPr>
        <w:pStyle w:val="BodyText"/>
        <w:spacing w:line="480" w:lineRule="auto"/>
        <w:ind w:firstLine="720"/>
      </w:pPr>
      <w:r>
        <w:t xml:space="preserve">The highest-leverage next study is a larger panel with metered facility logs and independent within-server variation in load and variability, designed specifically to identify the utilization and variability channels jointly within a single specification. The present dissertation establishes that the calendar-density account fails and that each queueing channel surfaces in at least one design; the natural successor establishes the relative magnitude of the two channels in a setting where they are not collinear. Such a panel would require either operational facility logs obtainable under the same finite-server structure the published schedules document, or a deliberately constructed multi-facility record in which load and variability vary independently across servers. The estimator developed here transports directly to such data, because the queueing object is identical, so the successor study is an extension of the present design rather than a replacement for it.</w:t>
      </w:r>
    </w:p>
    <w:p>
      <w:pPr>
        <w:pStyle w:val="BodyText"/>
        <w:spacing w:line="480" w:lineRule="auto"/>
        <w:ind w:firstLine="720"/>
      </w:pPr>
      <w:r>
        <w:t xml:space="preserve">The second research direction is the discrete-block simulation that the prospectus reserved as a validation step and that the empirical studies did not exhaust. Real reservation blocks are lumpy and sometimes non-preemptive, and a continuous-arrival queue can understate the wait that a discrete, non-preemptible pen produces. A simulation calibrated to the assignment structure the tasking-optimization literature documents [1, 6], in which blocks are penned under conflict by the kind of beam-search and metaheuristic solvers that literature develops [1, 4], would let the estimator be validated against a known data-generating process before it is applied to new observed schedules, and would quantify the bias the continuous approximation introduces in the high-utilization regime where the pen’s discreteness matters most.</w:t>
      </w:r>
    </w:p>
    <w:p>
      <w:pPr>
        <w:pStyle w:val="BodyText"/>
        <w:spacing w:line="480" w:lineRule="auto"/>
        <w:ind w:firstLine="720"/>
      </w:pPr>
      <w:r>
        <w:t xml:space="preserve">The third direction is the extension across asset classes that the external-validity limitation flags. The optical-sensor tasking record [1, 5] supplies a directly usable arrival-and-service trace in which a finite tasking horizon leaves a subset of targets unobserved, which is precisely a censored wait of the kind the survival study modeled, and the distributed-ground-network record supplies the supply-side scaling relationship between sensor count and capacity</w:t>
      </w:r>
      <w:r>
        <w:t xml:space="preserve"> </w:t>
      </w:r>
      <w:hyperlink w:anchor="ref-3">
        <w:r>
          <w:rPr>
            <w:rStyle w:val="Hyperlink"/>
          </w:rPr>
          <w:t xml:space="preserve">[3]</w:t>
        </w:r>
      </w:hyperlink>
      <w:r>
        <w:t xml:space="preserve">. A study that applies the wait-time estimator across the full span from single-server cryogenic chambers through multi-server vibration ranges to distributed optical-sensor networks would establish whether the variability magnitude the survival study recovered is a property of cryogenic testing specifically or a transportable feature of the queueing object, and would test whether the supply-side scaling that the network literature characterizes</w:t>
      </w:r>
      <w:r>
        <w:t xml:space="preserve"> </w:t>
      </w:r>
      <w:hyperlink w:anchor="ref-3">
        <w:r>
          <w:rPr>
            <w:rStyle w:val="Hyperlink"/>
          </w:rPr>
          <w:t xml:space="preserve">[3]</w:t>
        </w:r>
      </w:hyperlink>
      <w:r>
        <w:t xml:space="preserve"> </w:t>
      </w:r>
      <w:r>
        <w:t xml:space="preserve">actually relieves the demand-side wait the present work measures, or merely relocates it.</w:t>
      </w:r>
    </w:p>
    <w:p>
      <w:pPr>
        <w:pStyle w:val="BodyText"/>
        <w:spacing w:line="480" w:lineRule="auto"/>
        <w:ind w:firstLine="720"/>
      </w:pPr>
      <w:r>
        <w:t xml:space="preserve">The fourth direction is governance-design research rather than estimation research. The dissertation establishes that utilization and variability are the levers; it does not establish the optimal policy for setting them. A natural successor asks how much protected slack a facility should hold below its saturation knee, how tight a bound on campaign over-runs minimizes aggregate queue residence across a portfolio, and where the scheduling authority for shared chambers should sit to internalize the externality each campaign imposes on the others. The GLAST case suggests that authority located at the level of a single project’s priorities produces more aggregate wait than authority that balances total wait across contending demands</w:t>
      </w:r>
      <w:r>
        <w:t xml:space="preserve"> </w:t>
      </w:r>
      <w:hyperlink w:anchor="ref-7">
        <w:r>
          <w:rPr>
            <w:rStyle w:val="Hyperlink"/>
          </w:rPr>
          <w:t xml:space="preserve">[7]</w:t>
        </w:r>
      </w:hyperlink>
      <w:r>
        <w:t xml:space="preserve">, and a policy study could formalize that intuition into a queue-management design that a NASA enterprise or the Jet Propulsion Laboratory could adopt. The space-economy literature reasons about whether high-throughput assets deliver their nominal capacity over a service life</w:t>
      </w:r>
      <w:r>
        <w:t xml:space="preserve"> </w:t>
      </w:r>
      <w:hyperlink w:anchor="ref-2">
        <w:r>
          <w:rPr>
            <w:rStyle w:val="Hyperlink"/>
          </w:rPr>
          <w:t xml:space="preserve">[2]</w:t>
        </w:r>
      </w:hyperlink>
      <w:r>
        <w:t xml:space="preserve"> </w:t>
      </w:r>
      <w:r>
        <w:t xml:space="preserve">without descending to the operational queue, and a governance study that connects the aggregate capacity question to the operational wait-time question would close the gap between the supply-side framing that the economy literature offers and the demand-side mechanism the present work identifies.</w:t>
      </w:r>
    </w:p>
    <w:p>
      <w:pPr>
        <w:pStyle w:val="BodyText"/>
        <w:spacing w:line="480" w:lineRule="auto"/>
        <w:ind w:firstLine="720"/>
      </w:pPr>
      <w:r>
        <w:t xml:space="preserve">The fifth and final direction is the integration of the human-machine teaming dimension that the autonomous-scheduling literature raises</w:t>
      </w:r>
      <w:r>
        <w:t xml:space="preserve"> </w:t>
      </w:r>
      <w:hyperlink w:anchor="ref-6">
        <w:r>
          <w:rPr>
            <w:rStyle w:val="Hyperlink"/>
          </w:rPr>
          <w:t xml:space="preserve">[6]</w:t>
        </w:r>
      </w:hyperlink>
      <w:r>
        <w:t xml:space="preserve">. As facility scheduling moves toward autonomous and semi-autonomous allocation, the trust and oversight structure of the scheduler becomes a variable in the wait-time response, because an autonomous scheduler that optimizes the assignment over a high-variance service distribution still produces long waits, and the human authority that bounds the variability is the channel the dissertation identified as significant. A study that models the wait-time consequences of different human-machine scheduling architectures would connect the operational-research contribution of this dissertation to the autonomy and trust questions that the field is now confronting, and would carry the queueing framing forward into the systems that will schedule the next generation of shared test and sensing assets.</w:t>
      </w:r>
    </w:p>
    <w:bookmarkEnd w:id="142"/>
    <w:bookmarkStart w:id="143" w:name="conclusion-of-the-discussion"/>
    <w:p>
      <w:pPr>
        <w:pStyle w:val="Heading2"/>
        <w:spacing w:line="480" w:lineRule="auto"/>
      </w:pPr>
      <w:r>
        <w:t xml:space="preserve">7.6 Conclusion of the Discussion</w:t>
      </w:r>
    </w:p>
    <w:p>
      <w:pPr>
        <w:pStyle w:val="FirstParagraph"/>
        <w:spacing w:line="480" w:lineRule="auto"/>
      </w:pPr>
      <w:r>
        <w:t xml:space="preserve">The dissertation asked whether the wait a test campaign experiences at a shared facility is a property of the calendar or a property of the queue, and it answered, across two designs and two samples, that it is a property of the queue. The calendar-density account that current facility practice implicitly assumes did not survive in either study; the congestion account did, with the utilization channel identified cleanly in the cross-sectional study and the variability channel identified cleanly in the survival study. For NASA program management the result reframes test-facility delay from a calendar problem to be solved by adding dates into a queue problem to be solved by managing utilization and service-time variability. For the Jet Propulsion Laboratory, whose flagship missions contend for a small number of irreplaceable single-server chambers, the result is sharper still: the scheduling of those chambers is a queue-management decision whose downstream cost is denominated in the wait-days of missions whose launch windows do not forgive delay. The limitations are real and named. The two channels are not yet jointly identified, the magnitudes are encoded rather than metered, the asset-class transport is unproven, and the samples are small. Yet the central proposition is robust to every one of those limitations: the schedule pen converts utilization and variability into wait, and the facility behaves as the queue that queueing theory says it is.</w:t>
      </w:r>
    </w:p>
    <w:bookmarkEnd w:id="143"/>
    <w:bookmarkEnd w:id="144"/>
    <w:bookmarkStart w:id="187" w:name="chapter-8.-conclusion"/>
    <w:p>
      <w:pPr>
        <w:pStyle w:val="Heading1"/>
        <w:spacing w:line="480" w:lineRule="auto"/>
      </w:pPr>
      <w:r>
        <w:t xml:space="preserve">Chapter 8. Conclusion</w:t>
      </w:r>
    </w:p>
    <w:bookmarkStart w:id="145" w:name="the-argument-in-one-sentence"/>
    <w:p>
      <w:pPr>
        <w:pStyle w:val="Heading2"/>
        <w:spacing w:line="480" w:lineRule="auto"/>
      </w:pPr>
      <w:r>
        <w:t xml:space="preserve">8.1 The Argument in One Sentence</w:t>
      </w:r>
    </w:p>
    <w:p>
      <w:pPr>
        <w:pStyle w:val="FirstParagraph"/>
        <w:spacing w:line="480" w:lineRule="auto"/>
      </w:pPr>
      <w:r>
        <w:t xml:space="preserve">A test facility is a server, a campaign is a customer, and the reservation block is the discipline that matches the two; the wait that this matching produces is governed by the congestion structure of a finite-server queue and not by the nominal density of a booking calendar. That sentence is the whole of this dissertation. The chapters before it exist to make it falsifiable, to confront it with a real and sourced record, and to report what survived. The claim is unremarkable in queueing theory and almost entirely absent from facility-operations practice, where throughput is still reported as a count of campaigns completed and where delay is attributed to individual late arrivals rather than to the contention that produces them. The contribution of this work is to close the distance between the theory and the practice for the specific class of contended assets on which space systems are tested and qualified: thermal-vacuum chambers, vibration stands, acoustic and anechoic ranges, and the shared optical sensors that observe the objects those systems become.</w:t>
      </w:r>
    </w:p>
    <w:p>
      <w:pPr>
        <w:pStyle w:val="BodyText"/>
        <w:spacing w:line="480" w:lineRule="auto"/>
        <w:ind w:firstLine="720"/>
      </w:pPr>
      <w:r>
        <w:t xml:space="preserve">The diagnosis was managerial first. It was statistical second. If delay at a shared test facility is congestion-driven, the instruments that relieve it are the instruments that act on a queue: lower utilization held below the saturation knee, and tighter bounds on the variability of campaign service durations. If delay is calendar-driven, the instrument is simply to add or rearrange dates. These two prescriptions diverge, and the cost of the wrong diagnosis is paid in slipped integration milestones and missed launch windows. The dissertation was designed so that the data could, in principle, return either verdict. It did not return either by assumption.</w:t>
      </w:r>
    </w:p>
    <w:bookmarkEnd w:id="145"/>
    <w:bookmarkStart w:id="146" w:name="synthesis-of-the-evidence"/>
    <w:p>
      <w:pPr>
        <w:pStyle w:val="Heading2"/>
        <w:spacing w:line="480" w:lineRule="auto"/>
      </w:pPr>
      <w:r>
        <w:t xml:space="preserve">8.2 Synthesis of the Evidence</w:t>
      </w:r>
    </w:p>
    <w:p>
      <w:pPr>
        <w:pStyle w:val="FirstParagraph"/>
        <w:spacing w:line="480" w:lineRule="auto"/>
      </w:pPr>
      <w:r>
        <w:t xml:space="preserve">The single falsifiable proposition was stated as H1 against H0. H1 holds that observed wait rises with server utilization and with the variability of campaign service durations, in the direction and convexity that finite-server queueing theory predicts; H0 holds that wait is independent of both and reflects only the placement of reservation blocks on the calendar. The study was built so that a clean failure to reject H0 would falsify the contribution outright. Two independent empirical strategies, deliberately chosen to fail in different ways, were brought to bear on this one proposition.</w:t>
      </w:r>
    </w:p>
    <w:p>
      <w:pPr>
        <w:pStyle w:val="BodyText"/>
        <w:spacing w:line="480" w:lineRule="auto"/>
        <w:ind w:firstLine="720"/>
      </w:pPr>
      <w:r>
        <w:t xml:space="preserve">The first strategy, developed in the first research paper, treated observed access wait-time as a continuous outcome and estimated it by ordinary least squares with heteroskedasticity-robust standard errors across twenty-four documented spacecraft environmental-test campaigns at ten facilities spanning NASA, ESA, and commercial vendor centers from 2007 through 2026. The specification held three theory-relevant regressors against one another: realized server utilization and the squared coefficient of variation of service times, the two channels named by queueing theory, and nominal calendar density, the rival construct named by H0. The verdict was decisive. It ran in the direction H1 predicts. The model explained roughly seventy-four percent of the variation in access wait, with a coefficient of determination of 0.739 and a joint F-test significant at p equal to 0.0005. The utilization coefficient was positive, large, and significant at 142.94 wait-days per unit of utilization, with a robust standard error of 36.30 and a confidence interval from 71.8 to 214.1 that excludes zero comfortably; across the realistic 0.58 to 0.95 utilization range the data cover, the model attributes on the order of fifty added wait-days to congestion alone. The rival calendar-density coefficient was, by contrast, a statistical zero: 2.93 with a robust standard error of 21.10 and p equal to 0.890. Nominal calendar fill carried no independent information about wait once realized utilization entered the model. This is the precise pattern that falsifies the H0 mechanism. The calendar is not the driver. The queue is.</w:t>
      </w:r>
    </w:p>
    <w:p>
      <w:pPr>
        <w:pStyle w:val="BodyText"/>
        <w:spacing w:line="480" w:lineRule="auto"/>
        <w:ind w:firstLine="720"/>
      </w:pPr>
      <w:r>
        <w:t xml:space="preserve">The second strategy, developed in the second research paper, refused the convenient assumption that every wait is observed in full. Queue-residence data are censored by construction: some campaigns complete their test on the contended server within the documented window, while others are still queued when the record closes, slip past the planning horizon, or are forced back into the queue by a test failure. A linear model of observed duration must discard those censored campaigns or, worse, mistake a truncated wait for a completed one. The Cox proportional-hazards estimator instead uses every campaign, completed or censored, and asks the operationally exact question: at any instant a campaign is still waiting, what is the instantaneous rate at which it clears the server, and how does that rate move with load and with variability. Fit by partial likelihood on thirty documented campaigns, of which twenty-one were observed completions and nine were right-censored, the model recovered the variability channel as a significant driver of queue residence. The coefficient on the squared coefficient of variation of service times was -6.1477 with a standard error of 2.7228, a z-statistic of -2.26, and a p-value of 0.024, rejecting the null of no variability effect at conventional levels and yielding a hazard ratio of 0.0021: within the range the data cover, a campaign drawn from a higher-variability service regime clears the contended server at a sharply lower instantaneous rate. This is the same quantity the Pollaczek-Khinchine relation places at the center of single-server wait, recovered from a censored record that preserves rather than discards the campaigns that slipped.</w:t>
      </w:r>
    </w:p>
    <w:p>
      <w:pPr>
        <w:pStyle w:val="BodyText"/>
        <w:spacing w:line="480" w:lineRule="auto"/>
        <w:ind w:firstLine="720"/>
      </w:pPr>
      <w:r>
        <w:t xml:space="preserve">The two strategies do not agree on everything, and the honesty of the dissertation rests partly on that disagreement. The first paper identified the utilization channel cleanly and left the variability channel underpowered and partially absorbed by utilization, because the highest-variability facilities in that panel were also the highest-utilization cryogenic assets. The second paper identified the variability channel cleanly and could not separate the raw-load channel, because in a thirty-campaign record the load measure was nearly collinear with the censoring structure, the slipped campaigns being concentrated at high documented load. Read in isolation, each paper establishes one queueing channel and concedes the other to the limits of its sample. Read together, they establish both. Utilization and service-time variability, the two terms that the Kingman heavy-traffic approximation places at the center of steady-state wait, each emerge as significant under the estimator best suited to identify it, while the calendar-density account fails wherever it is tested directly. The convergence is more persuasive for being produced by methods with non-overlapping weaknesses. A continuous-outcome regression and a censored-survival model do not share an artifact that could manufacture this result; the common signal is the mechanism, not the method.</w:t>
      </w:r>
    </w:p>
    <w:p>
      <w:pPr>
        <w:pStyle w:val="BodyText"/>
        <w:spacing w:line="480" w:lineRule="auto"/>
        <w:ind w:firstLine="720"/>
      </w:pPr>
      <w:r>
        <w:t xml:space="preserve">Anchoring the abstraction throughout is a single documented case that shows the mechanism in its rawest form. A government assessment of selected large-scale projects records that the GLAST, later Fermi, spacecraft was displaced from its planned thermal-vacuum facility when the vendor gave priority to defense projects, forcing a relocation to the Naval Research Laboratory and producing a three-month facility-access delay</w:t>
      </w:r>
      <w:r>
        <w:t xml:space="preserve"> </w:t>
      </w:r>
      <w:hyperlink w:anchor="ref-7">
        <w:r>
          <w:rPr>
            <w:rStyle w:val="Hyperlink"/>
          </w:rPr>
          <w:t xml:space="preserve">[7]</w:t>
        </w:r>
      </w:hyperlink>
      <w:r>
        <w:t xml:space="preserve">. That delay was not a late arrival and it was not an empty calendar. It was a high-utilization shared asset, a priority conflict at the server, and a wait that propagated downstream exactly as a queue predicts. No rearrangement of nominal dates could have prevented it; only a capacity or variability intervention could. The case anchors the wait variable as a real, sourced quantity rather than an abstraction, and it is the existence proof that the statistical findings then generalize.</w:t>
      </w:r>
    </w:p>
    <w:bookmarkEnd w:id="146"/>
    <w:bookmarkStart w:id="147" w:name="contribution-to-knowledge"/>
    <w:p>
      <w:pPr>
        <w:pStyle w:val="Heading2"/>
        <w:spacing w:line="480" w:lineRule="auto"/>
      </w:pPr>
      <w:r>
        <w:t xml:space="preserve">8.3 Contribution to Knowledge</w:t>
      </w:r>
    </w:p>
    <w:p>
      <w:pPr>
        <w:pStyle w:val="FirstParagraph"/>
        <w:spacing w:line="480" w:lineRule="auto"/>
      </w:pPr>
      <w:r>
        <w:t xml:space="preserve">The literature brackets this problem on three sides without closing it, and the contribution is best understood as occupying the absent middle. The sensor-tasking and scheduling literature is precise about how to allocate a finite contended server under conflict, formalizing the assignment of telescopes to competing targets as selection from a list of feasible pairings and solving the resulting combinatorial problem with beam-search and metaheuristic solvers [1, 4, 6]. It optimizes the pen. It does not measure the queue the pen produces. The distributed-network literature characterizes how server capacity scales as an autonomous geographically distributed ground network grows in sensor count</w:t>
      </w:r>
      <w:r>
        <w:t xml:space="preserve"> </w:t>
      </w:r>
      <w:hyperlink w:anchor="ref-3">
        <w:r>
          <w:rPr>
            <w:rStyle w:val="Hyperlink"/>
          </w:rPr>
          <w:t xml:space="preserve">[3]</w:t>
        </w:r>
      </w:hyperlink>
      <w:r>
        <w:t xml:space="preserve">, describing the supply side without characterizing the wait that demand experiences as that supply loads. The space-economy literature reasons about whether high-throughput assets deliver their nominal capacity over a service life</w:t>
      </w:r>
      <w:r>
        <w:t xml:space="preserve"> </w:t>
      </w:r>
      <w:hyperlink w:anchor="ref-2">
        <w:r>
          <w:rPr>
            <w:rStyle w:val="Hyperlink"/>
          </w:rPr>
          <w:t xml:space="preserve">[2]</w:t>
        </w:r>
      </w:hyperlink>
      <w:r>
        <w:t xml:space="preserve">, aggregating throughput at the level of supply without descending to the discrete reservation block and the delay it imposes. The constellation-tasking record makes the contention explicit by showing that a finite tasking horizon leaves a subset of targets unobserved</w:t>
      </w:r>
      <w:r>
        <w:t xml:space="preserve"> </w:t>
      </w:r>
      <w:hyperlink w:anchor="ref-5">
        <w:r>
          <w:rPr>
            <w:rStyle w:val="Hyperlink"/>
          </w:rPr>
          <w:t xml:space="preserve">[5]</w:t>
        </w:r>
      </w:hyperlink>
      <w:r>
        <w:t xml:space="preserve">, which is precisely a censored wait, but it does not estimate the wait-time response itself.</w:t>
      </w:r>
    </w:p>
    <w:p>
      <w:pPr>
        <w:pStyle w:val="BodyText"/>
        <w:spacing w:line="480" w:lineRule="auto"/>
        <w:ind w:firstLine="720"/>
      </w:pPr>
      <w:r>
        <w:t xml:space="preserve">The gap these literatures leave is the wait-time response of a shared test or sensing facility to utilization and service-time variability, and the test of whether the discrete reservation block is the mechanism that converts demand variability into observed delay. This dissertation supplies exactly that. The contribution is fourfold. Each element transports beyond the specific assets it was estimated on.</w:t>
      </w:r>
    </w:p>
    <w:p>
      <w:pPr>
        <w:pStyle w:val="BodyText"/>
        <w:spacing w:line="480" w:lineRule="auto"/>
        <w:ind w:firstLine="720"/>
      </w:pPr>
      <w:r>
        <w:t xml:space="preserve">First, the dissertation supplies a falsifiable, theory-derived wait-time model for facility operations that separates congestion-driven delay from calendar-driven delay and states the separation as a coefficient comparison that data can decide. The model is asset-agnostic because the queueing object, a finite server plus a penned block plus contending demand, is shared across chambers, stands, ranges, and sensors; the structural prediction transports even where the empirical magnitudes do not.</w:t>
      </w:r>
    </w:p>
    <w:p>
      <w:pPr>
        <w:pStyle w:val="BodyText"/>
        <w:spacing w:line="480" w:lineRule="auto"/>
        <w:ind w:firstLine="720"/>
      </w:pPr>
      <w:r>
        <w:t xml:space="preserve">Second, it supplies the empirical verdict on that comparison from two estimators and roughly fifty documented, fully sourced campaigns. The utilization channel is significant under continuous-outcome estimation, the variability channel is significant under censored-survival estimation, and the calendar-density construct is an estimated zero wherever it is entered directly. The verdict is reported with its uncertainty intact: the utilization point magnitude is the slope of a real and significant relationship rather than a metered constant, and the convex acceleration of wait near saturation is inferred from theory and the upper tail rather than mapped across the full load curve, because the documented campaigns cluster in moderate-to-high utilization regimes.</w:t>
      </w:r>
    </w:p>
    <w:p>
      <w:pPr>
        <w:pStyle w:val="BodyText"/>
        <w:spacing w:line="480" w:lineRule="auto"/>
        <w:ind w:firstLine="720"/>
      </w:pPr>
      <w:r>
        <w:t xml:space="preserve">Third, it supplies a method for estimating facility wait from a censored record. The recognition that queue-residence data are censored by construction, and the use of a proportional-hazards estimator that retains the slipped and failed campaigns rather than discarding them, is itself a methodological contribution. Facility-operations records are precisely the kind of data where the most informative observations, the campaigns that waited longest or never cleared, are the ones a naive analysis throws away.</w:t>
      </w:r>
    </w:p>
    <w:p>
      <w:pPr>
        <w:pStyle w:val="BodyText"/>
        <w:spacing w:line="480" w:lineRule="auto"/>
        <w:ind w:firstLine="720"/>
      </w:pPr>
      <w:r>
        <w:t xml:space="preserve">Fourth, it disciplines the optimization literature it builds upon. A scheduler that optimally assigns finite servers under conflict [1, 4, 6] is optimizing the pen, but the wait that the pen induces is governed by a service-time variability that the assignment does not control. An optimal assignment over a high-variance service distribution still produces long waits. The implication is that scheduling optimality and wait-time minimization are distinct objectives, and that a facility seeking the latter must act on the service-time distribution itself, not merely on the assignment of blocks to it.</w:t>
      </w:r>
    </w:p>
    <w:p>
      <w:pPr>
        <w:pStyle w:val="BodyText"/>
        <w:spacing w:line="480" w:lineRule="auto"/>
        <w:ind w:firstLine="720"/>
      </w:pPr>
      <w:r>
        <w:t xml:space="preserve">The managerial reading that follows is direct and diverges sharply from current practice. Delay at a shared test facility is a congestion phenomenon, and the levers that act on it are utilization and the variance of campaign service durations at the contended server. Adding nominal dates to a booking calendar that is already contended does not relieve the wait, because the calendar fill carries no independent purchase on delay. What relieves the wait is holding utilization below the saturation knee and compressing the right tail of service time, through preemptible blocks, protected slack, standardized campaign durations, tighter bounds on over-runs, and the release of penned blocks that a campaign cannot fill. A facility manager who standardizes durations and caps the variance will shorten queue residence more than one who simply lengthens the calendar.</w:t>
      </w:r>
    </w:p>
    <w:bookmarkEnd w:id="147"/>
    <w:bookmarkStart w:id="148" w:name="limits-honestly-stated"/>
    <w:p>
      <w:pPr>
        <w:pStyle w:val="Heading2"/>
        <w:spacing w:line="480" w:lineRule="auto"/>
      </w:pPr>
      <w:r>
        <w:t xml:space="preserve">8.4 Limits Honestly Stated</w:t>
      </w:r>
    </w:p>
    <w:p>
      <w:pPr>
        <w:pStyle w:val="FirstParagraph"/>
        <w:spacing w:line="480" w:lineRule="auto"/>
      </w:pPr>
      <w:r>
        <w:t xml:space="preserve">The findings are bounded, and the boundaries were drawn before the data were consulted rather than after. Utilization in the first paper is encoded from documented demand regimes rather than metered from facility logs, so its point magnitude should be read as the slope of a real relationship, not as a metered constant; the sign, significance, and dominance over calendar density are the robust results. The variability channel and the utilization channel are each cleanly identified in only one of the two papers, and a larger panel with independent within-server variation in load is needed to estimate both simultaneously and to separate congestion from the demand composition that loads a server. The richest documented durations come from single-server thermal-vacuum chambers, so the empirical magnitudes may not transport to multi-server ranges or to the optical-sensor queues [1, 5]; the claim is stated at the level of the wait-time mechanism, not the point estimate. And because the documented campaigns cluster in moderate-to-high utilization, the precise shape of the response near saturation is not mapped, and the study declines to claim falsification of either hypothesis outside the 0.58 to 0.95 utilization range the data cover. These are limits on the magnitudes and the regime, not on the mechanism. The mechanism, that the schedule pen converts utilization and service-time variability into wait, is what survived both estimators.</w:t>
      </w:r>
    </w:p>
    <w:bookmarkEnd w:id="148"/>
    <w:bookmarkStart w:id="149" w:name="closing-statement"/>
    <w:p>
      <w:pPr>
        <w:pStyle w:val="Heading2"/>
        <w:spacing w:line="480" w:lineRule="auto"/>
      </w:pPr>
      <w:r>
        <w:t xml:space="preserve">8.5 Closing Statement</w:t>
      </w:r>
    </w:p>
    <w:p>
      <w:pPr>
        <w:pStyle w:val="FirstParagraph"/>
        <w:spacing w:line="480" w:lineRule="auto"/>
      </w:pPr>
      <w:r>
        <w:t xml:space="preserve">This dissertation began with a reframing that costs nothing to adopt and changes everything about diagnosis: a test facility is a server, a campaign is a customer, and the reservation block is the queue discipline that joins them. From that reframing it extracted one falsifiable claim, confronted the claim with a real and sourced record of how spacecraft are tested and how the objects they become are observed, and let two estimators with different weaknesses render independent verdicts. The verdicts converged. Wait-time at shared space-system test facilities rises with utilization and with the variability of service durations, as finite-server queueing theory predicts, and the nominal density of the booking calendar carries no independent information about delay once the congestion structure is in the model. The schedule pen is not a passive calendar entry. It is the mechanism through which demand variability becomes wait, and the wait becomes a launch slip. Facility operations has long measured how many campaigns it completes. The argument advanced here is that it should measure, and can now measure, the wait it imposes, because the facility behaves as the queue that queueing theory says it is. The remedy for that wait was never another date on the calendar. It was always the management of contention itself.</w:t>
      </w:r>
    </w:p>
    <w:bookmarkEnd w:id="149"/>
    <w:bookmarkStart w:id="186" w:name="references"/>
    <w:p>
      <w:pPr>
        <w:pStyle w:val="Heading2"/>
        <w:spacing w:line="480" w:lineRule="auto"/>
      </w:pPr>
      <w:r>
        <w:t xml:space="preserve">References</w:t>
      </w:r>
    </w:p>
    <w:p>
      <w:pPr>
        <w:pStyle w:val="FirstParagraph"/>
        <w:spacing w:line="480" w:lineRule="auto"/>
      </w:pPr>
      <w:bookmarkStart w:id="150" w:name="ref-1"/>
      <w:bookmarkEnd w:id="150"/>
      <w:r>
        <w:t xml:space="preserve">1. L. Federici, A. D’Ambrosio, R. Furfaro, and V. Reddy, “Optimal Sensor Tasking for Space Domain Awareness via a Beam A*-Search Algorithm,” Proc. Advanced Maui Optical and Space Surveillance Technologies (AMOS) Conference, 2023. doi:</w:t>
      </w:r>
      <w:r>
        <w:t xml:space="preserve"> </w:t>
      </w:r>
      <w:hyperlink r:id="rId151">
        <w:r>
          <w:rPr>
            <w:rStyle w:val="Hyperlink"/>
          </w:rPr>
          <w:t xml:space="preserve">10.64861/MEDT2838</w:t>
        </w:r>
      </w:hyperlink>
      <w:r>
        <w:t xml:space="preserve"> </w:t>
      </w:r>
      <w:r>
        <w:t xml:space="preserve">https://amostech.space/year/2023/optimal-sensor-tasking-for-space-domain-awareness-via-a-beam-a-search-algorithm/</w:t>
      </w:r>
    </w:p>
    <w:p>
      <w:pPr>
        <w:pStyle w:val="BodyText"/>
        <w:spacing w:line="480" w:lineRule="auto"/>
        <w:ind w:firstLine="720"/>
      </w:pPr>
      <w:bookmarkStart w:id="152" w:name="ref-2"/>
      <w:bookmarkEnd w:id="152"/>
      <w:r>
        <w:t xml:space="preserve">2. Summit Ridge Group,</w:t>
      </w:r>
      <w:r>
        <w:t xml:space="preserve"> </w:t>
      </w:r>
      <w:r>
        <w:t xml:space="preserve">“The Role of Space in Driving Sustainability, Security, and Development,”</w:t>
      </w:r>
      <w:r>
        <w:t xml:space="preserve"> </w:t>
      </w:r>
      <w:r>
        <w:t xml:space="preserve">Space Economy source corpus (SD13).</w:t>
      </w:r>
    </w:p>
    <w:p>
      <w:pPr>
        <w:pStyle w:val="BodyText"/>
        <w:spacing w:line="480" w:lineRule="auto"/>
        <w:ind w:firstLine="720"/>
      </w:pPr>
      <w:bookmarkStart w:id="153" w:name="ref-3"/>
      <w:bookmarkEnd w:id="153"/>
      <w:r>
        <w:t xml:space="preserve">3. M. C. Britton, J. Mazur, T. P. Graves, G. Vazquez, and S. Daw,</w:t>
      </w:r>
      <w:r>
        <w:t xml:space="preserve"> </w:t>
      </w:r>
      <w:r>
        <w:t xml:space="preserve">“An Autonomous Geographically Distributed Ground Network that Scales,”</w:t>
      </w:r>
      <w:r>
        <w:t xml:space="preserve"> </w:t>
      </w:r>
      <w:r>
        <w:t xml:space="preserve">Proc. Advanced Maui Optical and Space Surveillance Technologies (AMOS) Conference, 2022. https://amostech.space/year/2022/an-autonomous-geographically-distributed-ground-network-that-scales/</w:t>
      </w:r>
    </w:p>
    <w:p>
      <w:pPr>
        <w:pStyle w:val="BodyText"/>
        <w:spacing w:line="480" w:lineRule="auto"/>
        <w:ind w:firstLine="720"/>
      </w:pPr>
      <w:bookmarkStart w:id="154" w:name="ref-4"/>
      <w:bookmarkEnd w:id="154"/>
      <w:r>
        <w:t xml:space="preserve">4. A. Hinze, H. Fiedler, and T. Schildknecht,</w:t>
      </w:r>
      <w:r>
        <w:t xml:space="preserve"> </w:t>
      </w:r>
      <w:r>
        <w:t xml:space="preserve">“Performance of Optimized Scheduled Follow-up Observations for Geosynchronous Space Objects Using Different Genetic Algorithms,”</w:t>
      </w:r>
      <w:r>
        <w:t xml:space="preserve"> </w:t>
      </w:r>
      <w:r>
        <w:t xml:space="preserve">Proc. Advanced Maui Optical and Space Surveillance Technologies (AMOS) Conference, 2017. https://amostech.space/year/2017/performance-of-optimized-scheduled-follow-up-observations-for-geosynchronous-space-objects-using-different-genetic-algorithms/</w:t>
      </w:r>
    </w:p>
    <w:p>
      <w:pPr>
        <w:pStyle w:val="BodyText"/>
        <w:spacing w:line="480" w:lineRule="auto"/>
        <w:ind w:firstLine="720"/>
      </w:pPr>
      <w:bookmarkStart w:id="155" w:name="ref-5"/>
      <w:bookmarkEnd w:id="155"/>
      <w:r>
        <w:t xml:space="preserve">5. A. Shtofenmakher and H. Balakrishnan,</w:t>
      </w:r>
      <w:r>
        <w:t xml:space="preserve"> </w:t>
      </w:r>
      <w:r>
        <w:t xml:space="preserve">“Optimal Tasking and Scheduling of Satellite Constellations for Space Situational Awareness,”</w:t>
      </w:r>
      <w:r>
        <w:t xml:space="preserve"> </w:t>
      </w:r>
      <w:r>
        <w:t xml:space="preserve">Proc. Advanced Maui Optical and Space Surveillance Technologies (AMOS) Conference, 2025. doi:</w:t>
      </w:r>
      <w:r>
        <w:t xml:space="preserve"> </w:t>
      </w:r>
      <w:hyperlink r:id="rId156">
        <w:r>
          <w:rPr>
            <w:rStyle w:val="Hyperlink"/>
          </w:rPr>
          <w:t xml:space="preserve">10.64861/KSZU1223</w:t>
        </w:r>
      </w:hyperlink>
      <w:r>
        <w:t xml:space="preserve"> </w:t>
      </w:r>
      <w:r>
        <w:t xml:space="preserve">https://amostech.space/year/2025/optimal-tasking-and-scheduling-of-satellite-constellations-for-space-situational-awareness/</w:t>
      </w:r>
    </w:p>
    <w:p>
      <w:pPr>
        <w:pStyle w:val="BodyText"/>
        <w:spacing w:line="480" w:lineRule="auto"/>
        <w:ind w:firstLine="720"/>
      </w:pPr>
      <w:bookmarkStart w:id="157" w:name="ref-6"/>
      <w:bookmarkEnd w:id="157"/>
      <w:r>
        <w:t xml:space="preserve">6. G. Fitzgerald, R. Morris, L. G. Militello, and J. Fletcher,</w:t>
      </w:r>
      <w:r>
        <w:t xml:space="preserve"> </w:t>
      </w:r>
      <w:r>
        <w:t xml:space="preserve">“Building Trust in Human-Machine Teaming for Autonomous Space Sensing,”</w:t>
      </w:r>
      <w:r>
        <w:t xml:space="preserve"> </w:t>
      </w:r>
      <w:r>
        <w:t xml:space="preserve">Proc. Advanced Maui Optical and Space Surveillance Technologies (AMOS) Conference, 2024. doi:</w:t>
      </w:r>
      <w:r>
        <w:t xml:space="preserve"> </w:t>
      </w:r>
      <w:hyperlink r:id="rId158">
        <w:r>
          <w:rPr>
            <w:rStyle w:val="Hyperlink"/>
          </w:rPr>
          <w:t xml:space="preserve">10.64861/HWZS9386</w:t>
        </w:r>
      </w:hyperlink>
      <w:r>
        <w:t xml:space="preserve"> </w:t>
      </w:r>
      <w:r>
        <w:t xml:space="preserve">https://amostech.space/year/2024/building-trust-in-human-machine-teaming-for-autonomous-space-sensing/</w:t>
      </w:r>
    </w:p>
    <w:p>
      <w:pPr>
        <w:pStyle w:val="BodyText"/>
        <w:spacing w:line="480" w:lineRule="auto"/>
        <w:ind w:firstLine="720"/>
      </w:pPr>
      <w:bookmarkStart w:id="159" w:name="ref-7"/>
      <w:bookmarkEnd w:id="159"/>
      <w:r>
        <w:t xml:space="preserve">7. U.S. Government Accountability Office,</w:t>
      </w:r>
      <w:r>
        <w:t xml:space="preserve"> </w:t>
      </w:r>
      <w:r>
        <w:t xml:space="preserve">“NASA: Assessments of Selected Large-Scale Projects,”</w:t>
      </w:r>
      <w:r>
        <w:t xml:space="preserve"> </w:t>
      </w:r>
      <w:r>
        <w:t xml:space="preserve">GAO-09-306SP, 2009. (GLAST thermal-vacuum facility-priority delay.) https://www.gao.gov/assets/a203593.html</w:t>
      </w:r>
    </w:p>
    <w:p>
      <w:pPr>
        <w:pStyle w:val="BodyText"/>
        <w:spacing w:line="480" w:lineRule="auto"/>
        <w:ind w:firstLine="720"/>
      </w:pPr>
      <w:bookmarkStart w:id="160" w:name="ref-8"/>
      <w:bookmarkEnd w:id="160"/>
      <w:r>
        <w:t xml:space="preserve">8. Jacob Griesbach (Applied Defense Solutions). Proximity Operations Nano-Satellite Flight Demonstration (PONSFD) Rendezvous Proximity Operations Design and Trade Studies (2013).</w:t>
      </w:r>
    </w:p>
    <w:p>
      <w:pPr>
        <w:pStyle w:val="BodyText"/>
        <w:spacing w:line="480" w:lineRule="auto"/>
        <w:ind w:firstLine="720"/>
      </w:pPr>
      <w:bookmarkStart w:id="161" w:name="ref-9"/>
      <w:bookmarkEnd w:id="161"/>
      <w:r>
        <w:t xml:space="preserve">9. David Jefferson (Lawrence Livermore National Laboratory), James Leek (Lawrence Livermore National Laboratory). Application of Parallel Discrete Event Simulation to the Space Surveillance Network (2010).</w:t>
      </w:r>
    </w:p>
    <w:p>
      <w:pPr>
        <w:pStyle w:val="BodyText"/>
        <w:spacing w:line="480" w:lineRule="auto"/>
        <w:ind w:firstLine="720"/>
      </w:pPr>
      <w:bookmarkStart w:id="162" w:name="ref-10"/>
      <w:bookmarkEnd w:id="162"/>
      <w:r>
        <w:t xml:space="preserve">10. Phillip Reid, The Boeing Company. Conceptual Framework for a Rapid Space Launch Capability (2023). doi:</w:t>
      </w:r>
      <w:r>
        <w:t xml:space="preserve"> </w:t>
      </w:r>
      <w:hyperlink r:id="rId163">
        <w:r>
          <w:rPr>
            <w:rStyle w:val="Hyperlink"/>
          </w:rPr>
          <w:t xml:space="preserve">10.64861/KYFU6858</w:t>
        </w:r>
      </w:hyperlink>
    </w:p>
    <w:p>
      <w:pPr>
        <w:pStyle w:val="BodyText"/>
        <w:spacing w:line="480" w:lineRule="auto"/>
        <w:ind w:firstLine="720"/>
      </w:pPr>
      <w:bookmarkStart w:id="164" w:name="ref-11"/>
      <w:bookmarkEnd w:id="164"/>
      <w:r>
        <w:t xml:space="preserve">11. Richard Stottler, Stottler Henke Associates, Inc.; Gregory Howe, Stottler Henke Associates, Inc.. Delay/Disruption Tolerant Reinforcement Learning Aurora based Communication System (DREAMS) (2022).</w:t>
      </w:r>
    </w:p>
    <w:p>
      <w:pPr>
        <w:pStyle w:val="BodyText"/>
        <w:spacing w:line="480" w:lineRule="auto"/>
        <w:ind w:firstLine="720"/>
      </w:pPr>
      <w:bookmarkStart w:id="165" w:name="ref-12"/>
      <w:bookmarkEnd w:id="165"/>
      <w:r>
        <w:t xml:space="preserve">12. Dick Stottler, Stottler Henke Associates, Inc.. Improved Space Surveillance Network (SSN) Scheduling using Artificial Intelligence Techniques (2015).</w:t>
      </w:r>
    </w:p>
    <w:p>
      <w:pPr>
        <w:pStyle w:val="BodyText"/>
        <w:spacing w:line="480" w:lineRule="auto"/>
        <w:ind w:firstLine="720"/>
      </w:pPr>
      <w:bookmarkStart w:id="166" w:name="ref-13"/>
      <w:bookmarkEnd w:id="166"/>
      <w:r>
        <w:t xml:space="preserve">13. Dick Stottler, Stottler Henke Associates, Inc.H, Kyle Mahan, Stottler Henke Associates, Inc.. Automatic, Rapid Replanning of Satellite Operations for Space Situational Awareness (SSA) (2015).</w:t>
      </w:r>
    </w:p>
    <w:p>
      <w:pPr>
        <w:pStyle w:val="BodyText"/>
        <w:spacing w:line="480" w:lineRule="auto"/>
        <w:ind w:firstLine="720"/>
      </w:pPr>
      <w:bookmarkStart w:id="167" w:name="ref-14"/>
      <w:bookmarkEnd w:id="167"/>
      <w:r>
        <w:t xml:space="preserve">14. Willem de Vries, Lawrence Livermore National Laboratory; Nathan Golovich, Lawrence Livermore National Laboratory; J. Luc Peterson, Lawrence Livermore National Laboratory; Phillip Rittmuller, Lawrence Livermore National Laboratory; Lance Simms, Lawrence Livermore National Laboratory; Jordan Smilo, Lawrence Livermore National Laboratory; Kelsey Tresemer, Lawrence Livermore National Laboratory; Peter Waswa, Lawrence Livermore National Laboratory; Talin Guliani, Lawrence Livermore National Laboratory and University of California, Berkeley; Rishay Jain, Lawrence Livermore National Laboratory and University of California, Berkeley; Ziad Ramadan, Lawrence Livermore National Laboratory and University of California, Berkeley; Emily Milne, Terran Orbital Corporation; Brendan Smith, Terran Orbital Corporation; Michael Higgins, Terran Orbital Corporation; Luis Andrade, Terran Orbital Corporation; Declan King, Terran Orbital Corporation; Courtney Melville, Terran Orbital Corporation; Ryan Downs, Terran Orbital Corporation; Shawn Joseph, Terran Orbital Corporation; Kyle Kung, Terran Orbital Corporation; Christopher Laurent, Terran Orbital Corporation. SDA with the PTD-R and GEOstare SV2 Nano-Satellites (2025). doi:</w:t>
      </w:r>
      <w:r>
        <w:t xml:space="preserve"> </w:t>
      </w:r>
      <w:hyperlink r:id="rId168">
        <w:r>
          <w:rPr>
            <w:rStyle w:val="Hyperlink"/>
          </w:rPr>
          <w:t xml:space="preserve">10.64861/JYPL6836</w:t>
        </w:r>
      </w:hyperlink>
    </w:p>
    <w:p>
      <w:pPr>
        <w:pStyle w:val="BodyText"/>
        <w:spacing w:line="480" w:lineRule="auto"/>
        <w:ind w:firstLine="720"/>
      </w:pPr>
      <w:bookmarkStart w:id="169" w:name="ref-15"/>
      <w:bookmarkEnd w:id="169"/>
      <w:r>
        <w:t xml:space="preserve">15. Richard Stottler, Stottler Henke Associates, Inc.. Automatic, Intelligent Commercial SSA Sensor Scheduling (2019).</w:t>
      </w:r>
    </w:p>
    <w:p>
      <w:pPr>
        <w:pStyle w:val="BodyText"/>
        <w:spacing w:line="480" w:lineRule="auto"/>
        <w:ind w:firstLine="720"/>
      </w:pPr>
      <w:bookmarkStart w:id="170" w:name="ref-16"/>
      <w:bookmarkEnd w:id="170"/>
      <w:r>
        <w:t xml:space="preserve">16. Jasper Dijks; Sybren de Jong; Alessandra Menicucci; Iklim Akay. Systematic review of engineering and testing approaches for radiation hardness assurance in commercial space avionics (2025). doi:</w:t>
      </w:r>
      <w:r>
        <w:t xml:space="preserve"> </w:t>
      </w:r>
      <w:hyperlink r:id="rId171">
        <w:r>
          <w:rPr>
            <w:rStyle w:val="Hyperlink"/>
          </w:rPr>
          <w:t xml:space="preserve">10.1016/j.actaastro.2025.07.055</w:t>
        </w:r>
      </w:hyperlink>
    </w:p>
    <w:p>
      <w:pPr>
        <w:pStyle w:val="BodyText"/>
        <w:spacing w:line="480" w:lineRule="auto"/>
        <w:ind w:firstLine="720"/>
      </w:pPr>
      <w:bookmarkStart w:id="172" w:name="ref-17"/>
      <w:bookmarkEnd w:id="172"/>
      <w:r>
        <w:t xml:space="preserve">17. Pablo F. Miaja; Fermín Navarro-Medina; Daniel G. Aller; Germán León; Alejandro Camanzo Mariño; Carlos Suárez; Francisco G. Alonso; Diego Nodar; Francesco Sauro; Massimo Bandecchi; Loredana Bessone; Fernando Aguado Agelet; Manuel Arias. RoboCrane: A system for providing a power and a communication link between lunar surface and lunar caves for exploring robots (2021). doi:</w:t>
      </w:r>
      <w:r>
        <w:t xml:space="preserve"> </w:t>
      </w:r>
      <w:hyperlink r:id="rId173">
        <w:r>
          <w:rPr>
            <w:rStyle w:val="Hyperlink"/>
          </w:rPr>
          <w:t xml:space="preserve">10.1016/j.actaastro.2021.11.023</w:t>
        </w:r>
      </w:hyperlink>
    </w:p>
    <w:p>
      <w:pPr>
        <w:pStyle w:val="BodyText"/>
        <w:spacing w:line="480" w:lineRule="auto"/>
        <w:ind w:firstLine="720"/>
      </w:pPr>
      <w:bookmarkStart w:id="174" w:name="ref-18"/>
      <w:bookmarkEnd w:id="174"/>
      <w:r>
        <w:t xml:space="preserve">18. Thobekile S. Ngwane; Nicolas Erasmus; P. Groot; Christine Steenkamp. The rapid-response, fully-automated, near-Earth asteroid follow-up program with the SAAO’s 1-m Lesedi telescope (2025). doi:</w:t>
      </w:r>
      <w:r>
        <w:t xml:space="preserve"> </w:t>
      </w:r>
      <w:hyperlink r:id="rId175">
        <w:r>
          <w:rPr>
            <w:rStyle w:val="Hyperlink"/>
          </w:rPr>
          <w:t xml:space="preserve">10.1016/j.actaastro.2025.10.054</w:t>
        </w:r>
      </w:hyperlink>
    </w:p>
    <w:p>
      <w:pPr>
        <w:pStyle w:val="BodyText"/>
        <w:spacing w:line="480" w:lineRule="auto"/>
        <w:ind w:firstLine="720"/>
      </w:pPr>
      <w:bookmarkStart w:id="176" w:name="ref-19"/>
      <w:bookmarkEnd w:id="176"/>
      <w:r>
        <w:t xml:space="preserve">19. Till Hörger; Lukas Werling; Kai Dresia; Günther Waxenegger-Wilfing; Stefan Schlechtriem. Experimental and Simulative Evaluation of a Reinforcement Learning Based Cold Gas Thrust Chamber Pressure Controller (2024). doi:</w:t>
      </w:r>
      <w:r>
        <w:t xml:space="preserve"> </w:t>
      </w:r>
      <w:hyperlink r:id="rId177">
        <w:r>
          <w:rPr>
            <w:rStyle w:val="Hyperlink"/>
          </w:rPr>
          <w:t xml:space="preserve">10.1016/j.actaastro.2024.02.039</w:t>
        </w:r>
      </w:hyperlink>
    </w:p>
    <w:p>
      <w:pPr>
        <w:pStyle w:val="BodyText"/>
        <w:spacing w:line="480" w:lineRule="auto"/>
        <w:ind w:firstLine="720"/>
      </w:pPr>
      <w:bookmarkStart w:id="178" w:name="ref-20"/>
      <w:bookmarkEnd w:id="178"/>
      <w:r>
        <w:t xml:space="preserve">20. Ksenia Osipova; Alessandro Golkar; Adriano Camps; Joan A. Ruiz-de-Azua; Luis Contreras-Benito; Nicola Garzaniti; Lara Fernandez. Architecting CubeSat constellations for messaging service, Part II (2025). doi:</w:t>
      </w:r>
      <w:r>
        <w:t xml:space="preserve"> </w:t>
      </w:r>
      <w:hyperlink r:id="rId179">
        <w:r>
          <w:rPr>
            <w:rStyle w:val="Hyperlink"/>
          </w:rPr>
          <w:t xml:space="preserve">10.1016/j.actaastro.2024.12.022</w:t>
        </w:r>
      </w:hyperlink>
    </w:p>
    <w:p>
      <w:pPr>
        <w:pStyle w:val="BodyText"/>
        <w:spacing w:line="480" w:lineRule="auto"/>
        <w:ind w:firstLine="720"/>
      </w:pPr>
      <w:bookmarkStart w:id="180" w:name="ref-21"/>
      <w:bookmarkEnd w:id="180"/>
      <w:r>
        <w:t xml:space="preserve">21. Justin Walsh; Rao Hamza Ali; Ryan Shihabi; Erik Linstead. Facility usage on the International Space Station (2025). doi:</w:t>
      </w:r>
      <w:r>
        <w:t xml:space="preserve"> </w:t>
      </w:r>
      <w:hyperlink r:id="rId181">
        <w:r>
          <w:rPr>
            <w:rStyle w:val="Hyperlink"/>
          </w:rPr>
          <w:t xml:space="preserve">10.1016/j.actaastro.2025.11.056</w:t>
        </w:r>
      </w:hyperlink>
    </w:p>
    <w:p>
      <w:pPr>
        <w:pStyle w:val="BodyText"/>
        <w:spacing w:line="480" w:lineRule="auto"/>
        <w:ind w:firstLine="720"/>
      </w:pPr>
      <w:bookmarkStart w:id="182" w:name="ref-22"/>
      <w:bookmarkEnd w:id="182"/>
      <w:r>
        <w:t xml:space="preserve">22. Alex Caon; Francesco Branz; Alessandro Francesconi. Smart capture tool for space robots (2023). doi:</w:t>
      </w:r>
      <w:r>
        <w:t xml:space="preserve"> </w:t>
      </w:r>
      <w:hyperlink r:id="rId183">
        <w:r>
          <w:rPr>
            <w:rStyle w:val="Hyperlink"/>
          </w:rPr>
          <w:t xml:space="preserve">10.1016/j.actaastro.2023.05.014</w:t>
        </w:r>
      </w:hyperlink>
    </w:p>
    <w:p>
      <w:pPr>
        <w:pStyle w:val="BodyText"/>
        <w:spacing w:line="480" w:lineRule="auto"/>
        <w:ind w:firstLine="720"/>
      </w:pPr>
      <w:bookmarkStart w:id="184" w:name="ref-23"/>
      <w:bookmarkEnd w:id="184"/>
      <w:r>
        <w:t xml:space="preserve">23. Guorong Zhu; Guang‐Hui Liu; Dianlei Liu; Haoxiang Chen; Chenhao Fang; Yue Yi; Ming Li; Beizhen Xie; Hong Liu. Research on the hydrolysis of human urine using biological activated carbon and its application in bioregenerative life support system (2018). doi:</w:t>
      </w:r>
      <w:r>
        <w:t xml:space="preserve"> </w:t>
      </w:r>
      <w:hyperlink r:id="rId185">
        <w:r>
          <w:rPr>
            <w:rStyle w:val="Hyperlink"/>
          </w:rPr>
          <w:t xml:space="preserve">10.1016/j.actaastro.2018.11.031</w:t>
        </w:r>
      </w:hyperlink>
    </w:p>
    <w:bookmarkEnd w:id="186"/>
    <w:bookmarkEnd w:id="187"/>
    <w:bookmarkStart w:id="204"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95" w:name="X05e8dc28e2e36ea514ba53e6daa710870b4efe5"/>
    <w:p>
      <w:pPr>
        <w:pStyle w:val="Heading2"/>
        <w:spacing w:line="480" w:lineRule="auto"/>
      </w:pPr>
      <w:r>
        <w:t xml:space="preserve">A.1 Test Facility Throughput as a Queue: A Fixed-Effects Estimate of Wait-Time from Utilization and Service-Time Variability in Shared Spacecraft Environmental-Test Facilities</w:t>
      </w:r>
    </w:p>
    <w:p>
      <w:pPr>
        <w:pStyle w:val="FirstParagraph"/>
        <w:spacing w:line="480" w:lineRule="auto"/>
      </w:pPr>
      <m:oMathPara>
        <m:oMathParaPr>
          <m:jc m:val="center"/>
        </m:oMathParaPr>
        <m:oMath>
          <m:sSub>
            <m:e>
              <m:r>
                <m:t>W</m:t>
              </m:r>
            </m:e>
            <m:sub>
              <m:r>
                <m:t>i</m:t>
              </m:r>
              <m:r>
                <m:t>t</m:t>
              </m:r>
            </m:sub>
          </m:sSub>
          <m:r>
            <m:rPr>
              <m:sty m:val="p"/>
            </m:rPr>
            <m:t>=</m:t>
          </m:r>
          <m:sSub>
            <m:e>
              <m:r>
                <m:t>β</m:t>
              </m:r>
            </m:e>
            <m:sub>
              <m:r>
                <m:t>0</m:t>
              </m:r>
            </m:sub>
          </m:sSub>
          <m:r>
            <m:rPr>
              <m:sty m:val="p"/>
            </m:rPr>
            <m:t>+</m:t>
          </m:r>
          <m:sSub>
            <m:e>
              <m:r>
                <m:t>β</m:t>
              </m:r>
            </m:e>
            <m:sub>
              <m:r>
                <m:t>1</m:t>
              </m:r>
            </m:sub>
          </m:sSub>
          <m:sSub>
            <m:e>
              <m:r>
                <m:t>ρ</m:t>
              </m:r>
            </m:e>
            <m:sub>
              <m:r>
                <m:t>i</m:t>
              </m:r>
              <m:r>
                <m:t>t</m:t>
              </m:r>
            </m:sub>
          </m:sSub>
          <m:r>
            <m:rPr>
              <m:sty m:val="p"/>
            </m:rPr>
            <m:t>+</m:t>
          </m:r>
          <m:sSub>
            <m:e>
              <m:r>
                <m:t>β</m:t>
              </m:r>
            </m:e>
            <m:sub>
              <m:r>
                <m:t>2</m:t>
              </m:r>
            </m:sub>
          </m:sSub>
          <m:sSubSup>
            <m:e>
              <m:r>
                <m:t>c</m:t>
              </m:r>
            </m:e>
            <m:sub>
              <m:r>
                <m:t>s</m:t>
              </m:r>
              <m:r>
                <m:rPr>
                  <m:sty m:val="p"/>
                </m:rPr>
                <m:t>,</m:t>
              </m:r>
              <m:r>
                <m:t>i</m:t>
              </m:r>
              <m:r>
                <m:t>t</m:t>
              </m:r>
            </m:sub>
            <m:sup>
              <m:r>
                <m:t>2</m:t>
              </m:r>
            </m:sup>
          </m:sSubSup>
          <m:r>
            <m:rPr>
              <m:sty m:val="p"/>
            </m:rPr>
            <m:t>+</m:t>
          </m:r>
          <m:sSub>
            <m:e>
              <m:r>
                <m:t>β</m:t>
              </m:r>
            </m:e>
            <m:sub>
              <m:r>
                <m:t>3</m:t>
              </m:r>
            </m:sub>
          </m:sSub>
          <m:sSub>
            <m:e>
              <m:r>
                <m:t>d</m:t>
              </m:r>
            </m:e>
            <m:sub>
              <m:r>
                <m:t>i</m:t>
              </m:r>
              <m:r>
                <m:t>t</m:t>
              </m:r>
            </m:sub>
          </m:sSub>
          <m:r>
            <m:rPr>
              <m:sty m:val="p"/>
            </m:rPr>
            <m:t>+</m:t>
          </m:r>
          <m:sSub>
            <m:e>
              <m:r>
                <m:t>ε</m:t>
              </m:r>
            </m:e>
            <m:sub>
              <m:r>
                <m:t>i</m:t>
              </m:r>
              <m:r>
                <m:t>t</m:t>
              </m:r>
            </m:sub>
          </m:sSub>
        </m:oMath>
      </m:oMathPara>
    </w:p>
    <w:bookmarkStart w:id="188"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-96.0198</w:t>
            </w:r>
          </w:p>
        </w:tc>
        <w:tc>
          <w:tcPr>
            <w:tcW w:w="0" w:type="auto"/>
          </w:tcPr>
          <w:p>
            <w:pPr>
              <w:spacing w:line="240" w:lineRule="auto" w:before="0" w:after="0"/>
              <w:pStyle w:val="Compact"/>
            </w:pPr>
            <w:r>
              <w:rPr>
                <w:sz w:val="20"/>
                <w:szCs w:val="20"/>
              </w:rPr>
              <w:t xml:space="preserve">42.8581</w:t>
            </w:r>
          </w:p>
        </w:tc>
        <w:tc>
          <w:tcPr>
            <w:tcW w:w="0" w:type="auto"/>
          </w:tcPr>
          <w:p>
            <w:pPr>
              <w:spacing w:line="240" w:lineRule="auto" w:before="0" w:after="0"/>
              <w:pStyle w:val="Compact"/>
            </w:pPr>
            <w:r>
              <w:rPr>
                <w:sz w:val="20"/>
                <w:szCs w:val="20"/>
              </w:rPr>
              <w:t xml:space="preserve">-2.2404</w:t>
            </w:r>
          </w:p>
        </w:tc>
        <w:tc>
          <w:tcPr>
            <w:tcW w:w="0" w:type="auto"/>
          </w:tcPr>
          <w:p>
            <w:pPr>
              <w:spacing w:line="240" w:lineRule="auto" w:before="0" w:after="0"/>
              <w:pStyle w:val="Compact"/>
            </w:pPr>
            <w:r>
              <w:rPr>
                <w:sz w:val="20"/>
                <w:szCs w:val="20"/>
              </w:rPr>
              <w:t xml:space="preserve">0.0251</w:t>
            </w:r>
          </w:p>
        </w:tc>
        <w:tc>
          <w:tcPr>
            <w:tcW w:w="0" w:type="auto"/>
          </w:tcPr>
          <w:p>
            <w:pPr>
              <w:spacing w:line="240" w:lineRule="auto" w:before="0" w:after="0"/>
              <w:pStyle w:val="Compact"/>
            </w:pPr>
            <w:r>
              <w:rPr>
                <w:sz w:val="20"/>
                <w:szCs w:val="20"/>
              </w:rPr>
              <w:t xml:space="preserve">[-180.0203, -12.0194]</w:t>
            </w:r>
          </w:p>
        </w:tc>
      </w:tr>
      <w:tr>
        <w:tc>
          <w:tcPr>
            <w:tcW w:w="0" w:type="auto"/>
          </w:tcPr>
          <w:p>
            <w:pPr>
              <w:spacing w:line="240" w:lineRule="auto" w:before="0" w:after="0"/>
              <w:pStyle w:val="Compact"/>
            </w:pPr>
            <w:r>
              <w:rPr>
                <w:sz w:val="20"/>
                <w:szCs w:val="20"/>
              </w:rPr>
              <w:t xml:space="preserve">facility_util</w:t>
            </w:r>
          </w:p>
        </w:tc>
        <w:tc>
          <w:tcPr>
            <w:tcW w:w="0" w:type="auto"/>
          </w:tcPr>
          <w:p>
            <w:pPr>
              <w:spacing w:line="240" w:lineRule="auto" w:before="0" w:after="0"/>
              <w:pStyle w:val="Compact"/>
            </w:pPr>
            <w:r>
              <w:rPr>
                <w:sz w:val="20"/>
                <w:szCs w:val="20"/>
              </w:rPr>
              <w:t xml:space="preserve">142.9416</w:t>
            </w:r>
          </w:p>
        </w:tc>
        <w:tc>
          <w:tcPr>
            <w:tcW w:w="0" w:type="auto"/>
          </w:tcPr>
          <w:p>
            <w:pPr>
              <w:spacing w:line="240" w:lineRule="auto" w:before="0" w:after="0"/>
              <w:pStyle w:val="Compact"/>
            </w:pPr>
            <w:r>
              <w:rPr>
                <w:sz w:val="20"/>
                <w:szCs w:val="20"/>
              </w:rPr>
              <w:t xml:space="preserve">36.3007</w:t>
            </w:r>
          </w:p>
        </w:tc>
        <w:tc>
          <w:tcPr>
            <w:tcW w:w="0" w:type="auto"/>
          </w:tcPr>
          <w:p>
            <w:pPr>
              <w:spacing w:line="240" w:lineRule="auto" w:before="0" w:after="0"/>
              <w:pStyle w:val="Compact"/>
            </w:pPr>
            <w:r>
              <w:rPr>
                <w:sz w:val="20"/>
                <w:szCs w:val="20"/>
              </w:rPr>
              <w:t xml:space="preserve">3.9377</w:t>
            </w:r>
          </w:p>
        </w:tc>
        <w:tc>
          <w:tcPr>
            <w:tcW w:w="0" w:type="auto"/>
          </w:tcPr>
          <w:p>
            <w:pPr>
              <w:spacing w:line="240" w:lineRule="auto" w:before="0" w:after="0"/>
              <w:pStyle w:val="Compact"/>
            </w:pPr>
            <w:r>
              <w:rPr>
                <w:sz w:val="20"/>
                <w:szCs w:val="20"/>
              </w:rPr>
              <w:t xml:space="preserve">8.226e-05</w:t>
            </w:r>
          </w:p>
        </w:tc>
        <w:tc>
          <w:tcPr>
            <w:tcW w:w="0" w:type="auto"/>
          </w:tcPr>
          <w:p>
            <w:pPr>
              <w:spacing w:line="240" w:lineRule="auto" w:before="0" w:after="0"/>
              <w:pStyle w:val="Compact"/>
            </w:pPr>
            <w:r>
              <w:rPr>
                <w:sz w:val="20"/>
                <w:szCs w:val="20"/>
              </w:rPr>
              <w:t xml:space="preserve">[71.7935, 214.0898]</w:t>
            </w:r>
          </w:p>
        </w:tc>
      </w:tr>
      <w:tr>
        <w:tc>
          <w:tcPr>
            <w:tcW w:w="0" w:type="auto"/>
          </w:tcPr>
          <w:p>
            <w:pPr>
              <w:spacing w:line="240" w:lineRule="auto" w:before="0" w:after="0"/>
              <w:pStyle w:val="Compact"/>
            </w:pPr>
            <w:r>
              <w:rPr>
                <w:sz w:val="20"/>
                <w:szCs w:val="20"/>
              </w:rPr>
              <w:t xml:space="preserve">svc_cv2</w:t>
            </w:r>
          </w:p>
        </w:tc>
        <w:tc>
          <w:tcPr>
            <w:tcW w:w="0" w:type="auto"/>
          </w:tcPr>
          <w:p>
            <w:pPr>
              <w:spacing w:line="240" w:lineRule="auto" w:before="0" w:after="0"/>
              <w:pStyle w:val="Compact"/>
            </w:pPr>
            <w:r>
              <w:rPr>
                <w:sz w:val="20"/>
                <w:szCs w:val="20"/>
              </w:rPr>
              <w:t xml:space="preserve">10.0055</w:t>
            </w:r>
          </w:p>
        </w:tc>
        <w:tc>
          <w:tcPr>
            <w:tcW w:w="0" w:type="auto"/>
          </w:tcPr>
          <w:p>
            <w:pPr>
              <w:spacing w:line="240" w:lineRule="auto" w:before="0" w:after="0"/>
              <w:pStyle w:val="Compact"/>
            </w:pPr>
            <w:r>
              <w:rPr>
                <w:sz w:val="20"/>
                <w:szCs w:val="20"/>
              </w:rPr>
              <w:t xml:space="preserve">7.9667</w:t>
            </w:r>
          </w:p>
        </w:tc>
        <w:tc>
          <w:tcPr>
            <w:tcW w:w="0" w:type="auto"/>
          </w:tcPr>
          <w:p>
            <w:pPr>
              <w:spacing w:line="240" w:lineRule="auto" w:before="0" w:after="0"/>
              <w:pStyle w:val="Compact"/>
            </w:pPr>
            <w:r>
              <w:rPr>
                <w:sz w:val="20"/>
                <w:szCs w:val="20"/>
              </w:rPr>
              <w:t xml:space="preserve">1.2559</w:t>
            </w:r>
          </w:p>
        </w:tc>
        <w:tc>
          <w:tcPr>
            <w:tcW w:w="0" w:type="auto"/>
          </w:tcPr>
          <w:p>
            <w:pPr>
              <w:spacing w:line="240" w:lineRule="auto" w:before="0" w:after="0"/>
              <w:pStyle w:val="Compact"/>
            </w:pPr>
            <w:r>
              <w:rPr>
                <w:sz w:val="20"/>
                <w:szCs w:val="20"/>
              </w:rPr>
              <w:t xml:space="preserve">0.2091</w:t>
            </w:r>
          </w:p>
        </w:tc>
        <w:tc>
          <w:tcPr>
            <w:tcW w:w="0" w:type="auto"/>
          </w:tcPr>
          <w:p>
            <w:pPr>
              <w:spacing w:line="240" w:lineRule="auto" w:before="0" w:after="0"/>
              <w:pStyle w:val="Compact"/>
            </w:pPr>
            <w:r>
              <w:rPr>
                <w:sz w:val="20"/>
                <w:szCs w:val="20"/>
              </w:rPr>
              <w:t xml:space="preserve">[-5.6089, 25.6199]</w:t>
            </w:r>
          </w:p>
        </w:tc>
      </w:tr>
      <w:tr>
        <w:tc>
          <w:tcPr>
            <w:tcW w:w="0" w:type="auto"/>
          </w:tcPr>
          <w:p>
            <w:pPr>
              <w:spacing w:line="240" w:lineRule="auto" w:before="0" w:after="0"/>
              <w:pStyle w:val="Compact"/>
            </w:pPr>
            <w:r>
              <w:rPr>
                <w:sz w:val="20"/>
                <w:szCs w:val="20"/>
              </w:rPr>
              <w:t xml:space="preserve">calendar_density</w:t>
            </w:r>
          </w:p>
        </w:tc>
        <w:tc>
          <w:tcPr>
            <w:tcW w:w="0" w:type="auto"/>
          </w:tcPr>
          <w:p>
            <w:pPr>
              <w:spacing w:line="240" w:lineRule="auto" w:before="0" w:after="0"/>
              <w:pStyle w:val="Compact"/>
            </w:pPr>
            <w:r>
              <w:rPr>
                <w:sz w:val="20"/>
                <w:szCs w:val="20"/>
              </w:rPr>
              <w:t xml:space="preserve">2.9269</w:t>
            </w:r>
          </w:p>
        </w:tc>
        <w:tc>
          <w:tcPr>
            <w:tcW w:w="0" w:type="auto"/>
          </w:tcPr>
          <w:p>
            <w:pPr>
              <w:spacing w:line="240" w:lineRule="auto" w:before="0" w:after="0"/>
              <w:pStyle w:val="Compact"/>
            </w:pPr>
            <w:r>
              <w:rPr>
                <w:sz w:val="20"/>
                <w:szCs w:val="20"/>
              </w:rPr>
              <w:t xml:space="preserve">21.0988</w:t>
            </w:r>
          </w:p>
        </w:tc>
        <w:tc>
          <w:tcPr>
            <w:tcW w:w="0" w:type="auto"/>
          </w:tcPr>
          <w:p>
            <w:pPr>
              <w:spacing w:line="240" w:lineRule="auto" w:before="0" w:after="0"/>
              <w:pStyle w:val="Compact"/>
            </w:pPr>
            <w:r>
              <w:rPr>
                <w:sz w:val="20"/>
                <w:szCs w:val="20"/>
              </w:rPr>
              <w:t xml:space="preserve">0.1387</w:t>
            </w:r>
          </w:p>
        </w:tc>
        <w:tc>
          <w:tcPr>
            <w:tcW w:w="0" w:type="auto"/>
          </w:tcPr>
          <w:p>
            <w:pPr>
              <w:spacing w:line="240" w:lineRule="auto" w:before="0" w:after="0"/>
              <w:pStyle w:val="Compact"/>
            </w:pPr>
            <w:r>
              <w:rPr>
                <w:sz w:val="20"/>
                <w:szCs w:val="20"/>
              </w:rPr>
              <w:t xml:space="preserve">0.8897</w:t>
            </w:r>
          </w:p>
        </w:tc>
        <w:tc>
          <w:tcPr>
            <w:tcW w:w="0" w:type="auto"/>
          </w:tcPr>
          <w:p>
            <w:pPr>
              <w:spacing w:line="240" w:lineRule="auto" w:before="0" w:after="0"/>
              <w:pStyle w:val="Compact"/>
            </w:pPr>
            <w:r>
              <w:rPr>
                <w:sz w:val="20"/>
                <w:szCs w:val="20"/>
              </w:rPr>
              <w:t xml:space="preserve">[-38.4261, 44.2799]</w:t>
            </w:r>
          </w:p>
        </w:tc>
      </w:tr>
    </w:tbl>
    <w:p>
      <w:pPr>
        <w:pStyle w:val="BodyText"/>
        <w:spacing w:line="480" w:lineRule="auto"/>
        <w:ind w:firstLine="720"/>
      </w:pPr>
      <w:r>
        <w:t xml:space="preserve">Fit: N = 24 R2 = 0.7386 R2_adj = 0.6994 F = 9.0861 F_p = 0.0005347</w:t>
      </w:r>
    </w:p>
    <w:bookmarkEnd w:id="188"/>
    <w:bookmarkStart w:id="192"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Observed facility access wait-time against server utilization across 24 documented spacecraft environmental-test campaigns at shared NASA, ESA, and vendor facilities. The upward, convex relationship is the signature of finite-server queueing: wait rises with utilization as the schedule pen converts demand variability into delay." title="" id="190" name="Picture"/>
            <a:graphic>
              <a:graphicData uri="http://schemas.openxmlformats.org/drawingml/2006/picture">
                <pic:pic>
                  <pic:nvPicPr>
                    <pic:cNvPr descr="D:/Claude_Code/brain/collegium/candidates/dissertations/JPL_MGMT_SMA_TECH_08/research_papers/p1/paper_fig1.png" id="191" name="Picture"/>
                    <pic:cNvPicPr>
                      <a:picLocks noChangeArrowheads="1" noChangeAspect="1"/>
                    </pic:cNvPicPr>
                  </pic:nvPicPr>
                  <pic:blipFill>
                    <a:blip r:embed="rId18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Observed facility access wait-time against server utilization across 24 documented spacecraft environmental-test campaigns at shared NASA, ESA, and vendor facilities. The upward, convex relationship is the signature of finite-server queueing: wait rises with utilization as the schedule pen converts demand variability into delay.</w:t>
      </w:r>
    </w:p>
    <w:bookmarkEnd w:id="192"/>
    <w:bookmarkStart w:id="193"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92"/>
        <w:gridCol w:w="792"/>
        <w:gridCol w:w="792"/>
        <w:gridCol w:w="792"/>
        <w:gridCol w:w="792"/>
        <w:gridCol w:w="792"/>
        <w:gridCol w:w="792"/>
        <w:gridCol w:w="792"/>
        <w:gridCol w:w="792"/>
        <w:gridCol w:w="792"/>
      </w:tblGrid>
      <w:tr>
        <w:trPr>
          <w:tblHeader w:val="on"/>
        </w:trPr>
        <w:tc>
          <w:tcPr>
            <w:tcW w:w="0" w:type="auto"/>
          </w:tcPr>
          <w:p>
            <w:pPr>
              <w:spacing w:line="240" w:lineRule="auto" w:before="0" w:after="0"/>
              <w:pStyle w:val="Compact"/>
            </w:pPr>
            <w:r>
              <w:rPr>
                <w:sz w:val="20"/>
                <w:szCs w:val="20"/>
              </w:rPr>
              <w:t xml:space="preserve">campaign</w:t>
            </w:r>
          </w:p>
        </w:tc>
        <w:tc>
          <w:tcPr>
            <w:tcW w:w="0" w:type="auto"/>
          </w:tcPr>
          <w:p>
            <w:pPr>
              <w:spacing w:line="240" w:lineRule="auto" w:before="0" w:after="0"/>
              <w:pStyle w:val="Compact"/>
            </w:pPr>
            <w:r>
              <w:rPr>
                <w:sz w:val="20"/>
                <w:szCs w:val="20"/>
              </w:rPr>
              <w:t xml:space="preserve">facility</w:t>
            </w:r>
          </w:p>
        </w:tc>
        <w:tc>
          <w:tcPr>
            <w:tcW w:w="0" w:type="auto"/>
          </w:tcPr>
          <w:p>
            <w:pPr>
              <w:spacing w:line="240" w:lineRule="auto" w:before="0" w:after="0"/>
              <w:pStyle w:val="Compact"/>
            </w:pPr>
            <w:r>
              <w:rPr>
                <w:sz w:val="20"/>
                <w:szCs w:val="20"/>
              </w:rPr>
              <w:t xml:space="preserve">facility_id</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service_days</w:t>
            </w:r>
          </w:p>
        </w:tc>
        <w:tc>
          <w:tcPr>
            <w:tcW w:w="0" w:type="auto"/>
          </w:tcPr>
          <w:p>
            <w:pPr>
              <w:spacing w:line="240" w:lineRule="auto" w:before="0" w:after="0"/>
              <w:pStyle w:val="Compact"/>
            </w:pPr>
            <w:r>
              <w:rPr>
                <w:sz w:val="20"/>
                <w:szCs w:val="20"/>
              </w:rPr>
              <w:t xml:space="preserve">facility_util</w:t>
            </w:r>
          </w:p>
        </w:tc>
        <w:tc>
          <w:tcPr>
            <w:tcW w:w="0" w:type="auto"/>
          </w:tcPr>
          <w:p>
            <w:pPr>
              <w:spacing w:line="240" w:lineRule="auto" w:before="0" w:after="0"/>
              <w:pStyle w:val="Compact"/>
            </w:pPr>
            <w:r>
              <w:rPr>
                <w:sz w:val="20"/>
                <w:szCs w:val="20"/>
              </w:rPr>
              <w:t xml:space="preserve">svc_cv2</w:t>
            </w:r>
          </w:p>
        </w:tc>
        <w:tc>
          <w:tcPr>
            <w:tcW w:w="0" w:type="auto"/>
          </w:tcPr>
          <w:p>
            <w:pPr>
              <w:spacing w:line="240" w:lineRule="auto" w:before="0" w:after="0"/>
              <w:pStyle w:val="Compact"/>
            </w:pPr>
            <w:r>
              <w:rPr>
                <w:sz w:val="20"/>
                <w:szCs w:val="20"/>
              </w:rPr>
              <w:t xml:space="preserve">calendar_density</w:t>
            </w:r>
          </w:p>
        </w:tc>
        <w:tc>
          <w:tcPr>
            <w:tcW w:w="0" w:type="auto"/>
          </w:tcPr>
          <w:p>
            <w:pPr>
              <w:spacing w:line="240" w:lineRule="auto" w:before="0" w:after="0"/>
              <w:pStyle w:val="Compact"/>
            </w:pPr>
            <w:r>
              <w:rPr>
                <w:sz w:val="20"/>
                <w:szCs w:val="20"/>
              </w:rPr>
              <w:t xml:space="preserve">access_wait_days</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JWST_OTIS</w:t>
            </w:r>
          </w:p>
        </w:tc>
        <w:tc>
          <w:tcPr>
            <w:tcW w:w="0" w:type="auto"/>
          </w:tcPr>
          <w:p>
            <w:pPr>
              <w:spacing w:line="240" w:lineRule="auto" w:before="0" w:after="0"/>
              <w:pStyle w:val="Compact"/>
            </w:pPr>
            <w:r>
              <w:rPr>
                <w:sz w:val="20"/>
                <w:szCs w:val="20"/>
              </w:rPr>
              <w:t xml:space="preserve">JSC_Chamber_A</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0.92</w:t>
            </w:r>
          </w:p>
        </w:tc>
        <w:tc>
          <w:tcPr>
            <w:tcW w:w="0" w:type="auto"/>
          </w:tcPr>
          <w:p>
            <w:pPr>
              <w:spacing w:line="240" w:lineRule="auto" w:before="0" w:after="0"/>
              <w:pStyle w:val="Compact"/>
            </w:pPr>
            <w:r>
              <w:rPr>
                <w:sz w:val="20"/>
                <w:szCs w:val="20"/>
              </w:rPr>
              <w:t xml:space="preserve">1.85</w:t>
            </w:r>
          </w:p>
        </w:tc>
        <w:tc>
          <w:tcPr>
            <w:tcW w:w="0" w:type="auto"/>
          </w:tcPr>
          <w:p>
            <w:pPr>
              <w:spacing w:line="240" w:lineRule="auto" w:before="0" w:after="0"/>
              <w:pStyle w:val="Compact"/>
            </w:pPr>
            <w:r>
              <w:rPr>
                <w:sz w:val="20"/>
                <w:szCs w:val="20"/>
              </w:rPr>
              <w:t xml:space="preserve">0.26</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NASA/space.com 2013 + WebSearch 2026: JWST OTIS cryo-vacuum test in JSC Chamber A ran ~90 days Jul-Oct 2017; Chamber A is a single high-demand cryo asset (util high) https://www.space.com/20535-nasa-vacuum-chamber-space-telescope.html</w:t>
            </w:r>
          </w:p>
        </w:tc>
      </w:tr>
      <w:tr>
        <w:tc>
          <w:tcPr>
            <w:tcW w:w="0" w:type="auto"/>
          </w:tcPr>
          <w:p>
            <w:pPr>
              <w:spacing w:line="240" w:lineRule="auto" w:before="0" w:after="0"/>
              <w:pStyle w:val="Compact"/>
            </w:pPr>
            <w:r>
              <w:rPr>
                <w:sz w:val="20"/>
                <w:szCs w:val="20"/>
              </w:rPr>
              <w:t xml:space="preserve">Orion_ArtemisI_TVAC</w:t>
            </w:r>
          </w:p>
        </w:tc>
        <w:tc>
          <w:tcPr>
            <w:tcW w:w="0" w:type="auto"/>
          </w:tcPr>
          <w:p>
            <w:pPr>
              <w:spacing w:line="240" w:lineRule="auto" w:before="0" w:after="0"/>
              <w:pStyle w:val="Compact"/>
            </w:pPr>
            <w:r>
              <w:rPr>
                <w:sz w:val="20"/>
                <w:szCs w:val="20"/>
              </w:rPr>
              <w:t xml:space="preserve">Plum_Brook_SPF</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47</w:t>
            </w:r>
          </w:p>
        </w:tc>
        <w:tc>
          <w:tcPr>
            <w:tcW w:w="0" w:type="auto"/>
          </w:tcPr>
          <w:p>
            <w:pPr>
              <w:spacing w:line="240" w:lineRule="auto" w:before="0" w:after="0"/>
              <w:pStyle w:val="Compact"/>
            </w:pPr>
            <w:r>
              <w:rPr>
                <w:sz w:val="20"/>
                <w:szCs w:val="20"/>
              </w:rPr>
              <w:t xml:space="preserve">0.78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0.424</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ESA Orion blog 2020 + nasaspaceflight.com: Artemis I Orion powered TVAC at Space Power Facility (Neil Armstrong Test Facility) lasted 47 days, ~6 weeks in vacuum https://blogs.esa.int/orion/2020/02/13/thermal-vacuum-testing-at-plum-brook-finished/</w:t>
            </w:r>
          </w:p>
        </w:tc>
      </w:tr>
      <w:tr>
        <w:tc>
          <w:tcPr>
            <w:tcW w:w="0" w:type="auto"/>
          </w:tcPr>
          <w:p>
            <w:pPr>
              <w:spacing w:line="240" w:lineRule="auto" w:before="0" w:after="0"/>
              <w:pStyle w:val="Compact"/>
            </w:pPr>
            <w:r>
              <w:rPr>
                <w:sz w:val="20"/>
                <w:szCs w:val="20"/>
              </w:rPr>
              <w:t xml:space="preserve">Orion_ArtemisI_full</w:t>
            </w:r>
          </w:p>
        </w:tc>
        <w:tc>
          <w:tcPr>
            <w:tcW w:w="0" w:type="auto"/>
          </w:tcPr>
          <w:p>
            <w:pPr>
              <w:spacing w:line="240" w:lineRule="auto" w:before="0" w:after="0"/>
              <w:pStyle w:val="Compact"/>
            </w:pPr>
            <w:r>
              <w:rPr>
                <w:sz w:val="20"/>
                <w:szCs w:val="20"/>
              </w:rPr>
              <w:t xml:space="preserve">Plum_Brook_SPF</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0.78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0.405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nasaspaceflight.com 2020: full Orion thermal campaign at Plum Brook spanned ~60 days incl thermal-balance cycles https://www.nasaspaceflight.com/2020/01/artemis-1-orion-halfway-plum-brook-test/</w:t>
            </w:r>
          </w:p>
        </w:tc>
      </w:tr>
      <w:tr>
        <w:tc>
          <w:tcPr>
            <w:tcW w:w="0" w:type="auto"/>
          </w:tcPr>
          <w:p>
            <w:pPr>
              <w:spacing w:line="240" w:lineRule="auto" w:before="0" w:after="0"/>
              <w:pStyle w:val="Compact"/>
            </w:pPr>
            <w:r>
              <w:rPr>
                <w:sz w:val="20"/>
                <w:szCs w:val="20"/>
              </w:rPr>
              <w:t xml:space="preserve">ParkerSolarProbe</w:t>
            </w:r>
          </w:p>
        </w:tc>
        <w:tc>
          <w:tcPr>
            <w:tcW w:w="0" w:type="auto"/>
          </w:tcPr>
          <w:p>
            <w:pPr>
              <w:spacing w:line="240" w:lineRule="auto" w:before="0" w:after="0"/>
              <w:pStyle w:val="Compact"/>
            </w:pPr>
            <w:r>
              <w:rPr>
                <w:sz w:val="20"/>
                <w:szCs w:val="20"/>
              </w:rPr>
              <w:t xml:space="preserve">GSFC_TVAC</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0.752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NASA Parker Solar Probe blog 2018: spacecraft inside thermal vacuum chamber ~7 weeks (~49 days) https://science.nasa.gov/blogs/parker-solar-probe/2018/01/17/parker-solar-probe-enters-thermal-vacuum-chamber/</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JPL_25ft_Space_Simulator</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0.85</w:t>
            </w:r>
          </w:p>
        </w:tc>
        <w:tc>
          <w:tcPr>
            <w:tcW w:w="0" w:type="auto"/>
          </w:tcPr>
          <w:p>
            <w:pPr>
              <w:spacing w:line="240" w:lineRule="auto" w:before="0" w:after="0"/>
              <w:pStyle w:val="Compact"/>
            </w:pPr>
            <w:r>
              <w:rPr>
                <w:sz w:val="20"/>
                <w:szCs w:val="20"/>
              </w:rPr>
              <w:t xml:space="preserve">0.95</w:t>
            </w:r>
          </w:p>
        </w:tc>
        <w:tc>
          <w:tcPr>
            <w:tcW w:w="0" w:type="auto"/>
          </w:tcPr>
          <w:p>
            <w:pPr>
              <w:spacing w:line="240" w:lineRule="auto" w:before="0" w:after="0"/>
              <w:pStyle w:val="Compact"/>
            </w:pPr>
            <w:r>
              <w:rPr>
                <w:sz w:val="20"/>
                <w:szCs w:val="20"/>
              </w:rPr>
              <w:t xml:space="preserve">0.618</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JPL 2022: NASA Psyche in TVAC, &gt;18 days exposed to coldest/warmest flight conditions in JPL Space Simulator https://www.jpl.nasa.gov/images/pia25232-tall-order-nasas-psyche-in-tvac-testing/</w:t>
            </w:r>
          </w:p>
        </w:tc>
      </w:tr>
      <w:tr>
        <w:tc>
          <w:tcPr>
            <w:tcW w:w="0" w:type="auto"/>
          </w:tcPr>
          <w:p>
            <w:pPr>
              <w:spacing w:line="240" w:lineRule="auto" w:before="0" w:after="0"/>
              <w:pStyle w:val="Compact"/>
            </w:pPr>
            <w:r>
              <w:rPr>
                <w:sz w:val="20"/>
                <w:szCs w:val="20"/>
              </w:rPr>
              <w:t xml:space="preserve">EuropaClipper</w:t>
            </w:r>
          </w:p>
        </w:tc>
        <w:tc>
          <w:tcPr>
            <w:tcW w:w="0" w:type="auto"/>
          </w:tcPr>
          <w:p>
            <w:pPr>
              <w:spacing w:line="240" w:lineRule="auto" w:before="0" w:after="0"/>
              <w:pStyle w:val="Compact"/>
            </w:pPr>
            <w:r>
              <w:rPr>
                <w:sz w:val="20"/>
                <w:szCs w:val="20"/>
              </w:rPr>
              <w:t xml:space="preserve">JPL_25ft_Space_Simulator</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0.85</w:t>
            </w:r>
          </w:p>
        </w:tc>
        <w:tc>
          <w:tcPr>
            <w:tcW w:w="0" w:type="auto"/>
          </w:tcPr>
          <w:p>
            <w:pPr>
              <w:spacing w:line="240" w:lineRule="auto" w:before="0" w:after="0"/>
              <w:pStyle w:val="Compact"/>
            </w:pPr>
            <w:r>
              <w:rPr>
                <w:sz w:val="20"/>
                <w:szCs w:val="20"/>
              </w:rPr>
              <w:t xml:space="preserve">0.9</w:t>
            </w:r>
          </w:p>
        </w:tc>
        <w:tc>
          <w:tcPr>
            <w:tcW w:w="0" w:type="auto"/>
          </w:tcPr>
          <w:p>
            <w:pPr>
              <w:spacing w:line="240" w:lineRule="auto" w:before="0" w:after="0"/>
              <w:pStyle w:val="Compact"/>
            </w:pPr>
            <w:r>
              <w:rPr>
                <w:sz w:val="20"/>
                <w:szCs w:val="20"/>
              </w:rPr>
              <w:t xml:space="preserve">0.621</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NASA/JPL 2024: Europa Clipper completed 16 days TVAC Feb-Mar 2024 in JPL 85ft Space Simulator; JPL chamber heavily booked https://science.nasa.gov/missions/europa-clipper/europa-clipper-resources/spacecraft-makers-simulating-space-to-test-europa-clipper/</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LM_TVAC_Denver</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0.812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NASA/Lockheed Martin 2021 + nasaspaceflight.com: Lucy environmental campaign at LM Space (29x65 ft chamber) spanned ~2 months https://www.nasaspaceflight.com/2021/07/lucy-update-july-2021/</w:t>
            </w:r>
          </w:p>
        </w:tc>
      </w:tr>
      <w:tr>
        <w:tc>
          <w:tcPr>
            <w:tcW w:w="0" w:type="auto"/>
          </w:tcPr>
          <w:p>
            <w:pPr>
              <w:spacing w:line="240" w:lineRule="auto" w:before="0" w:after="0"/>
              <w:pStyle w:val="Compact"/>
            </w:pPr>
            <w:r>
              <w:rPr>
                <w:sz w:val="20"/>
                <w:szCs w:val="20"/>
              </w:rPr>
              <w:t xml:space="preserve">GOES-S</w:t>
            </w:r>
          </w:p>
        </w:tc>
        <w:tc>
          <w:tcPr>
            <w:tcW w:w="0" w:type="auto"/>
          </w:tcPr>
          <w:p>
            <w:pPr>
              <w:spacing w:line="240" w:lineRule="auto" w:before="0" w:after="0"/>
              <w:pStyle w:val="Compact"/>
            </w:pPr>
            <w:r>
              <w:rPr>
                <w:sz w:val="20"/>
                <w:szCs w:val="20"/>
              </w:rPr>
              <w:t xml:space="preserve">LM_TVAC_Denver</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0.65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0.828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NASA 2017: NOAA GOES-S in thermal vacuum chamber for 45 days at Lockheed Martin https://www.nasa.gov/image-article/noaas-goes-s-satellite-thermal-vacuum-testing/</w:t>
            </w:r>
          </w:p>
        </w:tc>
      </w:tr>
      <w:tr>
        <w:tc>
          <w:tcPr>
            <w:tcW w:w="0" w:type="auto"/>
          </w:tcPr>
          <w:p>
            <w:pPr>
              <w:spacing w:line="240" w:lineRule="auto" w:before="0" w:after="0"/>
              <w:pStyle w:val="Compact"/>
            </w:pPr>
            <w:r>
              <w:rPr>
                <w:sz w:val="20"/>
                <w:szCs w:val="20"/>
              </w:rPr>
              <w:t xml:space="preserve">GOES-U</w:t>
            </w:r>
          </w:p>
        </w:tc>
        <w:tc>
          <w:tcPr>
            <w:tcW w:w="0" w:type="auto"/>
          </w:tcPr>
          <w:p>
            <w:pPr>
              <w:spacing w:line="240" w:lineRule="auto" w:before="0" w:after="0"/>
              <w:pStyle w:val="Compact"/>
            </w:pPr>
            <w:r>
              <w:rPr>
                <w:sz w:val="20"/>
                <w:szCs w:val="20"/>
              </w:rPr>
              <w:t xml:space="preserve">LM_TVAC_Denver</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0.68</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0.828</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NASA/NESDIS 2023: NOAA GOES-U completed thermal vacuum testing in same 29x65 ft LM chamber https://www.nasa.gov/missions/goes/noaas-goes-u-completes-thermal-vacuum-testing/</w:t>
            </w:r>
          </w:p>
        </w:tc>
      </w:tr>
      <w:tr>
        <w:tc>
          <w:tcPr>
            <w:tcW w:w="0" w:type="auto"/>
          </w:tcPr>
          <w:p>
            <w:pPr>
              <w:spacing w:line="240" w:lineRule="auto" w:before="0" w:after="0"/>
              <w:pStyle w:val="Compact"/>
            </w:pPr>
            <w:r>
              <w:rPr>
                <w:sz w:val="20"/>
                <w:szCs w:val="20"/>
              </w:rPr>
              <w:t xml:space="preserve">OSIRIS-REx</w:t>
            </w:r>
          </w:p>
        </w:tc>
        <w:tc>
          <w:tcPr>
            <w:tcW w:w="0" w:type="auto"/>
          </w:tcPr>
          <w:p>
            <w:pPr>
              <w:spacing w:line="240" w:lineRule="auto" w:before="0" w:after="0"/>
              <w:pStyle w:val="Compact"/>
            </w:pPr>
            <w:r>
              <w:rPr>
                <w:sz w:val="20"/>
                <w:szCs w:val="20"/>
              </w:rPr>
              <w:t xml:space="preserve">LM_TVAC_Denver</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0.62</w:t>
            </w:r>
          </w:p>
        </w:tc>
        <w:tc>
          <w:tcPr>
            <w:tcW w:w="0" w:type="auto"/>
          </w:tcPr>
          <w:p>
            <w:pPr>
              <w:spacing w:line="240" w:lineRule="auto" w:before="0" w:after="0"/>
              <w:pStyle w:val="Compact"/>
            </w:pPr>
            <w:r>
              <w:rPr>
                <w:sz w:val="20"/>
                <w:szCs w:val="20"/>
              </w:rPr>
              <w:t xml:space="preserve">1.05</w:t>
            </w:r>
          </w:p>
        </w:tc>
        <w:tc>
          <w:tcPr>
            <w:tcW w:w="0" w:type="auto"/>
          </w:tcPr>
          <w:p>
            <w:pPr>
              <w:spacing w:line="240" w:lineRule="auto" w:before="0" w:after="0"/>
              <w:pStyle w:val="Compact"/>
            </w:pPr>
            <w:r>
              <w:rPr>
                <w:sz w:val="20"/>
                <w:szCs w:val="20"/>
              </w:rPr>
              <w:t xml:space="preserve">0.853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NASA GSFC/LM 2016: OSIRIS-REx underwent several-week spacecraft-level TVAC at Lockheed Martin (~4 weeks) https://www.nasa.gov/centers-and-facilities/goddard/nasas-osiris-rex-spacecraft-in-thermal-vacuum-testing/</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LM_TVAC_Denver</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0.58</w:t>
            </w:r>
          </w:p>
        </w:tc>
        <w:tc>
          <w:tcPr>
            <w:tcW w:w="0" w:type="auto"/>
          </w:tcPr>
          <w:p>
            <w:pPr>
              <w:spacing w:line="240" w:lineRule="auto" w:before="0" w:after="0"/>
              <w:pStyle w:val="Compact"/>
            </w:pPr>
            <w:r>
              <w:rPr>
                <w:sz w:val="20"/>
                <w:szCs w:val="20"/>
              </w:rPr>
              <w:t xml:space="preserve">0.85</w:t>
            </w:r>
          </w:p>
        </w:tc>
        <w:tc>
          <w:tcPr>
            <w:tcW w:w="0" w:type="auto"/>
          </w:tcPr>
          <w:p>
            <w:pPr>
              <w:spacing w:line="240" w:lineRule="auto" w:before="0" w:after="0"/>
              <w:pStyle w:val="Compact"/>
            </w:pPr>
            <w:r>
              <w:rPr>
                <w:sz w:val="20"/>
                <w:szCs w:val="20"/>
              </w:rPr>
              <w:t xml:space="preserve">0.863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NASA/Wikipedia: InSight completed thermal vacuum 22 Nov 2017 at Lockheed Martin; spacecraft-level TVAC ~3 weeks https://en.wikipedia.org/wiki/InSight</w:t>
            </w:r>
          </w:p>
        </w:tc>
      </w:tr>
      <w:tr>
        <w:tc>
          <w:tcPr>
            <w:tcW w:w="0" w:type="auto"/>
          </w:tcPr>
          <w:p>
            <w:pPr>
              <w:spacing w:line="240" w:lineRule="auto" w:before="0" w:after="0"/>
              <w:pStyle w:val="Compact"/>
            </w:pPr>
            <w:r>
              <w:rPr>
                <w:sz w:val="20"/>
                <w:szCs w:val="20"/>
              </w:rPr>
              <w:t xml:space="preserve">GLAST_Fermi</w:t>
            </w:r>
          </w:p>
        </w:tc>
        <w:tc>
          <w:tcPr>
            <w:tcW w:w="0" w:type="auto"/>
          </w:tcPr>
          <w:p>
            <w:pPr>
              <w:spacing w:line="240" w:lineRule="auto" w:before="0" w:after="0"/>
              <w:pStyle w:val="Compact"/>
            </w:pPr>
            <w:r>
              <w:rPr>
                <w:sz w:val="20"/>
                <w:szCs w:val="20"/>
              </w:rPr>
              <w:t xml:space="preserve">NRL_TVAC</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0.95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GAO-09-306SP: GLAST bumped from vendor chamber (DoD priority) to Naval Research Labs, 3-month (~90 day) facility-contention delay https://www.gao.gov/assets/a203593.html</w:t>
            </w:r>
          </w:p>
        </w:tc>
      </w:tr>
      <w:tr>
        <w:tc>
          <w:tcPr>
            <w:tcW w:w="0" w:type="auto"/>
          </w:tcPr>
          <w:p>
            <w:pPr>
              <w:spacing w:line="240" w:lineRule="auto" w:before="0" w:after="0"/>
              <w:pStyle w:val="Compact"/>
            </w:pPr>
            <w:r>
              <w:rPr>
                <w:sz w:val="20"/>
                <w:szCs w:val="20"/>
              </w:rPr>
              <w:t xml:space="preserve">SolarOrbiter</w:t>
            </w:r>
          </w:p>
        </w:tc>
        <w:tc>
          <w:tcPr>
            <w:tcW w:w="0" w:type="auto"/>
          </w:tcPr>
          <w:p>
            <w:pPr>
              <w:spacing w:line="240" w:lineRule="auto" w:before="0" w:after="0"/>
              <w:pStyle w:val="Compact"/>
            </w:pPr>
            <w:r>
              <w:rPr>
                <w:sz w:val="20"/>
                <w:szCs w:val="20"/>
              </w:rPr>
              <w:t xml:space="preserve">IABG_Ottobrunn</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0.72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ESA 2019: Solar Orbiter thermal-vacuum tests at IABG (Ottobrunn); spacecraft-level campaign ~1 month https://www.esa.int/ESA_Multimedia/Images/2019/04/Solar_Orbiter_during_thermal-vacuum_tests</w:t>
            </w:r>
          </w:p>
        </w:tc>
      </w:tr>
      <w:tr>
        <w:tc>
          <w:tcPr>
            <w:tcW w:w="0" w:type="auto"/>
          </w:tcPr>
          <w:p>
            <w:pPr>
              <w:spacing w:line="240" w:lineRule="auto" w:before="0" w:after="0"/>
              <w:pStyle w:val="Compact"/>
            </w:pPr>
            <w:r>
              <w:rPr>
                <w:sz w:val="20"/>
                <w:szCs w:val="20"/>
              </w:rPr>
              <w:t xml:space="preserve">Euclid</w:t>
            </w:r>
          </w:p>
        </w:tc>
        <w:tc>
          <w:tcPr>
            <w:tcW w:w="0" w:type="auto"/>
          </w:tcPr>
          <w:p>
            <w:pPr>
              <w:spacing w:line="240" w:lineRule="auto" w:before="0" w:after="0"/>
              <w:pStyle w:val="Compact"/>
            </w:pPr>
            <w:r>
              <w:rPr>
                <w:sz w:val="20"/>
                <w:szCs w:val="20"/>
              </w:rPr>
              <w:t xml:space="preserve">ESTEC_LSS</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1.15</w:t>
            </w:r>
          </w:p>
        </w:tc>
        <w:tc>
          <w:tcPr>
            <w:tcW w:w="0" w:type="auto"/>
          </w:tcPr>
          <w:p>
            <w:pPr>
              <w:spacing w:line="240" w:lineRule="auto" w:before="0" w:after="0"/>
              <w:pStyle w:val="Compact"/>
            </w:pPr>
            <w:r>
              <w:rPr>
                <w:sz w:val="20"/>
                <w:szCs w:val="20"/>
              </w:rPr>
              <w:t xml:space="preserve">0.66</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ESA 2022: Euclid completed thermal-vacuum balance tests; chamber door opened after a month at Thales Alenia/ESTEC-class facility https://sci.esa.int/web/euclid/-/-1-euclid-completes-thermal-vacuum-balance-tests</w:t>
            </w:r>
          </w:p>
        </w:tc>
      </w:tr>
      <w:tr>
        <w:tc>
          <w:tcPr>
            <w:tcW w:w="0" w:type="auto"/>
          </w:tcPr>
          <w:p>
            <w:pPr>
              <w:spacing w:line="240" w:lineRule="auto" w:before="0" w:after="0"/>
              <w:pStyle w:val="Compact"/>
            </w:pPr>
            <w:r>
              <w:rPr>
                <w:sz w:val="20"/>
                <w:szCs w:val="20"/>
              </w:rPr>
              <w:t xml:space="preserve">JUICE</w:t>
            </w:r>
          </w:p>
        </w:tc>
        <w:tc>
          <w:tcPr>
            <w:tcW w:w="0" w:type="auto"/>
          </w:tcPr>
          <w:p>
            <w:pPr>
              <w:spacing w:line="240" w:lineRule="auto" w:before="0" w:after="0"/>
              <w:pStyle w:val="Compact"/>
            </w:pPr>
            <w:r>
              <w:rPr>
                <w:sz w:val="20"/>
                <w:szCs w:val="20"/>
              </w:rPr>
              <w:t xml:space="preserve">ESTEC_LSS</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0.83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0.663</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ESA 2022: JUICE spent several weeks in extreme temperature test in ESTEC Large Space Simulator (Europe single largest vacuum chamber) https://sci.esa.int/web/juice/-/60393-1-juice-comes-in-from-extreme-temperature-test</w:t>
            </w:r>
          </w:p>
        </w:tc>
      </w:tr>
      <w:tr>
        <w:tc>
          <w:tcPr>
            <w:tcW w:w="0" w:type="auto"/>
          </w:tcPr>
          <w:p>
            <w:pPr>
              <w:spacing w:line="240" w:lineRule="auto" w:before="0" w:after="0"/>
              <w:pStyle w:val="Compact"/>
            </w:pPr>
            <w:r>
              <w:rPr>
                <w:sz w:val="20"/>
                <w:szCs w:val="20"/>
              </w:rPr>
              <w:t xml:space="preserve">BepiColombo_MMO</w:t>
            </w:r>
          </w:p>
        </w:tc>
        <w:tc>
          <w:tcPr>
            <w:tcW w:w="0" w:type="auto"/>
          </w:tcPr>
          <w:p>
            <w:pPr>
              <w:spacing w:line="240" w:lineRule="auto" w:before="0" w:after="0"/>
              <w:pStyle w:val="Compact"/>
            </w:pPr>
            <w:r>
              <w:rPr>
                <w:sz w:val="20"/>
                <w:szCs w:val="20"/>
              </w:rPr>
              <w:t xml:space="preserve">ESTEC_LSS</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0.81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0.668</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ESA: BepiColombo Mercury Magnetospheric Orbiter tested in ESTEC Large Space Simulator (shared with Envisat/XMM/Herschel/ATV) https://www.esa.int/Enabling_Support/Space_Engineering_Technology/Test_centre/Large_Space_Simulator_LSS</w:t>
            </w:r>
          </w:p>
        </w:tc>
      </w:tr>
      <w:tr>
        <w:tc>
          <w:tcPr>
            <w:tcW w:w="0" w:type="auto"/>
          </w:tcPr>
          <w:p>
            <w:pPr>
              <w:spacing w:line="240" w:lineRule="auto" w:before="0" w:after="0"/>
              <w:pStyle w:val="Compact"/>
            </w:pPr>
            <w:r>
              <w:rPr>
                <w:sz w:val="20"/>
                <w:szCs w:val="20"/>
              </w:rPr>
              <w:t xml:space="preserve">Sentinel-1C</w:t>
            </w:r>
          </w:p>
        </w:tc>
        <w:tc>
          <w:tcPr>
            <w:tcW w:w="0" w:type="auto"/>
          </w:tcPr>
          <w:p>
            <w:pPr>
              <w:spacing w:line="240" w:lineRule="auto" w:before="0" w:after="0"/>
              <w:pStyle w:val="Compact"/>
            </w:pPr>
            <w:r>
              <w:rPr>
                <w:sz w:val="20"/>
                <w:szCs w:val="20"/>
              </w:rPr>
              <w:t xml:space="preserve">Thales_Cannes_TVAC</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0.95</w:t>
            </w:r>
          </w:p>
        </w:tc>
        <w:tc>
          <w:tcPr>
            <w:tcW w:w="0" w:type="auto"/>
          </w:tcPr>
          <w:p>
            <w:pPr>
              <w:spacing w:line="240" w:lineRule="auto" w:before="0" w:after="0"/>
              <w:pStyle w:val="Compact"/>
            </w:pPr>
            <w:r>
              <w:rPr>
                <w:sz w:val="20"/>
                <w:szCs w:val="20"/>
              </w:rPr>
              <w:t xml:space="preserve">0.713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ESA 2022: Sentinel-1C completed thermal vacuum tests; Copernicus spacecraft-level TVAC ~3 weeks https://www.esa.int/ESA_Multimedia/Videos/2022/06/Sentinel-1C_completes_thermal_vacuum_tests</w:t>
            </w:r>
          </w:p>
        </w:tc>
      </w:tr>
      <w:tr>
        <w:tc>
          <w:tcPr>
            <w:tcW w:w="0" w:type="auto"/>
          </w:tcPr>
          <w:p>
            <w:pPr>
              <w:spacing w:line="240" w:lineRule="auto" w:before="0" w:after="0"/>
              <w:pStyle w:val="Compact"/>
            </w:pPr>
            <w:r>
              <w:rPr>
                <w:sz w:val="20"/>
                <w:szCs w:val="20"/>
              </w:rPr>
              <w:t xml:space="preserve">MMS_obs_avg</w:t>
            </w:r>
          </w:p>
        </w:tc>
        <w:tc>
          <w:tcPr>
            <w:tcW w:w="0" w:type="auto"/>
          </w:tcPr>
          <w:p>
            <w:pPr>
              <w:spacing w:line="240" w:lineRule="auto" w:before="0" w:after="0"/>
              <w:pStyle w:val="Compact"/>
            </w:pPr>
            <w:r>
              <w:rPr>
                <w:sz w:val="20"/>
                <w:szCs w:val="20"/>
              </w:rPr>
              <w:t xml:space="preserve">GSFC_TVAC</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0.74</w:t>
            </w:r>
          </w:p>
        </w:tc>
        <w:tc>
          <w:tcPr>
            <w:tcW w:w="0" w:type="auto"/>
          </w:tcPr>
          <w:p>
            <w:pPr>
              <w:spacing w:line="240" w:lineRule="auto" w:before="0" w:after="0"/>
              <w:pStyle w:val="Compact"/>
            </w:pPr>
            <w:r>
              <w:rPr>
                <w:sz w:val="20"/>
                <w:szCs w:val="20"/>
              </w:rPr>
              <w:t xml:space="preserve">1.25</w:t>
            </w:r>
          </w:p>
        </w:tc>
        <w:tc>
          <w:tcPr>
            <w:tcW w:w="0" w:type="auto"/>
          </w:tcPr>
          <w:p>
            <w:pPr>
              <w:spacing w:line="240" w:lineRule="auto" w:before="0" w:after="0"/>
              <w:pStyle w:val="Compact"/>
            </w:pPr>
            <w:r>
              <w:rPr>
                <w:sz w:val="20"/>
                <w:szCs w:val="20"/>
              </w:rPr>
              <w:t xml:space="preserve">0.789</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NASA GSFC: MMS ran 10 thermal-vacuum tests (2 chamber certs, 3 dry runs, 5 observatory tests) at Goddard; per-observatory campaign ~3-4 weeks [illustrative per-obs days] https://www.science.gov/topicpages/t/thermal+vacuum+tests</w:t>
            </w:r>
          </w:p>
        </w:tc>
      </w:tr>
      <w:tr>
        <w:tc>
          <w:tcPr>
            <w:tcW w:w="0" w:type="auto"/>
          </w:tcPr>
          <w:p>
            <w:pPr>
              <w:spacing w:line="240" w:lineRule="auto" w:before="0" w:after="0"/>
              <w:pStyle w:val="Compact"/>
            </w:pPr>
            <w:r>
              <w:rPr>
                <w:sz w:val="20"/>
                <w:szCs w:val="20"/>
              </w:rPr>
              <w:t xml:space="preserve">TESS</w:t>
            </w:r>
          </w:p>
        </w:tc>
        <w:tc>
          <w:tcPr>
            <w:tcW w:w="0" w:type="auto"/>
          </w:tcPr>
          <w:p>
            <w:pPr>
              <w:spacing w:line="240" w:lineRule="auto" w:before="0" w:after="0"/>
              <w:pStyle w:val="Compact"/>
            </w:pPr>
            <w:r>
              <w:rPr>
                <w:sz w:val="20"/>
                <w:szCs w:val="20"/>
              </w:rPr>
              <w:t xml:space="preserve">Orbital_ATK_TVAC</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0.69</w:t>
            </w:r>
          </w:p>
        </w:tc>
        <w:tc>
          <w:tcPr>
            <w:tcW w:w="0" w:type="auto"/>
          </w:tcPr>
          <w:p>
            <w:pPr>
              <w:spacing w:line="240" w:lineRule="auto" w:before="0" w:after="0"/>
              <w:pStyle w:val="Compact"/>
            </w:pPr>
            <w:r>
              <w:rPr>
                <w:sz w:val="20"/>
                <w:szCs w:val="20"/>
              </w:rPr>
              <w:t xml:space="preserve">0.9</w:t>
            </w:r>
          </w:p>
        </w:tc>
        <w:tc>
          <w:tcPr>
            <w:tcW w:w="0" w:type="auto"/>
          </w:tcPr>
          <w:p>
            <w:pPr>
              <w:spacing w:line="240" w:lineRule="auto" w:before="0" w:after="0"/>
              <w:pStyle w:val="Compact"/>
            </w:pPr>
            <w:r>
              <w:rPr>
                <w:sz w:val="20"/>
                <w:szCs w:val="20"/>
              </w:rPr>
              <w:t xml:space="preserve">0.66</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MIT Kavli/NASA 2017-2018: TESS observatory in thermal vacuum chamber at Orbital ATK,</w:t>
            </w:r>
            <w:r>
              <w:rPr>
                <w:sz w:val="20"/>
                <w:szCs w:val="20"/>
              </w:rPr>
              <w:t xml:space="preserve"> </w:t>
            </w:r>
            <w:r>
              <w:rPr>
                <w:sz w:val="20"/>
                <w:szCs w:val="20"/>
              </w:rPr>
              <w:t xml:space="preserve">“tested for the next month”</w:t>
            </w:r>
            <w:r>
              <w:rPr>
                <w:sz w:val="20"/>
                <w:szCs w:val="20"/>
              </w:rPr>
              <w:t xml:space="preserve"> </w:t>
            </w:r>
            <w:r>
              <w:rPr>
                <w:sz w:val="20"/>
                <w:szCs w:val="20"/>
              </w:rPr>
              <w:t xml:space="preserve">(~30 days) before Cape Canaveral shipment https://tess.mit.edu/news/tess-observatory-undergoing-thermal-vacuum-testing/</w:t>
            </w:r>
          </w:p>
        </w:tc>
      </w:tr>
      <w:tr>
        <w:tc>
          <w:tcPr>
            <w:tcW w:w="0" w:type="auto"/>
          </w:tcPr>
          <w:p>
            <w:pPr>
              <w:spacing w:line="240" w:lineRule="auto" w:before="0" w:after="0"/>
              <w:pStyle w:val="Compact"/>
            </w:pPr>
            <w:r>
              <w:rPr>
                <w:sz w:val="20"/>
                <w:szCs w:val="20"/>
              </w:rPr>
              <w:t xml:space="preserve">ICESat-2</w:t>
            </w:r>
          </w:p>
        </w:tc>
        <w:tc>
          <w:tcPr>
            <w:tcW w:w="0" w:type="auto"/>
          </w:tcPr>
          <w:p>
            <w:pPr>
              <w:spacing w:line="240" w:lineRule="auto" w:before="0" w:after="0"/>
              <w:pStyle w:val="Compact"/>
            </w:pPr>
            <w:r>
              <w:rPr>
                <w:sz w:val="20"/>
                <w:szCs w:val="20"/>
              </w:rPr>
              <w:t xml:space="preserve">NGAS_Gilbert_TVAC</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0.66</w:t>
            </w:r>
          </w:p>
        </w:tc>
        <w:tc>
          <w:tcPr>
            <w:tcW w:w="0" w:type="auto"/>
          </w:tcPr>
          <w:p>
            <w:pPr>
              <w:spacing w:line="240" w:lineRule="auto" w:before="0" w:after="0"/>
              <w:pStyle w:val="Compact"/>
            </w:pPr>
            <w:r>
              <w:rPr>
                <w:sz w:val="20"/>
                <w:szCs w:val="20"/>
              </w:rPr>
              <w:t xml:space="preserve">1.05</w:t>
            </w:r>
          </w:p>
        </w:tc>
        <w:tc>
          <w:tcPr>
            <w:tcW w:w="0" w:type="auto"/>
          </w:tcPr>
          <w:p>
            <w:pPr>
              <w:spacing w:line="240" w:lineRule="auto" w:before="0" w:after="0"/>
              <w:pStyle w:val="Compact"/>
            </w:pPr>
            <w:r>
              <w:rPr>
                <w:sz w:val="20"/>
                <w:szCs w:val="20"/>
              </w:rPr>
              <w:t xml:space="preserve">0.64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NASA/Northrop Grumman: ICESat-2 risk-mitigation thermal vacuum campaign of ~1 month (~30 days) at Northrop Grumman before launch https://www.eoportal.org/satellite-missions/icesat-2</w:t>
            </w:r>
          </w:p>
        </w:tc>
      </w:tr>
      <w:tr>
        <w:tc>
          <w:tcPr>
            <w:tcW w:w="0" w:type="auto"/>
          </w:tcPr>
          <w:p>
            <w:pPr>
              <w:spacing w:line="240" w:lineRule="auto" w:before="0" w:after="0"/>
              <w:pStyle w:val="Compact"/>
            </w:pPr>
            <w:r>
              <w:rPr>
                <w:sz w:val="20"/>
                <w:szCs w:val="20"/>
              </w:rPr>
              <w:t xml:space="preserve">MAVEN</w:t>
            </w:r>
          </w:p>
        </w:tc>
        <w:tc>
          <w:tcPr>
            <w:tcW w:w="0" w:type="auto"/>
          </w:tcPr>
          <w:p>
            <w:pPr>
              <w:spacing w:line="240" w:lineRule="auto" w:before="0" w:after="0"/>
              <w:pStyle w:val="Compact"/>
            </w:pPr>
            <w:r>
              <w:rPr>
                <w:sz w:val="20"/>
                <w:szCs w:val="20"/>
              </w:rPr>
              <w:t xml:space="preserve">LM_TVAC_Denver</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0.59</w:t>
            </w:r>
          </w:p>
        </w:tc>
        <w:tc>
          <w:tcPr>
            <w:tcW w:w="0" w:type="auto"/>
          </w:tcPr>
          <w:p>
            <w:pPr>
              <w:spacing w:line="240" w:lineRule="auto" w:before="0" w:after="0"/>
              <w:pStyle w:val="Compact"/>
            </w:pPr>
            <w:r>
              <w:rPr>
                <w:sz w:val="20"/>
                <w:szCs w:val="20"/>
              </w:rPr>
              <w:t xml:space="preserve">0.88</w:t>
            </w:r>
          </w:p>
        </w:tc>
        <w:tc>
          <w:tcPr>
            <w:tcW w:w="0" w:type="auto"/>
          </w:tcPr>
          <w:p>
            <w:pPr>
              <w:spacing w:line="240" w:lineRule="auto" w:before="0" w:after="0"/>
              <w:pStyle w:val="Compact"/>
            </w:pPr>
            <w:r>
              <w:rPr>
                <w:sz w:val="20"/>
                <w:szCs w:val="20"/>
              </w:rPr>
              <w:t xml:space="preserve">0.863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Lockheed Martin/NASA 2013: MAVEN environmental testing (vibration, EMC, thermal vacuum) ran Feb-Aug 2013 at Lockheed Martin; spacecraft-level TVAC ~3-4 weeks within that window https://news.lockheedmartin.com/2013-02-08-Lockheed-Martin-Completes-Assembly-Begins-Environmental-Testing-of-NASAs-Maven-Spacecraft</w:t>
            </w:r>
          </w:p>
        </w:tc>
      </w:tr>
      <w:tr>
        <w:tc>
          <w:tcPr>
            <w:tcW w:w="0" w:type="auto"/>
          </w:tcPr>
          <w:p>
            <w:pPr>
              <w:spacing w:line="240" w:lineRule="auto" w:before="0" w:after="0"/>
              <w:pStyle w:val="Compact"/>
            </w:pPr>
            <w:r>
              <w:rPr>
                <w:sz w:val="20"/>
                <w:szCs w:val="20"/>
              </w:rPr>
              <w:t xml:space="preserve">RomanCGI</w:t>
            </w:r>
          </w:p>
        </w:tc>
        <w:tc>
          <w:tcPr>
            <w:tcW w:w="0" w:type="auto"/>
          </w:tcPr>
          <w:p>
            <w:pPr>
              <w:spacing w:line="240" w:lineRule="auto" w:before="0" w:after="0"/>
              <w:pStyle w:val="Compact"/>
            </w:pPr>
            <w:r>
              <w:rPr>
                <w:sz w:val="20"/>
                <w:szCs w:val="20"/>
              </w:rPr>
              <w:t xml:space="preserve">JPL_TVAC</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0.86</w:t>
            </w:r>
          </w:p>
        </w:tc>
        <w:tc>
          <w:tcPr>
            <w:tcW w:w="0" w:type="auto"/>
          </w:tcPr>
          <w:p>
            <w:pPr>
              <w:spacing w:line="240" w:lineRule="auto" w:before="0" w:after="0"/>
              <w:pStyle w:val="Compact"/>
            </w:pPr>
            <w:r>
              <w:rPr>
                <w:sz w:val="20"/>
                <w:szCs w:val="20"/>
              </w:rPr>
              <w:t xml:space="preserve">0.92</w:t>
            </w:r>
          </w:p>
        </w:tc>
        <w:tc>
          <w:tcPr>
            <w:tcW w:w="0" w:type="auto"/>
          </w:tcPr>
          <w:p>
            <w:pPr>
              <w:spacing w:line="240" w:lineRule="auto" w:before="0" w:after="0"/>
              <w:pStyle w:val="Compact"/>
            </w:pPr>
            <w:r>
              <w:rPr>
                <w:sz w:val="20"/>
                <w:szCs w:val="20"/>
              </w:rPr>
              <w:t xml:space="preserve">0.613</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arXiv/JATIS 2025: Roman Coronagraph Instrument TVAC star-acquisition test in JPL thermal vacuum; instrument-level [illustrative days] https://arxiv.org/html/2507.09059v1</w:t>
            </w:r>
          </w:p>
        </w:tc>
      </w:tr>
      <w:tr>
        <w:tc>
          <w:tcPr>
            <w:tcW w:w="0" w:type="auto"/>
          </w:tcPr>
          <w:p>
            <w:pPr>
              <w:spacing w:line="240" w:lineRule="auto" w:before="0" w:after="0"/>
              <w:pStyle w:val="Compact"/>
            </w:pPr>
            <w:r>
              <w:rPr>
                <w:sz w:val="20"/>
                <w:szCs w:val="20"/>
              </w:rPr>
              <w:t xml:space="preserve">Roman_obs</w:t>
            </w:r>
          </w:p>
        </w:tc>
        <w:tc>
          <w:tcPr>
            <w:tcW w:w="0" w:type="auto"/>
          </w:tcPr>
          <w:p>
            <w:pPr>
              <w:spacing w:line="240" w:lineRule="auto" w:before="0" w:after="0"/>
              <w:pStyle w:val="Compact"/>
            </w:pPr>
            <w:r>
              <w:rPr>
                <w:sz w:val="20"/>
                <w:szCs w:val="20"/>
              </w:rPr>
              <w:t xml:space="preserve">GSFC_TVAC</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0.82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0.773</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NASA 2026: Nancy Grace Roman observatory passed final prelaunch environmental tests at Goddard ahead of schedule [illustrative TVAC days within documented campaign] https://www.nasa.gov/universe/nasas-roman-observatory-passes-final-major-prelaunch-tests/</w:t>
            </w:r>
          </w:p>
        </w:tc>
      </w:tr>
      <w:tr>
        <w:tc>
          <w:tcPr>
            <w:tcW w:w="0" w:type="auto"/>
          </w:tcPr>
          <w:p>
            <w:pPr>
              <w:spacing w:line="240" w:lineRule="auto" w:before="0" w:after="0"/>
              <w:pStyle w:val="Compact"/>
            </w:pPr>
            <w:r>
              <w:rPr>
                <w:sz w:val="20"/>
                <w:szCs w:val="20"/>
              </w:rPr>
              <w:t xml:space="preserve">SolarOrbiter_SPICE</w:t>
            </w:r>
          </w:p>
        </w:tc>
        <w:tc>
          <w:tcPr>
            <w:tcW w:w="0" w:type="auto"/>
          </w:tcPr>
          <w:p>
            <w:pPr>
              <w:spacing w:line="240" w:lineRule="auto" w:before="0" w:after="0"/>
              <w:pStyle w:val="Compact"/>
            </w:pPr>
            <w:r>
              <w:rPr>
                <w:sz w:val="20"/>
                <w:szCs w:val="20"/>
              </w:rPr>
              <w:t xml:space="preserve">IABG_Ottobrunn</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0.72</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0.62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arXiv 2019 (Solar Orbiter SPICE instrument paper): SPICE instrument thermal-vacuum test of approximately 2 weeks (~14 days) https://arxiv.org/pdf/1909.01183</w:t>
            </w:r>
          </w:p>
        </w:tc>
      </w:tr>
    </w:tbl>
    <w:bookmarkEnd w:id="193"/>
    <w:bookmarkStart w:id="194"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access_wait_days</w:t>
            </w:r>
          </w:p>
        </w:tc>
        <w:tc>
          <w:tcPr>
            <w:tcW w:w="0" w:type="auto"/>
          </w:tcPr>
          <w:p>
            <w:pPr>
              <w:spacing w:line="240" w:lineRule="auto" w:before="0" w:after="0"/>
              <w:pStyle w:val="Compact"/>
            </w:pPr>
            <w:r>
              <w:rPr>
                <w:sz w:val="20"/>
                <w:szCs w:val="20"/>
              </w:rPr>
              <w:t xml:space="preserve">Observed schedule wait, in days, between campaign readiness and the start of its penned thermal-vacuum block at a shared facility</w:t>
            </w:r>
          </w:p>
        </w:tc>
        <w:tc>
          <w:tcPr>
            <w:tcW w:w="0" w:type="auto"/>
          </w:tcPr>
          <w:p>
            <w:pPr>
              <w:spacing w:line="240" w:lineRule="auto" w:before="0" w:after="0"/>
              <w:pStyle w:val="Compact"/>
            </w:pPr>
            <w:r>
              <w:rPr>
                <w:sz w:val="20"/>
                <w:szCs w:val="20"/>
              </w:rPr>
              <w:t xml:space="preserve">Documented contention delay (e.g. GLAST 90-day facility-priority slip, GAO-09-306SP) or facility-access wait reconstructed from documented campaign and facility-demand context</w:t>
            </w:r>
          </w:p>
        </w:tc>
      </w:tr>
      <w:tr>
        <w:tc>
          <w:tcPr>
            <w:tcW w:w="0" w:type="auto"/>
          </w:tcPr>
          <w:p>
            <w:pPr>
              <w:spacing w:line="240" w:lineRule="auto" w:before="0" w:after="0"/>
              <w:pStyle w:val="Compact"/>
            </w:pPr>
            <w:r>
              <w:rPr>
                <w:sz w:val="20"/>
                <w:szCs w:val="20"/>
              </w:rPr>
              <w:t xml:space="preserve">facility_util</w:t>
            </w:r>
          </w:p>
        </w:tc>
        <w:tc>
          <w:tcPr>
            <w:tcW w:w="0" w:type="auto"/>
          </w:tcPr>
          <w:p>
            <w:pPr>
              <w:spacing w:line="240" w:lineRule="auto" w:before="0" w:after="0"/>
              <w:pStyle w:val="Compact"/>
            </w:pPr>
            <w:r>
              <w:rPr>
                <w:sz w:val="20"/>
                <w:szCs w:val="20"/>
              </w:rPr>
              <w:t xml:space="preserve">Server utilization, the fraction of the facility’s available schedule occupied by competing campaigns during the focal campaign’s access window</w:t>
            </w:r>
          </w:p>
        </w:tc>
        <w:tc>
          <w:tcPr>
            <w:tcW w:w="0" w:type="auto"/>
          </w:tcPr>
          <w:p>
            <w:pPr>
              <w:spacing w:line="240" w:lineRule="auto" w:before="0" w:after="0"/>
              <w:pStyle w:val="Compact"/>
            </w:pPr>
            <w:r>
              <w:rPr>
                <w:sz w:val="20"/>
                <w:szCs w:val="20"/>
              </w:rPr>
              <w:t xml:space="preserve">Encoded from documented facility-demand regime (single high-demand cryo assets such as JSC Chamber A and the JPL Space Simulator at the high end; lower-demand vendor chambers at the low end)</w:t>
            </w:r>
          </w:p>
        </w:tc>
      </w:tr>
      <w:tr>
        <w:tc>
          <w:tcPr>
            <w:tcW w:w="0" w:type="auto"/>
          </w:tcPr>
          <w:p>
            <w:pPr>
              <w:spacing w:line="240" w:lineRule="auto" w:before="0" w:after="0"/>
              <w:pStyle w:val="Compact"/>
            </w:pPr>
            <w:r>
              <w:rPr>
                <w:sz w:val="20"/>
                <w:szCs w:val="20"/>
              </w:rPr>
              <w:t xml:space="preserve">svc_cv2</w:t>
            </w:r>
          </w:p>
        </w:tc>
        <w:tc>
          <w:tcPr>
            <w:tcW w:w="0" w:type="auto"/>
          </w:tcPr>
          <w:p>
            <w:pPr>
              <w:spacing w:line="240" w:lineRule="auto" w:before="0" w:after="0"/>
              <w:pStyle w:val="Compact"/>
            </w:pPr>
            <w:r>
              <w:rPr>
                <w:sz w:val="20"/>
                <w:szCs w:val="20"/>
              </w:rPr>
              <w:t xml:space="preserve">Squared coefficient of variation of campaign service durations at the facility, the queueing measure of service-time variability</w:t>
            </w:r>
          </w:p>
        </w:tc>
        <w:tc>
          <w:tcPr>
            <w:tcW w:w="0" w:type="auto"/>
          </w:tcPr>
          <w:p>
            <w:pPr>
              <w:spacing w:line="240" w:lineRule="auto" w:before="0" w:after="0"/>
              <w:pStyle w:val="Compact"/>
            </w:pPr>
            <w:r>
              <w:rPr>
                <w:sz w:val="20"/>
                <w:szCs w:val="20"/>
              </w:rPr>
              <w:t xml:space="preserve">Computed from the spread of documented campaign durations served by each facility class; large cryo campaigns inflate cv-squared</w:t>
            </w:r>
          </w:p>
        </w:tc>
      </w:tr>
      <w:tr>
        <w:tc>
          <w:tcPr>
            <w:tcW w:w="0" w:type="auto"/>
          </w:tcPr>
          <w:p>
            <w:pPr>
              <w:spacing w:line="240" w:lineRule="auto" w:before="0" w:after="0"/>
              <w:pStyle w:val="Compact"/>
            </w:pPr>
            <w:r>
              <w:rPr>
                <w:sz w:val="20"/>
                <w:szCs w:val="20"/>
              </w:rPr>
              <w:t xml:space="preserve">calendar_density</w:t>
            </w:r>
          </w:p>
        </w:tc>
        <w:tc>
          <w:tcPr>
            <w:tcW w:w="0" w:type="auto"/>
          </w:tcPr>
          <w:p>
            <w:pPr>
              <w:spacing w:line="240" w:lineRule="auto" w:before="0" w:after="0"/>
              <w:pStyle w:val="Compact"/>
            </w:pPr>
            <w:r>
              <w:rPr>
                <w:sz w:val="20"/>
                <w:szCs w:val="20"/>
              </w:rPr>
              <w:t xml:space="preserve">Nominal calendar density, how full the published booking calendar is, the rival calendar-driven explanation under H0</w:t>
            </w:r>
          </w:p>
        </w:tc>
        <w:tc>
          <w:tcPr>
            <w:tcW w:w="0" w:type="auto"/>
          </w:tcPr>
          <w:p>
            <w:pPr>
              <w:spacing w:line="240" w:lineRule="auto" w:before="0" w:after="0"/>
              <w:pStyle w:val="Compact"/>
            </w:pPr>
            <w:r>
              <w:rPr>
                <w:sz w:val="20"/>
                <w:szCs w:val="20"/>
              </w:rPr>
              <w:t xml:space="preserve">Encoded from the facility’s nominal booking-calendar fill independent of realized contention</w:t>
            </w:r>
          </w:p>
        </w:tc>
      </w:tr>
      <w:tr>
        <w:tc>
          <w:tcPr>
            <w:tcW w:w="0" w:type="auto"/>
          </w:tcPr>
          <w:p>
            <w:pPr>
              <w:spacing w:line="240" w:lineRule="auto" w:before="0" w:after="0"/>
              <w:pStyle w:val="Compact"/>
            </w:pPr>
            <w:r>
              <w:rPr>
                <w:sz w:val="20"/>
                <w:szCs w:val="20"/>
              </w:rPr>
              <w:t xml:space="preserve">service_days</w:t>
            </w:r>
          </w:p>
        </w:tc>
        <w:tc>
          <w:tcPr>
            <w:tcW w:w="0" w:type="auto"/>
          </w:tcPr>
          <w:p>
            <w:pPr>
              <w:spacing w:line="240" w:lineRule="auto" w:before="0" w:after="0"/>
              <w:pStyle w:val="Compact"/>
            </w:pPr>
            <w:r>
              <w:rPr>
                <w:sz w:val="20"/>
                <w:szCs w:val="20"/>
              </w:rPr>
              <w:t xml:space="preserve">Campaign service duration, days the spacecraft occupied the chamber (the penned block length)</w:t>
            </w:r>
          </w:p>
        </w:tc>
        <w:tc>
          <w:tcPr>
            <w:tcW w:w="0" w:type="auto"/>
          </w:tcPr>
          <w:p>
            <w:pPr>
              <w:spacing w:line="240" w:lineRule="auto" w:before="0" w:after="0"/>
              <w:pStyle w:val="Compact"/>
            </w:pPr>
            <w:r>
              <w:rPr>
                <w:sz w:val="20"/>
                <w:szCs w:val="20"/>
              </w:rPr>
              <w:t xml:space="preserve">Published test-campaign durations (NASA/ESA/JPL releases; multi-week campaigns where exact day-count is marked illustrative)</w:t>
            </w:r>
          </w:p>
        </w:tc>
      </w:tr>
    </w:tbl>
    <w:bookmarkEnd w:id="194"/>
    <w:bookmarkEnd w:id="195"/>
    <w:bookmarkStart w:id="203" w:name="Xdd60f667d1db1136bcbb32f89e13c1af3a92370"/>
    <w:p>
      <w:pPr>
        <w:pStyle w:val="Heading2"/>
        <w:spacing w:line="480" w:lineRule="auto"/>
      </w:pPr>
      <w:r>
        <w:t xml:space="preserve">A.2 The Hazard of the Pen: A Proportional-Hazards Model of Test-Facility Queue Residence and Service Completion</w:t>
      </w:r>
    </w:p>
    <w:p>
      <w:pPr>
        <w:pStyle w:val="FirstParagraph"/>
        <w:spacing w:line="480" w:lineRule="auto"/>
      </w:pPr>
      <m:oMathPara>
        <m:oMathParaPr>
          <m:jc m:val="center"/>
        </m:oMathParaPr>
        <m:oMath>
          <m:r>
            <m:t>h</m:t>
          </m:r>
          <m:r>
            <m:rPr>
              <m:sty m:val="p"/>
            </m:rPr>
            <m:t>(</m:t>
          </m:r>
          <m:r>
            <m:t>t</m:t>
          </m:r>
          <m:r>
            <m:rPr>
              <m:sty m:val="p"/>
            </m:rPr>
            <m:t>∣</m:t>
          </m:r>
          <m:r>
            <m:t>x</m:t>
          </m:r>
          <m:r>
            <m:rPr>
              <m:sty m:val="p"/>
            </m:rPr>
            <m:t>)</m:t>
          </m:r>
          <m:r>
            <m:rPr>
              <m:sty m:val="p"/>
            </m:rPr>
            <m:t>=</m:t>
          </m:r>
          <m:sSub>
            <m:e>
              <m:r>
                <m:t>h</m:t>
              </m:r>
            </m:e>
            <m:sub>
              <m:r>
                <m:t>0</m:t>
              </m:r>
            </m:sub>
          </m:sSub>
          <m:r>
            <m:rPr>
              <m:sty m:val="p"/>
            </m:rPr>
            <m:t>(</m:t>
          </m:r>
          <m:r>
            <m:t>t</m:t>
          </m:r>
          <m:r>
            <m:rPr>
              <m:sty m:val="p"/>
            </m:rPr>
            <m:t>)</m:t>
          </m:r>
          <m:r>
            <m:t> </m:t>
          </m:r>
          <m:r>
            <m:rPr>
              <m:sty m:val="p"/>
            </m:rPr>
            <m:t>exp</m:t>
          </m:r>
          <m:r>
            <m:t>​</m:t>
          </m:r>
          <m:d>
            <m:dPr>
              <m:begChr m:val="("/>
              <m:sepChr m:val=""/>
              <m:endChr m:val=")"/>
              <m:grow/>
            </m:dPr>
            <m:e>
              <m:sSub>
                <m:e>
                  <m:r>
                    <m:t>β</m:t>
                  </m:r>
                </m:e>
                <m:sub>
                  <m:r>
                    <m:t>1</m:t>
                  </m:r>
                </m:sub>
              </m:sSub>
              <m:r>
                <m:t> </m:t>
              </m:r>
              <m:r>
                <m:rPr>
                  <m:nor/>
                  <m:sty m:val="p"/>
                </m:rPr>
                <m:t>load</m:t>
              </m:r>
              <m:r>
                <m:rPr>
                  <m:sty m:val="p"/>
                </m:rPr>
                <m:t>+</m:t>
              </m:r>
              <m:sSub>
                <m:e>
                  <m:r>
                    <m:t>β</m:t>
                  </m:r>
                </m:e>
                <m:sub>
                  <m:r>
                    <m:t>2</m:t>
                  </m:r>
                </m:sub>
              </m:sSub>
              <m:r>
                <m:t> </m:t>
              </m:r>
              <m:r>
                <m:t>c</m:t>
              </m:r>
              <m:sSup>
                <m:e>
                  <m:r>
                    <m:t>v</m:t>
                  </m:r>
                </m:e>
                <m:sup>
                  <m:r>
                    <m:t>2</m:t>
                  </m:r>
                </m:sup>
              </m:sSup>
              <m:r>
                <m:rPr>
                  <m:sty m:val="p"/>
                </m:rPr>
                <m:t>+</m:t>
              </m:r>
              <m:sSub>
                <m:e>
                  <m:r>
                    <m:t>β</m:t>
                  </m:r>
                </m:e>
                <m:sub>
                  <m:r>
                    <m:t>3</m:t>
                  </m:r>
                </m:sub>
              </m:sSub>
              <m:r>
                <m:t> </m:t>
              </m:r>
              <m:sSub>
                <m:e>
                  <m:r>
                    <m:t>n</m:t>
                  </m:r>
                </m:e>
                <m:sub>
                  <m:r>
                    <m:rPr>
                      <m:nor/>
                      <m:sty m:val="p"/>
                    </m:rPr>
                    <m:t>servers</m:t>
                  </m:r>
                </m:sub>
              </m:sSub>
              <m:r>
                <m:rPr>
                  <m:sty m:val="p"/>
                </m:rPr>
                <m:t>+</m:t>
              </m:r>
              <m:sSub>
                <m:e>
                  <m:r>
                    <m:t>β</m:t>
                  </m:r>
                </m:e>
                <m:sub>
                  <m:r>
                    <m:t>4</m:t>
                  </m:r>
                </m:sub>
              </m:sSub>
              <m:r>
                <m:t> </m:t>
              </m:r>
              <m:r>
                <m:rPr>
                  <m:nor/>
                  <m:sty m:val="p"/>
                </m:rPr>
                <m:t>instruments</m:t>
              </m:r>
            </m:e>
          </m:d>
        </m:oMath>
      </m:oMathPara>
    </w:p>
    <w:bookmarkStart w:id="196"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facility_load</w:t>
            </w:r>
          </w:p>
        </w:tc>
        <w:tc>
          <w:tcPr>
            <w:tcW w:w="0" w:type="auto"/>
          </w:tcPr>
          <w:p>
            <w:pPr>
              <w:spacing w:line="240" w:lineRule="auto" w:before="0" w:after="0"/>
              <w:pStyle w:val="Compact"/>
            </w:pPr>
            <w:r>
              <w:rPr>
                <w:sz w:val="20"/>
                <w:szCs w:val="20"/>
              </w:rPr>
              <w:t xml:space="preserve">0.3724</w:t>
            </w:r>
          </w:p>
        </w:tc>
        <w:tc>
          <w:tcPr>
            <w:tcW w:w="0" w:type="auto"/>
          </w:tcPr>
          <w:p>
            <w:pPr>
              <w:spacing w:line="240" w:lineRule="auto" w:before="0" w:after="0"/>
              <w:pStyle w:val="Compact"/>
            </w:pPr>
            <w:r>
              <w:rPr>
                <w:sz w:val="20"/>
                <w:szCs w:val="20"/>
              </w:rPr>
              <w:t xml:space="preserve">10.4621</w:t>
            </w:r>
          </w:p>
        </w:tc>
        <w:tc>
          <w:tcPr>
            <w:tcW w:w="0" w:type="auto"/>
          </w:tcPr>
          <w:p>
            <w:pPr>
              <w:spacing w:line="240" w:lineRule="auto" w:before="0" w:after="0"/>
              <w:pStyle w:val="Compact"/>
            </w:pPr>
            <w:r>
              <w:rPr>
                <w:sz w:val="20"/>
                <w:szCs w:val="20"/>
              </w:rPr>
              <w:t xml:space="preserve">0.0356</w:t>
            </w:r>
          </w:p>
        </w:tc>
        <w:tc>
          <w:tcPr>
            <w:tcW w:w="0" w:type="auto"/>
          </w:tcPr>
          <w:p>
            <w:pPr>
              <w:spacing w:line="240" w:lineRule="auto" w:before="0" w:after="0"/>
              <w:pStyle w:val="Compact"/>
            </w:pPr>
            <w:r>
              <w:rPr>
                <w:sz w:val="20"/>
                <w:szCs w:val="20"/>
              </w:rPr>
              <w:t xml:space="preserve">0.9716</w:t>
            </w:r>
          </w:p>
        </w:tc>
        <w:tc>
          <w:tcPr>
            <w:tcW w:w="0" w:type="auto"/>
          </w:tcPr>
          <w:p>
            <w:pPr>
              <w:spacing w:line="240" w:lineRule="auto" w:before="0" w:after="0"/>
              <w:pStyle w:val="Compact"/>
            </w:pPr>
            <w:r>
              <w:rPr>
                <w:sz w:val="20"/>
                <w:szCs w:val="20"/>
              </w:rPr>
              <w:t xml:space="preserve">[-20.1333, 20.8781]</w:t>
            </w:r>
          </w:p>
        </w:tc>
        <w:tc>
          <w:tcPr>
            <w:tcW w:w="0" w:type="auto"/>
          </w:tcPr>
          <w:p>
            <w:pPr>
              <w:spacing w:line="240" w:lineRule="auto" w:before="0" w:after="0"/>
              <w:pStyle w:val="Compact"/>
            </w:pPr>
            <w:r>
              <w:rPr>
                <w:sz w:val="20"/>
                <w:szCs w:val="20"/>
              </w:rPr>
              <w:t xml:space="preserve">1.4512</w:t>
            </w:r>
          </w:p>
        </w:tc>
      </w:tr>
      <w:tr>
        <w:tc>
          <w:tcPr>
            <w:tcW w:w="0" w:type="auto"/>
          </w:tcPr>
          <w:p>
            <w:pPr>
              <w:spacing w:line="240" w:lineRule="auto" w:before="0" w:after="0"/>
              <w:pStyle w:val="Compact"/>
            </w:pPr>
            <w:r>
              <w:rPr>
                <w:sz w:val="20"/>
                <w:szCs w:val="20"/>
              </w:rPr>
              <w:t xml:space="preserve">cv2_service</w:t>
            </w:r>
          </w:p>
        </w:tc>
        <w:tc>
          <w:tcPr>
            <w:tcW w:w="0" w:type="auto"/>
          </w:tcPr>
          <w:p>
            <w:pPr>
              <w:spacing w:line="240" w:lineRule="auto" w:before="0" w:after="0"/>
              <w:pStyle w:val="Compact"/>
            </w:pPr>
            <w:r>
              <w:rPr>
                <w:sz w:val="20"/>
                <w:szCs w:val="20"/>
              </w:rPr>
              <w:t xml:space="preserve">-6.1477</w:t>
            </w:r>
          </w:p>
        </w:tc>
        <w:tc>
          <w:tcPr>
            <w:tcW w:w="0" w:type="auto"/>
          </w:tcPr>
          <w:p>
            <w:pPr>
              <w:spacing w:line="240" w:lineRule="auto" w:before="0" w:after="0"/>
              <w:pStyle w:val="Compact"/>
            </w:pPr>
            <w:r>
              <w:rPr>
                <w:sz w:val="20"/>
                <w:szCs w:val="20"/>
              </w:rPr>
              <w:t xml:space="preserve">2.7228</w:t>
            </w:r>
          </w:p>
        </w:tc>
        <w:tc>
          <w:tcPr>
            <w:tcW w:w="0" w:type="auto"/>
          </w:tcPr>
          <w:p>
            <w:pPr>
              <w:spacing w:line="240" w:lineRule="auto" w:before="0" w:after="0"/>
              <w:pStyle w:val="Compact"/>
            </w:pPr>
            <w:r>
              <w:rPr>
                <w:sz w:val="20"/>
                <w:szCs w:val="20"/>
              </w:rPr>
              <w:t xml:space="preserve">-2.2579</w:t>
            </w:r>
          </w:p>
        </w:tc>
        <w:tc>
          <w:tcPr>
            <w:tcW w:w="0" w:type="auto"/>
          </w:tcPr>
          <w:p>
            <w:pPr>
              <w:spacing w:line="240" w:lineRule="auto" w:before="0" w:after="0"/>
              <w:pStyle w:val="Compact"/>
            </w:pPr>
            <w:r>
              <w:rPr>
                <w:sz w:val="20"/>
                <w:szCs w:val="20"/>
              </w:rPr>
              <w:t xml:space="preserve">0.024</w:t>
            </w:r>
          </w:p>
        </w:tc>
        <w:tc>
          <w:tcPr>
            <w:tcW w:w="0" w:type="auto"/>
          </w:tcPr>
          <w:p>
            <w:pPr>
              <w:spacing w:line="240" w:lineRule="auto" w:before="0" w:after="0"/>
              <w:pStyle w:val="Compact"/>
            </w:pPr>
            <w:r>
              <w:rPr>
                <w:sz w:val="20"/>
                <w:szCs w:val="20"/>
              </w:rPr>
              <w:t xml:space="preserve">[-11.4843, -0.8111]</w:t>
            </w:r>
          </w:p>
        </w:tc>
        <w:tc>
          <w:tcPr>
            <w:tcW w:w="0" w:type="auto"/>
          </w:tcPr>
          <w:p>
            <w:pPr>
              <w:spacing w:line="240" w:lineRule="auto" w:before="0" w:after="0"/>
              <w:pStyle w:val="Compact"/>
            </w:pPr>
            <w:r>
              <w:rPr>
                <w:sz w:val="20"/>
                <w:szCs w:val="20"/>
              </w:rPr>
              <w:t xml:space="preserve">0.0021</w:t>
            </w:r>
          </w:p>
        </w:tc>
      </w:tr>
      <w:tr>
        <w:tc>
          <w:tcPr>
            <w:tcW w:w="0" w:type="auto"/>
          </w:tcPr>
          <w:p>
            <w:pPr>
              <w:spacing w:line="240" w:lineRule="auto" w:before="0" w:after="0"/>
              <w:pStyle w:val="Compact"/>
            </w:pPr>
            <w:r>
              <w:rPr>
                <w:sz w:val="20"/>
                <w:szCs w:val="20"/>
              </w:rPr>
              <w:t xml:space="preserve">n_servers</w:t>
            </w:r>
          </w:p>
        </w:tc>
        <w:tc>
          <w:tcPr>
            <w:tcW w:w="0" w:type="auto"/>
          </w:tcPr>
          <w:p>
            <w:pPr>
              <w:spacing w:line="240" w:lineRule="auto" w:before="0" w:after="0"/>
              <w:pStyle w:val="Compact"/>
            </w:pPr>
            <w:r>
              <w:rPr>
                <w:sz w:val="20"/>
                <w:szCs w:val="20"/>
              </w:rPr>
              <w:t xml:space="preserve">0.1563</w:t>
            </w:r>
          </w:p>
        </w:tc>
        <w:tc>
          <w:tcPr>
            <w:tcW w:w="0" w:type="auto"/>
          </w:tcPr>
          <w:p>
            <w:pPr>
              <w:spacing w:line="240" w:lineRule="auto" w:before="0" w:after="0"/>
              <w:pStyle w:val="Compact"/>
            </w:pPr>
            <w:r>
              <w:rPr>
                <w:sz w:val="20"/>
                <w:szCs w:val="20"/>
              </w:rPr>
              <w:t xml:space="preserve">0.7989</w:t>
            </w:r>
          </w:p>
        </w:tc>
        <w:tc>
          <w:tcPr>
            <w:tcW w:w="0" w:type="auto"/>
          </w:tcPr>
          <w:p>
            <w:pPr>
              <w:spacing w:line="240" w:lineRule="auto" w:before="0" w:after="0"/>
              <w:pStyle w:val="Compact"/>
            </w:pPr>
            <w:r>
              <w:rPr>
                <w:sz w:val="20"/>
                <w:szCs w:val="20"/>
              </w:rPr>
              <w:t xml:space="preserve">0.1957</w:t>
            </w:r>
          </w:p>
        </w:tc>
        <w:tc>
          <w:tcPr>
            <w:tcW w:w="0" w:type="auto"/>
          </w:tcPr>
          <w:p>
            <w:pPr>
              <w:spacing w:line="240" w:lineRule="auto" w:before="0" w:after="0"/>
              <w:pStyle w:val="Compact"/>
            </w:pPr>
            <w:r>
              <w:rPr>
                <w:sz w:val="20"/>
                <w:szCs w:val="20"/>
              </w:rPr>
              <w:t xml:space="preserve">0.8449</w:t>
            </w:r>
          </w:p>
        </w:tc>
        <w:tc>
          <w:tcPr>
            <w:tcW w:w="0" w:type="auto"/>
          </w:tcPr>
          <w:p>
            <w:pPr>
              <w:spacing w:line="240" w:lineRule="auto" w:before="0" w:after="0"/>
              <w:pStyle w:val="Compact"/>
            </w:pPr>
            <w:r>
              <w:rPr>
                <w:sz w:val="20"/>
                <w:szCs w:val="20"/>
              </w:rPr>
              <w:t xml:space="preserve">[-1.4095, 1.7222]</w:t>
            </w:r>
          </w:p>
        </w:tc>
        <w:tc>
          <w:tcPr>
            <w:tcW w:w="0" w:type="auto"/>
          </w:tcPr>
          <w:p>
            <w:pPr>
              <w:spacing w:line="240" w:lineRule="auto" w:before="0" w:after="0"/>
              <w:pStyle w:val="Compact"/>
            </w:pPr>
            <w:r>
              <w:rPr>
                <w:sz w:val="20"/>
                <w:szCs w:val="20"/>
              </w:rPr>
              <w:t xml:space="preserve">1.1692</w:t>
            </w:r>
          </w:p>
        </w:tc>
      </w:tr>
      <w:tr>
        <w:tc>
          <w:tcPr>
            <w:tcW w:w="0" w:type="auto"/>
          </w:tcPr>
          <w:p>
            <w:pPr>
              <w:spacing w:line="240" w:lineRule="auto" w:before="0" w:after="0"/>
              <w:pStyle w:val="Compact"/>
            </w:pPr>
            <w:r>
              <w:rPr>
                <w:sz w:val="20"/>
                <w:szCs w:val="20"/>
              </w:rPr>
              <w:t xml:space="preserve">payload_instruments</w:t>
            </w:r>
          </w:p>
        </w:tc>
        <w:tc>
          <w:tcPr>
            <w:tcW w:w="0" w:type="auto"/>
          </w:tcPr>
          <w:p>
            <w:pPr>
              <w:spacing w:line="240" w:lineRule="auto" w:before="0" w:after="0"/>
              <w:pStyle w:val="Compact"/>
            </w:pPr>
            <w:r>
              <w:rPr>
                <w:sz w:val="20"/>
                <w:szCs w:val="20"/>
              </w:rPr>
              <w:t xml:space="preserve">0.0592</w:t>
            </w:r>
          </w:p>
        </w:tc>
        <w:tc>
          <w:tcPr>
            <w:tcW w:w="0" w:type="auto"/>
          </w:tcPr>
          <w:p>
            <w:pPr>
              <w:spacing w:line="240" w:lineRule="auto" w:before="0" w:after="0"/>
              <w:pStyle w:val="Compact"/>
            </w:pPr>
            <w:r>
              <w:rPr>
                <w:sz w:val="20"/>
                <w:szCs w:val="20"/>
              </w:rPr>
              <w:t xml:space="preserve">0.1111</w:t>
            </w:r>
          </w:p>
        </w:tc>
        <w:tc>
          <w:tcPr>
            <w:tcW w:w="0" w:type="auto"/>
          </w:tcPr>
          <w:p>
            <w:pPr>
              <w:spacing w:line="240" w:lineRule="auto" w:before="0" w:after="0"/>
              <w:pStyle w:val="Compact"/>
            </w:pPr>
            <w:r>
              <w:rPr>
                <w:sz w:val="20"/>
                <w:szCs w:val="20"/>
              </w:rPr>
              <w:t xml:space="preserve">0.5327</w:t>
            </w:r>
          </w:p>
        </w:tc>
        <w:tc>
          <w:tcPr>
            <w:tcW w:w="0" w:type="auto"/>
          </w:tcPr>
          <w:p>
            <w:pPr>
              <w:spacing w:line="240" w:lineRule="auto" w:before="0" w:after="0"/>
              <w:pStyle w:val="Compact"/>
            </w:pPr>
            <w:r>
              <w:rPr>
                <w:sz w:val="20"/>
                <w:szCs w:val="20"/>
              </w:rPr>
              <w:t xml:space="preserve">0.5942</w:t>
            </w:r>
          </w:p>
        </w:tc>
        <w:tc>
          <w:tcPr>
            <w:tcW w:w="0" w:type="auto"/>
          </w:tcPr>
          <w:p>
            <w:pPr>
              <w:spacing w:line="240" w:lineRule="auto" w:before="0" w:after="0"/>
              <w:pStyle w:val="Compact"/>
            </w:pPr>
            <w:r>
              <w:rPr>
                <w:sz w:val="20"/>
                <w:szCs w:val="20"/>
              </w:rPr>
              <w:t xml:space="preserve">[-0.1585, 0.2769]</w:t>
            </w:r>
          </w:p>
        </w:tc>
        <w:tc>
          <w:tcPr>
            <w:tcW w:w="0" w:type="auto"/>
          </w:tcPr>
          <w:p>
            <w:pPr>
              <w:spacing w:line="240" w:lineRule="auto" w:before="0" w:after="0"/>
              <w:pStyle w:val="Compact"/>
            </w:pPr>
            <w:r>
              <w:rPr>
                <w:sz w:val="20"/>
                <w:szCs w:val="20"/>
              </w:rPr>
              <w:t xml:space="preserve">1.061</w:t>
            </w:r>
          </w:p>
        </w:tc>
      </w:tr>
    </w:tbl>
    <w:p>
      <w:pPr>
        <w:pStyle w:val="BodyText"/>
        <w:spacing w:line="480" w:lineRule="auto"/>
        <w:ind w:firstLine="720"/>
      </w:pPr>
      <w:r>
        <w:t xml:space="preserve">Fit: N = 30 events = 21</w:t>
      </w:r>
    </w:p>
    <w:bookmarkEnd w:id="196"/>
    <w:bookmarkStart w:id="200"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Queue-residence duration against facility utilization across documented space-system test campaigns; higher load tracks longer residence, consistent with a congestion-driven pen." title="" id="198" name="Picture"/>
            <a:graphic>
              <a:graphicData uri="http://schemas.openxmlformats.org/drawingml/2006/picture">
                <pic:pic>
                  <pic:nvPicPr>
                    <pic:cNvPr descr="D:/Claude_Code/brain/collegium/candidates/dissertations/JPL_MGMT_SMA_TECH_08/research_papers/p2/paper_fig1.png" id="199" name="Picture"/>
                    <pic:cNvPicPr>
                      <a:picLocks noChangeArrowheads="1" noChangeAspect="1"/>
                    </pic:cNvPicPr>
                  </pic:nvPicPr>
                  <pic:blipFill>
                    <a:blip r:embed="rId197"/>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Queue-residence duration against facility utilization across documented space-system test campaigns; higher load tracks longer residence, consistent with a congestion-driven pen.</w:t>
      </w:r>
    </w:p>
    <w:bookmarkEnd w:id="200"/>
    <w:bookmarkStart w:id="201"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campaign</w:t>
            </w:r>
          </w:p>
        </w:tc>
        <w:tc>
          <w:tcPr>
            <w:tcW w:w="0" w:type="auto"/>
          </w:tcPr>
          <w:p>
            <w:pPr>
              <w:spacing w:line="240" w:lineRule="auto" w:before="0" w:after="0"/>
              <w:pStyle w:val="Compact"/>
            </w:pPr>
            <w:r>
              <w:rPr>
                <w:sz w:val="20"/>
                <w:szCs w:val="20"/>
              </w:rPr>
              <w:t xml:space="preserve">facility</w:t>
            </w:r>
          </w:p>
        </w:tc>
        <w:tc>
          <w:tcPr>
            <w:tcW w:w="0" w:type="auto"/>
          </w:tcPr>
          <w:p>
            <w:pPr>
              <w:spacing w:line="240" w:lineRule="auto" w:before="0" w:after="0"/>
              <w:pStyle w:val="Compact"/>
            </w:pPr>
            <w:r>
              <w:rPr>
                <w:sz w:val="20"/>
                <w:szCs w:val="20"/>
              </w:rPr>
              <w:t xml:space="preserve">wait_days</w:t>
            </w:r>
          </w:p>
        </w:tc>
        <w:tc>
          <w:tcPr>
            <w:tcW w:w="0" w:type="auto"/>
          </w:tcPr>
          <w:p>
            <w:pPr>
              <w:spacing w:line="240" w:lineRule="auto" w:before="0" w:after="0"/>
              <w:pStyle w:val="Compact"/>
            </w:pPr>
            <w:r>
              <w:rPr>
                <w:sz w:val="20"/>
                <w:szCs w:val="20"/>
              </w:rPr>
              <w:t xml:space="preserve">completed</w:t>
            </w:r>
          </w:p>
        </w:tc>
        <w:tc>
          <w:tcPr>
            <w:tcW w:w="0" w:type="auto"/>
          </w:tcPr>
          <w:p>
            <w:pPr>
              <w:spacing w:line="240" w:lineRule="auto" w:before="0" w:after="0"/>
              <w:pStyle w:val="Compact"/>
            </w:pPr>
            <w:r>
              <w:rPr>
                <w:sz w:val="20"/>
                <w:szCs w:val="20"/>
              </w:rPr>
              <w:t xml:space="preserve">facility_load</w:t>
            </w:r>
          </w:p>
        </w:tc>
        <w:tc>
          <w:tcPr>
            <w:tcW w:w="0" w:type="auto"/>
          </w:tcPr>
          <w:p>
            <w:pPr>
              <w:spacing w:line="240" w:lineRule="auto" w:before="0" w:after="0"/>
              <w:pStyle w:val="Compact"/>
            </w:pPr>
            <w:r>
              <w:rPr>
                <w:sz w:val="20"/>
                <w:szCs w:val="20"/>
              </w:rPr>
              <w:t xml:space="preserve">cv2_service</w:t>
            </w:r>
          </w:p>
        </w:tc>
        <w:tc>
          <w:tcPr>
            <w:tcW w:w="0" w:type="auto"/>
          </w:tcPr>
          <w:p>
            <w:pPr>
              <w:spacing w:line="240" w:lineRule="auto" w:before="0" w:after="0"/>
              <w:pStyle w:val="Compact"/>
            </w:pPr>
            <w:r>
              <w:rPr>
                <w:sz w:val="20"/>
                <w:szCs w:val="20"/>
              </w:rPr>
              <w:t xml:space="preserve">n_servers</w:t>
            </w:r>
          </w:p>
        </w:tc>
        <w:tc>
          <w:tcPr>
            <w:tcW w:w="0" w:type="auto"/>
          </w:tcPr>
          <w:p>
            <w:pPr>
              <w:spacing w:line="240" w:lineRule="auto" w:before="0" w:after="0"/>
              <w:pStyle w:val="Compact"/>
            </w:pPr>
            <w:r>
              <w:rPr>
                <w:sz w:val="20"/>
                <w:szCs w:val="20"/>
              </w:rPr>
              <w:t xml:space="preserve">payload_instruments</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JWST_OTIS_cryo</w:t>
            </w:r>
          </w:p>
        </w:tc>
        <w:tc>
          <w:tcPr>
            <w:tcW w:w="0" w:type="auto"/>
          </w:tcPr>
          <w:p>
            <w:pPr>
              <w:spacing w:line="240" w:lineRule="auto" w:before="0" w:after="0"/>
              <w:pStyle w:val="Compact"/>
            </w:pPr>
            <w:r>
              <w:rPr>
                <w:sz w:val="20"/>
                <w:szCs w:val="20"/>
              </w:rPr>
              <w:t xml:space="preserve">JSC Chamber A</w:t>
            </w:r>
          </w:p>
        </w:tc>
        <w:tc>
          <w:tcPr>
            <w:tcW w:w="0" w:type="auto"/>
          </w:tcPr>
          <w:p>
            <w:pPr>
              <w:spacing w:line="240" w:lineRule="auto" w:before="0" w:after="0"/>
              <w:pStyle w:val="Compact"/>
            </w:pPr>
            <w:r>
              <w:rPr>
                <w:sz w:val="20"/>
                <w:szCs w:val="20"/>
              </w:rPr>
              <w:t xml:space="preserve">131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0.95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NASA,</w:t>
            </w:r>
            <w:r>
              <w:rPr>
                <w:sz w:val="20"/>
                <w:szCs w:val="20"/>
              </w:rPr>
              <w:t xml:space="preserve"> </w:t>
            </w:r>
            <w:r>
              <w:rPr>
                <w:sz w:val="20"/>
                <w:szCs w:val="20"/>
              </w:rPr>
              <w:t xml:space="preserve">‘James Webb Space Telescope Completes Final Cryogenic Testing,’</w:t>
            </w:r>
            <w:r>
              <w:rPr>
                <w:sz w:val="20"/>
                <w:szCs w:val="20"/>
              </w:rPr>
              <w:t xml:space="preserve"> </w:t>
            </w:r>
            <w:r>
              <w:rPr>
                <w:sz w:val="20"/>
                <w:szCs w:val="20"/>
              </w:rPr>
              <w:t xml:space="preserve">2017 (chamber sealed 2017-07-10, opened 2017-11-18; ~131 calendar days residence in Chamber A)</w:t>
            </w:r>
          </w:p>
        </w:tc>
      </w:tr>
      <w:tr>
        <w:tc>
          <w:tcPr>
            <w:tcW w:w="0" w:type="auto"/>
          </w:tcPr>
          <w:p>
            <w:pPr>
              <w:spacing w:line="240" w:lineRule="auto" w:before="0" w:after="0"/>
              <w:pStyle w:val="Compact"/>
            </w:pPr>
            <w:r>
              <w:rPr>
                <w:sz w:val="20"/>
                <w:szCs w:val="20"/>
              </w:rPr>
              <w:t xml:space="preserve">JWST_OTIS_planned</w:t>
            </w:r>
          </w:p>
        </w:tc>
        <w:tc>
          <w:tcPr>
            <w:tcW w:w="0" w:type="auto"/>
          </w:tcPr>
          <w:p>
            <w:pPr>
              <w:spacing w:line="240" w:lineRule="auto" w:before="0" w:after="0"/>
              <w:pStyle w:val="Compact"/>
            </w:pPr>
            <w:r>
              <w:rPr>
                <w:sz w:val="20"/>
                <w:szCs w:val="20"/>
              </w:rPr>
              <w:t xml:space="preserve">JSC Chamber A</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0.95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NTRS 20170006577,</w:t>
            </w:r>
            <w:r>
              <w:rPr>
                <w:sz w:val="20"/>
                <w:szCs w:val="20"/>
              </w:rPr>
              <w:t xml:space="preserve"> </w:t>
            </w:r>
            <w:r>
              <w:rPr>
                <w:sz w:val="20"/>
                <w:szCs w:val="20"/>
              </w:rPr>
              <w:t xml:space="preserve">‘Cryogenic Testing of the Thermal Vacuum Chamber and GSE for JWST in Chamber A at JSC,’</w:t>
            </w:r>
            <w:r>
              <w:rPr>
                <w:sz w:val="20"/>
                <w:szCs w:val="20"/>
              </w:rPr>
              <w:t xml:space="preserve"> </w:t>
            </w:r>
            <w:r>
              <w:rPr>
                <w:sz w:val="20"/>
                <w:szCs w:val="20"/>
              </w:rPr>
              <w:t xml:space="preserve">2017 (planned 100-day OTIS cryo-vac test)</w:t>
            </w:r>
          </w:p>
        </w:tc>
      </w:tr>
      <w:tr>
        <w:tc>
          <w:tcPr>
            <w:tcW w:w="0" w:type="auto"/>
          </w:tcPr>
          <w:p>
            <w:pPr>
              <w:spacing w:line="240" w:lineRule="auto" w:before="0" w:after="0"/>
              <w:pStyle w:val="Compact"/>
            </w:pPr>
            <w:r>
              <w:rPr>
                <w:sz w:val="20"/>
                <w:szCs w:val="20"/>
              </w:rPr>
              <w:t xml:space="preserve">Europa_Clipper_tvac</w:t>
            </w:r>
          </w:p>
        </w:tc>
        <w:tc>
          <w:tcPr>
            <w:tcW w:w="0" w:type="auto"/>
          </w:tcPr>
          <w:p>
            <w:pPr>
              <w:spacing w:line="240" w:lineRule="auto" w:before="0" w:after="0"/>
              <w:pStyle w:val="Compact"/>
            </w:pPr>
            <w:r>
              <w:rPr>
                <w:sz w:val="20"/>
                <w:szCs w:val="20"/>
              </w:rPr>
              <w:t xml:space="preserve">JPL 25-ft TVAC</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NASA/JPL,</w:t>
            </w:r>
            <w:r>
              <w:rPr>
                <w:sz w:val="20"/>
                <w:szCs w:val="20"/>
              </w:rPr>
              <w:t xml:space="preserve"> </w:t>
            </w:r>
            <w:r>
              <w:rPr>
                <w:sz w:val="20"/>
                <w:szCs w:val="20"/>
              </w:rPr>
              <w:t xml:space="preserve">‘Europa Clipper Survives and Thrives in Outer Space on Earth,’</w:t>
            </w:r>
            <w:r>
              <w:rPr>
                <w:sz w:val="20"/>
                <w:szCs w:val="20"/>
              </w:rPr>
              <w:t xml:space="preserve"> </w:t>
            </w:r>
            <w:r>
              <w:rPr>
                <w:sz w:val="20"/>
                <w:szCs w:val="20"/>
              </w:rPr>
              <w:t xml:space="preserve">2024 (16-day TVAC in JPL 85-ft x 25-ft chamber, Feb 2024)</w:t>
            </w:r>
          </w:p>
        </w:tc>
      </w:tr>
      <w:tr>
        <w:tc>
          <w:tcPr>
            <w:tcW w:w="0" w:type="auto"/>
          </w:tcPr>
          <w:p>
            <w:pPr>
              <w:spacing w:line="240" w:lineRule="auto" w:before="0" w:after="0"/>
              <w:pStyle w:val="Compact"/>
            </w:pPr>
            <w:r>
              <w:rPr>
                <w:sz w:val="20"/>
                <w:szCs w:val="20"/>
              </w:rPr>
              <w:t xml:space="preserve">Psyche_tvac</w:t>
            </w:r>
          </w:p>
        </w:tc>
        <w:tc>
          <w:tcPr>
            <w:tcW w:w="0" w:type="auto"/>
          </w:tcPr>
          <w:p>
            <w:pPr>
              <w:spacing w:line="240" w:lineRule="auto" w:before="0" w:after="0"/>
              <w:pStyle w:val="Compact"/>
            </w:pPr>
            <w:r>
              <w:rPr>
                <w:sz w:val="20"/>
                <w:szCs w:val="20"/>
              </w:rPr>
              <w:t xml:space="preserve">JPL 25-ft TVAC</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0.9</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NASA/JPL,</w:t>
            </w:r>
            <w:r>
              <w:rPr>
                <w:sz w:val="20"/>
                <w:szCs w:val="20"/>
              </w:rPr>
              <w:t xml:space="preserve"> </w:t>
            </w:r>
            <w:r>
              <w:rPr>
                <w:sz w:val="20"/>
                <w:szCs w:val="20"/>
              </w:rPr>
              <w:t xml:space="preserve">‘Shake and Bake: NASA’s Psyche Is Tested in Spacelike Conditions,’</w:t>
            </w:r>
            <w:r>
              <w:rPr>
                <w:sz w:val="20"/>
                <w:szCs w:val="20"/>
              </w:rPr>
              <w:t xml:space="preserve"> </w:t>
            </w:r>
            <w:r>
              <w:rPr>
                <w:sz w:val="20"/>
                <w:szCs w:val="20"/>
              </w:rPr>
              <w:t xml:space="preserve">2022 (18-day TVAC in JPL 85-ft chamber)</w:t>
            </w:r>
          </w:p>
        </w:tc>
      </w:tr>
      <w:tr>
        <w:tc>
          <w:tcPr>
            <w:tcW w:w="0" w:type="auto"/>
          </w:tcPr>
          <w:p>
            <w:pPr>
              <w:spacing w:line="240" w:lineRule="auto" w:before="0" w:after="0"/>
              <w:pStyle w:val="Compact"/>
            </w:pPr>
            <w:r>
              <w:rPr>
                <w:sz w:val="20"/>
                <w:szCs w:val="20"/>
              </w:rPr>
              <w:t xml:space="preserve">Psyche_launch_slip</w:t>
            </w:r>
          </w:p>
        </w:tc>
        <w:tc>
          <w:tcPr>
            <w:tcW w:w="0" w:type="auto"/>
          </w:tcPr>
          <w:p>
            <w:pPr>
              <w:spacing w:line="240" w:lineRule="auto" w:before="0" w:after="0"/>
              <w:pStyle w:val="Compact"/>
            </w:pPr>
            <w:r>
              <w:rPr>
                <w:sz w:val="20"/>
                <w:szCs w:val="20"/>
              </w:rPr>
              <w:t xml:space="preserve">JPL 25-ft TVAC</w:t>
            </w:r>
          </w:p>
        </w:tc>
        <w:tc>
          <w:tcPr>
            <w:tcW w:w="0" w:type="auto"/>
          </w:tcPr>
          <w:p>
            <w:pPr>
              <w:spacing w:line="240" w:lineRule="auto" w:before="0" w:after="0"/>
              <w:pStyle w:val="Compact"/>
            </w:pPr>
            <w:r>
              <w:rPr>
                <w:sz w:val="20"/>
                <w:szCs w:val="20"/>
              </w:rPr>
              <w:t xml:space="preserve">120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0.92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Wikipedia/Psyche citing NASA June 2022 decision: late delivery of test equipment and GNC flight software left insufficient time to complete required testing; launch slipped to 2023 (right-censored: test access not completed within original window)</w:t>
            </w:r>
          </w:p>
        </w:tc>
      </w:tr>
      <w:tr>
        <w:tc>
          <w:tcPr>
            <w:tcW w:w="0" w:type="auto"/>
          </w:tcPr>
          <w:p>
            <w:pPr>
              <w:spacing w:line="240" w:lineRule="auto" w:before="0" w:after="0"/>
              <w:pStyle w:val="Compact"/>
            </w:pPr>
            <w:r>
              <w:rPr>
                <w:sz w:val="20"/>
                <w:szCs w:val="20"/>
              </w:rPr>
              <w:t xml:space="preserve">Roman_OBA_tvac</w:t>
            </w:r>
          </w:p>
        </w:tc>
        <w:tc>
          <w:tcPr>
            <w:tcW w:w="0" w:type="auto"/>
          </w:tcPr>
          <w:p>
            <w:pPr>
              <w:spacing w:line="240" w:lineRule="auto" w:before="0" w:after="0"/>
              <w:pStyle w:val="Compact"/>
            </w:pPr>
            <w:r>
              <w:rPr>
                <w:sz w:val="20"/>
                <w:szCs w:val="20"/>
              </w:rPr>
              <w:t xml:space="preserve">GSFC Bldg 10 SES</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NASA,</w:t>
            </w:r>
            <w:r>
              <w:rPr>
                <w:sz w:val="20"/>
                <w:szCs w:val="20"/>
              </w:rPr>
              <w:t xml:space="preserve"> </w:t>
            </w:r>
            <w:r>
              <w:rPr>
                <w:sz w:val="20"/>
                <w:szCs w:val="20"/>
              </w:rPr>
              <w:t xml:space="preserve">‘Key Portion of NASA’s Roman Space Telescope Clears Thermal Vacuum Test,’</w:t>
            </w:r>
            <w:r>
              <w:rPr>
                <w:sz w:val="20"/>
                <w:szCs w:val="20"/>
              </w:rPr>
              <w:t xml:space="preserve"> </w:t>
            </w:r>
            <w:r>
              <w:rPr>
                <w:sz w:val="20"/>
                <w:szCs w:val="20"/>
              </w:rPr>
              <w:t xml:space="preserve">2025 (Outer Barrel Assembly cleared TVAC in GSFC Building 10 Space Environment Simulator)</w:t>
            </w:r>
          </w:p>
        </w:tc>
      </w:tr>
      <w:tr>
        <w:tc>
          <w:tcPr>
            <w:tcW w:w="0" w:type="auto"/>
          </w:tcPr>
          <w:p>
            <w:pPr>
              <w:spacing w:line="240" w:lineRule="auto" w:before="0" w:after="0"/>
              <w:pStyle w:val="Compact"/>
            </w:pPr>
            <w:r>
              <w:rPr>
                <w:sz w:val="20"/>
                <w:szCs w:val="20"/>
              </w:rPr>
              <w:t xml:space="preserve">Roman_SCIPA_vibe</w:t>
            </w:r>
          </w:p>
        </w:tc>
        <w:tc>
          <w:tcPr>
            <w:tcW w:w="0" w:type="auto"/>
          </w:tcPr>
          <w:p>
            <w:pPr>
              <w:spacing w:line="240" w:lineRule="auto" w:before="0" w:after="0"/>
              <w:pStyle w:val="Compact"/>
            </w:pPr>
            <w:r>
              <w:rPr>
                <w:sz w:val="20"/>
                <w:szCs w:val="20"/>
              </w:rPr>
              <w:t xml:space="preserve">GSFC Bldg 29 LVTF</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NASA Roman GSFC update, 2025 (Spacecraft Integrated Payload Assembly vibration testing in GSFC Building 29 Large Vibration Test Facility)</w:t>
            </w:r>
          </w:p>
        </w:tc>
      </w:tr>
      <w:tr>
        <w:tc>
          <w:tcPr>
            <w:tcW w:w="0" w:type="auto"/>
          </w:tcPr>
          <w:p>
            <w:pPr>
              <w:spacing w:line="240" w:lineRule="auto" w:before="0" w:after="0"/>
              <w:pStyle w:val="Compact"/>
            </w:pPr>
            <w:r>
              <w:rPr>
                <w:sz w:val="20"/>
                <w:szCs w:val="20"/>
              </w:rPr>
              <w:t xml:space="preserve">Roman_OSD_tvac</w:t>
            </w:r>
          </w:p>
        </w:tc>
        <w:tc>
          <w:tcPr>
            <w:tcW w:w="0" w:type="auto"/>
          </w:tcPr>
          <w:p>
            <w:pPr>
              <w:spacing w:line="240" w:lineRule="auto" w:before="0" w:after="0"/>
              <w:pStyle w:val="Compact"/>
            </w:pPr>
            <w:r>
              <w:rPr>
                <w:sz w:val="20"/>
                <w:szCs w:val="20"/>
              </w:rPr>
              <w:t xml:space="preserve">GSFC Bldg 10 SES</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0.85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NASA Roman GSFC update, 2025 (OSD queued for thermal-vacuum after SCIPA; access pending at report time, right-censored)</w:t>
            </w:r>
          </w:p>
        </w:tc>
      </w:tr>
      <w:tr>
        <w:tc>
          <w:tcPr>
            <w:tcW w:w="0" w:type="auto"/>
          </w:tcPr>
          <w:p>
            <w:pPr>
              <w:spacing w:line="240" w:lineRule="auto" w:before="0" w:after="0"/>
              <w:pStyle w:val="Compact"/>
            </w:pPr>
            <w:r>
              <w:rPr>
                <w:sz w:val="20"/>
                <w:szCs w:val="20"/>
              </w:rPr>
              <w:t xml:space="preserve">SLS_core_green_run</w:t>
            </w:r>
          </w:p>
        </w:tc>
        <w:tc>
          <w:tcPr>
            <w:tcW w:w="0" w:type="auto"/>
          </w:tcPr>
          <w:p>
            <w:pPr>
              <w:spacing w:line="240" w:lineRule="auto" w:before="0" w:after="0"/>
              <w:pStyle w:val="Compact"/>
            </w:pPr>
            <w:r>
              <w:rPr>
                <w:sz w:val="20"/>
                <w:szCs w:val="20"/>
              </w:rPr>
              <w:t xml:space="preserve">SSC B-2 stand</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0.97</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NASA, SLS Core Stage Green Run hot-fire campaign at Stennis B-2 test stand, 2020-2021 (extended occupancy of the single B-2 stand)</w:t>
            </w:r>
          </w:p>
        </w:tc>
      </w:tr>
      <w:tr>
        <w:tc>
          <w:tcPr>
            <w:tcW w:w="0" w:type="auto"/>
          </w:tcPr>
          <w:p>
            <w:pPr>
              <w:spacing w:line="240" w:lineRule="auto" w:before="0" w:after="0"/>
              <w:pStyle w:val="Compact"/>
            </w:pPr>
            <w:r>
              <w:rPr>
                <w:sz w:val="20"/>
                <w:szCs w:val="20"/>
              </w:rPr>
              <w:t xml:space="preserve">SLS_green_run_abort</w:t>
            </w:r>
          </w:p>
        </w:tc>
        <w:tc>
          <w:tcPr>
            <w:tcW w:w="0" w:type="auto"/>
          </w:tcPr>
          <w:p>
            <w:pPr>
              <w:spacing w:line="240" w:lineRule="auto" w:before="0" w:after="0"/>
              <w:pStyle w:val="Compact"/>
            </w:pPr>
            <w:r>
              <w:rPr>
                <w:sz w:val="20"/>
                <w:szCs w:val="20"/>
              </w:rPr>
              <w:t xml:space="preserve">SSC B-2 stand</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0.97</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NASA SLS Green Run, Jan 2021: first hot fire shut down early (~67 s), requiring a second test on the same single stand; original schedule horizon not met (right-censored)</w:t>
            </w:r>
          </w:p>
        </w:tc>
      </w:tr>
      <w:tr>
        <w:tc>
          <w:tcPr>
            <w:tcW w:w="0" w:type="auto"/>
          </w:tcPr>
          <w:p>
            <w:pPr>
              <w:spacing w:line="240" w:lineRule="auto" w:before="0" w:after="0"/>
              <w:pStyle w:val="Compact"/>
            </w:pPr>
            <w:r>
              <w:rPr>
                <w:sz w:val="20"/>
                <w:szCs w:val="20"/>
              </w:rPr>
              <w:t xml:space="preserve">Orion_Artemis1_tvac</w:t>
            </w:r>
          </w:p>
        </w:tc>
        <w:tc>
          <w:tcPr>
            <w:tcW w:w="0" w:type="auto"/>
          </w:tcPr>
          <w:p>
            <w:pPr>
              <w:spacing w:line="240" w:lineRule="auto" w:before="0" w:after="0"/>
              <w:pStyle w:val="Compact"/>
            </w:pPr>
            <w:r>
              <w:rPr>
                <w:sz w:val="20"/>
                <w:szCs w:val="20"/>
              </w:rPr>
              <w:t xml:space="preserve">GRC Plum Brook SEF</w:t>
            </w:r>
          </w:p>
        </w:tc>
        <w:tc>
          <w:tcPr>
            <w:tcW w:w="0" w:type="auto"/>
          </w:tcPr>
          <w:p>
            <w:pPr>
              <w:spacing w:line="240" w:lineRule="auto" w:before="0" w:after="0"/>
              <w:pStyle w:val="Compact"/>
            </w:pPr>
            <w:r>
              <w:rPr>
                <w:sz w:val="20"/>
                <w:szCs w:val="20"/>
              </w:rPr>
              <w:t xml:space="preserve">63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0.9</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NASA, Orion Artemis I thermal-vacuum and EMI testing at Glenn Research Center Plum Brook Station Space Environments Complex, 2019-2020</w:t>
            </w:r>
          </w:p>
        </w:tc>
      </w:tr>
      <w:tr>
        <w:tc>
          <w:tcPr>
            <w:tcW w:w="0" w:type="auto"/>
          </w:tcPr>
          <w:p>
            <w:pPr>
              <w:spacing w:line="240" w:lineRule="auto" w:before="0" w:after="0"/>
              <w:pStyle w:val="Compact"/>
            </w:pPr>
            <w:r>
              <w:rPr>
                <w:sz w:val="20"/>
                <w:szCs w:val="20"/>
              </w:rPr>
              <w:t xml:space="preserve">Orion_EM2_struct</w:t>
            </w:r>
          </w:p>
        </w:tc>
        <w:tc>
          <w:tcPr>
            <w:tcW w:w="0" w:type="auto"/>
          </w:tcPr>
          <w:p>
            <w:pPr>
              <w:spacing w:line="240" w:lineRule="auto" w:before="0" w:after="0"/>
              <w:pStyle w:val="Compact"/>
            </w:pPr>
            <w:r>
              <w:rPr>
                <w:sz w:val="20"/>
                <w:szCs w:val="20"/>
              </w:rPr>
              <w:t xml:space="preserve">LM Waterton</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0.85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GAO-25-107591, NASA Assessments of Major Projects 2025: Orion accounts for over $360M of annual cost growth amid integration delays (test-integration access slip, right-censored)</w:t>
            </w:r>
          </w:p>
        </w:tc>
      </w:tr>
      <w:tr>
        <w:tc>
          <w:tcPr>
            <w:tcW w:w="0" w:type="auto"/>
          </w:tcPr>
          <w:p>
            <w:pPr>
              <w:spacing w:line="240" w:lineRule="auto" w:before="0" w:after="0"/>
              <w:pStyle w:val="Compact"/>
            </w:pPr>
            <w:r>
              <w:rPr>
                <w:sz w:val="20"/>
                <w:szCs w:val="20"/>
              </w:rPr>
              <w:t xml:space="preserve">Perseverance_atlo</w:t>
            </w:r>
          </w:p>
        </w:tc>
        <w:tc>
          <w:tcPr>
            <w:tcW w:w="0" w:type="auto"/>
          </w:tcPr>
          <w:p>
            <w:pPr>
              <w:spacing w:line="240" w:lineRule="auto" w:before="0" w:after="0"/>
              <w:pStyle w:val="Compact"/>
            </w:pPr>
            <w:r>
              <w:rPr>
                <w:sz w:val="20"/>
                <w:szCs w:val="20"/>
              </w:rPr>
              <w:t xml:space="preserve">JPL SAF</w:t>
            </w:r>
          </w:p>
        </w:tc>
        <w:tc>
          <w:tcPr>
            <w:tcW w:w="0" w:type="auto"/>
          </w:tcPr>
          <w:p>
            <w:pPr>
              <w:spacing w:line="240" w:lineRule="auto" w:before="0" w:after="0"/>
              <w:pStyle w:val="Compact"/>
            </w:pPr>
            <w:r>
              <w:rPr>
                <w:sz w:val="20"/>
                <w:szCs w:val="20"/>
              </w:rPr>
              <w:t xml:space="preserve">110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0.93</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NASA/JPL Mars 2020 Perseverance Assembly, Test, and Launch Operations in JPL Spacecraft Assembly Facility High Bay 1, 2019-2020</w:t>
            </w:r>
          </w:p>
        </w:tc>
      </w:tr>
      <w:tr>
        <w:tc>
          <w:tcPr>
            <w:tcW w:w="0" w:type="auto"/>
          </w:tcPr>
          <w:p>
            <w:pPr>
              <w:spacing w:line="240" w:lineRule="auto" w:before="0" w:after="0"/>
              <w:pStyle w:val="Compact"/>
            </w:pPr>
            <w:r>
              <w:rPr>
                <w:sz w:val="20"/>
                <w:szCs w:val="20"/>
              </w:rPr>
              <w:t xml:space="preserve">InSight_thermal_test</w:t>
            </w:r>
          </w:p>
        </w:tc>
        <w:tc>
          <w:tcPr>
            <w:tcW w:w="0" w:type="auto"/>
          </w:tcPr>
          <w:p>
            <w:pPr>
              <w:spacing w:line="240" w:lineRule="auto" w:before="0" w:after="0"/>
              <w:pStyle w:val="Compact"/>
            </w:pPr>
            <w:r>
              <w:rPr>
                <w:sz w:val="20"/>
                <w:szCs w:val="20"/>
              </w:rPr>
              <w:t xml:space="preserve">LM/JPL chamber</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NASA InSight 2015 launch scrubbed after a vacuum-leak failure in the SEIS instrument during thermal-vacuum qualification; mission slipped to 2018 window (right-censored test failure)</w:t>
            </w:r>
          </w:p>
        </w:tc>
      </w:tr>
      <w:tr>
        <w:tc>
          <w:tcPr>
            <w:tcW w:w="0" w:type="auto"/>
          </w:tcPr>
          <w:p>
            <w:pPr>
              <w:spacing w:line="240" w:lineRule="auto" w:before="0" w:after="0"/>
              <w:pStyle w:val="Compact"/>
            </w:pPr>
            <w:r>
              <w:rPr>
                <w:sz w:val="20"/>
                <w:szCs w:val="20"/>
              </w:rPr>
              <w:t xml:space="preserve">Lucy_tvac</w:t>
            </w:r>
          </w:p>
        </w:tc>
        <w:tc>
          <w:tcPr>
            <w:tcW w:w="0" w:type="auto"/>
          </w:tcPr>
          <w:p>
            <w:pPr>
              <w:spacing w:line="240" w:lineRule="auto" w:before="0" w:after="0"/>
              <w:pStyle w:val="Compact"/>
            </w:pPr>
            <w:r>
              <w:rPr>
                <w:sz w:val="20"/>
                <w:szCs w:val="20"/>
              </w:rPr>
              <w:t xml:space="preserve">Lockheed Waterton TVAC</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NASA Lucy mission environmental testing at Lockheed Martin Waterton facility, 2021</w:t>
            </w:r>
          </w:p>
        </w:tc>
      </w:tr>
      <w:tr>
        <w:tc>
          <w:tcPr>
            <w:tcW w:w="0" w:type="auto"/>
          </w:tcPr>
          <w:p>
            <w:pPr>
              <w:spacing w:line="240" w:lineRule="auto" w:before="0" w:after="0"/>
              <w:pStyle w:val="Compact"/>
            </w:pPr>
            <w:r>
              <w:rPr>
                <w:sz w:val="20"/>
                <w:szCs w:val="20"/>
              </w:rPr>
              <w:t xml:space="preserve">DART_environ</w:t>
            </w:r>
          </w:p>
        </w:tc>
        <w:tc>
          <w:tcPr>
            <w:tcW w:w="0" w:type="auto"/>
          </w:tcPr>
          <w:p>
            <w:pPr>
              <w:spacing w:line="240" w:lineRule="auto" w:before="0" w:after="0"/>
              <w:pStyle w:val="Compact"/>
            </w:pPr>
            <w:r>
              <w:rPr>
                <w:sz w:val="20"/>
                <w:szCs w:val="20"/>
              </w:rPr>
              <w:t xml:space="preserve">JHU APL</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0.78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NASA/JHU APL DART spacecraft environmental test campaign at APL, 2021</w:t>
            </w:r>
          </w:p>
        </w:tc>
      </w:tr>
      <w:tr>
        <w:tc>
          <w:tcPr>
            <w:tcW w:w="0" w:type="auto"/>
          </w:tcPr>
          <w:p>
            <w:pPr>
              <w:spacing w:line="240" w:lineRule="auto" w:before="0" w:after="0"/>
              <w:pStyle w:val="Compact"/>
            </w:pPr>
            <w:r>
              <w:rPr>
                <w:sz w:val="20"/>
                <w:szCs w:val="20"/>
              </w:rPr>
              <w:t xml:space="preserve">OSIRIS_REx_tvac</w:t>
            </w:r>
          </w:p>
        </w:tc>
        <w:tc>
          <w:tcPr>
            <w:tcW w:w="0" w:type="auto"/>
          </w:tcPr>
          <w:p>
            <w:pPr>
              <w:spacing w:line="240" w:lineRule="auto" w:before="0" w:after="0"/>
              <w:pStyle w:val="Compact"/>
            </w:pPr>
            <w:r>
              <w:rPr>
                <w:sz w:val="20"/>
                <w:szCs w:val="20"/>
              </w:rPr>
              <w:t xml:space="preserve">Lockheed Waterton TVAC</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NASA OSIRIS-REx environmental testing at Lockheed Martin, 2016</w:t>
            </w:r>
          </w:p>
        </w:tc>
      </w:tr>
      <w:tr>
        <w:tc>
          <w:tcPr>
            <w:tcW w:w="0" w:type="auto"/>
          </w:tcPr>
          <w:p>
            <w:pPr>
              <w:spacing w:line="240" w:lineRule="auto" w:before="0" w:after="0"/>
              <w:pStyle w:val="Compact"/>
            </w:pPr>
            <w:r>
              <w:rPr>
                <w:sz w:val="20"/>
                <w:szCs w:val="20"/>
              </w:rPr>
              <w:t xml:space="preserve">JUNO_tvac</w:t>
            </w:r>
          </w:p>
        </w:tc>
        <w:tc>
          <w:tcPr>
            <w:tcW w:w="0" w:type="auto"/>
          </w:tcPr>
          <w:p>
            <w:pPr>
              <w:spacing w:line="240" w:lineRule="auto" w:before="0" w:after="0"/>
              <w:pStyle w:val="Compact"/>
            </w:pPr>
            <w:r>
              <w:rPr>
                <w:sz w:val="20"/>
                <w:szCs w:val="20"/>
              </w:rPr>
              <w:t xml:space="preserve">Lockheed Waterton TVAC</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NASA Juno environmental test campaign at Lockheed Martin, 2010-2011</w:t>
            </w:r>
          </w:p>
        </w:tc>
      </w:tr>
      <w:tr>
        <w:tc>
          <w:tcPr>
            <w:tcW w:w="0" w:type="auto"/>
          </w:tcPr>
          <w:p>
            <w:pPr>
              <w:spacing w:line="240" w:lineRule="auto" w:before="0" w:after="0"/>
              <w:pStyle w:val="Compact"/>
            </w:pPr>
            <w:r>
              <w:rPr>
                <w:sz w:val="20"/>
                <w:szCs w:val="20"/>
              </w:rPr>
              <w:t xml:space="preserve">MAVEN_tvac</w:t>
            </w:r>
          </w:p>
        </w:tc>
        <w:tc>
          <w:tcPr>
            <w:tcW w:w="0" w:type="auto"/>
          </w:tcPr>
          <w:p>
            <w:pPr>
              <w:spacing w:line="240" w:lineRule="auto" w:before="0" w:after="0"/>
              <w:pStyle w:val="Compact"/>
            </w:pPr>
            <w:r>
              <w:rPr>
                <w:sz w:val="20"/>
                <w:szCs w:val="20"/>
              </w:rPr>
              <w:t xml:space="preserve">Lockheed Waterton TVAC</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NASA MAVEN environmental testing at Lockheed Martin, 2013</w:t>
            </w:r>
          </w:p>
        </w:tc>
      </w:tr>
      <w:tr>
        <w:tc>
          <w:tcPr>
            <w:tcW w:w="0" w:type="auto"/>
          </w:tcPr>
          <w:p>
            <w:pPr>
              <w:spacing w:line="240" w:lineRule="auto" w:before="0" w:after="0"/>
              <w:pStyle w:val="Compact"/>
            </w:pPr>
            <w:r>
              <w:rPr>
                <w:sz w:val="20"/>
                <w:szCs w:val="20"/>
              </w:rPr>
              <w:t xml:space="preserve">GOES_R_tvac</w:t>
            </w:r>
          </w:p>
        </w:tc>
        <w:tc>
          <w:tcPr>
            <w:tcW w:w="0" w:type="auto"/>
          </w:tcPr>
          <w:p>
            <w:pPr>
              <w:spacing w:line="240" w:lineRule="auto" w:before="0" w:after="0"/>
              <w:pStyle w:val="Compact"/>
            </w:pPr>
            <w:r>
              <w:rPr>
                <w:sz w:val="20"/>
                <w:szCs w:val="20"/>
              </w:rPr>
              <w:t xml:space="preserve">Lockheed Waterton TVAC</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0.86</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NOAA/NASA GOES-R series environmental testing at Lockheed Martin, 2016</w:t>
            </w:r>
          </w:p>
        </w:tc>
      </w:tr>
      <w:tr>
        <w:tc>
          <w:tcPr>
            <w:tcW w:w="0" w:type="auto"/>
          </w:tcPr>
          <w:p>
            <w:pPr>
              <w:spacing w:line="240" w:lineRule="auto" w:before="0" w:after="0"/>
              <w:pStyle w:val="Compact"/>
            </w:pPr>
            <w:r>
              <w:rPr>
                <w:sz w:val="20"/>
                <w:szCs w:val="20"/>
              </w:rPr>
              <w:t xml:space="preserve">Landsat9_tvac</w:t>
            </w:r>
          </w:p>
        </w:tc>
        <w:tc>
          <w:tcPr>
            <w:tcW w:w="0" w:type="auto"/>
          </w:tcPr>
          <w:p>
            <w:pPr>
              <w:spacing w:line="240" w:lineRule="auto" w:before="0" w:after="0"/>
              <w:pStyle w:val="Compact"/>
            </w:pPr>
            <w:r>
              <w:rPr>
                <w:sz w:val="20"/>
                <w:szCs w:val="20"/>
              </w:rPr>
              <w:t xml:space="preserve">Northrop Gilbert TVAC</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NASA/USGS Landsat 9 spacecraft environmental testing at Northrop Grumman Gilbert facility, 2020</w:t>
            </w:r>
          </w:p>
        </w:tc>
      </w:tr>
      <w:tr>
        <w:tc>
          <w:tcPr>
            <w:tcW w:w="0" w:type="auto"/>
          </w:tcPr>
          <w:p>
            <w:pPr>
              <w:spacing w:line="240" w:lineRule="auto" w:before="0" w:after="0"/>
              <w:pStyle w:val="Compact"/>
            </w:pPr>
            <w:r>
              <w:rPr>
                <w:sz w:val="20"/>
                <w:szCs w:val="20"/>
              </w:rPr>
              <w:t xml:space="preserve">SWOT_tvac</w:t>
            </w:r>
          </w:p>
        </w:tc>
        <w:tc>
          <w:tcPr>
            <w:tcW w:w="0" w:type="auto"/>
          </w:tcPr>
          <w:p>
            <w:pPr>
              <w:spacing w:line="240" w:lineRule="auto" w:before="0" w:after="0"/>
              <w:pStyle w:val="Compact"/>
            </w:pPr>
            <w:r>
              <w:rPr>
                <w:sz w:val="20"/>
                <w:szCs w:val="20"/>
              </w:rPr>
              <w:t xml:space="preserve">Thales/JPL</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0.81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NASA/CNES SWOT integration; KaRIn instrument integration delays at Thales Alenia / JPL pushed launch from 2021 to 2022 (test-access slip, right-censored)</w:t>
            </w:r>
          </w:p>
        </w:tc>
      </w:tr>
      <w:tr>
        <w:tc>
          <w:tcPr>
            <w:tcW w:w="0" w:type="auto"/>
          </w:tcPr>
          <w:p>
            <w:pPr>
              <w:spacing w:line="240" w:lineRule="auto" w:before="0" w:after="0"/>
              <w:pStyle w:val="Compact"/>
            </w:pPr>
            <w:r>
              <w:rPr>
                <w:sz w:val="20"/>
                <w:szCs w:val="20"/>
              </w:rPr>
              <w:t xml:space="preserve">Sentinel6_tvac</w:t>
            </w:r>
          </w:p>
        </w:tc>
        <w:tc>
          <w:tcPr>
            <w:tcW w:w="0" w:type="auto"/>
          </w:tcPr>
          <w:p>
            <w:pPr>
              <w:spacing w:line="240" w:lineRule="auto" w:before="0" w:after="0"/>
              <w:pStyle w:val="Compact"/>
            </w:pPr>
            <w:r>
              <w:rPr>
                <w:sz w:val="20"/>
                <w:szCs w:val="20"/>
              </w:rPr>
              <w:t xml:space="preserve">IABG Ottobrunn</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0.79</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NASA/ESA/EUMETSAT Sentinel-6 Michael Freilich environmental testing at IABG space test centre, Ottobrunn, 2019</w:t>
            </w:r>
          </w:p>
        </w:tc>
      </w:tr>
      <w:tr>
        <w:tc>
          <w:tcPr>
            <w:tcW w:w="0" w:type="auto"/>
          </w:tcPr>
          <w:p>
            <w:pPr>
              <w:spacing w:line="240" w:lineRule="auto" w:before="0" w:after="0"/>
              <w:pStyle w:val="Compact"/>
            </w:pPr>
            <w:r>
              <w:rPr>
                <w:sz w:val="20"/>
                <w:szCs w:val="20"/>
              </w:rPr>
              <w:t xml:space="preserve">NISAR_tvac</w:t>
            </w:r>
          </w:p>
        </w:tc>
        <w:tc>
          <w:tcPr>
            <w:tcW w:w="0" w:type="auto"/>
          </w:tcPr>
          <w:p>
            <w:pPr>
              <w:spacing w:line="240" w:lineRule="auto" w:before="0" w:after="0"/>
              <w:pStyle w:val="Compact"/>
            </w:pPr>
            <w:r>
              <w:rPr>
                <w:sz w:val="20"/>
                <w:szCs w:val="20"/>
              </w:rPr>
              <w:t xml:space="preserve">JPL/ISRO</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0.88</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NASA/ISRO NISAR; radar antenna reflector required re-coating after thermal concerns, delaying integration test from 2024 to 2025 (right-censored)</w:t>
            </w:r>
          </w:p>
        </w:tc>
      </w:tr>
      <w:tr>
        <w:tc>
          <w:tcPr>
            <w:tcW w:w="0" w:type="auto"/>
          </w:tcPr>
          <w:p>
            <w:pPr>
              <w:spacing w:line="240" w:lineRule="auto" w:before="0" w:after="0"/>
              <w:pStyle w:val="Compact"/>
            </w:pPr>
            <w:r>
              <w:rPr>
                <w:sz w:val="20"/>
                <w:szCs w:val="20"/>
              </w:rPr>
              <w:t xml:space="preserve">Tess_environ</w:t>
            </w:r>
          </w:p>
        </w:tc>
        <w:tc>
          <w:tcPr>
            <w:tcW w:w="0" w:type="auto"/>
          </w:tcPr>
          <w:p>
            <w:pPr>
              <w:spacing w:line="240" w:lineRule="auto" w:before="0" w:after="0"/>
              <w:pStyle w:val="Compact"/>
            </w:pPr>
            <w:r>
              <w:rPr>
                <w:sz w:val="20"/>
                <w:szCs w:val="20"/>
              </w:rPr>
              <w:t xml:space="preserve">Orbital Dulles</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0.75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NASA TESS environmental testing at Orbital ATK Dulles, 2017-2018</w:t>
            </w:r>
          </w:p>
        </w:tc>
      </w:tr>
      <w:tr>
        <w:tc>
          <w:tcPr>
            <w:tcW w:w="0" w:type="auto"/>
          </w:tcPr>
          <w:p>
            <w:pPr>
              <w:spacing w:line="240" w:lineRule="auto" w:before="0" w:after="0"/>
              <w:pStyle w:val="Compact"/>
            </w:pPr>
            <w:r>
              <w:rPr>
                <w:sz w:val="20"/>
                <w:szCs w:val="20"/>
              </w:rPr>
              <w:t xml:space="preserve">ICESat2_tvac</w:t>
            </w:r>
          </w:p>
        </w:tc>
        <w:tc>
          <w:tcPr>
            <w:tcW w:w="0" w:type="auto"/>
          </w:tcPr>
          <w:p>
            <w:pPr>
              <w:spacing w:line="240" w:lineRule="auto" w:before="0" w:after="0"/>
              <w:pStyle w:val="Compact"/>
            </w:pPr>
            <w:r>
              <w:rPr>
                <w:sz w:val="20"/>
                <w:szCs w:val="20"/>
              </w:rPr>
              <w:t xml:space="preserve">NGIS Gilbert TVAC</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0.77</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ICESat-2 ATLAS instrument and observatory environmental testing at Northrop Grumman, 2017</w:t>
            </w:r>
          </w:p>
        </w:tc>
      </w:tr>
      <w:tr>
        <w:tc>
          <w:tcPr>
            <w:tcW w:w="0" w:type="auto"/>
          </w:tcPr>
          <w:p>
            <w:pPr>
              <w:spacing w:line="240" w:lineRule="auto" w:before="0" w:after="0"/>
              <w:pStyle w:val="Compact"/>
            </w:pPr>
            <w:r>
              <w:rPr>
                <w:sz w:val="20"/>
                <w:szCs w:val="20"/>
              </w:rPr>
              <w:t xml:space="preserve">SDO_tvac</w:t>
            </w:r>
          </w:p>
        </w:tc>
        <w:tc>
          <w:tcPr>
            <w:tcW w:w="0" w:type="auto"/>
          </w:tcPr>
          <w:p>
            <w:pPr>
              <w:spacing w:line="240" w:lineRule="auto" w:before="0" w:after="0"/>
              <w:pStyle w:val="Compact"/>
            </w:pPr>
            <w:r>
              <w:rPr>
                <w:sz w:val="20"/>
                <w:szCs w:val="20"/>
              </w:rPr>
              <w:t xml:space="preserve">GSFC Bldg 7-10</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NASA Solar Dynamics Observatory environmental testing in GSFC test facilities, 2009</w:t>
            </w:r>
          </w:p>
        </w:tc>
      </w:tr>
      <w:tr>
        <w:tc>
          <w:tcPr>
            <w:tcW w:w="0" w:type="auto"/>
          </w:tcPr>
          <w:p>
            <w:pPr>
              <w:spacing w:line="240" w:lineRule="auto" w:before="0" w:after="0"/>
              <w:pStyle w:val="Compact"/>
            </w:pPr>
            <w:r>
              <w:rPr>
                <w:sz w:val="20"/>
                <w:szCs w:val="20"/>
              </w:rPr>
              <w:t xml:space="preserve">amos_geo_followup_GA</w:t>
            </w:r>
          </w:p>
        </w:tc>
        <w:tc>
          <w:tcPr>
            <w:tcW w:w="0" w:type="auto"/>
          </w:tcPr>
          <w:p>
            <w:pPr>
              <w:spacing w:line="240" w:lineRule="auto" w:before="0" w:after="0"/>
              <w:pStyle w:val="Compact"/>
            </w:pPr>
            <w:r>
              <w:rPr>
                <w:sz w:val="20"/>
                <w:szCs w:val="20"/>
              </w:rPr>
              <w:t xml:space="preserve">ground optical telescope</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 Hinze, H. Fiedler, T. Schildknecht,</w:t>
            </w:r>
            <w:r>
              <w:rPr>
                <w:sz w:val="20"/>
                <w:szCs w:val="20"/>
              </w:rPr>
              <w:t xml:space="preserve"> </w:t>
            </w:r>
            <w:r>
              <w:rPr>
                <w:sz w:val="20"/>
                <w:szCs w:val="20"/>
              </w:rPr>
              <w:t xml:space="preserve">‘Performance of Optimized Scheduled Follow-up Observations for Geosynchronous Space Objects Using Different Genetic Algorithms,’</w:t>
            </w:r>
            <w:r>
              <w:rPr>
                <w:sz w:val="20"/>
                <w:szCs w:val="20"/>
              </w:rPr>
              <w:t xml:space="preserve"> </w:t>
            </w:r>
            <w:r>
              <w:rPr>
                <w:sz w:val="20"/>
                <w:szCs w:val="20"/>
              </w:rPr>
              <w:t xml:space="preserve">AMOS 2017 (genetic-algorithm scheduling of GEO follow-up windows on a finite telescope)</w:t>
            </w:r>
          </w:p>
        </w:tc>
      </w:tr>
      <w:tr>
        <w:tc>
          <w:tcPr>
            <w:tcW w:w="0" w:type="auto"/>
          </w:tcPr>
          <w:p>
            <w:pPr>
              <w:spacing w:line="240" w:lineRule="auto" w:before="0" w:after="0"/>
              <w:pStyle w:val="Compact"/>
            </w:pPr>
            <w:r>
              <w:rPr>
                <w:sz w:val="20"/>
                <w:szCs w:val="20"/>
              </w:rPr>
              <w:t xml:space="preserve">amos_sst_beam_astar</w:t>
            </w:r>
          </w:p>
        </w:tc>
        <w:tc>
          <w:tcPr>
            <w:tcW w:w="0" w:type="auto"/>
          </w:tcPr>
          <w:p>
            <w:pPr>
              <w:spacing w:line="240" w:lineRule="auto" w:before="0" w:after="0"/>
              <w:pStyle w:val="Compact"/>
            </w:pPr>
            <w:r>
              <w:rPr>
                <w:sz w:val="20"/>
                <w:szCs w:val="20"/>
              </w:rPr>
              <w:t xml:space="preserve">ground optical telescope</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0.82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 Federici, A. D’Ambrosio, R. Furfaro, V. Reddy, ’Optimal Sensor Tasking for Space Domain Awareness via a Beam A*-Search Algorithm,’ AMOS 2023, doi:10.64861/MEDT2838 (contended sensor-target assignment; some targets unscheduled within horizon, right-censored)</w:t>
            </w:r>
          </w:p>
        </w:tc>
      </w:tr>
      <w:tr>
        <w:tc>
          <w:tcPr>
            <w:tcW w:w="0" w:type="auto"/>
          </w:tcPr>
          <w:p>
            <w:pPr>
              <w:spacing w:line="240" w:lineRule="auto" w:before="0" w:after="0"/>
              <w:pStyle w:val="Compact"/>
            </w:pPr>
            <w:r>
              <w:rPr>
                <w:sz w:val="20"/>
                <w:szCs w:val="20"/>
              </w:rPr>
              <w:t xml:space="preserve">amos_constellation_task</w:t>
            </w:r>
          </w:p>
        </w:tc>
        <w:tc>
          <w:tcPr>
            <w:tcW w:w="0" w:type="auto"/>
          </w:tcPr>
          <w:p>
            <w:pPr>
              <w:spacing w:line="240" w:lineRule="auto" w:before="0" w:after="0"/>
              <w:pStyle w:val="Compact"/>
            </w:pPr>
            <w:r>
              <w:rPr>
                <w:sz w:val="20"/>
                <w:szCs w:val="20"/>
              </w:rPr>
              <w:t xml:space="preserve">distributed sensor network</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0.86</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 Shtofenmakher, H. Balakrishnan,</w:t>
            </w:r>
            <w:r>
              <w:rPr>
                <w:sz w:val="20"/>
                <w:szCs w:val="20"/>
              </w:rPr>
              <w:t xml:space="preserve"> </w:t>
            </w:r>
            <w:r>
              <w:rPr>
                <w:sz w:val="20"/>
                <w:szCs w:val="20"/>
              </w:rPr>
              <w:t xml:space="preserve">‘Optimal Tasking and Scheduling of Satellite Constellations for Space Situational Awareness,’</w:t>
            </w:r>
            <w:r>
              <w:rPr>
                <w:sz w:val="20"/>
                <w:szCs w:val="20"/>
              </w:rPr>
              <w:t xml:space="preserve"> </w:t>
            </w:r>
            <w:r>
              <w:rPr>
                <w:sz w:val="20"/>
                <w:szCs w:val="20"/>
              </w:rPr>
              <w:t xml:space="preserve">AMOS 2025, doi:10.64861/KSZU1223 (constellation tasking under contention; subset of targets unobserved within tasking horizon, right-censored)</w:t>
            </w:r>
          </w:p>
        </w:tc>
      </w:tr>
    </w:tbl>
    <w:bookmarkEnd w:id="201"/>
    <w:bookmarkStart w:id="202"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wait_days</w:t>
            </w:r>
          </w:p>
        </w:tc>
        <w:tc>
          <w:tcPr>
            <w:tcW w:w="0" w:type="auto"/>
          </w:tcPr>
          <w:p>
            <w:pPr>
              <w:spacing w:line="240" w:lineRule="auto" w:before="0" w:after="0"/>
              <w:pStyle w:val="Compact"/>
            </w:pPr>
            <w:r>
              <w:rPr>
                <w:sz w:val="20"/>
                <w:szCs w:val="20"/>
              </w:rPr>
              <w:t xml:space="preserve">Queue-residence duration: calendar days the campaign occupied or waited for the contended test server, from readiness/queue-entry to service completion or censoring</w:t>
            </w:r>
          </w:p>
        </w:tc>
        <w:tc>
          <w:tcPr>
            <w:tcW w:w="0" w:type="auto"/>
          </w:tcPr>
          <w:p>
            <w:pPr>
              <w:spacing w:line="240" w:lineRule="auto" w:before="0" w:after="0"/>
              <w:pStyle w:val="Compact"/>
            </w:pPr>
            <w:r>
              <w:rPr>
                <w:sz w:val="20"/>
                <w:szCs w:val="20"/>
              </w:rPr>
              <w:t xml:space="preserve">Documented per-campaign test durations and schedule horizons from named NASA, JPL, GSFC, SSC, GRC, contractor, and AMOS sources in the source column</w:t>
            </w:r>
          </w:p>
        </w:tc>
      </w:tr>
      <w:tr>
        <w:tc>
          <w:tcPr>
            <w:tcW w:w="0" w:type="auto"/>
          </w:tcPr>
          <w:p>
            <w:pPr>
              <w:spacing w:line="240" w:lineRule="auto" w:before="0" w:after="0"/>
              <w:pStyle w:val="Compact"/>
            </w:pPr>
            <w:r>
              <w:rPr>
                <w:sz w:val="20"/>
                <w:szCs w:val="20"/>
              </w:rPr>
              <w:t xml:space="preserve">completed</w:t>
            </w:r>
          </w:p>
        </w:tc>
        <w:tc>
          <w:tcPr>
            <w:tcW w:w="0" w:type="auto"/>
          </w:tcPr>
          <w:p>
            <w:pPr>
              <w:spacing w:line="240" w:lineRule="auto" w:before="0" w:after="0"/>
              <w:pStyle w:val="Compact"/>
            </w:pPr>
            <w:r>
              <w:rPr>
                <w:sz w:val="20"/>
                <w:szCs w:val="20"/>
              </w:rPr>
              <w:t xml:space="preserve">Event indicator: 1 if the campaign reached service completion on the contended facility within its documented window; 0 if right-censored (still queued, access slipped past horizon, or test failure forcing re-queue)</w:t>
            </w:r>
          </w:p>
        </w:tc>
        <w:tc>
          <w:tcPr>
            <w:tcW w:w="0" w:type="auto"/>
          </w:tcPr>
          <w:p>
            <w:pPr>
              <w:spacing w:line="240" w:lineRule="auto" w:before="0" w:after="0"/>
              <w:pStyle w:val="Compact"/>
            </w:pPr>
            <w:r>
              <w:rPr>
                <w:sz w:val="20"/>
                <w:szCs w:val="20"/>
              </w:rPr>
              <w:t xml:space="preserve">Coded from the documented outcome in each row’s source</w:t>
            </w:r>
          </w:p>
        </w:tc>
      </w:tr>
      <w:tr>
        <w:tc>
          <w:tcPr>
            <w:tcW w:w="0" w:type="auto"/>
          </w:tcPr>
          <w:p>
            <w:pPr>
              <w:spacing w:line="240" w:lineRule="auto" w:before="0" w:after="0"/>
              <w:pStyle w:val="Compact"/>
            </w:pPr>
            <w:r>
              <w:rPr>
                <w:sz w:val="20"/>
                <w:szCs w:val="20"/>
              </w:rPr>
              <w:t xml:space="preserve">facility_load</w:t>
            </w:r>
          </w:p>
        </w:tc>
        <w:tc>
          <w:tcPr>
            <w:tcW w:w="0" w:type="auto"/>
          </w:tcPr>
          <w:p>
            <w:pPr>
              <w:spacing w:line="240" w:lineRule="auto" w:before="0" w:after="0"/>
              <w:pStyle w:val="Compact"/>
            </w:pPr>
            <w:r>
              <w:rPr>
                <w:sz w:val="20"/>
                <w:szCs w:val="20"/>
              </w:rPr>
              <w:t xml:space="preserve">Server utilization proxy in [0,1]: how booked the shared chamber, stand, or range was during the campaign window</w:t>
            </w:r>
          </w:p>
        </w:tc>
        <w:tc>
          <w:tcPr>
            <w:tcW w:w="0" w:type="auto"/>
          </w:tcPr>
          <w:p>
            <w:pPr>
              <w:spacing w:line="240" w:lineRule="auto" w:before="0" w:after="0"/>
              <w:pStyle w:val="Compact"/>
            </w:pPr>
            <w:r>
              <w:rPr>
                <w:sz w:val="20"/>
                <w:szCs w:val="20"/>
              </w:rPr>
              <w:t xml:space="preserve">Constructed from documented facility-sharing context (single-server occupancy, concurrent-campaign reporting) in each source</w:t>
            </w:r>
          </w:p>
        </w:tc>
      </w:tr>
      <w:tr>
        <w:tc>
          <w:tcPr>
            <w:tcW w:w="0" w:type="auto"/>
          </w:tcPr>
          <w:p>
            <w:pPr>
              <w:spacing w:line="240" w:lineRule="auto" w:before="0" w:after="0"/>
              <w:pStyle w:val="Compact"/>
            </w:pPr>
            <w:r>
              <w:rPr>
                <w:sz w:val="20"/>
                <w:szCs w:val="20"/>
              </w:rPr>
              <w:t xml:space="preserve">cv2_service</w:t>
            </w:r>
          </w:p>
        </w:tc>
        <w:tc>
          <w:tcPr>
            <w:tcW w:w="0" w:type="auto"/>
          </w:tcPr>
          <w:p>
            <w:pPr>
              <w:spacing w:line="240" w:lineRule="auto" w:before="0" w:after="0"/>
              <w:pStyle w:val="Compact"/>
            </w:pPr>
            <w:r>
              <w:rPr>
                <w:sz w:val="20"/>
                <w:szCs w:val="20"/>
              </w:rPr>
              <w:t xml:space="preserve">Squared coefficient of variation of campaign service durations at the facility class: the queueing variability driver</w:t>
            </w:r>
          </w:p>
        </w:tc>
        <w:tc>
          <w:tcPr>
            <w:tcW w:w="0" w:type="auto"/>
          </w:tcPr>
          <w:p>
            <w:pPr>
              <w:spacing w:line="240" w:lineRule="auto" w:before="0" w:after="0"/>
              <w:pStyle w:val="Compact"/>
            </w:pPr>
            <w:r>
              <w:rPr>
                <w:sz w:val="20"/>
                <w:szCs w:val="20"/>
              </w:rPr>
              <w:t xml:space="preserve">Constructed from the spread of documented campaign durations within each facility class in the dataset</w:t>
            </w:r>
          </w:p>
        </w:tc>
      </w:tr>
      <w:tr>
        <w:tc>
          <w:tcPr>
            <w:tcW w:w="0" w:type="auto"/>
          </w:tcPr>
          <w:p>
            <w:pPr>
              <w:spacing w:line="240" w:lineRule="auto" w:before="0" w:after="0"/>
              <w:pStyle w:val="Compact"/>
            </w:pPr>
            <w:r>
              <w:rPr>
                <w:sz w:val="20"/>
                <w:szCs w:val="20"/>
              </w:rPr>
              <w:t xml:space="preserve">n_servers</w:t>
            </w:r>
          </w:p>
        </w:tc>
        <w:tc>
          <w:tcPr>
            <w:tcW w:w="0" w:type="auto"/>
          </w:tcPr>
          <w:p>
            <w:pPr>
              <w:spacing w:line="240" w:lineRule="auto" w:before="0" w:after="0"/>
              <w:pStyle w:val="Compact"/>
            </w:pPr>
            <w:r>
              <w:rPr>
                <w:sz w:val="20"/>
                <w:szCs w:val="20"/>
              </w:rPr>
              <w:t xml:space="preserve">Number of comparable test servers (chambers, stands, ranges, or sensors) available for the campaign class</w:t>
            </w:r>
          </w:p>
        </w:tc>
        <w:tc>
          <w:tcPr>
            <w:tcW w:w="0" w:type="auto"/>
          </w:tcPr>
          <w:p>
            <w:pPr>
              <w:spacing w:line="240" w:lineRule="auto" w:before="0" w:after="0"/>
              <w:pStyle w:val="Compact"/>
            </w:pPr>
            <w:r>
              <w:rPr>
                <w:sz w:val="20"/>
                <w:szCs w:val="20"/>
              </w:rPr>
              <w:t xml:space="preserve">Documented facility counts from each source; 1 where a single named chamber or stand is the only comparable server</w:t>
            </w:r>
          </w:p>
        </w:tc>
      </w:tr>
      <w:tr>
        <w:tc>
          <w:tcPr>
            <w:tcW w:w="0" w:type="auto"/>
          </w:tcPr>
          <w:p>
            <w:pPr>
              <w:spacing w:line="240" w:lineRule="auto" w:before="0" w:after="0"/>
              <w:pStyle w:val="Compact"/>
            </w:pPr>
            <w:r>
              <w:rPr>
                <w:sz w:val="20"/>
                <w:szCs w:val="20"/>
              </w:rPr>
              <w:t xml:space="preserve">payload_instruments</w:t>
            </w:r>
          </w:p>
        </w:tc>
        <w:tc>
          <w:tcPr>
            <w:tcW w:w="0" w:type="auto"/>
          </w:tcPr>
          <w:p>
            <w:pPr>
              <w:spacing w:line="240" w:lineRule="auto" w:before="0" w:after="0"/>
              <w:pStyle w:val="Compact"/>
            </w:pPr>
            <w:r>
              <w:rPr>
                <w:sz w:val="20"/>
                <w:szCs w:val="20"/>
              </w:rPr>
              <w:t xml:space="preserve">Instrument or major-element count carried by the campaign, a service-time inflator</w:t>
            </w:r>
          </w:p>
        </w:tc>
        <w:tc>
          <w:tcPr>
            <w:tcW w:w="0" w:type="auto"/>
          </w:tcPr>
          <w:p>
            <w:pPr>
              <w:spacing w:line="240" w:lineRule="auto" w:before="0" w:after="0"/>
              <w:pStyle w:val="Compact"/>
            </w:pPr>
            <w:r>
              <w:rPr>
                <w:sz w:val="20"/>
                <w:szCs w:val="20"/>
              </w:rPr>
              <w:t xml:space="preserve">Documented instrument complements from mission descriptions in each source</w:t>
            </w:r>
          </w:p>
        </w:tc>
      </w:tr>
    </w:tbl>
    <w:bookmarkEnd w:id="202"/>
    <w:bookmarkEnd w:id="203"/>
    <w:bookmarkEnd w:id="204"/>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89" Type="http://schemas.openxmlformats.org/officeDocument/2006/relationships/image" Target="media/rId189.png"/><Relationship Id="rId197" Type="http://schemas.openxmlformats.org/officeDocument/2006/relationships/image" Target="media/rId197.png"/><Relationship Id="rId185" Type="http://schemas.openxmlformats.org/officeDocument/2006/relationships/hyperlink" Target="https://doi.org/10.1016/j.actaastro.2018.11.031" TargetMode="External"/><Relationship Id="rId173" Type="http://schemas.openxmlformats.org/officeDocument/2006/relationships/hyperlink" Target="https://doi.org/10.1016/j.actaastro.2021.11.023" TargetMode="External"/><Relationship Id="rId183" Type="http://schemas.openxmlformats.org/officeDocument/2006/relationships/hyperlink" Target="https://doi.org/10.1016/j.actaastro.2023.05.014" TargetMode="External"/><Relationship Id="rId177" Type="http://schemas.openxmlformats.org/officeDocument/2006/relationships/hyperlink" Target="https://doi.org/10.1016/j.actaastro.2024.02.039" TargetMode="External"/><Relationship Id="rId179" Type="http://schemas.openxmlformats.org/officeDocument/2006/relationships/hyperlink" Target="https://doi.org/10.1016/j.actaastro.2024.12.022" TargetMode="External"/><Relationship Id="rId171" Type="http://schemas.openxmlformats.org/officeDocument/2006/relationships/hyperlink" Target="https://doi.org/10.1016/j.actaastro.2025.07.055" TargetMode="External"/><Relationship Id="rId175" Type="http://schemas.openxmlformats.org/officeDocument/2006/relationships/hyperlink" Target="https://doi.org/10.1016/j.actaastro.2025.10.054" TargetMode="External"/><Relationship Id="rId181" Type="http://schemas.openxmlformats.org/officeDocument/2006/relationships/hyperlink" Target="https://doi.org/10.1016/j.actaastro.2025.11.056" TargetMode="External"/><Relationship Id="rId158" Type="http://schemas.openxmlformats.org/officeDocument/2006/relationships/hyperlink" Target="https://doi.org/10.64861/HWZS9386" TargetMode="External"/><Relationship Id="rId168" Type="http://schemas.openxmlformats.org/officeDocument/2006/relationships/hyperlink" Target="https://doi.org/10.64861/JYPL6836" TargetMode="External"/><Relationship Id="rId156" Type="http://schemas.openxmlformats.org/officeDocument/2006/relationships/hyperlink" Target="https://doi.org/10.64861/KSZU1223" TargetMode="External"/><Relationship Id="rId163" Type="http://schemas.openxmlformats.org/officeDocument/2006/relationships/hyperlink" Target="https://doi.org/10.64861/KYFU6858" TargetMode="External"/><Relationship Id="rId151" Type="http://schemas.openxmlformats.org/officeDocument/2006/relationships/hyperlink" Target="https://doi.org/10.64861/MEDT2838" TargetMode="External"/></Relationships>
</file>

<file path=word/_rels/footnotes.xml.rels><?xml version='1.0' encoding='UTF-8' standalone='yes'?>
<Relationships xmlns="http://schemas.openxmlformats.org/package/2006/relationships"><Relationship Id="rId185" Type="http://schemas.openxmlformats.org/officeDocument/2006/relationships/hyperlink" Target="https://doi.org/10.1016/j.actaastro.2018.11.031" TargetMode="External"/><Relationship Id="rId173" Type="http://schemas.openxmlformats.org/officeDocument/2006/relationships/hyperlink" Target="https://doi.org/10.1016/j.actaastro.2021.11.023" TargetMode="External"/><Relationship Id="rId183" Type="http://schemas.openxmlformats.org/officeDocument/2006/relationships/hyperlink" Target="https://doi.org/10.1016/j.actaastro.2023.05.014" TargetMode="External"/><Relationship Id="rId177" Type="http://schemas.openxmlformats.org/officeDocument/2006/relationships/hyperlink" Target="https://doi.org/10.1016/j.actaastro.2024.02.039" TargetMode="External"/><Relationship Id="rId179" Type="http://schemas.openxmlformats.org/officeDocument/2006/relationships/hyperlink" Target="https://doi.org/10.1016/j.actaastro.2024.12.022" TargetMode="External"/><Relationship Id="rId171" Type="http://schemas.openxmlformats.org/officeDocument/2006/relationships/hyperlink" Target="https://doi.org/10.1016/j.actaastro.2025.07.055" TargetMode="External"/><Relationship Id="rId175" Type="http://schemas.openxmlformats.org/officeDocument/2006/relationships/hyperlink" Target="https://doi.org/10.1016/j.actaastro.2025.10.054" TargetMode="External"/><Relationship Id="rId181" Type="http://schemas.openxmlformats.org/officeDocument/2006/relationships/hyperlink" Target="https://doi.org/10.1016/j.actaastro.2025.11.056" TargetMode="External"/><Relationship Id="rId158" Type="http://schemas.openxmlformats.org/officeDocument/2006/relationships/hyperlink" Target="https://doi.org/10.64861/HWZS9386" TargetMode="External"/><Relationship Id="rId168" Type="http://schemas.openxmlformats.org/officeDocument/2006/relationships/hyperlink" Target="https://doi.org/10.64861/JYPL6836" TargetMode="External"/><Relationship Id="rId156" Type="http://schemas.openxmlformats.org/officeDocument/2006/relationships/hyperlink" Target="https://doi.org/10.64861/KSZU1223" TargetMode="External"/><Relationship Id="rId163" Type="http://schemas.openxmlformats.org/officeDocument/2006/relationships/hyperlink" Target="https://doi.org/10.64861/KYFU6858" TargetMode="External"/><Relationship Id="rId151" Type="http://schemas.openxmlformats.org/officeDocument/2006/relationships/hyperlink" Target="https://doi.org/10.64861/MEDT283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Test Facility Throughput as a Queue: Contention, Wait-Time, and the Schedule Pen</dc:title>
  <dc:creator>Sofia Hoffmann (1B-LFO-026)</dc:creator>
  <cp:keywords/>
  <dcterms:created xsi:type="dcterms:W3CDTF">2026-07-02T16:45:37Z</dcterms:created>
  <dcterms:modified xsi:type="dcterms:W3CDTF">2026-07-02T16:45:37Z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