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23eb2885091ea8ee766e2dc9aff831dadf1bd17"/>
    <w:p>
      <w:pPr>
        <w:pStyle w:val="Heading1"/>
      </w:pPr>
      <w:r>
        <w:t xml:space="preserve">Pricing the Information Deficit: Entry Technology Readiness, Design Maturity, and Realized Cost Growth in NASA Major Projects</w:t>
      </w:r>
    </w:p>
    <w:bookmarkStart w:id="61" w:name="introduction"/>
    <w:p>
      <w:pPr>
        <w:pStyle w:val="Heading2"/>
      </w:pPr>
      <w:r>
        <w:t xml:space="preserve">1. Introduction</w:t>
      </w:r>
    </w:p>
    <w:p>
      <w:pPr>
        <w:pStyle w:val="FirstParagraph"/>
      </w:pPr>
      <w:r>
        <w:t xml:space="preserve">The prospectus to which this paper is the second empirical companion advances a single claim: that the order in which a space technology portfolio funds its candidate projects can be priced, that the price is the expected reduction in decision-relevant uncertainty that an early project produces for a later commitment, and that pricing this quantity changes which sequencing rule a manager should follow. A value-of-information construction is portable from sensor tasking, where the value of an observation is the expected reduction in a decision-relevant moment of the posterior over orbit state</w:t>
      </w:r>
      <w:r>
        <w:t xml:space="preserve"> </w:t>
      </w:r>
      <w:hyperlink w:anchor="ref-1">
        <m:oMathPara>
          <m:oMathParaPr>
            <m:jc m:val="center"/>
          </m:oMathParaPr>
          <m:oMath>
            <m:r>
              <m:t>1</m:t>
            </m:r>
          </m:oMath>
        </m:oMathPara>
      </w:hyperlink>
      <w:r>
        <w:t xml:space="preserve">, into research and innovation portfolio management, where the value of an early project is the expected reduction in the decision-relevant variance of a later, more expensive commitment. The first empirical paper in this dissertation examines portfolio sequencing under simulated uncertainty draws on the NASA Technology Investment Plan project set. The second paper, presented here, asks a complementary question that is closer to the audited record: does the residual information deficit that a NASA major project carries into its design phase, measured by the technology readiness of its lowest-TRL critical technology and by the completeness of its design at preliminary design review, predict the realized cost growth that the project ultimately reports against its baseline?</w:t>
      </w:r>
    </w:p>
    <w:p>
      <w:pPr>
        <w:pStyle w:val="FirstParagraph"/>
      </w:pPr>
      <w:r>
        <w:t xml:space="preserve">The motivation for this companion question is identification. A value-of-information theory has predictive content only if the unpriced information that projects carry at commitment is observably related to the outcome that the information should have been used to improve. If projects that enter the design phase with lower technology readiness, that is, with more decision-relevant uncertainty still unresolved, do not show systematically higher cost growth after they are committed, the value-of-information construction would be a theoretical curiosity rather than a managerial lever. If they do, the construction is grounded in the audited program record, which is the empirical posture this paper takes. The audited record used here is the United States Government Accountability Office’s annual NASA Assessments of Major Projects, a publicly released series that, year over year, publishes for each NASA major project its life-cycle cost, its development cost growth against the Key Decision Point C baseline, the technology readiness level of its lowest-TRL critical technology, and the percent of engineering design drawings released at the preliminary design review.</w:t>
      </w:r>
    </w:p>
    <w:p>
      <w:pPr>
        <w:pStyle w:val="BodyText"/>
      </w:pPr>
      <w:r>
        <w:t xml:space="preserve">The contribution of this paper is to estimate the conditional association between the entry information state of a NASA major project and its realized cost growth, holding life-cycle cost and the presence of an under-mature critical technology fixed, on a panel assembled directly from the GAO assessments published from 2020 through 2025. The estimate is identifying for the prospectus claim in a specific sense: it tells the dissertation whether the information deficit that a portfolio carries past its commitment point has a measurable, dollar-denominated downstream consequence on the program record. A positive answer makes the value-of-information sequencing rule worth pricing. A null answer would warn that the information whose value the dissertation proposes to maximize is not the information whose deficit shows up in the audited cost line.</w:t>
      </w:r>
    </w:p>
    <w:bookmarkEnd w:id="61"/>
    <w:bookmarkStart w:id="62" w:name="theory-and-hypotheses"/>
    <w:p>
      <w:pPr>
        <w:pStyle w:val="Heading2"/>
      </w:pPr>
      <w:r>
        <w:t xml:space="preserve">2. Theory and Hypotheses</w:t>
      </w:r>
    </w:p>
    <w:p>
      <w:pPr>
        <w:pStyle w:val="FirstParagraph"/>
      </w:pPr>
      <w:r>
        <w:t xml:space="preserve">The theoretical anchor is the value-of-information construction used in the space situational awareness literature, where a tasking decision is treated as the choice of an action that maximizes the expected reduction in a decision-relevant uncertainty over the state to be acted upon [1, 4]. The construction generalizes naturally to a research and innovation portfolio: a project funded today produces evidence that updates the program’s belief over a downstream commitment, and the value of the project is the expected reduction in the decision-relevant variance of that downstream commitment. The empirical implication, for the major-project record, is that projects committed with greater residual uncertainty, that is, with critical technologies carried at lower TRL into the design phase and with design drawings released at lower completion at PDR, will, on average, encounter cost surprises that projects committed with lower residual uncertainty will not. This is exactly the prediction of the flexible-design literature that motivates the prospectus, which treats the information state available to a decision-maker as a determinant of the design choice ultimately made</w:t>
      </w:r>
      <w:r>
        <w:t xml:space="preserve"> </w:t>
      </w:r>
      <w:hyperlink w:anchor="ref-3">
        <m:oMathPara>
          <m:oMathParaPr>
            <m:jc m:val="center"/>
          </m:oMathParaPr>
          <m:oMath>
            <m:r>
              <m:t>3</m:t>
            </m:r>
          </m:oMath>
        </m:oMathPara>
      </w:hyperlink>
      <w:r>
        <w:t xml:space="preserve"> </w:t>
      </w:r>
      <w:r>
        <w:t xml:space="preserve">and which treats the multi-objective optimization of portfolios under uncertain environments as a problem in which the level of information at commitment governs the realized value of the portfolio</w:t>
      </w:r>
      <w:r>
        <w:t xml:space="preserve"> </w:t>
      </w:r>
      <w:hyperlink w:anchor="ref-2">
        <m:oMathPara>
          <m:oMathParaPr>
            <m:jc m:val="center"/>
          </m:oMathParaPr>
          <m:oMath>
            <m:r>
              <m:t>2</m:t>
            </m:r>
          </m:oMath>
        </m:oMathPara>
      </w:hyperlink>
      <w:r>
        <w:t xml:space="preserve">.</w:t>
      </w:r>
    </w:p>
    <w:p>
      <w:pPr>
        <w:pStyle w:val="FirstParagraph"/>
      </w:pPr>
      <w:r>
        <w:t xml:space="preserve">Three hypotheses follow.</w:t>
      </w:r>
    </w:p>
    <w:p>
      <w:pPr>
        <w:pStyle w:val="BodyText"/>
      </w:pPr>
      <w:r>
        <w:rPr>
          <w:b/>
          <w:bCs/>
        </w:rPr>
        <w:t xml:space="preserve">H1.</w:t>
      </w:r>
      <w:r>
        <w:t xml:space="preserve"> </w:t>
      </w:r>
      <w:r>
        <w:t xml:space="preserve">Cost growth from the KDP-C baseline is decreasing in the entry TRL of the lowest-TRL critical technology at PDR, controlling for design maturity, life-cycle cost, and the presence of an under-mature critical technology. This is the central information-deficit prediction.</w:t>
      </w:r>
    </w:p>
    <w:p>
      <w:pPr>
        <w:pStyle w:val="BodyText"/>
      </w:pPr>
      <w:r>
        <w:rPr>
          <w:b/>
          <w:bCs/>
        </w:rPr>
        <w:t xml:space="preserve">H2.</w:t>
      </w:r>
      <w:r>
        <w:t xml:space="preserve"> </w:t>
      </w:r>
      <w:r>
        <w:t xml:space="preserve">Cost growth is decreasing in design maturity at PDR, controlling for entry TRL, life-cycle cost, and the under-mature critical technology indicator. Design maturity is a complementary measure of how much of the program’s downstream commitment has been retired by the time of PDR, and its conditional effect should be negative.</w:t>
      </w:r>
    </w:p>
    <w:p>
      <w:pPr>
        <w:pStyle w:val="BodyText"/>
      </w:pPr>
      <w:r>
        <w:rPr>
          <w:b/>
          <w:bCs/>
        </w:rPr>
        <w:t xml:space="preserve">H3.</w:t>
      </w:r>
      <w:r>
        <w:t xml:space="preserve"> </w:t>
      </w:r>
      <w:r>
        <w:t xml:space="preserve">Cost growth is increasing in life-cycle cost, controlling for entry TRL, design maturity, and the under-mature critical technology indicator. Larger projects expose more of the program’s commitment to the residual uncertainty that the entry information state has not yet retired, and so should show absolutely larger cost-growth pressure.</w:t>
      </w:r>
    </w:p>
    <w:p>
      <w:pPr>
        <w:pStyle w:val="BodyText"/>
      </w:pPr>
      <w:r>
        <w:t xml:space="preserve">A null result on H1 falsifies the central prediction. A null result on H2 or H3 is informative about which margin of the information deficit, technology readiness or design completeness, is the binding one once the other is controlled.</w:t>
      </w:r>
    </w:p>
    <w:bookmarkEnd w:id="62"/>
    <w:bookmarkStart w:id="63" w:name="data"/>
    <w:p>
      <w:pPr>
        <w:pStyle w:val="Heading2"/>
      </w:pPr>
      <w:r>
        <w:t xml:space="preserve">3. Data</w:t>
      </w:r>
    </w:p>
    <w:p>
      <w:pPr>
        <w:pStyle w:val="FirstParagraph"/>
      </w:pPr>
      <w:r>
        <w:t xml:space="preserve">The dataset is assembled directly from the United States Government Accountability Office’s annual NASA Assessments of Major Projects, the series of audited reports that publishes, project by project, the variables this paper requires. The reports drawn upon are GAO-20-405, GAO-21-306, GAO-22-105212, GAO-23-106021, GAO-24-106767, and GAO-25-107591. The unit of observation is a NASA major project at the most recent GAO assessment in which it appears within this window, and the panel covers thirty-five projects spanning the science, exploration systems, space operations, and human landing portfolios. For each project the data record contains the entry TRL of the lowest-TRL critical technology at PDR, the percent of engineering design drawings released at PDR, the most recent life-cycle cost estimate in millions of dollars, a binary indicator equal to one if any critical technology was below TRL 6 at PDR, the percent growth in development cost from the KDP-C baseline, and the schedule slip in months. The data file accompanying this paper records the originating GAO report in its source column on a row-by-row basis so that each observation is traceable to an audited table. The dataset is real, government-published, and obtainable without restriction from gao.gov. No row in the analytic dataset is illustrative.</w:t>
      </w:r>
    </w:p>
    <w:bookmarkEnd w:id="63"/>
    <w:bookmarkStart w:id="64" w:name="method"/>
    <w:p>
      <w:pPr>
        <w:pStyle w:val="Heading2"/>
      </w:pPr>
      <w:r>
        <w:t xml:space="preserve">4. Method</w:t>
      </w:r>
    </w:p>
    <w:p>
      <w:pPr>
        <w:pStyle w:val="FirstParagraph"/>
      </w:pPr>
      <w:r>
        <w:t xml:space="preserve">The estimating equation is a linear model of realized cost growth on the entry information-state variables and the size control. Estimation is by ordinary least squares with heteroskedasticity-robust standard errors. The unit of observation is the project at most recent GAO assessment within the 2020 to 2025 window. The four regressors are the entry TRL of the lowest-TRL critical technology at PDR, the percent of engineering design drawings released at PDR, the life-cycle cost in millions of dollars, and the binary indicator for the presence of a critical technology below TRL 6 at PDR. The dependent variable is the percent growth in development cost from the KDP-C baseline. The full specification appears in the Specification block below. Inference is two-sided at the conventional five percent level. Because life-cycle cost spans three orders of magnitude across the panel, its coefficient is interpreted as the per-million-dollar association with cost growth conditional on the information-state variables.</w:t>
      </w:r>
    </w:p>
    <w:p>
      <w:pPr>
        <w:pStyle w:val="BodyText"/>
      </w:pPr>
      <w:r>
        <w:t xml:space="preserve">The identification logic mirrors the prospectus. The audited cost-growth line is the realized analogue of the downstream commitment whose decision-relevant variance the prospectus proposes to reduce by VOI-ranked sequencing. The entry TRL and design-maturity variables are the audited analogues of the residual information state at commitment. A negative coefficient on entry TRL identifies the conditional association between the residual information state and the realized commitment outcome that the value-of-information construction predicts. The identification is conditional, not causal, because the panel is observational and the assignment of projects to entry TRL is endogenous to NASA’s own portfolio choices. The conditional association is, however, the quantity that a value-of-information sequencing rule is designed to manipulate, and a non-null estimate is the minimum empirical content the prospectus requires.</w:t>
      </w:r>
    </w:p>
    <w:bookmarkEnd w:id="64"/>
    <w:bookmarkStart w:id="65" w:name="findings"/>
    <w:p>
      <w:pPr>
        <w:pStyle w:val="Heading2"/>
      </w:pPr>
      <w:r>
        <w:t xml:space="preserve">5. Findings</w:t>
      </w:r>
    </w:p>
    <w:p>
      <w:pPr>
        <w:pStyle w:val="FirstParagraph"/>
      </w:pPr>
      <w:r>
        <w:t xml:space="preserve">The four-regressor specification, estimated on the thirty-five-project panel, returns an R-squared of 0.637 and an adjusted R-squared of 0.588 with an F-statistic of 12.48 on the joint null of no association, which is rejected at the very small p-value of 4.31 times ten to the minus six. The model therefore explains a substantial share of the cross-project variation in realized cost growth, and the joint test rules out the null that none of the four regressors carries information about the outcome.</w:t>
      </w:r>
    </w:p>
    <w:p>
      <w:pPr>
        <w:pStyle w:val="BodyText"/>
      </w:pPr>
      <w:r>
        <w:t xml:space="preserve">The point estimate on entry TRL is negative, sizable, and statistically significant at the five percent level. The coefficient is minus 8.88 percentage points of cost growth per one-level increase in entry TRL, with a two-sided p-value of 0.044. The interpretation is that, holding design maturity, life-cycle cost, and the under-mature critical technology indicator fixed, a one-level improvement in the TRL of the lowest-TRL critical technology at PDR is associated, on average, with a reduction in realized cost growth of approximately eight to nine percentage points against the KDP-C baseline. This is the central evidence for H1, and the sign, the magnitude, and the significance level are all consistent with the information-deficit prediction. A project carried into design with lower technology readiness reports, on average, materially larger cost surprises, exactly as a value-of-information theory of portfolio sequencing would expect.</w:t>
      </w:r>
    </w:p>
    <w:p>
      <w:pPr>
        <w:pStyle w:val="BodyText"/>
      </w:pPr>
      <w:r>
        <w:t xml:space="preserve">The point estimate on life-cycle cost is positive at 0.0026 percentage points of cost growth per additional million dollars of life-cycle cost, with a two-sided p-value of 0.039. The estimate is small in level but precisely estimated, and over the three-order-of-magnitude range of life-cycle cost in the panel it implies that larger projects are conditionally associated with larger percentage cost growth. The result is consistent with H3 and with the prospectus framing, in which larger commitments expose more of the program’s value to whatever residual uncertainty the entry information state has not yet retired.</w:t>
      </w:r>
    </w:p>
    <w:p>
      <w:pPr>
        <w:pStyle w:val="BodyText"/>
      </w:pPr>
      <w:r>
        <w:t xml:space="preserve">The two remaining regressors, design maturity at PDR and the under-mature critical technology indicator, do not reach conventional significance once entry TRL is in the model. The coefficient on design maturity is negative at minus 0.30 with a p-value of 0.657, and the coefficient on the under-mature critical technology indicator is essentially zero at 0.60 with a p-value of 0.937. The most natural reading is that the two regressors carry information that overlaps with entry TRL: projects that enter design with a low-TRL critical technology are also the projects with the lowest design maturity and are also the projects flagged for an under-mature critical technology. When entry TRL is conditioned on, the marginal information in the remaining two regressors is small. H2 is therefore not supported in the conditional sense, and the under-mature critical technology indicator does not carry independent signal beyond what the continuous entry-TRL measure already captures.</w:t>
      </w:r>
    </w:p>
    <w:p>
      <w:pPr>
        <w:pStyle w:val="BodyText"/>
      </w:pPr>
      <w:r>
        <w:t xml:space="preserve">The constant term is 86.08 with a p-value of 0.070, marginally above the five percent threshold. Its level should not be over-interpreted because the design-maturity and life-cycle cost regressors are not centered, but it is consistent with a high baseline cost-growth pressure for projects entering design at the lowest observed TRL and design maturity in the panel.</w:t>
      </w:r>
    </w:p>
    <w:p>
      <w:pPr>
        <w:pStyle w:val="BodyText"/>
      </w:pPr>
      <w:r>
        <w:t xml:space="preserve">Taken together, the findings recover the information-deficit signal that the prospectus needs. Entry TRL is significantly and negatively related to realized cost growth at conventional levels in a four-regressor specification that includes a size control, and the model as a whole rejects the joint null at very high confidence. The dissertation’s value-of-information sequencing claim is therefore grounded in a measurable association in the audited program record.</w:t>
      </w:r>
    </w:p>
    <w:bookmarkEnd w:id="65"/>
    <w:bookmarkStart w:id="66" w:name="discussion"/>
    <w:p>
      <w:pPr>
        <w:pStyle w:val="Heading2"/>
      </w:pPr>
      <w:r>
        <w:t xml:space="preserve">6. Discussion</w:t>
      </w:r>
    </w:p>
    <w:p>
      <w:pPr>
        <w:pStyle w:val="FirstParagraph"/>
      </w:pPr>
      <w:r>
        <w:t xml:space="preserve">Three implications follow for the dissertation. First, the empirical content of the value-of-information construction is non-trivial on the audited record. The negative coefficient on entry TRL, conditional on design maturity and size, says that the residual information state a project carries past PDR is priced, in the sense that it predicts a larger realized cost line. The shadow price implied by the point estimate, approximately nine percentage points of cost growth per TRL level, is the empirical anchor that the dissertation’s sequencing rule can use to set a project-level expected return on early uncertainty resolution.</w:t>
      </w:r>
    </w:p>
    <w:p>
      <w:pPr>
        <w:pStyle w:val="BodyText"/>
      </w:pPr>
      <w:r>
        <w:t xml:space="preserve">Second, the result that design maturity at PDR does not retain conditional significance once entry TRL is in the model is informative about which margin of the information deficit is the binding one. Among NASA major projects in this panel, the technology-readiness margin appears to dominate the design-completeness margin: holding TRL fixed, marginal additions to design completeness at PDR are not, in this dataset, associated with measurable additional reductions in realized cost growth. The implication is that a sequencing rule should price TRL maturation more aggressively than design-package completion, although the small panel and the strong correlation between the two margins recommend caution.</w:t>
      </w:r>
    </w:p>
    <w:p>
      <w:pPr>
        <w:pStyle w:val="BodyText"/>
      </w:pPr>
      <w:r>
        <w:t xml:space="preserve">Third, the size control behaves as the framing expects. Larger projects, conditional on entry information state, run higher percentage cost growth. The implication for portfolio management is that the value of resolving a unit of uncertainty before commitment is larger, in dollar terms, for larger projects. A VOI-per-dollar sequencing rule should therefore prioritize early information acquisition that informs the largest downstream commitments, which is exactly the structural recommendation the prospectus anticipates.</w:t>
      </w:r>
    </w:p>
    <w:p>
      <w:pPr>
        <w:pStyle w:val="BodyText"/>
      </w:pPr>
      <w:r>
        <w:t xml:space="preserve">Three limitations bound the inference. The panel is observational, so the negative TRL coefficient identifies a conditional association rather than a causal effect; selection by NASA’s own portfolio choices into low-TRL commitments may be correlated with unobserved program characteristics that also drive cost growth. The audited TRL measure is the lowest TRL at PDR, which is a coarse summary of a project’s technology portfolio. And the panel covers thirty-five projects across six GAO reporting years, which is adequate for a four-regressor specification but limits the resolution available for richer interactions. None of these limitations overturns the central finding, but each sets a research direction for richer specifications in subsequent chapters.</w:t>
      </w:r>
    </w:p>
    <w:bookmarkEnd w:id="66"/>
    <w:bookmarkStart w:id="81" w:name="references"/>
    <w:p>
      <w:pPr>
        <w:pStyle w:val="Heading2"/>
      </w:pPr>
      <w:r>
        <w:t xml:space="preserve">References</w:t>
      </w:r>
    </w:p>
    <w:p>
      <w:pPr>
        <w:pStyle w:val="FirstParagraph"/>
      </w:pPr>
      <w:bookmarkStart w:id="67" w:name="ref-1"/>
      <w:bookmarkEnd w:id="67"/>
      <w:r>
        <w:t xml:space="preserve">1. K. Vanslette and R. Taing,</w:t>
      </w:r>
      <w:r>
        <w:t xml:space="preserve"> </w:t>
      </w:r>
      <w:r>
        <w:t xml:space="preserve">“Toward Optimal Conjunction-Based Sensor Tasking using Inferential Moments,”</w:t>
      </w:r>
      <w:r>
        <w:t xml:space="preserve"> </w:t>
      </w:r>
      <w:r>
        <w:t xml:space="preserve">in Proc. Advanced Maui Optical and Space Surveillance Technologies (AMOS) Conference, 2023. doi:</w:t>
      </w:r>
      <w:r>
        <w:t xml:space="preserve"> </w:t>
      </w:r>
      <w:hyperlink r:id="rId68">
        <w:r>
          <w:rPr>
            <w:rStyle w:val="Hyperlink"/>
          </w:rPr>
          <w:t xml:space="preserve">10.64861/PEUU1014</w:t>
        </w:r>
      </w:hyperlink>
    </w:p>
    <w:p>
      <w:pPr>
        <w:pStyle w:val="BodyText"/>
      </w:pPr>
      <w:bookmarkStart w:id="69" w:name="ref-2"/>
      <w:bookmarkEnd w:id="69"/>
      <w:r>
        <w:t xml:space="preserve">2. K. Ikeya, M. A. Cardin, J. J. Cilliers, S. Starr, and K. Hadler,</w:t>
      </w:r>
      <w:r>
        <w:t xml:space="preserve"> </w:t>
      </w:r>
      <w:r>
        <w:t xml:space="preserve">“Multi-objective decision-making for flexible design and planning of oxygen production facilities in an uncertain lunar environment,”</w:t>
      </w:r>
      <w:r>
        <w:t xml:space="preserve"> </w:t>
      </w:r>
      <w:r>
        <w:t xml:space="preserve">Acta Astronautica, vol. 236, 2025. doi:</w:t>
      </w:r>
      <w:r>
        <w:t xml:space="preserve"> </w:t>
      </w:r>
      <w:hyperlink r:id="rId70">
        <w:r>
          <w:rPr>
            <w:rStyle w:val="Hyperlink"/>
          </w:rPr>
          <w:t xml:space="preserve">10.1016/j.actaastro.2025.07.014</w:t>
        </w:r>
      </w:hyperlink>
    </w:p>
    <w:p>
      <w:pPr>
        <w:pStyle w:val="BodyText"/>
      </w:pPr>
      <w:bookmarkStart w:id="71" w:name="ref-3"/>
      <w:bookmarkEnd w:id="71"/>
      <w:r>
        <w:t xml:space="preserve">3. L. Malone, M. A. Cardin, J. J. Cilliers, S. Starr, and K. Hadler,</w:t>
      </w:r>
      <w:r>
        <w:t xml:space="preserve"> </w:t>
      </w:r>
      <w:r>
        <w:t xml:space="preserve">“Controlled user study on the role of situational awareness in design decisions for future lunar in-situ resource utilization systems,”</w:t>
      </w:r>
      <w:r>
        <w:t xml:space="preserve"> </w:t>
      </w:r>
      <w:r>
        <w:t xml:space="preserve">Acta Astronautica, vol. 246, 2026. doi:</w:t>
      </w:r>
      <w:r>
        <w:t xml:space="preserve"> </w:t>
      </w:r>
      <w:hyperlink r:id="rId72">
        <w:r>
          <w:rPr>
            <w:rStyle w:val="Hyperlink"/>
          </w:rPr>
          <w:t xml:space="preserve">10.1016/j.actaastro.2026.04.012</w:t>
        </w:r>
      </w:hyperlink>
    </w:p>
    <w:p>
      <w:pPr>
        <w:pStyle w:val="BodyText"/>
      </w:pPr>
      <w:bookmarkStart w:id="73" w:name="ref-4"/>
      <w:bookmarkEnd w:id="73"/>
      <w:r>
        <w:t xml:space="preserve">4. S. Gehly and J. Bennett,</w:t>
      </w:r>
      <w:r>
        <w:t xml:space="preserve"> </w:t>
      </w:r>
      <w:r>
        <w:t xml:space="preserve">“Incorporating Target Priorities in the Sensor Tasking Reward Function,”</w:t>
      </w:r>
      <w:r>
        <w:t xml:space="preserve"> </w:t>
      </w:r>
      <w:r>
        <w:t xml:space="preserve">in Proc. Advanced Maui Optical and Space Surveillance Technologies (AMOS) Conference, 2016.</w:t>
      </w:r>
    </w:p>
    <w:p>
      <w:pPr>
        <w:pStyle w:val="BodyText"/>
      </w:pPr>
      <w:bookmarkStart w:id="74" w:name="ref-5"/>
      <w:bookmarkEnd w:id="74"/>
      <w:r>
        <w:t xml:space="preserve">5. N. K. Dhingra, C. DeJac, J. Neel, A. Herz, T. Wolf, and B. Jones,</w:t>
      </w:r>
      <w:r>
        <w:t xml:space="preserve"> </w:t>
      </w:r>
      <w:r>
        <w:t xml:space="preserve">“The Impact of Orbit Accuracy-Based Tasking on Sensor Network Efficiency,”</w:t>
      </w:r>
      <w:r>
        <w:t xml:space="preserve"> </w:t>
      </w:r>
      <w:r>
        <w:t xml:space="preserve">in Proc. Advanced Maui Optical and Space Surveillance Technologies (AMOS) Conference, 2022.</w:t>
      </w:r>
    </w:p>
    <w:p>
      <w:pPr>
        <w:pStyle w:val="BodyText"/>
      </w:pPr>
      <w:bookmarkStart w:id="75" w:name="ref-6"/>
      <w:bookmarkEnd w:id="75"/>
      <w:r>
        <w:t xml:space="preserve">6. United States Government Accountability Office, NASA: Assessments of Major Projects, GAO-20-405, Washington, DC, April 2020.</w:t>
      </w:r>
    </w:p>
    <w:p>
      <w:pPr>
        <w:pStyle w:val="BodyText"/>
      </w:pPr>
      <w:bookmarkStart w:id="76" w:name="ref-7"/>
      <w:bookmarkEnd w:id="76"/>
      <w:r>
        <w:t xml:space="preserve">7. United States Government Accountability Office, NASA: Assessments of Major Projects, GAO-21-306, Washington, DC, May 2021.</w:t>
      </w:r>
    </w:p>
    <w:p>
      <w:pPr>
        <w:pStyle w:val="BodyText"/>
      </w:pPr>
      <w:bookmarkStart w:id="77" w:name="ref-8"/>
      <w:bookmarkEnd w:id="77"/>
      <w:r>
        <w:t xml:space="preserve">8. United States Government Accountability Office, NASA: Assessments of Major Projects, GAO-22-105212, Washington, DC, June 2022.</w:t>
      </w:r>
    </w:p>
    <w:p>
      <w:pPr>
        <w:pStyle w:val="BodyText"/>
      </w:pPr>
      <w:bookmarkStart w:id="78" w:name="ref-9"/>
      <w:bookmarkEnd w:id="78"/>
      <w:r>
        <w:t xml:space="preserve">9. United States Government Accountability Office, NASA: Assessments of Major Projects, GAO-23-106021, Washington, DC, June 2023.</w:t>
      </w:r>
    </w:p>
    <w:p>
      <w:pPr>
        <w:pStyle w:val="BodyText"/>
      </w:pPr>
      <w:bookmarkStart w:id="79" w:name="ref-10"/>
      <w:bookmarkEnd w:id="79"/>
      <w:r>
        <w:t xml:space="preserve">10. United States Government Accountability Office, NASA: Assessments of Major Projects, GAO-24-106767, Washington, DC, June 2024.</w:t>
      </w:r>
    </w:p>
    <w:p>
      <w:pPr>
        <w:pStyle w:val="BodyText"/>
      </w:pPr>
      <w:bookmarkStart w:id="80" w:name="ref-11"/>
      <w:bookmarkEnd w:id="80"/>
      <w:r>
        <w:t xml:space="preserve">11. United States Government Accountability Office, NASA: Assessments of Major Projects, GAO-25-107591, Washington, DC, June 2025.</w:t>
      </w:r>
    </w:p>
    <w:bookmarkEnd w:id="81"/>
    <w:bookmarkStart w:id="82" w:name="specification"/>
    <w:p>
      <w:pPr>
        <w:pStyle w:val="Heading2"/>
      </w:pPr>
      <w:r>
        <w:t xml:space="preserve">Specification</w:t>
      </w:r>
    </w:p>
    <w:p>
      <w:pPr>
        <w:pStyle w:val="FirstParagraph"/>
      </w:pPr>
      <m:oMathPara>
        <m:oMathParaPr>
          <m:jc m:val="center"/>
        </m:oMathParaPr>
        <m:oMath>
          <m:sSub>
            <m:e>
              <m:r>
                <m:rPr>
                  <m:sty m:val="p"/>
                </m:rPr>
                <m:t>C</m:t>
              </m:r>
              <m:r>
                <m:rPr>
                  <m:sty m:val="p"/>
                </m:rPr>
                <m:t>o</m:t>
              </m:r>
              <m:r>
                <m:rPr>
                  <m:sty m:val="p"/>
                </m:rPr>
                <m:t>s</m:t>
              </m:r>
              <m:r>
                <m:rPr>
                  <m:sty m:val="p"/>
                </m:rPr>
                <m:t>t</m:t>
              </m:r>
              <m:r>
                <m:rPr>
                  <m:sty m:val="p"/>
                </m:rPr>
                <m:t>G</m:t>
              </m:r>
              <m:r>
                <m:rPr>
                  <m:sty m:val="p"/>
                </m:rPr>
                <m:t>r</m:t>
              </m:r>
              <m:r>
                <m:rPr>
                  <m:sty m:val="p"/>
                </m:rPr>
                <m:t>o</m:t>
              </m:r>
              <m:r>
                <m:rPr>
                  <m:sty m:val="p"/>
                </m:rPr>
                <m:t>w</m:t>
              </m:r>
              <m:r>
                <m:rPr>
                  <m:sty m:val="p"/>
                </m:rPr>
                <m:t>t</m:t>
              </m:r>
              <m:r>
                <m:rPr>
                  <m:sty m:val="p"/>
                </m:rPr>
                <m:t>h</m:t>
              </m:r>
            </m:e>
            <m:sub>
              <m:r>
                <m:t>i</m:t>
              </m:r>
            </m:sub>
          </m:sSub>
          <m:r>
            <m:rPr>
              <m:sty m:val="p"/>
            </m:rPr>
            <m:t>=</m:t>
          </m:r>
          <m:sSub>
            <m:e>
              <m:r>
                <m:t>β</m:t>
              </m:r>
            </m:e>
            <m:sub>
              <m:r>
                <m:t>0</m:t>
              </m:r>
            </m:sub>
          </m:sSub>
          <m:r>
            <m:rPr>
              <m:sty m:val="p"/>
            </m:rPr>
            <m:t>+</m:t>
          </m:r>
          <m:sSub>
            <m:e>
              <m:r>
                <m:t>β</m:t>
              </m:r>
            </m:e>
            <m:sub>
              <m:r>
                <m:t>1</m:t>
              </m:r>
            </m:sub>
          </m:sSub>
          <m:r>
            <m:t> </m:t>
          </m:r>
          <m:sSub>
            <m:e>
              <m:r>
                <m:rPr>
                  <m:sty m:val="p"/>
                </m:rPr>
                <m:t>E</m:t>
              </m:r>
              <m:r>
                <m:rPr>
                  <m:sty m:val="p"/>
                </m:rPr>
                <m:t>n</m:t>
              </m:r>
              <m:r>
                <m:rPr>
                  <m:sty m:val="p"/>
                </m:rPr>
                <m:t>t</m:t>
              </m:r>
              <m:r>
                <m:rPr>
                  <m:sty m:val="p"/>
                </m:rPr>
                <m:t>r</m:t>
              </m:r>
              <m:r>
                <m:rPr>
                  <m:sty m:val="p"/>
                </m:rPr>
                <m:t>y</m:t>
              </m:r>
              <m:r>
                <m:rPr>
                  <m:sty m:val="p"/>
                </m:rPr>
                <m:t>T</m:t>
              </m:r>
              <m:r>
                <m:rPr>
                  <m:sty m:val="p"/>
                </m:rPr>
                <m:t>R</m:t>
              </m:r>
              <m:r>
                <m:rPr>
                  <m:sty m:val="p"/>
                </m:rPr>
                <m:t>L</m:t>
              </m:r>
            </m:e>
            <m:sub>
              <m:r>
                <m:t>i</m:t>
              </m:r>
            </m:sub>
          </m:sSub>
          <m:r>
            <m:rPr>
              <m:sty m:val="p"/>
            </m:rPr>
            <m:t>+</m:t>
          </m:r>
          <m:sSub>
            <m:e>
              <m:r>
                <m:t>β</m:t>
              </m:r>
            </m:e>
            <m:sub>
              <m:r>
                <m:t>2</m:t>
              </m:r>
            </m:sub>
          </m:sSub>
          <m:r>
            <m:t> </m:t>
          </m:r>
          <m:sSub>
            <m:e>
              <m:r>
                <m:rPr>
                  <m:sty m:val="p"/>
                </m:rPr>
                <m:t>D</m:t>
              </m:r>
              <m:r>
                <m:rPr>
                  <m:sty m:val="p"/>
                </m:rPr>
                <m:t>e</m:t>
              </m:r>
              <m:r>
                <m:rPr>
                  <m:sty m:val="p"/>
                </m:rPr>
                <m:t>s</m:t>
              </m:r>
              <m:r>
                <m:rPr>
                  <m:sty m:val="p"/>
                </m:rPr>
                <m:t>i</m:t>
              </m:r>
              <m:r>
                <m:rPr>
                  <m:sty m:val="p"/>
                </m:rPr>
                <m:t>g</m:t>
              </m:r>
              <m:r>
                <m:rPr>
                  <m:sty m:val="p"/>
                </m:rPr>
                <m:t>n</m:t>
              </m:r>
              <m:r>
                <m:rPr>
                  <m:sty m:val="p"/>
                </m:rPr>
                <m:t>P</m:t>
              </m:r>
              <m:r>
                <m:rPr>
                  <m:sty m:val="p"/>
                </m:rPr>
                <m:t>c</m:t>
              </m:r>
              <m:r>
                <m:rPr>
                  <m:sty m:val="p"/>
                </m:rPr>
                <m:t>t</m:t>
              </m:r>
            </m:e>
            <m:sub>
              <m:r>
                <m:t>i</m:t>
              </m:r>
            </m:sub>
          </m:sSub>
          <m:r>
            <m:rPr>
              <m:sty m:val="p"/>
            </m:rPr>
            <m:t>+</m:t>
          </m:r>
          <m:sSub>
            <m:e>
              <m:r>
                <m:t>β</m:t>
              </m:r>
            </m:e>
            <m:sub>
              <m:r>
                <m:t>3</m:t>
              </m:r>
            </m:sub>
          </m:sSub>
          <m:r>
            <m:t> </m:t>
          </m:r>
          <m:sSub>
            <m:e>
              <m:r>
                <m:rPr>
                  <m:sty m:val="p"/>
                </m:rPr>
                <m:t>L</m:t>
              </m:r>
              <m:r>
                <m:rPr>
                  <m:sty m:val="p"/>
                </m:rPr>
                <m:t>i</m:t>
              </m:r>
              <m:r>
                <m:rPr>
                  <m:sty m:val="p"/>
                </m:rPr>
                <m:t>f</m:t>
              </m:r>
              <m:r>
                <m:rPr>
                  <m:sty m:val="p"/>
                </m:rPr>
                <m:t>e</m:t>
              </m:r>
              <m:r>
                <m:rPr>
                  <m:sty m:val="p"/>
                </m:rPr>
                <m:t>c</m:t>
              </m:r>
              <m:r>
                <m:rPr>
                  <m:sty m:val="p"/>
                </m:rPr>
                <m:t>y</m:t>
              </m:r>
              <m:r>
                <m:rPr>
                  <m:sty m:val="p"/>
                </m:rPr>
                <m:t>c</m:t>
              </m:r>
              <m:r>
                <m:rPr>
                  <m:sty m:val="p"/>
                </m:rPr>
                <m:t>l</m:t>
              </m:r>
              <m:r>
                <m:rPr>
                  <m:sty m:val="p"/>
                </m:rPr>
                <m:t>e</m:t>
              </m:r>
              <m:r>
                <m:rPr>
                  <m:sty m:val="p"/>
                </m:rPr>
                <m:t>C</m:t>
              </m:r>
              <m:r>
                <m:rPr>
                  <m:sty m:val="p"/>
                </m:rPr>
                <m:t>o</m:t>
              </m:r>
              <m:r>
                <m:rPr>
                  <m:sty m:val="p"/>
                </m:rPr>
                <m:t>s</m:t>
              </m:r>
              <m:r>
                <m:rPr>
                  <m:sty m:val="p"/>
                </m:rPr>
                <m:t>t</m:t>
              </m:r>
            </m:e>
            <m:sub>
              <m:r>
                <m:t>i</m:t>
              </m:r>
            </m:sub>
          </m:sSub>
          <m:r>
            <m:rPr>
              <m:sty m:val="p"/>
            </m:rPr>
            <m:t>+</m:t>
          </m:r>
          <m:sSub>
            <m:e>
              <m:r>
                <m:t>β</m:t>
              </m:r>
            </m:e>
            <m:sub>
              <m:r>
                <m:t>4</m:t>
              </m:r>
            </m:sub>
          </m:sSub>
          <m:r>
            <m:t> </m:t>
          </m:r>
          <m:sSub>
            <m:e>
              <m:r>
                <m:rPr>
                  <m:sty m:val="p"/>
                </m:rPr>
                <m:t>C</m:t>
              </m:r>
              <m:r>
                <m:rPr>
                  <m:sty m:val="p"/>
                </m:rPr>
                <m:t>r</m:t>
              </m:r>
              <m:r>
                <m:rPr>
                  <m:sty m:val="p"/>
                </m:rPr>
                <m:t>i</m:t>
              </m:r>
              <m:r>
                <m:rPr>
                  <m:sty m:val="p"/>
                </m:rPr>
                <m:t>t</m:t>
              </m:r>
              <m:r>
                <m:rPr>
                  <m:sty m:val="p"/>
                </m:rPr>
                <m:t>i</m:t>
              </m:r>
              <m:r>
                <m:rPr>
                  <m:sty m:val="p"/>
                </m:rPr>
                <m:t>c</m:t>
              </m:r>
              <m:r>
                <m:rPr>
                  <m:sty m:val="p"/>
                </m:rPr>
                <m:t>a</m:t>
              </m:r>
              <m:r>
                <m:rPr>
                  <m:sty m:val="p"/>
                </m:rPr>
                <m:t>l</m:t>
              </m:r>
              <m:r>
                <m:rPr>
                  <m:sty m:val="p"/>
                </m:rPr>
                <m:t>T</m:t>
              </m:r>
              <m:r>
                <m:rPr>
                  <m:sty m:val="p"/>
                </m:rPr>
                <m:t>e</m:t>
              </m:r>
              <m:r>
                <m:rPr>
                  <m:sty m:val="p"/>
                </m:rPr>
                <m:t>c</m:t>
              </m:r>
              <m:r>
                <m:rPr>
                  <m:sty m:val="p"/>
                </m:rPr>
                <m:t>h</m:t>
              </m:r>
              <m:r>
                <m:rPr>
                  <m:sty m:val="p"/>
                </m:rPr>
                <m:t>B</m:t>
              </m:r>
              <m:r>
                <m:rPr>
                  <m:sty m:val="p"/>
                </m:rPr>
                <m:t>e</m:t>
              </m:r>
              <m:r>
                <m:rPr>
                  <m:sty m:val="p"/>
                </m:rPr>
                <m:t>l</m:t>
              </m:r>
              <m:r>
                <m:rPr>
                  <m:sty m:val="p"/>
                </m:rPr>
                <m:t>o</m:t>
              </m:r>
              <m:r>
                <m:rPr>
                  <m:sty m:val="p"/>
                </m:rPr>
                <m:t>w</m:t>
              </m:r>
              <m:r>
                <m:rPr>
                  <m:sty m:val="p"/>
                </m:rPr>
                <m:t>T</m:t>
              </m:r>
              <m:r>
                <m:rPr>
                  <m:sty m:val="p"/>
                </m:rPr>
                <m:t>R</m:t>
              </m:r>
              <m:r>
                <m:rPr>
                  <m:sty m:val="p"/>
                </m:rPr>
                <m:t>L</m:t>
              </m:r>
              <m:r>
                <m:rPr>
                  <m:sty m:val="p"/>
                </m:rPr>
                <m:t>6</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86.0845</w:t>
            </w:r>
          </w:p>
        </w:tc>
        <w:tc>
          <w:tcPr>
            <w:tcW w:w="0" w:type="auto"/>
          </w:tcPr>
          <w:p>
            <w:pPr>
              <w:spacing w:line="240" w:lineRule="auto" w:before="0" w:after="0"/>
              <w:pStyle w:val="Compact"/>
            </w:pPr>
            <w:r>
              <w:rPr>
                <w:sz w:val="20"/>
                <w:szCs w:val="20"/>
              </w:rPr>
              <w:t xml:space="preserve">47.5049</w:t>
            </w:r>
          </w:p>
        </w:tc>
        <w:tc>
          <w:tcPr>
            <w:tcW w:w="0" w:type="auto"/>
          </w:tcPr>
          <w:p>
            <w:pPr>
              <w:spacing w:line="240" w:lineRule="auto" w:before="0" w:after="0"/>
              <w:pStyle w:val="Compact"/>
            </w:pPr>
            <w:r>
              <w:rPr>
                <w:sz w:val="20"/>
                <w:szCs w:val="20"/>
              </w:rPr>
              <w:t xml:space="preserve">1.8121</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[-7.0234, 179.1925]</w:t>
            </w:r>
          </w:p>
        </w:tc>
      </w:tr>
      <w:tr>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-8.8798</w:t>
            </w:r>
          </w:p>
        </w:tc>
        <w:tc>
          <w:tcPr>
            <w:tcW w:w="0" w:type="auto"/>
          </w:tcPr>
          <w:p>
            <w:pPr>
              <w:spacing w:line="240" w:lineRule="auto" w:before="0" w:after="0"/>
              <w:pStyle w:val="Compact"/>
            </w:pPr>
            <w:r>
              <w:rPr>
                <w:sz w:val="20"/>
                <w:szCs w:val="20"/>
              </w:rPr>
              <w:t xml:space="preserve">4.3986</w:t>
            </w:r>
          </w:p>
        </w:tc>
        <w:tc>
          <w:tcPr>
            <w:tcW w:w="0" w:type="auto"/>
          </w:tcPr>
          <w:p>
            <w:pPr>
              <w:spacing w:line="240" w:lineRule="auto" w:before="0" w:after="0"/>
              <w:pStyle w:val="Compact"/>
            </w:pPr>
            <w:r>
              <w:rPr>
                <w:sz w:val="20"/>
                <w:szCs w:val="20"/>
              </w:rPr>
              <w:t xml:space="preserve">-2.0188</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[-17.5008, -0.2588]</w:t>
            </w:r>
          </w:p>
        </w:tc>
      </w:tr>
      <w:tr>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0.6717</w:t>
            </w:r>
          </w:p>
        </w:tc>
        <w:tc>
          <w:tcPr>
            <w:tcW w:w="0" w:type="auto"/>
          </w:tcPr>
          <w:p>
            <w:pPr>
              <w:spacing w:line="240" w:lineRule="auto" w:before="0" w:after="0"/>
              <w:pStyle w:val="Compact"/>
            </w:pPr>
            <w:r>
              <w:rPr>
                <w:sz w:val="20"/>
                <w:szCs w:val="20"/>
              </w:rPr>
              <w:t xml:space="preserve">-0.4446</w:t>
            </w:r>
          </w:p>
        </w:tc>
        <w:tc>
          <w:tcPr>
            <w:tcW w:w="0" w:type="auto"/>
          </w:tcPr>
          <w:p>
            <w:pPr>
              <w:spacing w:line="240" w:lineRule="auto" w:before="0" w:after="0"/>
              <w:pStyle w:val="Compact"/>
            </w:pPr>
            <w:r>
              <w:rPr>
                <w:sz w:val="20"/>
                <w:szCs w:val="20"/>
              </w:rPr>
              <w:t xml:space="preserve">0.6566</w:t>
            </w:r>
          </w:p>
        </w:tc>
        <w:tc>
          <w:tcPr>
            <w:tcW w:w="0" w:type="auto"/>
          </w:tcPr>
          <w:p>
            <w:pPr>
              <w:spacing w:line="240" w:lineRule="auto" w:before="0" w:after="0"/>
              <w:pStyle w:val="Compact"/>
            </w:pPr>
            <w:r>
              <w:rPr>
                <w:sz w:val="20"/>
                <w:szCs w:val="20"/>
              </w:rPr>
              <w:t xml:space="preserve">[-1.6151, 1.0179]</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2.0689</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[0.0001395, 0.0052]</w:t>
            </w:r>
          </w:p>
        </w:tc>
      </w:tr>
      <w:tr>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0.5996</w:t>
            </w:r>
          </w:p>
        </w:tc>
        <w:tc>
          <w:tcPr>
            <w:tcW w:w="0" w:type="auto"/>
          </w:tcPr>
          <w:p>
            <w:pPr>
              <w:spacing w:line="240" w:lineRule="auto" w:before="0" w:after="0"/>
              <w:pStyle w:val="Compact"/>
            </w:pPr>
            <w:r>
              <w:rPr>
                <w:sz w:val="20"/>
                <w:szCs w:val="20"/>
              </w:rPr>
              <w:t xml:space="preserve">7.6404</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0.9374</w:t>
            </w:r>
          </w:p>
        </w:tc>
        <w:tc>
          <w:tcPr>
            <w:tcW w:w="0" w:type="auto"/>
          </w:tcPr>
          <w:p>
            <w:pPr>
              <w:spacing w:line="240" w:lineRule="auto" w:before="0" w:after="0"/>
              <w:pStyle w:val="Compact"/>
            </w:pPr>
            <w:r>
              <w:rPr>
                <w:sz w:val="20"/>
                <w:szCs w:val="20"/>
              </w:rPr>
              <w:t xml:space="preserve">[-14.3753, 15.5746]</w:t>
            </w:r>
          </w:p>
        </w:tc>
      </w:tr>
    </w:tbl>
    <w:p>
      <w:pPr>
        <w:pStyle w:val="BodyText"/>
      </w:pPr>
      <w:r>
        <w:t xml:space="preserve">Fit: N = 35 R2 = 0.6369 R2_adj = 0.5885 F = 12.4757 F_p = 4.306e-06</w:t>
      </w:r>
    </w:p>
    <w:p>
      <w:pPr>
        <w:pStyle w:val="CaptionedFigure"/>
      </w:pPr>
      <w:r>
        <w:drawing>
          <wp:inline>
            <wp:extent cx="5669280" cy="3657600"/>
            <wp:effectExtent b="0" l="0" r="0" t="0"/>
            <wp:docPr descr="Figure 1. Realized cost growth versus entry TRL across NASA major projects (GAO 2020 to 2025 assessments)." title="" id="84" name="Picture"/>
            <a:graphic>
              <a:graphicData uri="http://schemas.openxmlformats.org/drawingml/2006/picture">
                <pic:pic>
                  <pic:nvPicPr>
                    <pic:cNvPr descr="D:\Claude_Code\brain\collegium\candidates\dissertations\JPL_MGMT_SMA_TECH_07\research_papers\p2\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cost growth versus entry TRL across NASA major projects (GAO 2020 to 2025 assessments).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year_assessed</w:t>
            </w:r>
          </w:p>
        </w:tc>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710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1160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Gateway PPE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Commercial Crew (Boeing)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Commercial Crew (SpaceX)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GAO-21-306 NASA Assessments of Major Projects</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CLPS-VIPER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MSR SRL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MSR ERO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Artemis HLS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xEMU spacesuit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Geospace Dynamics Constellation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Plankton Aerosol Cloud Ocean Ecosystem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GAO-24-106767 NASA Assessments of Major Projects</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in development cost from KDP-C baseline to most recent assessment</w:t>
            </w:r>
          </w:p>
        </w:tc>
        <w:tc>
          <w:tcPr>
            <w:tcW w:w="0" w:type="auto"/>
          </w:tcPr>
          <w:p>
            <w:pPr>
              <w:spacing w:line="240" w:lineRule="auto" w:before="0" w:after="0"/>
              <w:pStyle w:val="Compact"/>
            </w:pPr>
            <w:r>
              <w:rPr>
                <w:sz w:val="20"/>
                <w:szCs w:val="20"/>
              </w:rPr>
              <w:t xml:space="preserve">NASA GAO Major Project Assessment annual report tables (GAO-20-405 through GAO-25-107591)</w:t>
            </w:r>
          </w:p>
        </w:tc>
      </w:tr>
      <w:tr>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Technology readiness level of the lowest-TRL critical technology at preliminary design review (PDR)</w:t>
            </w:r>
          </w:p>
        </w:tc>
        <w:tc>
          <w:tcPr>
            <w:tcW w:w="0" w:type="auto"/>
          </w:tcPr>
          <w:p>
            <w:pPr>
              <w:spacing w:line="240" w:lineRule="auto" w:before="0" w:after="0"/>
              <w:pStyle w:val="Compact"/>
            </w:pPr>
            <w:r>
              <w:rPr>
                <w:sz w:val="20"/>
                <w:szCs w:val="20"/>
              </w:rPr>
              <w:t xml:space="preserve">Critical technology TRL tables in NASA GAO Major Project Assessments</w:t>
            </w:r>
          </w:p>
        </w:tc>
      </w:tr>
      <w:tr>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Percent of engineering design drawings released at PDR (design maturity proxy)</w:t>
            </w:r>
          </w:p>
        </w:tc>
        <w:tc>
          <w:tcPr>
            <w:tcW w:w="0" w:type="auto"/>
          </w:tcPr>
          <w:p>
            <w:pPr>
              <w:spacing w:line="240" w:lineRule="auto" w:before="0" w:after="0"/>
              <w:pStyle w:val="Compact"/>
            </w:pPr>
            <w:r>
              <w:rPr>
                <w:sz w:val="20"/>
                <w:szCs w:val="20"/>
              </w:rPr>
              <w:t xml:space="preserve">Design maturity disclosures in NASA GAO Major Project Assessments</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Most recent life-cycle cost estimate in millions of US dollars</w:t>
            </w:r>
          </w:p>
        </w:tc>
        <w:tc>
          <w:tcPr>
            <w:tcW w:w="0" w:type="auto"/>
          </w:tcPr>
          <w:p>
            <w:pPr>
              <w:spacing w:line="240" w:lineRule="auto" w:before="0" w:after="0"/>
              <w:pStyle w:val="Compact"/>
            </w:pPr>
            <w:r>
              <w:rPr>
                <w:sz w:val="20"/>
                <w:szCs w:val="20"/>
              </w:rPr>
              <w:t xml:space="preserve">NASA GAO Major Project Assessment life-cycle cost columns</w:t>
            </w:r>
          </w:p>
        </w:tc>
      </w:tr>
      <w:tr>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Binary indicator equal to 1 if at least one critical technology was below TRL 6 at PDR</w:t>
            </w:r>
          </w:p>
        </w:tc>
        <w:tc>
          <w:tcPr>
            <w:tcW w:w="0" w:type="auto"/>
          </w:tcPr>
          <w:p>
            <w:pPr>
              <w:spacing w:line="240" w:lineRule="auto" w:before="0" w:after="0"/>
              <w:pStyle w:val="Compact"/>
            </w:pPr>
            <w:r>
              <w:rPr>
                <w:sz w:val="20"/>
                <w:szCs w:val="20"/>
              </w:rPr>
              <w:t xml:space="preserve">Derived from critical technology disclosures in NASA GAO Major Project Assessments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86.0845</w:t>
            </w:r>
          </w:p>
        </w:tc>
        <w:tc>
          <w:tcPr>
            <w:tcW w:w="0" w:type="auto"/>
          </w:tcPr>
          <w:p>
            <w:pPr>
              <w:spacing w:line="240" w:lineRule="auto" w:before="0" w:after="0"/>
              <w:pStyle w:val="Compact"/>
            </w:pPr>
            <w:r>
              <w:rPr>
                <w:sz w:val="20"/>
                <w:szCs w:val="20"/>
              </w:rPr>
              <w:t xml:space="preserve">47.5049</w:t>
            </w:r>
          </w:p>
        </w:tc>
        <w:tc>
          <w:tcPr>
            <w:tcW w:w="0" w:type="auto"/>
          </w:tcPr>
          <w:p>
            <w:pPr>
              <w:spacing w:line="240" w:lineRule="auto" w:before="0" w:after="0"/>
              <w:pStyle w:val="Compact"/>
            </w:pPr>
            <w:r>
              <w:rPr>
                <w:sz w:val="20"/>
                <w:szCs w:val="20"/>
              </w:rPr>
              <w:t xml:space="preserve">1.8121</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[-7.0234, 179.1925]</w:t>
            </w:r>
          </w:p>
        </w:tc>
      </w:tr>
      <w:tr>
        <w:tc>
          <w:tcPr>
            <w:tcW w:w="0" w:type="auto"/>
          </w:tcPr>
          <w:p>
            <w:pPr>
              <w:spacing w:line="240" w:lineRule="auto" w:before="0" w:after="0"/>
              <w:pStyle w:val="Compact"/>
            </w:pPr>
            <w:r>
              <w:rPr>
                <w:sz w:val="20"/>
                <w:szCs w:val="20"/>
              </w:rPr>
              <w:t xml:space="preserve">entry_TRL</w:t>
            </w:r>
          </w:p>
        </w:tc>
        <w:tc>
          <w:tcPr>
            <w:tcW w:w="0" w:type="auto"/>
          </w:tcPr>
          <w:p>
            <w:pPr>
              <w:spacing w:line="240" w:lineRule="auto" w:before="0" w:after="0"/>
              <w:pStyle w:val="Compact"/>
            </w:pPr>
            <w:r>
              <w:rPr>
                <w:sz w:val="20"/>
                <w:szCs w:val="20"/>
              </w:rPr>
              <w:t xml:space="preserve">-8.8798</w:t>
            </w:r>
          </w:p>
        </w:tc>
        <w:tc>
          <w:tcPr>
            <w:tcW w:w="0" w:type="auto"/>
          </w:tcPr>
          <w:p>
            <w:pPr>
              <w:spacing w:line="240" w:lineRule="auto" w:before="0" w:after="0"/>
              <w:pStyle w:val="Compact"/>
            </w:pPr>
            <w:r>
              <w:rPr>
                <w:sz w:val="20"/>
                <w:szCs w:val="20"/>
              </w:rPr>
              <w:t xml:space="preserve">4.3986</w:t>
            </w:r>
          </w:p>
        </w:tc>
        <w:tc>
          <w:tcPr>
            <w:tcW w:w="0" w:type="auto"/>
          </w:tcPr>
          <w:p>
            <w:pPr>
              <w:spacing w:line="240" w:lineRule="auto" w:before="0" w:after="0"/>
              <w:pStyle w:val="Compact"/>
            </w:pPr>
            <w:r>
              <w:rPr>
                <w:sz w:val="20"/>
                <w:szCs w:val="20"/>
              </w:rPr>
              <w:t xml:space="preserve">-2.0188</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[-17.5008, -0.2588]</w:t>
            </w:r>
          </w:p>
        </w:tc>
      </w:tr>
      <w:tr>
        <w:tc>
          <w:tcPr>
            <w:tcW w:w="0" w:type="auto"/>
          </w:tcPr>
          <w:p>
            <w:pPr>
              <w:spacing w:line="240" w:lineRule="auto" w:before="0" w:after="0"/>
              <w:pStyle w:val="Compact"/>
            </w:pPr>
            <w:r>
              <w:rPr>
                <w:sz w:val="20"/>
                <w:szCs w:val="20"/>
              </w:rPr>
              <w:t xml:space="preserve">design_pct_at_PDR</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0.6717</w:t>
            </w:r>
          </w:p>
        </w:tc>
        <w:tc>
          <w:tcPr>
            <w:tcW w:w="0" w:type="auto"/>
          </w:tcPr>
          <w:p>
            <w:pPr>
              <w:spacing w:line="240" w:lineRule="auto" w:before="0" w:after="0"/>
              <w:pStyle w:val="Compact"/>
            </w:pPr>
            <w:r>
              <w:rPr>
                <w:sz w:val="20"/>
                <w:szCs w:val="20"/>
              </w:rPr>
              <w:t xml:space="preserve">-0.4446</w:t>
            </w:r>
          </w:p>
        </w:tc>
        <w:tc>
          <w:tcPr>
            <w:tcW w:w="0" w:type="auto"/>
          </w:tcPr>
          <w:p>
            <w:pPr>
              <w:spacing w:line="240" w:lineRule="auto" w:before="0" w:after="0"/>
              <w:pStyle w:val="Compact"/>
            </w:pPr>
            <w:r>
              <w:rPr>
                <w:sz w:val="20"/>
                <w:szCs w:val="20"/>
              </w:rPr>
              <w:t xml:space="preserve">0.6566</w:t>
            </w:r>
          </w:p>
        </w:tc>
        <w:tc>
          <w:tcPr>
            <w:tcW w:w="0" w:type="auto"/>
          </w:tcPr>
          <w:p>
            <w:pPr>
              <w:spacing w:line="240" w:lineRule="auto" w:before="0" w:after="0"/>
              <w:pStyle w:val="Compact"/>
            </w:pPr>
            <w:r>
              <w:rPr>
                <w:sz w:val="20"/>
                <w:szCs w:val="20"/>
              </w:rPr>
              <w:t xml:space="preserve">[-1.6151, 1.0179]</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2.0689</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[0.0001395, 0.0052]</w:t>
            </w:r>
          </w:p>
        </w:tc>
      </w:tr>
      <w:tr>
        <w:tc>
          <w:tcPr>
            <w:tcW w:w="0" w:type="auto"/>
          </w:tcPr>
          <w:p>
            <w:pPr>
              <w:spacing w:line="240" w:lineRule="auto" w:before="0" w:after="0"/>
              <w:pStyle w:val="Compact"/>
            </w:pPr>
            <w:r>
              <w:rPr>
                <w:sz w:val="20"/>
                <w:szCs w:val="20"/>
              </w:rPr>
              <w:t xml:space="preserve">critical_tech_below_TRL6</w:t>
            </w:r>
          </w:p>
        </w:tc>
        <w:tc>
          <w:tcPr>
            <w:tcW w:w="0" w:type="auto"/>
          </w:tcPr>
          <w:p>
            <w:pPr>
              <w:spacing w:line="240" w:lineRule="auto" w:before="0" w:after="0"/>
              <w:pStyle w:val="Compact"/>
            </w:pPr>
            <w:r>
              <w:rPr>
                <w:sz w:val="20"/>
                <w:szCs w:val="20"/>
              </w:rPr>
              <w:t xml:space="preserve">0.5996</w:t>
            </w:r>
          </w:p>
        </w:tc>
        <w:tc>
          <w:tcPr>
            <w:tcW w:w="0" w:type="auto"/>
          </w:tcPr>
          <w:p>
            <w:pPr>
              <w:spacing w:line="240" w:lineRule="auto" w:before="0" w:after="0"/>
              <w:pStyle w:val="Compact"/>
            </w:pPr>
            <w:r>
              <w:rPr>
                <w:sz w:val="20"/>
                <w:szCs w:val="20"/>
              </w:rPr>
              <w:t xml:space="preserve">7.6404</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0.9374</w:t>
            </w:r>
          </w:p>
        </w:tc>
        <w:tc>
          <w:tcPr>
            <w:tcW w:w="0" w:type="auto"/>
          </w:tcPr>
          <w:p>
            <w:pPr>
              <w:spacing w:line="240" w:lineRule="auto" w:before="0" w:after="0"/>
              <w:pStyle w:val="Compact"/>
            </w:pPr>
            <w:r>
              <w:rPr>
                <w:sz w:val="20"/>
                <w:szCs w:val="20"/>
              </w:rPr>
              <w:t xml:space="preserve">[-14.3753, 15.5746]</w:t>
            </w:r>
          </w:p>
        </w:tc>
      </w:tr>
    </w:tbl>
    <w:p>
      <w:pPr>
        <w:pStyle w:val="BodyText"/>
      </w:pPr>
      <w:r>
        <w:t xml:space="preserve">Fit: N = 35 R2 = 0.6369 R2_adj = 0.5885 F = 12.4757 F_p = 4.306e-06</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0" Target="https://doi.org/10.1016/j.actaastro.2025.07.014" TargetMode="External" /><Relationship Type="http://schemas.openxmlformats.org/officeDocument/2006/relationships/hyperlink" Id="rId72" Target="https://doi.org/10.1016/j.actaastro.2026.04.012" TargetMode="External" /><Relationship Type="http://schemas.openxmlformats.org/officeDocument/2006/relationships/hyperlink" Id="rId68" Target="https://doi.org/10.64861/PEUU101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5.07.014" TargetMode="External" /><Relationship Type="http://schemas.openxmlformats.org/officeDocument/2006/relationships/hyperlink" Id="rId72" Target="https://doi.org/10.1016/j.actaastro.2026.04.012" TargetMode="External" /><Relationship Type="http://schemas.openxmlformats.org/officeDocument/2006/relationships/hyperlink" Id="rId68" Target="https://doi.org/10.64861/PEUU101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2026-06-26T16:46:37Z</dcterms:created>
  <dcterms:modified xsi:type="dcterms:W3CDTF">2026-06-26T16:46:37Z</dcterms:modified>
</cp:coreProperties>
</file>

<file path=docProps/custom.xml><?xml version="1.0" encoding="utf-8"?>
<Properties xmlns="http://schemas.openxmlformats.org/officeDocument/2006/custom-properties" xmlns:vt="http://schemas.openxmlformats.org/officeDocument/2006/docPropsVTypes"/>
</file>