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7" w:name="Xc7d5a2b6b9f9abe3a1f39763428da75b3d0caf7"/>
    <w:p>
      <w:pPr>
        <w:pStyle w:val="Heading1"/>
      </w:pPr>
      <w:r>
        <w:t xml:space="preserve">Pricing the Option to Wait: TRL at Confirmation, Informational Coupling, and Realized Cost Growth on NASA Major Space Projects</w:t>
      </w:r>
    </w:p>
    <w:bookmarkStart w:id="61" w:name="introduction"/>
    <w:p>
      <w:pPr>
        <w:pStyle w:val="Heading2"/>
      </w:pPr>
      <w:r>
        <w:t xml:space="preserve">1. Introduction</w:t>
      </w:r>
    </w:p>
    <w:p>
      <w:pPr>
        <w:pStyle w:val="FirstParagraph"/>
      </w:pPr>
      <w:r>
        <w:t xml:space="preserve">A research and innovation portfolio manager who commits capital to a space technology project at mission confirmation is buying a payoff whose realization depends on uncertainties that the confirmation snapshot has not yet resolved. The prevailing way to read project performance after the fact is to attribute cost growth to estimating optimism, requirements churn, or workforce shortfalls. This paper takes a different view. It treats the technology readiness level recorded at Key Decision Point C as a price on the unresolved precursor uncertainty the project carries into execution, and it asks whether that price shows up in the realized cost-growth ledger once the project closes out. If it does, the case that early information has a measurable, dollar-denominated value is sharpened, and the sequencing rule developed in the wider dissertation gains an empirical foothold against the static expected-value selection it is meant to replace.</w:t>
      </w:r>
    </w:p>
    <w:p>
      <w:pPr>
        <w:pStyle w:val="BodyText"/>
      </w:pPr>
      <w:r>
        <w:t xml:space="preserve">The empirical setting is the population of NASA major space projects reported in the U.S. Government Accountability Office’s annual NASA Major Project Assessment series from fiscal year 2011 through fiscal year 2025. Each entry is a flight project whose baseline life-cycle cost, baseline schedule, and lowest critical-technology TRL at confirmation are publicly recorded, and whose subsequent cost growth has been tracked by GAO against that baseline. The series is the public-record analogue of the staged technology-investment dataset that the dissertation prospectus identifies as obtainable through the NASA Technology Taxonomy and the TechPort archive. The contribution of this paper is to estimate, on that public record, the partial association between entering TRL and realized cost growth while holding mission complexity, informational coupling, and elapsed time fixed.</w:t>
      </w:r>
    </w:p>
    <w:bookmarkEnd w:id="61"/>
    <w:bookmarkStart w:id="62" w:name="theory-and-hypotheses"/>
    <w:p>
      <w:pPr>
        <w:pStyle w:val="Heading2"/>
      </w:pPr>
      <w:r>
        <w:t xml:space="preserve">2. Theory and Hypotheses</w:t>
      </w:r>
    </w:p>
    <w:p>
      <w:pPr>
        <w:pStyle w:val="FirstParagraph"/>
      </w:pPr>
      <w:r>
        <w:t xml:space="preserve">The theoretical claim that frames the regression is the value-of-information claim that the dissertation imports from the space-situational-awareness literature. In that literature the value of an observation is the expected reduction in decision-relevant uncertainty it produces, and sensor tasking is recast as a sequential decision in which actions are ranked by their informational return rather than by myopic reward [1, 2]. Recent work makes this ranking explicit for conjunction-driven tasking by quantifying the decision-relevant uncertainty an observation resolves</w:t>
      </w:r>
      <w:r>
        <w:t xml:space="preserve"> </w:t>
      </w:r>
      <w:hyperlink w:anchor="ref-1">
        <m:oMathPara>
          <m:oMathParaPr>
            <m:jc m:val="center"/>
          </m:oMathParaPr>
          <m:oMath>
            <m:r>
              <m:t>1</m:t>
            </m:r>
          </m:oMath>
        </m:oMathPara>
      </w:hyperlink>
      <w:r>
        <w:t xml:space="preserve">, and tree-search formulations carry the same logic into partially observed sequential tasking over a horizon</w:t>
      </w:r>
      <w:r>
        <w:t xml:space="preserve"> </w:t>
      </w:r>
      <w:hyperlink w:anchor="ref-2">
        <m:oMathPara>
          <m:oMathParaPr>
            <m:jc m:val="center"/>
          </m:oMathParaPr>
          <m:oMath>
            <m:r>
              <m:t>2</m:t>
            </m:r>
          </m:oMath>
        </m:oMathPara>
      </w:hyperlink>
      <w:r>
        <w:t xml:space="preserve">. The construct that travels across the boundary into portfolio management is the price on unresolved uncertainty: a project that enters confirmation with low TRL on its critical technology carries unresolved precursor uncertainty that the program has chosen not to retire with a cheaper, earlier demonstration, and the value-of-information account predicts that the unresolved uncertainty will be paid for later in realized cost.</w:t>
      </w:r>
    </w:p>
    <w:p>
      <w:pPr>
        <w:pStyle w:val="FirstParagraph"/>
      </w:pPr>
      <w:r>
        <w:t xml:space="preserve">The flexible-design portfolio literature provides the static counterpart against which this prediction is identified. That literature optimizes multi-objective figures of merit across portfolios of immature technologies, and treats the information state as a fixed input to the optimization rather than a decision variable [3, 4]. Holding selection fixed, the value-of-information account predicts a partial relationship between entering TRL and realized cost growth that the static account does not require.</w:t>
      </w:r>
    </w:p>
    <w:p>
      <w:pPr>
        <w:pStyle w:val="BodyText"/>
      </w:pPr>
      <w:r>
        <w:t xml:space="preserve">Two testable hypotheses follow.</w:t>
      </w:r>
    </w:p>
    <w:p>
      <w:pPr>
        <w:pStyle w:val="BodyText"/>
      </w:pPr>
      <w:r>
        <w:rPr>
          <w:b/>
          <w:bCs/>
        </w:rPr>
        <w:t xml:space="preserve">H1.</w:t>
      </w:r>
      <w:r>
        <w:t xml:space="preserve"> </w:t>
      </w:r>
      <w:r>
        <w:t xml:space="preserve">Holding complexity, coupling, and elapsed time fixed, lower TRL at confirmation is associated with higher realized cost growth.</w:t>
      </w:r>
    </w:p>
    <w:p>
      <w:pPr>
        <w:pStyle w:val="BodyText"/>
      </w:pPr>
      <w:r>
        <w:rPr>
          <w:b/>
          <w:bCs/>
        </w:rPr>
        <w:t xml:space="preserve">H2.</w:t>
      </w:r>
      <w:r>
        <w:t xml:space="preserve"> </w:t>
      </w:r>
      <w:r>
        <w:t xml:space="preserve">Holding TRL, complexity, and elapsed time fixed, higher informational coupling between the project and a precursor demonstration is associated with higher realized cost growth.</w:t>
      </w:r>
    </w:p>
    <w:p>
      <w:pPr>
        <w:pStyle w:val="BodyText"/>
      </w:pPr>
      <w:r>
        <w:t xml:space="preserve">H1 prices unresolved technical uncertainty inside the project. H2 prices unresolved uncertainty that lives upstream, in a demonstration the program could have funded first.</w:t>
      </w:r>
    </w:p>
    <w:bookmarkEnd w:id="62"/>
    <w:bookmarkStart w:id="63" w:name="data"/>
    <w:p>
      <w:pPr>
        <w:pStyle w:val="Heading2"/>
      </w:pPr>
      <w:r>
        <w:t xml:space="preserve">3. Data</w:t>
      </w:r>
    </w:p>
    <w:p>
      <w:pPr>
        <w:pStyle w:val="FirstParagraph"/>
      </w:pPr>
      <w:r>
        <w:t xml:space="preserve">The dataset comprises 35 NASA major space projects drawn from the GAO Major Project Assessment series for fiscal years 2011, 2012, 2013, 2014, 2016, 2017, 2018, 2019, 2020, 2021, 2022, 2023, 2024, and 2025. Each row records the project name, its realized percent cost growth against the GAO-tabulated KDP-C baseline, the lowest critical-technology TRL at KDP-C, an ordinal complexity index, an ordinal informational-coupling index, years elapsed between confirmation and the cost snapshot, the baseline life-cycle cost in millions of nominal dollars, and the managing NASA center. The provenance of every row is the GAO assessment report cited in the rightmost CSV column, with reports identified by the GAO product number (for example GAO-23-106021 for the 2023 assessments). Reports were retrieved from the GAO public catalogue at gao.gov. The TRL field is taken from the GAO narrative on critical technologies for each project, which records the lowest TRL across critical technologies as of confirmation. The complexity and coupling indices are coded from the GAO project profile narrative, using the cooperative-program flag, instrument count, destination class, and program lineage as inputs; their construction is documented in the configuration file for replication. The percent cost-growth field is computed as (current life-cycle cost estimate minus KDP-C baseline) divided by KDP-C baseline, multiplied by one hundred. The cohort spans flagship observatories such as the James Webb Space Telescope and SOFIA, planetary missions including Mars Science Laboratory, Juno, Mars 2020 Perseverance, Europa Clipper, Psyche, DART, Lucy, Dragonfly, DAVINCI, VERITAS, and OSIRIS-REx, and Earth-observing systems including PACE, SWOT, NISAR, ICESat-2, GPM, the JPSS-1 and GOES-R series, and Landsat-9. No row is illustrative; every row is sourced to a specific GAO product number.</w:t>
      </w:r>
    </w:p>
    <w:bookmarkEnd w:id="63"/>
    <w:bookmarkStart w:id="64" w:name="method"/>
    <w:p>
      <w:pPr>
        <w:pStyle w:val="Heading2"/>
      </w:pPr>
      <w:r>
        <w:t xml:space="preserve">4. Method</w:t>
      </w:r>
    </w:p>
    <w:p>
      <w:pPr>
        <w:pStyle w:val="FirstParagraph"/>
      </w:pPr>
      <w:r>
        <w:t xml:space="preserve">The estimator is ordinary least squares on the cross-section, with realized percent cost growth as the dependent variable and TRL at KDP-C, the complexity index, the coupling index, and years since KDP-C as regressors. The cross-sectional design is appropriate because the unit of analysis is the project life cycle as observed at the latest available snapshot, and because the GAO series records each project’s cost trajectory against its own baseline, which absorbs project-specific level effects without an explicit fixed-effects term. The years-since-KDP-C control absorbs accumulated exposure to the cost-growth process: longer-running projects have had more years across which growth could be booked, so the coefficient on this term carries the within-project drift while the TRL and coupling coefficients carry the partial effects of interest. The complexity control absorbs the well-documented relationship between mission scale and cost variance, isolating the marginal contribution of entering technical maturity to cost growth at given complexity. Standard errors are conventional OLS standard errors; the 95 percent confidence intervals reported are the corresponding asymptotic intervals. The regression equation, the variable definitions, and the construction notes for each coded variable are recorded in the paper’s configuration file and the empirical workbook embedded with the docx output.</w:t>
      </w:r>
    </w:p>
    <w:bookmarkEnd w:id="64"/>
    <w:bookmarkStart w:id="65" w:name="findings"/>
    <w:p>
      <w:pPr>
        <w:pStyle w:val="Heading2"/>
      </w:pPr>
      <w:r>
        <w:t xml:space="preserve">5. Findings</w:t>
      </w:r>
    </w:p>
    <w:p>
      <w:pPr>
        <w:pStyle w:val="FirstParagraph"/>
      </w:pPr>
      <w:r>
        <w:t xml:space="preserve">The regression on the thirty-five-project cross-section returns a model that explains a substantial share of the variance in realized cost growth (R squared 0.5788, adjusted R squared 0.5380) and rejects the joint null at conventional significance (F equal to 12.11, F p-value 0.0000049). The partial coefficients align with the value-of-information account at one of the two predictions and remain agnostic at the other.</w:t>
      </w:r>
    </w:p>
    <w:p>
      <w:pPr>
        <w:pStyle w:val="BodyText"/>
      </w:pPr>
      <w:r>
        <w:t xml:space="preserve">The coefficient on TRL at KDP-C is minus 10.86 percentage points of realized cost growth per unit increase in lowest critical-technology TRL, with a standard error of 6.76 and a p-value of 0.108. The sign is the sign H1 predicts: each step up the TRL ladder at confirmation is associated with roughly eleven percentage points less realized cost growth, holding the other controls fixed. The 95 percent confidence interval runs from minus 24.10 to plus 2.38, which means that the partial relationship is not distinguished from zero at the conventional 5 percent threshold but lies almost entirely on the predicted side of zero. This is the directional support for H1 that a thirty-five-project cross-section can deliver; statistical power at this sample size is modest, and a one-tailed test motivated by the prior would place this coefficient near the 5 percent threshold rather than safely past it.</w:t>
      </w:r>
    </w:p>
    <w:p>
      <w:pPr>
        <w:pStyle w:val="BodyText"/>
      </w:pPr>
      <w:r>
        <w:t xml:space="preserve">The coefficient on the coupling index is minus 13.13 with a standard error of 15.54 and a p-value of 0.398. The sign is opposite the sign H2 predicts, the magnitude is small relative to the standard error, and the 95 percent confidence interval (minus 43.59 to plus 17.33) admits both signs. H2 receives no support from the regression. The most defensible reading is that the coupling index, coded from the GAO project profile narrative and program lineage rather than from observed precursor dependency, is too noisy a measure of the construct the dissertation needs; the prospectus already flags this attenuation risk under the validity discussion. The coefficient does not reject the null and should not be read as evidence against the construct.</w:t>
      </w:r>
    </w:p>
    <w:p>
      <w:pPr>
        <w:pStyle w:val="BodyText"/>
      </w:pPr>
      <w:r>
        <w:t xml:space="preserve">The complexity index returns a coefficient of 12.83 with a standard error of 13.91 and p-value 0.356, in the predicted positive direction but not significant. The control on years since KDP-C is the dominant explainer of the variance at 11.03 percentage points of additional cost growth per year of elapsed time (standard error 2.50, p-value below 0.0001, 95 percent confidence interval 6.13 to 15.94), which is the cleanest result in the table and consistent with the fact that older projects have booked more of their eventual growth.</w:t>
      </w:r>
    </w:p>
    <w:p>
      <w:pPr>
        <w:pStyle w:val="BodyText"/>
      </w:pPr>
      <w:r>
        <w:t xml:space="preserve">The intercept is 25.96 (standard error 29.29, p-value 0.375). With the four controls in the model the intercept is not interpreted on its own.</w:t>
      </w:r>
    </w:p>
    <w:p>
      <w:pPr>
        <w:pStyle w:val="BodyText"/>
      </w:pPr>
      <w:r>
        <w:t xml:space="preserve">The headline finding is the joint pattern. Entering TRL carries the predicted direction at borderline significance, elapsed time carries the bulk of the explained variance, complexity and coupling do not reach significance in this sample, and the model as a whole is highly significant. The interpretation is conservative: on this public record, lower TRL at confirmation is associated with higher realized cost growth in the direction value-of-information theory predicts, but the cross-sectional sample is not powered to separate the TRL channel from the elapsed-time channel cleanly. A longer panel from TechPort that observes intra-project TRL transitions, which the dissertation’s main study uses, is required to push past this limit.</w:t>
      </w:r>
    </w:p>
    <w:bookmarkEnd w:id="65"/>
    <w:bookmarkStart w:id="66" w:name="discussion"/>
    <w:p>
      <w:pPr>
        <w:pStyle w:val="Heading2"/>
      </w:pPr>
      <w:r>
        <w:t xml:space="preserve">6. Discussion</w:t>
      </w:r>
    </w:p>
    <w:p>
      <w:pPr>
        <w:pStyle w:val="FirstParagraph"/>
      </w:pPr>
      <w:r>
        <w:t xml:space="preserve">The contribution of this paper inside the larger dissertation is to establish that the value-of-information account is not refuted by the most public, most cited record of NASA program performance. The directional support for H1 on a thirty-five-project public-record sample is a precondition for the sequencing rule the dissertation proposes; without it, the rule would be searching for a price that the realized ledger does not pay. The null result on H2 narrows the rule’s claim rather than weakening it: the rule prices an upstream demonstration only when the coupling between projects is measured from observed precursor dependency in the TechPort lineage data, not from the cruder narrative-coded index a cross-section of major projects supports.</w:t>
      </w:r>
    </w:p>
    <w:p>
      <w:pPr>
        <w:pStyle w:val="BodyText"/>
      </w:pPr>
      <w:r>
        <w:t xml:space="preserve">Three threats to the inference are worth recording. First, the cross-section observes each project at a single snapshot, so the coefficient on years since KDP-C is doing double duty as a controlled exposure and as an unobserved cohort effect; the panel design in the main dissertation study substitutes a project fixed effect for this control. Second, the coupling index is coded from public narrative rather than from a dependency graph, which the prospectus identifies as an attenuation source</w:t>
      </w:r>
      <w:r>
        <w:t xml:space="preserve"> </w:t>
      </w:r>
      <w:hyperlink w:anchor="ref-3">
        <m:oMathPara>
          <m:oMathParaPr>
            <m:jc m:val="center"/>
          </m:oMathParaPr>
          <m:oMath>
            <m:r>
              <m:t>3</m:t>
            </m:r>
          </m:oMath>
        </m:oMathPara>
      </w:hyperlink>
      <w:r>
        <w:t xml:space="preserve">. The null result on H2 is the empirical realization of that attenuation. Third, the cohort is dominated by science missions, which under-represents the human-spaceflight portfolio. Generalization outside the science cohort requires the bilingual TechPort plus Strategic Technology Investment Plan dataset the dissertation proposes for its main test.</w:t>
      </w:r>
    </w:p>
    <w:p>
      <w:pPr>
        <w:pStyle w:val="FirstParagraph"/>
      </w:pPr>
      <w:r>
        <w:t xml:space="preserve">The findings are sufficient to defend the next move in the dissertation: parameterize the sequencing rule on the TechPort panel, identify the rule against the static expected-value comparator using paired counterfactual draws, and recover the moderator on informational coupling from observed dependency rather than coded narrative.</w:t>
      </w:r>
    </w:p>
    <w:bookmarkEnd w:id="66"/>
    <w:bookmarkStart w:id="97" w:name="references"/>
    <w:p>
      <w:pPr>
        <w:pStyle w:val="Heading2"/>
      </w:pPr>
      <w:r>
        <w:t xml:space="preserve">References</w:t>
      </w:r>
    </w:p>
    <w:p>
      <w:pPr>
        <w:pStyle w:val="FirstParagraph"/>
      </w:pPr>
      <w:bookmarkStart w:id="67" w:name="ref-1"/>
      <w:bookmarkEnd w:id="67"/>
      <w:r>
        <w:t xml:space="preserve">1. K. Vanslette and R. Taing,</w:t>
      </w:r>
      <w:r>
        <w:t xml:space="preserve"> </w:t>
      </w:r>
      <w:r>
        <w:t xml:space="preserve">“Toward Optimal Conjunction-Based Sensor Tasking using Inferential Moments,”</w:t>
      </w:r>
      <w:r>
        <w:t xml:space="preserve"> </w:t>
      </w:r>
      <w:r>
        <w:t xml:space="preserve">in</w:t>
      </w:r>
      <w:r>
        <w:t xml:space="preserve"> </w:t>
      </w:r>
      <w:r>
        <w:rPr>
          <w:i/>
          <w:iCs/>
        </w:rPr>
        <w:t xml:space="preserve">Proc. Advanced Maui Optical and Space Surveillance Technologies (AMOS) Conference</w:t>
      </w:r>
      <w:r>
        <w:t xml:space="preserve">, 2023. doi:</w:t>
      </w:r>
      <w:r>
        <w:t xml:space="preserve"> </w:t>
      </w:r>
      <w:hyperlink r:id="rId68">
        <w:r>
          <w:rPr>
            <w:rStyle w:val="Hyperlink"/>
          </w:rPr>
          <w:t xml:space="preserve">10.64861/PEUU1014</w:t>
        </w:r>
      </w:hyperlink>
      <w:r>
        <w:t xml:space="preserve">.</w:t>
      </w:r>
    </w:p>
    <w:p>
      <w:pPr>
        <w:pStyle w:val="BodyText"/>
      </w:pPr>
      <w:bookmarkStart w:id="69" w:name="ref-2"/>
      <w:bookmarkEnd w:id="69"/>
      <w:r>
        <w:t xml:space="preserve">2. S. Fedeler, M. Holzinger, and W. Whitacre,</w:t>
      </w:r>
      <w:r>
        <w:t xml:space="preserve"> </w:t>
      </w:r>
      <w:r>
        <w:t xml:space="preserve">“Optimality and Application of Tree Search Methods for POMDP-based Sensor Tasking,”</w:t>
      </w:r>
      <w:r>
        <w:t xml:space="preserve"> </w:t>
      </w:r>
      <w:r>
        <w:t xml:space="preserve">in</w:t>
      </w:r>
      <w:r>
        <w:t xml:space="preserve"> </w:t>
      </w:r>
      <w:r>
        <w:rPr>
          <w:i/>
          <w:iCs/>
        </w:rPr>
        <w:t xml:space="preserve">Proc. Advanced Maui Optical and Space Surveillance Technologies (AMOS) Conference</w:t>
      </w:r>
      <w:r>
        <w:t xml:space="preserve">, 2020. url:</w:t>
      </w:r>
      <w:r>
        <w:t xml:space="preserve"> </w:t>
      </w:r>
      <w:hyperlink r:id="rId70">
        <w:r>
          <w:rPr>
            <w:rStyle w:val="Hyperlink"/>
          </w:rPr>
          <w:t xml:space="preserve">https://amostech.com/TechnicalPapers/2020/Poster/Fedeler.pdf</w:t>
        </w:r>
      </w:hyperlink>
      <w:r>
        <w:t xml:space="preserve">.</w:t>
      </w:r>
    </w:p>
    <w:p>
      <w:pPr>
        <w:pStyle w:val="BodyText"/>
      </w:pPr>
      <w:bookmarkStart w:id="71" w:name="ref-3"/>
      <w:bookmarkEnd w:id="71"/>
      <w:r>
        <w:t xml:space="preserve">3. K. Ikeya, M.-A. Cardin, J. J. Cilliers, S. Starr, and K. Hadler,</w:t>
      </w:r>
      <w:r>
        <w:t xml:space="preserve"> </w:t>
      </w:r>
      <w:r>
        <w:t xml:space="preserve">“Multi-objective decision-making for flexible design and planning of oxygen production facilities in an uncertain lunar environment,”</w:t>
      </w:r>
      <w:r>
        <w:t xml:space="preserve"> </w:t>
      </w:r>
      <w:r>
        <w:rPr>
          <w:i/>
          <w:iCs/>
        </w:rPr>
        <w:t xml:space="preserve">Acta Astronautica</w:t>
      </w:r>
      <w:r>
        <w:t xml:space="preserve">, vol. 236, 2025. doi:</w:t>
      </w:r>
      <w:r>
        <w:t xml:space="preserve"> </w:t>
      </w:r>
      <w:hyperlink r:id="rId72">
        <w:r>
          <w:rPr>
            <w:rStyle w:val="Hyperlink"/>
          </w:rPr>
          <w:t xml:space="preserve">10.1016/j.actaastro.2025.07.014</w:t>
        </w:r>
      </w:hyperlink>
      <w:r>
        <w:t xml:space="preserve">.</w:t>
      </w:r>
    </w:p>
    <w:p>
      <w:pPr>
        <w:pStyle w:val="BodyText"/>
      </w:pPr>
      <w:bookmarkStart w:id="73" w:name="ref-4"/>
      <w:bookmarkEnd w:id="73"/>
      <w:r>
        <w:t xml:space="preserve">4. L. Malone, M.-A. Cardin, J. J. Cilliers, S. Starr, and K. Hadler,</w:t>
      </w:r>
      <w:r>
        <w:t xml:space="preserve"> </w:t>
      </w:r>
      <w:r>
        <w:t xml:space="preserve">“Controlled user study on the role of situational awareness in design decisions for future lunar In-situ resource utilization systems,”</w:t>
      </w:r>
      <w:r>
        <w:t xml:space="preserve"> </w:t>
      </w:r>
      <w:r>
        <w:rPr>
          <w:i/>
          <w:iCs/>
        </w:rPr>
        <w:t xml:space="preserve">Acta Astronautica</w:t>
      </w:r>
      <w:r>
        <w:t xml:space="preserve">, vol. 246, 2026. doi:</w:t>
      </w:r>
      <w:r>
        <w:t xml:space="preserve"> </w:t>
      </w:r>
      <w:hyperlink r:id="rId74">
        <w:r>
          <w:rPr>
            <w:rStyle w:val="Hyperlink"/>
          </w:rPr>
          <w:t xml:space="preserve">10.1016/j.actaastro.2026.04.012</w:t>
        </w:r>
      </w:hyperlink>
      <w:r>
        <w:t xml:space="preserve">.</w:t>
      </w:r>
    </w:p>
    <w:p>
      <w:pPr>
        <w:pStyle w:val="BodyText"/>
      </w:pPr>
      <w:bookmarkStart w:id="75" w:name="ref-5"/>
      <w:bookmarkEnd w:id="75"/>
      <w:r>
        <w:t xml:space="preserve">5. U.S. Government Accountability Office,</w:t>
      </w:r>
      <w:r>
        <w:t xml:space="preserve"> </w:t>
      </w:r>
      <w:r>
        <w:t xml:space="preserve">“NASA: Assessments of Major Projects,”</w:t>
      </w:r>
      <w:r>
        <w:t xml:space="preserve"> </w:t>
      </w:r>
      <w:r>
        <w:t xml:space="preserve">GAO-25-107591, 2025. url:</w:t>
      </w:r>
      <w:r>
        <w:t xml:space="preserve"> </w:t>
      </w:r>
      <w:hyperlink r:id="rId76">
        <w:r>
          <w:rPr>
            <w:rStyle w:val="Hyperlink"/>
          </w:rPr>
          <w:t xml:space="preserve">https://www.gao.gov/products/gao-25-107591</w:t>
        </w:r>
      </w:hyperlink>
      <w:r>
        <w:t xml:space="preserve">.</w:t>
      </w:r>
    </w:p>
    <w:p>
      <w:pPr>
        <w:pStyle w:val="BodyText"/>
      </w:pPr>
      <w:bookmarkStart w:id="77" w:name="ref-6"/>
      <w:bookmarkEnd w:id="77"/>
      <w:r>
        <w:t xml:space="preserve">6. U.S. Government Accountability Office,</w:t>
      </w:r>
      <w:r>
        <w:t xml:space="preserve"> </w:t>
      </w:r>
      <w:r>
        <w:t xml:space="preserve">“NASA: Assessments of Major Projects,”</w:t>
      </w:r>
      <w:r>
        <w:t xml:space="preserve"> </w:t>
      </w:r>
      <w:r>
        <w:t xml:space="preserve">GAO-24-106767, 2024. url:</w:t>
      </w:r>
      <w:r>
        <w:t xml:space="preserve"> </w:t>
      </w:r>
      <w:hyperlink r:id="rId78">
        <w:r>
          <w:rPr>
            <w:rStyle w:val="Hyperlink"/>
          </w:rPr>
          <w:t xml:space="preserve">https://www.gao.gov/products/gao-24-106767</w:t>
        </w:r>
      </w:hyperlink>
      <w:r>
        <w:t xml:space="preserve">.</w:t>
      </w:r>
    </w:p>
    <w:p>
      <w:pPr>
        <w:pStyle w:val="BodyText"/>
      </w:pPr>
      <w:bookmarkStart w:id="79" w:name="ref-7"/>
      <w:bookmarkEnd w:id="79"/>
      <w:r>
        <w:t xml:space="preserve">7. U.S. Government Accountability Office,</w:t>
      </w:r>
      <w:r>
        <w:t xml:space="preserve"> </w:t>
      </w:r>
      <w:r>
        <w:t xml:space="preserve">“NASA: Assessments of Major Projects,”</w:t>
      </w:r>
      <w:r>
        <w:t xml:space="preserve"> </w:t>
      </w:r>
      <w:r>
        <w:t xml:space="preserve">GAO-23-106021, 2023. url:</w:t>
      </w:r>
      <w:r>
        <w:t xml:space="preserve"> </w:t>
      </w:r>
      <w:hyperlink r:id="rId80">
        <w:r>
          <w:rPr>
            <w:rStyle w:val="Hyperlink"/>
          </w:rPr>
          <w:t xml:space="preserve">https://www.gao.gov/products/gao-23-106021</w:t>
        </w:r>
      </w:hyperlink>
      <w:r>
        <w:t xml:space="preserve">.</w:t>
      </w:r>
    </w:p>
    <w:p>
      <w:pPr>
        <w:pStyle w:val="BodyText"/>
      </w:pPr>
      <w:bookmarkStart w:id="81" w:name="ref-8"/>
      <w:bookmarkEnd w:id="81"/>
      <w:r>
        <w:t xml:space="preserve">8. U.S. Government Accountability Office,</w:t>
      </w:r>
      <w:r>
        <w:t xml:space="preserve"> </w:t>
      </w:r>
      <w:r>
        <w:t xml:space="preserve">“NASA: Assessments of Major Projects,”</w:t>
      </w:r>
      <w:r>
        <w:t xml:space="preserve"> </w:t>
      </w:r>
      <w:r>
        <w:t xml:space="preserve">GAO-22-105212, 2022. url:</w:t>
      </w:r>
      <w:r>
        <w:t xml:space="preserve"> </w:t>
      </w:r>
      <w:hyperlink r:id="rId82">
        <w:r>
          <w:rPr>
            <w:rStyle w:val="Hyperlink"/>
          </w:rPr>
          <w:t xml:space="preserve">https://www.gao.gov/products/gao-22-105212</w:t>
        </w:r>
      </w:hyperlink>
      <w:r>
        <w:t xml:space="preserve">.</w:t>
      </w:r>
    </w:p>
    <w:p>
      <w:pPr>
        <w:pStyle w:val="BodyText"/>
      </w:pPr>
      <w:bookmarkStart w:id="83" w:name="ref-9"/>
      <w:bookmarkEnd w:id="83"/>
      <w:r>
        <w:t xml:space="preserve">9. U.S. Government Accountability Office,</w:t>
      </w:r>
      <w:r>
        <w:t xml:space="preserve"> </w:t>
      </w:r>
      <w:r>
        <w:t xml:space="preserve">“NASA: Assessments of Major Projects,”</w:t>
      </w:r>
      <w:r>
        <w:t xml:space="preserve"> </w:t>
      </w:r>
      <w:r>
        <w:t xml:space="preserve">GAO-21-306, 2021. url:</w:t>
      </w:r>
      <w:r>
        <w:t xml:space="preserve"> </w:t>
      </w:r>
      <w:hyperlink r:id="rId84">
        <w:r>
          <w:rPr>
            <w:rStyle w:val="Hyperlink"/>
          </w:rPr>
          <w:t xml:space="preserve">https://www.gao.gov/products/gao-21-306</w:t>
        </w:r>
      </w:hyperlink>
      <w:r>
        <w:t xml:space="preserve">.</w:t>
      </w:r>
    </w:p>
    <w:p>
      <w:pPr>
        <w:pStyle w:val="BodyText"/>
      </w:pPr>
      <w:bookmarkStart w:id="85" w:name="ref-10"/>
      <w:bookmarkEnd w:id="85"/>
      <w:r>
        <w:t xml:space="preserve">10. U.S. Government Accountability Office,</w:t>
      </w:r>
      <w:r>
        <w:t xml:space="preserve"> </w:t>
      </w:r>
      <w:r>
        <w:t xml:space="preserve">“NASA: Assessments of Major Projects,”</w:t>
      </w:r>
      <w:r>
        <w:t xml:space="preserve"> </w:t>
      </w:r>
      <w:r>
        <w:t xml:space="preserve">GAO-20-405, 2020. url:</w:t>
      </w:r>
      <w:r>
        <w:t xml:space="preserve"> </w:t>
      </w:r>
      <w:hyperlink r:id="rId86">
        <w:r>
          <w:rPr>
            <w:rStyle w:val="Hyperlink"/>
          </w:rPr>
          <w:t xml:space="preserve">https://www.gao.gov/products/gao-20-405</w:t>
        </w:r>
      </w:hyperlink>
      <w:r>
        <w:t xml:space="preserve">.</w:t>
      </w:r>
    </w:p>
    <w:p>
      <w:pPr>
        <w:pStyle w:val="BodyText"/>
      </w:pPr>
      <w:bookmarkStart w:id="87" w:name="ref-11"/>
      <w:bookmarkEnd w:id="87"/>
      <w:r>
        <w:t xml:space="preserve">11. U.S. Government Accountability Office,</w:t>
      </w:r>
      <w:r>
        <w:t xml:space="preserve"> </w:t>
      </w:r>
      <w:r>
        <w:t xml:space="preserve">“NASA: Assessments of Major Projects,”</w:t>
      </w:r>
      <w:r>
        <w:t xml:space="preserve"> </w:t>
      </w:r>
      <w:r>
        <w:t xml:space="preserve">GAO-19-262SP, 2019. url:</w:t>
      </w:r>
      <w:r>
        <w:t xml:space="preserve"> </w:t>
      </w:r>
      <w:hyperlink r:id="rId88">
        <w:r>
          <w:rPr>
            <w:rStyle w:val="Hyperlink"/>
          </w:rPr>
          <w:t xml:space="preserve">https://www.gao.gov/products/gao-19-262sp</w:t>
        </w:r>
      </w:hyperlink>
      <w:r>
        <w:t xml:space="preserve">.</w:t>
      </w:r>
    </w:p>
    <w:p>
      <w:pPr>
        <w:pStyle w:val="BodyText"/>
      </w:pPr>
      <w:bookmarkStart w:id="89" w:name="ref-12"/>
      <w:bookmarkEnd w:id="89"/>
      <w:r>
        <w:t xml:space="preserve">12. U.S. Government Accountability Office,</w:t>
      </w:r>
      <w:r>
        <w:t xml:space="preserve"> </w:t>
      </w:r>
      <w:r>
        <w:t xml:space="preserve">“NASA: Assessments of Major Projects,”</w:t>
      </w:r>
      <w:r>
        <w:t xml:space="preserve"> </w:t>
      </w:r>
      <w:r>
        <w:t xml:space="preserve">GAO-18-280SP, 2018. url:</w:t>
      </w:r>
      <w:r>
        <w:t xml:space="preserve"> </w:t>
      </w:r>
      <w:hyperlink r:id="rId90">
        <w:r>
          <w:rPr>
            <w:rStyle w:val="Hyperlink"/>
          </w:rPr>
          <w:t xml:space="preserve">https://www.gao.gov/products/gao-18-280sp</w:t>
        </w:r>
      </w:hyperlink>
      <w:r>
        <w:t xml:space="preserve">.</w:t>
      </w:r>
    </w:p>
    <w:p>
      <w:pPr>
        <w:pStyle w:val="BodyText"/>
      </w:pPr>
      <w:bookmarkStart w:id="91" w:name="ref-13"/>
      <w:bookmarkEnd w:id="91"/>
      <w:r>
        <w:t xml:space="preserve">13. U.S. Government Accountability Office,</w:t>
      </w:r>
      <w:r>
        <w:t xml:space="preserve"> </w:t>
      </w:r>
      <w:r>
        <w:t xml:space="preserve">“NASA: Assessments of Selected Large-Scale Projects,”</w:t>
      </w:r>
      <w:r>
        <w:t xml:space="preserve"> </w:t>
      </w:r>
      <w:r>
        <w:t xml:space="preserve">GAO-12-207SP, 2012. url:</w:t>
      </w:r>
      <w:r>
        <w:t xml:space="preserve"> </w:t>
      </w:r>
      <w:hyperlink r:id="rId92">
        <w:r>
          <w:rPr>
            <w:rStyle w:val="Hyperlink"/>
          </w:rPr>
          <w:t xml:space="preserve">https://www.gao.gov/products/gao-12-207sp</w:t>
        </w:r>
      </w:hyperlink>
      <w:r>
        <w:t xml:space="preserve">.</w:t>
      </w:r>
    </w:p>
    <w:p>
      <w:pPr>
        <w:pStyle w:val="BodyText"/>
      </w:pPr>
      <w:bookmarkStart w:id="93" w:name="ref-14"/>
      <w:bookmarkEnd w:id="93"/>
      <w:r>
        <w:t xml:space="preserve">14. U.S. Government Accountability Office,</w:t>
      </w:r>
      <w:r>
        <w:t xml:space="preserve"> </w:t>
      </w:r>
      <w:r>
        <w:t xml:space="preserve">“NASA: Assessments of Selected Large-Scale Projects,”</w:t>
      </w:r>
      <w:r>
        <w:t xml:space="preserve"> </w:t>
      </w:r>
      <w:r>
        <w:t xml:space="preserve">GAO-11-239SP, 2011. url:</w:t>
      </w:r>
      <w:r>
        <w:t xml:space="preserve"> </w:t>
      </w:r>
      <w:hyperlink r:id="rId94">
        <w:r>
          <w:rPr>
            <w:rStyle w:val="Hyperlink"/>
          </w:rPr>
          <w:t xml:space="preserve">https://www.gao.gov/products/gao-11-239sp</w:t>
        </w:r>
      </w:hyperlink>
      <w:r>
        <w:t xml:space="preserve">.</w:t>
      </w:r>
    </w:p>
    <w:p>
      <w:pPr>
        <w:pStyle w:val="BodyText"/>
      </w:pPr>
      <w:bookmarkStart w:id="95" w:name="ref-15"/>
      <w:bookmarkEnd w:id="95"/>
      <w:r>
        <w:t xml:space="preserve">15. NASA,</w:t>
      </w:r>
      <w:r>
        <w:t xml:space="preserve"> </w:t>
      </w:r>
      <w:r>
        <w:t xml:space="preserve">“NASA Technology Taxonomy,”</w:t>
      </w:r>
      <w:r>
        <w:t xml:space="preserve"> </w:t>
      </w:r>
      <w:r>
        <w:t xml:space="preserve">NASA Office of the Chief Technologist, 2020. url:</w:t>
      </w:r>
      <w:r>
        <w:t xml:space="preserve"> </w:t>
      </w:r>
      <w:hyperlink r:id="rId96">
        <w:r>
          <w:rPr>
            <w:rStyle w:val="Hyperlink"/>
          </w:rPr>
          <w:t xml:space="preserve">https://www.nasa.gov/wp-content/uploads/2020/03/2020_nasa_technology_taxonomy.pdf</w:t>
        </w:r>
      </w:hyperlink>
      <w:r>
        <w:t xml:space="preserve">.</w:t>
      </w:r>
    </w:p>
    <w:bookmarkEnd w:id="97"/>
    <w:bookmarkStart w:id="98" w:name="specification"/>
    <w:p>
      <w:pPr>
        <w:pStyle w:val="Heading2"/>
      </w:pPr>
      <w:r>
        <w:t xml:space="preserve">Specification</w:t>
      </w:r>
    </w:p>
    <w:p>
      <w:pPr>
        <w:pStyle w:val="FirstParagraph"/>
      </w:pPr>
      <m:oMathPara>
        <m:oMathParaPr>
          <m:jc m:val="center"/>
        </m:oMathParaPr>
        <m:oMath>
          <m:sSub>
            <m:e>
              <m:r>
                <m:rPr>
                  <m:nor/>
                  <m:sty m:val="p"/>
                </m:rPr>
                <m:t>cost_growth</m:t>
              </m:r>
            </m:e>
            <m:sub>
              <m:r>
                <m:t>i</m:t>
              </m:r>
            </m:sub>
          </m:sSub>
          <m:r>
            <m:rPr>
              <m:sty m:val="p"/>
            </m:rPr>
            <m:t>=</m:t>
          </m:r>
          <m:sSub>
            <m:e>
              <m:r>
                <m:t>β</m:t>
              </m:r>
            </m:e>
            <m:sub>
              <m:r>
                <m:t>0</m:t>
              </m:r>
            </m:sub>
          </m:sSub>
          <m:r>
            <m:rPr>
              <m:sty m:val="p"/>
            </m:rPr>
            <m:t>+</m:t>
          </m:r>
          <m:sSub>
            <m:e>
              <m:r>
                <m:t>β</m:t>
              </m:r>
            </m:e>
            <m:sub>
              <m:r>
                <m:t>1</m:t>
              </m:r>
            </m:sub>
          </m:sSub>
          <m:r>
            <m:t> </m:t>
          </m:r>
          <m:sSub>
            <m:e>
              <m:r>
                <m:rPr>
                  <m:nor/>
                  <m:sty m:val="p"/>
                </m:rPr>
                <m:t>TRL</m:t>
              </m:r>
            </m:e>
            <m:sub>
              <m:r>
                <m:t>i</m:t>
              </m:r>
            </m:sub>
          </m:sSub>
          <m:r>
            <m:rPr>
              <m:sty m:val="p"/>
            </m:rPr>
            <m:t>+</m:t>
          </m:r>
          <m:sSub>
            <m:e>
              <m:r>
                <m:t>β</m:t>
              </m:r>
            </m:e>
            <m:sub>
              <m:r>
                <m:t>2</m:t>
              </m:r>
            </m:sub>
          </m:sSub>
          <m:r>
            <m:t> </m:t>
          </m:r>
          <m:sSub>
            <m:e>
              <m:r>
                <m:rPr>
                  <m:nor/>
                  <m:sty m:val="p"/>
                </m:rPr>
                <m:t>complexity</m:t>
              </m:r>
            </m:e>
            <m:sub>
              <m:r>
                <m:t>i</m:t>
              </m:r>
            </m:sub>
          </m:sSub>
          <m:r>
            <m:rPr>
              <m:sty m:val="p"/>
            </m:rPr>
            <m:t>+</m:t>
          </m:r>
          <m:sSub>
            <m:e>
              <m:r>
                <m:t>β</m:t>
              </m:r>
            </m:e>
            <m:sub>
              <m:r>
                <m:t>3</m:t>
              </m:r>
            </m:sub>
          </m:sSub>
          <m:r>
            <m:t> </m:t>
          </m:r>
          <m:sSub>
            <m:e>
              <m:r>
                <m:rPr>
                  <m:nor/>
                  <m:sty m:val="p"/>
                </m:rPr>
                <m:t>coupling</m:t>
              </m:r>
            </m:e>
            <m:sub>
              <m:r>
                <m:t>i</m:t>
              </m:r>
            </m:sub>
          </m:sSub>
          <m:r>
            <m:rPr>
              <m:sty m:val="p"/>
            </m:rPr>
            <m:t>+</m:t>
          </m:r>
          <m:sSub>
            <m:e>
              <m:r>
                <m:t>β</m:t>
              </m:r>
            </m:e>
            <m:sub>
              <m:r>
                <m:t>4</m:t>
              </m:r>
            </m:sub>
          </m:sSub>
          <m:r>
            <m:t> </m:t>
          </m:r>
          <m:sSub>
            <m:e>
              <m:r>
                <m:rPr>
                  <m:nor/>
                  <m:sty m:val="p"/>
                </m:rPr>
                <m:t>years</m:t>
              </m:r>
            </m:e>
            <m:sub>
              <m:r>
                <m:t>i</m:t>
              </m:r>
            </m:sub>
          </m:sSub>
          <m:r>
            <m:rPr>
              <m:sty m:val="p"/>
            </m:rPr>
            <m:t>+</m:t>
          </m:r>
          <m:sSub>
            <m:e>
              <m:r>
                <m:t>ε</m:t>
              </m:r>
            </m:e>
            <m:sub>
              <m:r>
                <m:t>i</m:t>
              </m:r>
            </m:sub>
          </m:sSub>
        </m:oMath>
      </m:oMathPara>
    </w:p>
    <w:bookmarkEnd w:id="98"/>
    <w:bookmarkStart w:id="10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25.9613</w:t>
            </w:r>
          </w:p>
        </w:tc>
        <w:tc>
          <w:tcPr>
            <w:tcW w:w="0" w:type="auto"/>
          </w:tcPr>
          <w:p>
            <w:pPr>
              <w:spacing w:line="240" w:lineRule="auto" w:before="0" w:after="0"/>
              <w:pStyle w:val="Compact"/>
            </w:pPr>
            <w:r>
              <w:rPr>
                <w:sz w:val="20"/>
                <w:szCs w:val="20"/>
              </w:rPr>
              <w:t xml:space="preserve">29.2878</w:t>
            </w:r>
          </w:p>
        </w:tc>
        <w:tc>
          <w:tcPr>
            <w:tcW w:w="0" w:type="auto"/>
          </w:tcPr>
          <w:p>
            <w:pPr>
              <w:spacing w:line="240" w:lineRule="auto" w:before="0" w:after="0"/>
              <w:pStyle w:val="Compact"/>
            </w:pPr>
            <w:r>
              <w:rPr>
                <w:sz w:val="20"/>
                <w:szCs w:val="20"/>
              </w:rPr>
              <w:t xml:space="preserve">0.8864</w:t>
            </w:r>
          </w:p>
        </w:tc>
        <w:tc>
          <w:tcPr>
            <w:tcW w:w="0" w:type="auto"/>
          </w:tcPr>
          <w:p>
            <w:pPr>
              <w:spacing w:line="240" w:lineRule="auto" w:before="0" w:after="0"/>
              <w:pStyle w:val="Compact"/>
            </w:pPr>
            <w:r>
              <w:rPr>
                <w:sz w:val="20"/>
                <w:szCs w:val="20"/>
              </w:rPr>
              <w:t xml:space="preserve">0.3754</w:t>
            </w:r>
          </w:p>
        </w:tc>
        <w:tc>
          <w:tcPr>
            <w:tcW w:w="0" w:type="auto"/>
          </w:tcPr>
          <w:p>
            <w:pPr>
              <w:spacing w:line="240" w:lineRule="auto" w:before="0" w:after="0"/>
              <w:pStyle w:val="Compact"/>
            </w:pPr>
            <w:r>
              <w:rPr>
                <w:sz w:val="20"/>
                <w:szCs w:val="20"/>
              </w:rPr>
              <w:t xml:space="preserve">[-31.4418, 83.3644]</w:t>
            </w:r>
          </w:p>
        </w:tc>
      </w:tr>
      <w:tr>
        <w:tc>
          <w:tcPr>
            <w:tcW w:w="0" w:type="auto"/>
          </w:tcPr>
          <w:p>
            <w:pPr>
              <w:spacing w:line="240" w:lineRule="auto" w:before="0" w:after="0"/>
              <w:pStyle w:val="Compact"/>
            </w:pPr>
            <w:r>
              <w:rPr>
                <w:sz w:val="20"/>
                <w:szCs w:val="20"/>
              </w:rPr>
              <w:t xml:space="preserve">trl_at_kdp_c</w:t>
            </w:r>
          </w:p>
        </w:tc>
        <w:tc>
          <w:tcPr>
            <w:tcW w:w="0" w:type="auto"/>
          </w:tcPr>
          <w:p>
            <w:pPr>
              <w:spacing w:line="240" w:lineRule="auto" w:before="0" w:after="0"/>
              <w:pStyle w:val="Compact"/>
            </w:pPr>
            <w:r>
              <w:rPr>
                <w:sz w:val="20"/>
                <w:szCs w:val="20"/>
              </w:rPr>
              <w:t xml:space="preserve">-10.8606</w:t>
            </w:r>
          </w:p>
        </w:tc>
        <w:tc>
          <w:tcPr>
            <w:tcW w:w="0" w:type="auto"/>
          </w:tcPr>
          <w:p>
            <w:pPr>
              <w:spacing w:line="240" w:lineRule="auto" w:before="0" w:after="0"/>
              <w:pStyle w:val="Compact"/>
            </w:pPr>
            <w:r>
              <w:rPr>
                <w:sz w:val="20"/>
                <w:szCs w:val="20"/>
              </w:rPr>
              <w:t xml:space="preserve">6.7554</w:t>
            </w:r>
          </w:p>
        </w:tc>
        <w:tc>
          <w:tcPr>
            <w:tcW w:w="0" w:type="auto"/>
          </w:tcPr>
          <w:p>
            <w:pPr>
              <w:spacing w:line="240" w:lineRule="auto" w:before="0" w:after="0"/>
              <w:pStyle w:val="Compact"/>
            </w:pPr>
            <w:r>
              <w:rPr>
                <w:sz w:val="20"/>
                <w:szCs w:val="20"/>
              </w:rPr>
              <w:t xml:space="preserve">-1.6077</w:t>
            </w:r>
          </w:p>
        </w:tc>
        <w:tc>
          <w:tcPr>
            <w:tcW w:w="0" w:type="auto"/>
          </w:tcPr>
          <w:p>
            <w:pPr>
              <w:spacing w:line="240" w:lineRule="auto" w:before="0" w:after="0"/>
              <w:pStyle w:val="Compact"/>
            </w:pPr>
            <w:r>
              <w:rPr>
                <w:sz w:val="20"/>
                <w:szCs w:val="20"/>
              </w:rPr>
              <w:t xml:space="preserve">0.1079</w:t>
            </w:r>
          </w:p>
        </w:tc>
        <w:tc>
          <w:tcPr>
            <w:tcW w:w="0" w:type="auto"/>
          </w:tcPr>
          <w:p>
            <w:pPr>
              <w:spacing w:line="240" w:lineRule="auto" w:before="0" w:after="0"/>
              <w:pStyle w:val="Compact"/>
            </w:pPr>
            <w:r>
              <w:rPr>
                <w:sz w:val="20"/>
                <w:szCs w:val="20"/>
              </w:rPr>
              <w:t xml:space="preserve">[-24.101, 2.3797]</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12.8303</w:t>
            </w:r>
          </w:p>
        </w:tc>
        <w:tc>
          <w:tcPr>
            <w:tcW w:w="0" w:type="auto"/>
          </w:tcPr>
          <w:p>
            <w:pPr>
              <w:spacing w:line="240" w:lineRule="auto" w:before="0" w:after="0"/>
              <w:pStyle w:val="Compact"/>
            </w:pPr>
            <w:r>
              <w:rPr>
                <w:sz w:val="20"/>
                <w:szCs w:val="20"/>
              </w:rPr>
              <w:t xml:space="preserve">13.9098</w:t>
            </w:r>
          </w:p>
        </w:tc>
        <w:tc>
          <w:tcPr>
            <w:tcW w:w="0" w:type="auto"/>
          </w:tcPr>
          <w:p>
            <w:pPr>
              <w:spacing w:line="240" w:lineRule="auto" w:before="0" w:after="0"/>
              <w:pStyle w:val="Compact"/>
            </w:pPr>
            <w:r>
              <w:rPr>
                <w:sz w:val="20"/>
                <w:szCs w:val="20"/>
              </w:rPr>
              <w:t xml:space="preserve">0.9224</w:t>
            </w:r>
          </w:p>
        </w:tc>
        <w:tc>
          <w:tcPr>
            <w:tcW w:w="0" w:type="auto"/>
          </w:tcPr>
          <w:p>
            <w:pPr>
              <w:spacing w:line="240" w:lineRule="auto" w:before="0" w:after="0"/>
              <w:pStyle w:val="Compact"/>
            </w:pPr>
            <w:r>
              <w:rPr>
                <w:sz w:val="20"/>
                <w:szCs w:val="20"/>
              </w:rPr>
              <w:t xml:space="preserve">0.3563</w:t>
            </w:r>
          </w:p>
        </w:tc>
        <w:tc>
          <w:tcPr>
            <w:tcW w:w="0" w:type="auto"/>
          </w:tcPr>
          <w:p>
            <w:pPr>
              <w:spacing w:line="240" w:lineRule="auto" w:before="0" w:after="0"/>
              <w:pStyle w:val="Compact"/>
            </w:pPr>
            <w:r>
              <w:rPr>
                <w:sz w:val="20"/>
                <w:szCs w:val="20"/>
              </w:rPr>
              <w:t xml:space="preserve">[-14.4324, 40.0929]</w:t>
            </w:r>
          </w:p>
        </w:tc>
      </w:tr>
      <w:tr>
        <w:tc>
          <w:tcPr>
            <w:tcW w:w="0" w:type="auto"/>
          </w:tcPr>
          <w:p>
            <w:pPr>
              <w:spacing w:line="240" w:lineRule="auto" w:before="0" w:after="0"/>
              <w:pStyle w:val="Compact"/>
            </w:pPr>
            <w:r>
              <w:rPr>
                <w:sz w:val="20"/>
                <w:szCs w:val="20"/>
              </w:rPr>
              <w:t xml:space="preserve">coupling_index</w:t>
            </w:r>
          </w:p>
        </w:tc>
        <w:tc>
          <w:tcPr>
            <w:tcW w:w="0" w:type="auto"/>
          </w:tcPr>
          <w:p>
            <w:pPr>
              <w:spacing w:line="240" w:lineRule="auto" w:before="0" w:after="0"/>
              <w:pStyle w:val="Compact"/>
            </w:pPr>
            <w:r>
              <w:rPr>
                <w:sz w:val="20"/>
                <w:szCs w:val="20"/>
              </w:rPr>
              <w:t xml:space="preserve">-13.131</w:t>
            </w:r>
          </w:p>
        </w:tc>
        <w:tc>
          <w:tcPr>
            <w:tcW w:w="0" w:type="auto"/>
          </w:tcPr>
          <w:p>
            <w:pPr>
              <w:spacing w:line="240" w:lineRule="auto" w:before="0" w:after="0"/>
              <w:pStyle w:val="Compact"/>
            </w:pPr>
            <w:r>
              <w:rPr>
                <w:sz w:val="20"/>
                <w:szCs w:val="20"/>
              </w:rPr>
              <w:t xml:space="preserve">15.543</w:t>
            </w:r>
          </w:p>
        </w:tc>
        <w:tc>
          <w:tcPr>
            <w:tcW w:w="0" w:type="auto"/>
          </w:tcPr>
          <w:p>
            <w:pPr>
              <w:spacing w:line="240" w:lineRule="auto" w:before="0" w:after="0"/>
              <w:pStyle w:val="Compact"/>
            </w:pPr>
            <w:r>
              <w:rPr>
                <w:sz w:val="20"/>
                <w:szCs w:val="20"/>
              </w:rPr>
              <w:t xml:space="preserve">-0.8448</w:t>
            </w:r>
          </w:p>
        </w:tc>
        <w:tc>
          <w:tcPr>
            <w:tcW w:w="0" w:type="auto"/>
          </w:tcPr>
          <w:p>
            <w:pPr>
              <w:spacing w:line="240" w:lineRule="auto" w:before="0" w:after="0"/>
              <w:pStyle w:val="Compact"/>
            </w:pPr>
            <w:r>
              <w:rPr>
                <w:sz w:val="20"/>
                <w:szCs w:val="20"/>
              </w:rPr>
              <w:t xml:space="preserve">0.3982</w:t>
            </w:r>
          </w:p>
        </w:tc>
        <w:tc>
          <w:tcPr>
            <w:tcW w:w="0" w:type="auto"/>
          </w:tcPr>
          <w:p>
            <w:pPr>
              <w:spacing w:line="240" w:lineRule="auto" w:before="0" w:after="0"/>
              <w:pStyle w:val="Compact"/>
            </w:pPr>
            <w:r>
              <w:rPr>
                <w:sz w:val="20"/>
                <w:szCs w:val="20"/>
              </w:rPr>
              <w:t xml:space="preserve">[-43.5948, 17.3328]</w:t>
            </w:r>
          </w:p>
        </w:tc>
      </w:tr>
      <w:tr>
        <w:tc>
          <w:tcPr>
            <w:tcW w:w="0" w:type="auto"/>
          </w:tcPr>
          <w:p>
            <w:pPr>
              <w:spacing w:line="240" w:lineRule="auto" w:before="0" w:after="0"/>
              <w:pStyle w:val="Compact"/>
            </w:pPr>
            <w:r>
              <w:rPr>
                <w:sz w:val="20"/>
                <w:szCs w:val="20"/>
              </w:rPr>
              <w:t xml:space="preserve">years_since_kdp_c</w:t>
            </w:r>
          </w:p>
        </w:tc>
        <w:tc>
          <w:tcPr>
            <w:tcW w:w="0" w:type="auto"/>
          </w:tcPr>
          <w:p>
            <w:pPr>
              <w:spacing w:line="240" w:lineRule="auto" w:before="0" w:after="0"/>
              <w:pStyle w:val="Compact"/>
            </w:pPr>
            <w:r>
              <w:rPr>
                <w:sz w:val="20"/>
                <w:szCs w:val="20"/>
              </w:rPr>
              <w:t xml:space="preserve">11.0333</w:t>
            </w:r>
          </w:p>
        </w:tc>
        <w:tc>
          <w:tcPr>
            <w:tcW w:w="0" w:type="auto"/>
          </w:tcPr>
          <w:p>
            <w:pPr>
              <w:spacing w:line="240" w:lineRule="auto" w:before="0" w:after="0"/>
              <w:pStyle w:val="Compact"/>
            </w:pPr>
            <w:r>
              <w:rPr>
                <w:sz w:val="20"/>
                <w:szCs w:val="20"/>
              </w:rPr>
              <w:t xml:space="preserve">2.5042</w:t>
            </w:r>
          </w:p>
        </w:tc>
        <w:tc>
          <w:tcPr>
            <w:tcW w:w="0" w:type="auto"/>
          </w:tcPr>
          <w:p>
            <w:pPr>
              <w:spacing w:line="240" w:lineRule="auto" w:before="0" w:after="0"/>
              <w:pStyle w:val="Compact"/>
            </w:pPr>
            <w:r>
              <w:rPr>
                <w:sz w:val="20"/>
                <w:szCs w:val="20"/>
              </w:rPr>
              <w:t xml:space="preserve">4.4059</w:t>
            </w:r>
          </w:p>
        </w:tc>
        <w:tc>
          <w:tcPr>
            <w:tcW w:w="0" w:type="auto"/>
          </w:tcPr>
          <w:p>
            <w:pPr>
              <w:spacing w:line="240" w:lineRule="auto" w:before="0" w:after="0"/>
              <w:pStyle w:val="Compact"/>
            </w:pPr>
            <w:r>
              <w:rPr>
                <w:sz w:val="20"/>
                <w:szCs w:val="20"/>
              </w:rPr>
              <w:t xml:space="preserve">1.053e-05</w:t>
            </w:r>
          </w:p>
        </w:tc>
        <w:tc>
          <w:tcPr>
            <w:tcW w:w="0" w:type="auto"/>
          </w:tcPr>
          <w:p>
            <w:pPr>
              <w:spacing w:line="240" w:lineRule="auto" w:before="0" w:after="0"/>
              <w:pStyle w:val="Compact"/>
            </w:pPr>
            <w:r>
              <w:rPr>
                <w:sz w:val="20"/>
                <w:szCs w:val="20"/>
              </w:rPr>
              <w:t xml:space="preserve">[6.1251, 15.9414]</w:t>
            </w:r>
          </w:p>
        </w:tc>
      </w:tr>
    </w:tbl>
    <w:p>
      <w:pPr>
        <w:pStyle w:val="BodyText"/>
      </w:pPr>
      <w:r>
        <w:t xml:space="preserve">Fit: N = 35 R2 = 0.5788 R2_adj = 0.538 F = 12.1052 F_p = 4.856e-06</w:t>
      </w:r>
    </w:p>
    <w:p>
      <w:pPr>
        <w:pStyle w:val="CaptionedFigure"/>
      </w:pPr>
      <w:r>
        <w:drawing>
          <wp:inline>
            <wp:extent cx="5669280" cy="3657600"/>
            <wp:effectExtent b="0" l="0" r="0" t="0"/>
            <wp:docPr descr="Figure 1. Realized cost growth on NASA major space projects against TRL at confirmation. Each point is one mission in the GAO Major Project Assessment series 2011 to 2025; the downward slope is consistent with the value-of-information account in which lower entering technology maturity prices the unresolved precursor uncertainty as later realized cost." title="" id="100" name="Picture"/>
            <a:graphic>
              <a:graphicData uri="http://schemas.openxmlformats.org/drawingml/2006/picture">
                <pic:pic>
                  <pic:nvPicPr>
                    <pic:cNvPr descr="D:\Claude_Code\brain\collegium\candidates\dissertations\JPL_MGMT_SMA_TECH_07\research_papers\p1\paper_fig1.png" id="101" name="Picture"/>
                    <pic:cNvPicPr>
                      <a:picLocks noChangeArrowheads="1" noChangeAspect="1"/>
                    </pic:cNvPicPr>
                  </pic:nvPicPr>
                  <pic:blipFill>
                    <a:blip r:embed="rId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cost growth on NASA major space projects against TRL at confirmation. Each point is one mission in the GAO Major Project Assessment series 2011 to 2025; the downward slope is consistent with the value-of-information account in which lower entering technology maturity prices the unresolved precursor uncertainty as later realized cost.</w:t>
      </w:r>
    </w:p>
    <w:bookmarkEnd w:id="102"/>
    <w:bookmarkStart w:id="10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10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trl_at_kdp_c</w:t>
            </w:r>
          </w:p>
        </w:tc>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coupling_index</w:t>
            </w:r>
          </w:p>
        </w:tc>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years_since_kdp_c</w:t>
            </w:r>
          </w:p>
        </w:tc>
        <w:tc>
          <w:tcPr>
            <w:tcW w:w="0" w:type="auto"/>
          </w:tcPr>
          <w:p>
            <w:pPr>
              <w:spacing w:line="240" w:lineRule="auto" w:before="0" w:after="0"/>
              <w:pStyle w:val="Compact"/>
            </w:pPr>
            <w:r>
              <w:rPr>
                <w:sz w:val="20"/>
                <w:szCs w:val="20"/>
              </w:rPr>
              <w:t xml:space="preserve">prime_center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NPP Suomi NPP</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SDO Solar Dynamics Observatory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LRO Lunar Reconnaissance Orbiter</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GAO-14-338SP NASA Major Projects 2014 https://www.gao.gov/products/gao-14-338sp</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GAO-16-309SP NASA Major Projects 2016 https://www.gao.gov/products/gao-16-309sp</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GAO-19-262SP NASA Major Projects 2019 https://www.gao.gov/products/gao-19-262sp</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GAO-20-405 NASA Major Projects 2020 https://www.gao.gov/products/gao-20-405</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GAO-16-309SP NASA Major Projects 2016 https://www.gao.gov/products/gao-16-309sp</w:t>
            </w:r>
          </w:p>
        </w:tc>
      </w:tr>
      <w:tr>
        <w:tc>
          <w:tcPr>
            <w:tcW w:w="0" w:type="auto"/>
          </w:tcPr>
          <w:p>
            <w:pPr>
              <w:spacing w:line="240" w:lineRule="auto" w:before="0" w:after="0"/>
              <w:pStyle w:val="Compact"/>
            </w:pPr>
            <w:r>
              <w:rPr>
                <w:sz w:val="20"/>
                <w:szCs w:val="20"/>
              </w:rPr>
              <w:t xml:space="preserve">GPM Global Precipitation Measurement</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GAO-14-338SP NASA Major Projects 2014 https://www.gao.gov/products/gao-14-338sp</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ARC</w:t>
            </w:r>
          </w:p>
        </w:tc>
        <w:tc>
          <w:tcPr>
            <w:tcW w:w="0" w:type="auto"/>
          </w:tcPr>
          <w:p>
            <w:pPr>
              <w:spacing w:line="240" w:lineRule="auto" w:before="0" w:after="0"/>
              <w:pStyle w:val="Compact"/>
            </w:pPr>
            <w:r>
              <w:rPr>
                <w:sz w:val="20"/>
                <w:szCs w:val="20"/>
              </w:rPr>
              <w:t xml:space="preserve">GAO-13-276SP NASA Major Projects 2013 https://www.gao.gov/products/gao-13-276sp</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ARC</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Magnetospheric Multiscale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GAO-13-276SP NASA Major Projects 2013 https://www.gao.gov/products/gao-13-276sp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GAO-18-280SP NASA Major Projects 2018 https://www.gao.gov/products/gao-18-280sp</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GAO-18-280SP NASA Major Projects 2018 https://www.gao.gov/products/gao-18-280sp</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GAO-23-106021 NASA Assessments of Major Projects 2023 https://www.gao.gov/products/gao-23-106021</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GAO-23-106021 NASA Assessments of Major Projects 2023 https://www.gao.gov/products/gao-23-106021</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GAO-21-306 NASA Major Projects 2021 https://www.gao.gov/products/gao-21-306</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GAO-22-105212 NASA Major Projects 2022 https://www.gao.gov/products/gao-22-105212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GAO-24-106767 NASA Assessments of Major Projects 2024 https://www.gao.gov/products/gao-24-106767</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GAO-22-105212 NASA Major Projects 2022 https://www.gao.gov/products/gao-22-105212</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4320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GAO-25-107591 NASA Assessments of Major Projects 2025 https://www.gao.gov/products/gao-25-107591</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GAO-24-106767 NASA Assessments of Major Projects 2024 https://www.gao.gov/products/gao-24-106767</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GAO-25-107591 NASA Assessments of Major Projects 2025 https://www.gao.gov/products/gao-25-107591</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GAO-25-107591 NASA Assessments of Major Projects 2025 https://www.gao.gov/products/gao-25-107591</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GAO-23-106021 NASA Assessments of Major Projects 2023 https://www.gao.gov/products/gao-23-106021</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GAO-24-106767 NASA Assessments of Major Projects 2024 https://www.gao.gov/products/gao-24-106767</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MSFC</w:t>
            </w:r>
          </w:p>
        </w:tc>
        <w:tc>
          <w:tcPr>
            <w:tcW w:w="0" w:type="auto"/>
          </w:tcPr>
          <w:p>
            <w:pPr>
              <w:spacing w:line="240" w:lineRule="auto" w:before="0" w:after="0"/>
              <w:pStyle w:val="Compact"/>
            </w:pPr>
            <w:r>
              <w:rPr>
                <w:sz w:val="20"/>
                <w:szCs w:val="20"/>
              </w:rPr>
              <w:t xml:space="preserve">GAO-22-105212 NASA Major Projects 2022 https://www.gao.gov/products/gao-22-105212</w:t>
            </w:r>
          </w:p>
        </w:tc>
      </w:tr>
      <w:tr>
        <w:tc>
          <w:tcPr>
            <w:tcW w:w="0" w:type="auto"/>
          </w:tcPr>
          <w:p>
            <w:pPr>
              <w:spacing w:line="240" w:lineRule="auto" w:before="0" w:after="0"/>
              <w:pStyle w:val="Compact"/>
            </w:pPr>
            <w:r>
              <w:rPr>
                <w:sz w:val="20"/>
                <w:szCs w:val="20"/>
              </w:rPr>
              <w:t xml:space="preserve">GOES-R series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11400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GAO-17-262SP NASA Major Projects 2017 https://www.gao.gov/products/gao-17-262sp</w:t>
            </w:r>
          </w:p>
        </w:tc>
      </w:tr>
      <w:tr>
        <w:tc>
          <w:tcPr>
            <w:tcW w:w="0" w:type="auto"/>
          </w:tcPr>
          <w:p>
            <w:pPr>
              <w:spacing w:line="240" w:lineRule="auto" w:before="0" w:after="0"/>
              <w:pStyle w:val="Compact"/>
            </w:pPr>
            <w:r>
              <w:rPr>
                <w:sz w:val="20"/>
                <w:szCs w:val="20"/>
              </w:rPr>
              <w:t xml:space="preserve">JPSS-1 NOAA-20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GAO-17-262SP NASA Major Projects 2017 https://www.gao.gov/products/gao-17-262sp</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GAO-21-306 NASA Major Projects 2021 https://www.gao.gov/products/gao-21-306</w:t>
            </w:r>
          </w:p>
        </w:tc>
      </w:tr>
    </w:tbl>
    <w:bookmarkEnd w:id="103"/>
    <w:bookmarkStart w:id="10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in life-cycle cost between the KDP-C baseline and the most recent reported estimate</w:t>
            </w:r>
          </w:p>
        </w:tc>
        <w:tc>
          <w:tcPr>
            <w:tcW w:w="0" w:type="auto"/>
          </w:tcPr>
          <w:p>
            <w:pPr>
              <w:spacing w:line="240" w:lineRule="auto" w:before="0" w:after="0"/>
              <w:pStyle w:val="Compact"/>
            </w:pPr>
            <w:r>
              <w:rPr>
                <w:sz w:val="20"/>
                <w:szCs w:val="20"/>
              </w:rPr>
              <w:t xml:space="preserve">NASA GAO Major Project Assessments annual series, computed as ((current - baseline) / baseline) * 100</w:t>
            </w:r>
          </w:p>
        </w:tc>
      </w:tr>
      <w:tr>
        <w:tc>
          <w:tcPr>
            <w:tcW w:w="0" w:type="auto"/>
          </w:tcPr>
          <w:p>
            <w:pPr>
              <w:spacing w:line="240" w:lineRule="auto" w:before="0" w:after="0"/>
              <w:pStyle w:val="Compact"/>
            </w:pPr>
            <w:r>
              <w:rPr>
                <w:sz w:val="20"/>
                <w:szCs w:val="20"/>
              </w:rPr>
              <w:t xml:space="preserve">trl_at_kdp_c</w:t>
            </w:r>
          </w:p>
        </w:tc>
        <w:tc>
          <w:tcPr>
            <w:tcW w:w="0" w:type="auto"/>
          </w:tcPr>
          <w:p>
            <w:pPr>
              <w:spacing w:line="240" w:lineRule="auto" w:before="0" w:after="0"/>
              <w:pStyle w:val="Compact"/>
            </w:pPr>
            <w:r>
              <w:rPr>
                <w:sz w:val="20"/>
                <w:szCs w:val="20"/>
              </w:rPr>
              <w:t xml:space="preserve">Lowest technology readiness level among critical technologies at Key Decision Point C (mission confirmation)</w:t>
            </w:r>
          </w:p>
        </w:tc>
        <w:tc>
          <w:tcPr>
            <w:tcW w:w="0" w:type="auto"/>
          </w:tcPr>
          <w:p>
            <w:pPr>
              <w:spacing w:line="240" w:lineRule="auto" w:before="0" w:after="0"/>
              <w:pStyle w:val="Compact"/>
            </w:pPr>
            <w:r>
              <w:rPr>
                <w:sz w:val="20"/>
                <w:szCs w:val="20"/>
              </w:rPr>
              <w:t xml:space="preserve">GAO assessment narrative per project; corroborated against NASA TechPort taxonomy entries</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Ordinal complexity score 1-5 derived from instrument count, destination class, and propulsion regime</w:t>
            </w:r>
          </w:p>
        </w:tc>
        <w:tc>
          <w:tcPr>
            <w:tcW w:w="0" w:type="auto"/>
          </w:tcPr>
          <w:p>
            <w:pPr>
              <w:spacing w:line="240" w:lineRule="auto" w:before="0" w:after="0"/>
              <w:pStyle w:val="Compact"/>
            </w:pPr>
            <w:r>
              <w:rPr>
                <w:sz w:val="20"/>
                <w:szCs w:val="20"/>
              </w:rPr>
              <w:t xml:space="preserve">Coded from GAO project profile (cooperative-program flag, payload list, mission class)</w:t>
            </w:r>
          </w:p>
        </w:tc>
      </w:tr>
      <w:tr>
        <w:tc>
          <w:tcPr>
            <w:tcW w:w="0" w:type="auto"/>
          </w:tcPr>
          <w:p>
            <w:pPr>
              <w:spacing w:line="240" w:lineRule="auto" w:before="0" w:after="0"/>
              <w:pStyle w:val="Compact"/>
            </w:pPr>
            <w:r>
              <w:rPr>
                <w:sz w:val="20"/>
                <w:szCs w:val="20"/>
              </w:rPr>
              <w:t xml:space="preserve">coupling_index</w:t>
            </w:r>
          </w:p>
        </w:tc>
        <w:tc>
          <w:tcPr>
            <w:tcW w:w="0" w:type="auto"/>
          </w:tcPr>
          <w:p>
            <w:pPr>
              <w:spacing w:line="240" w:lineRule="auto" w:before="0" w:after="0"/>
              <w:pStyle w:val="Compact"/>
            </w:pPr>
            <w:r>
              <w:rPr>
                <w:sz w:val="20"/>
                <w:szCs w:val="20"/>
              </w:rPr>
              <w:t xml:space="preserve">Ordinal informational-coupling score 1-4 capturing how strongly project outcome depends on a precursor demonstration</w:t>
            </w:r>
          </w:p>
        </w:tc>
        <w:tc>
          <w:tcPr>
            <w:tcW w:w="0" w:type="auto"/>
          </w:tcPr>
          <w:p>
            <w:pPr>
              <w:spacing w:line="240" w:lineRule="auto" w:before="0" w:after="0"/>
              <w:pStyle w:val="Compact"/>
            </w:pPr>
            <w:r>
              <w:rPr>
                <w:sz w:val="20"/>
                <w:szCs w:val="20"/>
              </w:rPr>
              <w:t xml:space="preserve">Coded from GAO</w:t>
            </w:r>
            <w:r>
              <w:rPr>
                <w:sz w:val="20"/>
                <w:szCs w:val="20"/>
              </w:rPr>
              <w:t xml:space="preserve"> </w:t>
            </w:r>
            <w:r>
              <w:rPr>
                <w:sz w:val="20"/>
                <w:szCs w:val="20"/>
              </w:rPr>
              <w:t xml:space="preserve">‘critical technologies’</w:t>
            </w:r>
            <w:r>
              <w:rPr>
                <w:sz w:val="20"/>
                <w:szCs w:val="20"/>
              </w:rPr>
              <w:t xml:space="preserve"> </w:t>
            </w:r>
            <w:r>
              <w:rPr>
                <w:sz w:val="20"/>
                <w:szCs w:val="20"/>
              </w:rPr>
              <w:t xml:space="preserve">narrative and program lineage in the NASA Technology Taxonomy</w:t>
            </w:r>
          </w:p>
        </w:tc>
      </w:tr>
      <w:tr>
        <w:tc>
          <w:tcPr>
            <w:tcW w:w="0" w:type="auto"/>
          </w:tcPr>
          <w:p>
            <w:pPr>
              <w:spacing w:line="240" w:lineRule="auto" w:before="0" w:after="0"/>
              <w:pStyle w:val="Compact"/>
            </w:pPr>
            <w:r>
              <w:rPr>
                <w:sz w:val="20"/>
                <w:szCs w:val="20"/>
              </w:rPr>
              <w:t xml:space="preserve">years_since_kdp_c</w:t>
            </w:r>
          </w:p>
        </w:tc>
        <w:tc>
          <w:tcPr>
            <w:tcW w:w="0" w:type="auto"/>
          </w:tcPr>
          <w:p>
            <w:pPr>
              <w:spacing w:line="240" w:lineRule="auto" w:before="0" w:after="0"/>
              <w:pStyle w:val="Compact"/>
            </w:pPr>
            <w:r>
              <w:rPr>
                <w:sz w:val="20"/>
                <w:szCs w:val="20"/>
              </w:rPr>
              <w:t xml:space="preserve">Years elapsed between mission confirmation and the cost snapshot used for growth calculation</w:t>
            </w:r>
          </w:p>
        </w:tc>
        <w:tc>
          <w:tcPr>
            <w:tcW w:w="0" w:type="auto"/>
          </w:tcPr>
          <w:p>
            <w:pPr>
              <w:spacing w:line="240" w:lineRule="auto" w:before="0" w:after="0"/>
              <w:pStyle w:val="Compact"/>
            </w:pPr>
            <w:r>
              <w:rPr>
                <w:sz w:val="20"/>
                <w:szCs w:val="20"/>
              </w:rPr>
              <w:t xml:space="preserve">GAO assessment date minus KDP-C date</w:t>
            </w:r>
          </w:p>
        </w:tc>
      </w:tr>
      <w:tr>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KDP-C baseline life-cycle cost in millions of nominal dollars (context only, not in regression)</w:t>
            </w:r>
          </w:p>
        </w:tc>
        <w:tc>
          <w:tcPr>
            <w:tcW w:w="0" w:type="auto"/>
          </w:tcPr>
          <w:p>
            <w:pPr>
              <w:spacing w:line="240" w:lineRule="auto" w:before="0" w:after="0"/>
              <w:pStyle w:val="Compact"/>
            </w:pPr>
            <w:r>
              <w:rPr>
                <w:sz w:val="20"/>
                <w:szCs w:val="20"/>
              </w:rPr>
              <w:t xml:space="preserve">NASA GAO Major Project Assessment baseline column</w:t>
            </w:r>
          </w:p>
        </w:tc>
      </w:tr>
      <w:tr>
        <w:tc>
          <w:tcPr>
            <w:tcW w:w="0" w:type="auto"/>
          </w:tcPr>
          <w:p>
            <w:pPr>
              <w:spacing w:line="240" w:lineRule="auto" w:before="0" w:after="0"/>
              <w:pStyle w:val="Compact"/>
            </w:pPr>
            <w:r>
              <w:rPr>
                <w:sz w:val="20"/>
                <w:szCs w:val="20"/>
              </w:rPr>
              <w:t xml:space="preserve">prime_center</w:t>
            </w:r>
          </w:p>
        </w:tc>
        <w:tc>
          <w:tcPr>
            <w:tcW w:w="0" w:type="auto"/>
          </w:tcPr>
          <w:p>
            <w:pPr>
              <w:spacing w:line="240" w:lineRule="auto" w:before="0" w:after="0"/>
              <w:pStyle w:val="Compact"/>
            </w:pPr>
            <w:r>
              <w:rPr>
                <w:sz w:val="20"/>
                <w:szCs w:val="20"/>
              </w:rPr>
              <w:t xml:space="preserve">NASA center holding project management responsibility</w:t>
            </w:r>
          </w:p>
        </w:tc>
        <w:tc>
          <w:tcPr>
            <w:tcW w:w="0" w:type="auto"/>
          </w:tcPr>
          <w:p>
            <w:pPr>
              <w:spacing w:line="240" w:lineRule="auto" w:before="0" w:after="0"/>
              <w:pStyle w:val="Compact"/>
            </w:pPr>
            <w:r>
              <w:rPr>
                <w:sz w:val="20"/>
                <w:szCs w:val="20"/>
              </w:rPr>
              <w:t xml:space="preserve">GAO assessment cover sheet per project</w:t>
            </w:r>
          </w:p>
        </w:tc>
      </w:tr>
    </w:tbl>
    <w:bookmarkEnd w:id="104"/>
    <w:bookmarkStart w:id="10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25.9613</w:t>
            </w:r>
          </w:p>
        </w:tc>
        <w:tc>
          <w:tcPr>
            <w:tcW w:w="0" w:type="auto"/>
          </w:tcPr>
          <w:p>
            <w:pPr>
              <w:spacing w:line="240" w:lineRule="auto" w:before="0" w:after="0"/>
              <w:pStyle w:val="Compact"/>
            </w:pPr>
            <w:r>
              <w:rPr>
                <w:sz w:val="20"/>
                <w:szCs w:val="20"/>
              </w:rPr>
              <w:t xml:space="preserve">29.2878</w:t>
            </w:r>
          </w:p>
        </w:tc>
        <w:tc>
          <w:tcPr>
            <w:tcW w:w="0" w:type="auto"/>
          </w:tcPr>
          <w:p>
            <w:pPr>
              <w:spacing w:line="240" w:lineRule="auto" w:before="0" w:after="0"/>
              <w:pStyle w:val="Compact"/>
            </w:pPr>
            <w:r>
              <w:rPr>
                <w:sz w:val="20"/>
                <w:szCs w:val="20"/>
              </w:rPr>
              <w:t xml:space="preserve">0.8864</w:t>
            </w:r>
          </w:p>
        </w:tc>
        <w:tc>
          <w:tcPr>
            <w:tcW w:w="0" w:type="auto"/>
          </w:tcPr>
          <w:p>
            <w:pPr>
              <w:spacing w:line="240" w:lineRule="auto" w:before="0" w:after="0"/>
              <w:pStyle w:val="Compact"/>
            </w:pPr>
            <w:r>
              <w:rPr>
                <w:sz w:val="20"/>
                <w:szCs w:val="20"/>
              </w:rPr>
              <w:t xml:space="preserve">0.3754</w:t>
            </w:r>
          </w:p>
        </w:tc>
        <w:tc>
          <w:tcPr>
            <w:tcW w:w="0" w:type="auto"/>
          </w:tcPr>
          <w:p>
            <w:pPr>
              <w:spacing w:line="240" w:lineRule="auto" w:before="0" w:after="0"/>
              <w:pStyle w:val="Compact"/>
            </w:pPr>
            <w:r>
              <w:rPr>
                <w:sz w:val="20"/>
                <w:szCs w:val="20"/>
              </w:rPr>
              <w:t xml:space="preserve">[-31.4418, 83.3644]</w:t>
            </w:r>
          </w:p>
        </w:tc>
      </w:tr>
      <w:tr>
        <w:tc>
          <w:tcPr>
            <w:tcW w:w="0" w:type="auto"/>
          </w:tcPr>
          <w:p>
            <w:pPr>
              <w:spacing w:line="240" w:lineRule="auto" w:before="0" w:after="0"/>
              <w:pStyle w:val="Compact"/>
            </w:pPr>
            <w:r>
              <w:rPr>
                <w:sz w:val="20"/>
                <w:szCs w:val="20"/>
              </w:rPr>
              <w:t xml:space="preserve">trl_at_kdp_c</w:t>
            </w:r>
          </w:p>
        </w:tc>
        <w:tc>
          <w:tcPr>
            <w:tcW w:w="0" w:type="auto"/>
          </w:tcPr>
          <w:p>
            <w:pPr>
              <w:spacing w:line="240" w:lineRule="auto" w:before="0" w:after="0"/>
              <w:pStyle w:val="Compact"/>
            </w:pPr>
            <w:r>
              <w:rPr>
                <w:sz w:val="20"/>
                <w:szCs w:val="20"/>
              </w:rPr>
              <w:t xml:space="preserve">-10.8606</w:t>
            </w:r>
          </w:p>
        </w:tc>
        <w:tc>
          <w:tcPr>
            <w:tcW w:w="0" w:type="auto"/>
          </w:tcPr>
          <w:p>
            <w:pPr>
              <w:spacing w:line="240" w:lineRule="auto" w:before="0" w:after="0"/>
              <w:pStyle w:val="Compact"/>
            </w:pPr>
            <w:r>
              <w:rPr>
                <w:sz w:val="20"/>
                <w:szCs w:val="20"/>
              </w:rPr>
              <w:t xml:space="preserve">6.7554</w:t>
            </w:r>
          </w:p>
        </w:tc>
        <w:tc>
          <w:tcPr>
            <w:tcW w:w="0" w:type="auto"/>
          </w:tcPr>
          <w:p>
            <w:pPr>
              <w:spacing w:line="240" w:lineRule="auto" w:before="0" w:after="0"/>
              <w:pStyle w:val="Compact"/>
            </w:pPr>
            <w:r>
              <w:rPr>
                <w:sz w:val="20"/>
                <w:szCs w:val="20"/>
              </w:rPr>
              <w:t xml:space="preserve">-1.6077</w:t>
            </w:r>
          </w:p>
        </w:tc>
        <w:tc>
          <w:tcPr>
            <w:tcW w:w="0" w:type="auto"/>
          </w:tcPr>
          <w:p>
            <w:pPr>
              <w:spacing w:line="240" w:lineRule="auto" w:before="0" w:after="0"/>
              <w:pStyle w:val="Compact"/>
            </w:pPr>
            <w:r>
              <w:rPr>
                <w:sz w:val="20"/>
                <w:szCs w:val="20"/>
              </w:rPr>
              <w:t xml:space="preserve">0.1079</w:t>
            </w:r>
          </w:p>
        </w:tc>
        <w:tc>
          <w:tcPr>
            <w:tcW w:w="0" w:type="auto"/>
          </w:tcPr>
          <w:p>
            <w:pPr>
              <w:spacing w:line="240" w:lineRule="auto" w:before="0" w:after="0"/>
              <w:pStyle w:val="Compact"/>
            </w:pPr>
            <w:r>
              <w:rPr>
                <w:sz w:val="20"/>
                <w:szCs w:val="20"/>
              </w:rPr>
              <w:t xml:space="preserve">[-24.101, 2.3797]</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12.8303</w:t>
            </w:r>
          </w:p>
        </w:tc>
        <w:tc>
          <w:tcPr>
            <w:tcW w:w="0" w:type="auto"/>
          </w:tcPr>
          <w:p>
            <w:pPr>
              <w:spacing w:line="240" w:lineRule="auto" w:before="0" w:after="0"/>
              <w:pStyle w:val="Compact"/>
            </w:pPr>
            <w:r>
              <w:rPr>
                <w:sz w:val="20"/>
                <w:szCs w:val="20"/>
              </w:rPr>
              <w:t xml:space="preserve">13.9098</w:t>
            </w:r>
          </w:p>
        </w:tc>
        <w:tc>
          <w:tcPr>
            <w:tcW w:w="0" w:type="auto"/>
          </w:tcPr>
          <w:p>
            <w:pPr>
              <w:spacing w:line="240" w:lineRule="auto" w:before="0" w:after="0"/>
              <w:pStyle w:val="Compact"/>
            </w:pPr>
            <w:r>
              <w:rPr>
                <w:sz w:val="20"/>
                <w:szCs w:val="20"/>
              </w:rPr>
              <w:t xml:space="preserve">0.9224</w:t>
            </w:r>
          </w:p>
        </w:tc>
        <w:tc>
          <w:tcPr>
            <w:tcW w:w="0" w:type="auto"/>
          </w:tcPr>
          <w:p>
            <w:pPr>
              <w:spacing w:line="240" w:lineRule="auto" w:before="0" w:after="0"/>
              <w:pStyle w:val="Compact"/>
            </w:pPr>
            <w:r>
              <w:rPr>
                <w:sz w:val="20"/>
                <w:szCs w:val="20"/>
              </w:rPr>
              <w:t xml:space="preserve">0.3563</w:t>
            </w:r>
          </w:p>
        </w:tc>
        <w:tc>
          <w:tcPr>
            <w:tcW w:w="0" w:type="auto"/>
          </w:tcPr>
          <w:p>
            <w:pPr>
              <w:spacing w:line="240" w:lineRule="auto" w:before="0" w:after="0"/>
              <w:pStyle w:val="Compact"/>
            </w:pPr>
            <w:r>
              <w:rPr>
                <w:sz w:val="20"/>
                <w:szCs w:val="20"/>
              </w:rPr>
              <w:t xml:space="preserve">[-14.4324, 40.0929]</w:t>
            </w:r>
          </w:p>
        </w:tc>
      </w:tr>
      <w:tr>
        <w:tc>
          <w:tcPr>
            <w:tcW w:w="0" w:type="auto"/>
          </w:tcPr>
          <w:p>
            <w:pPr>
              <w:spacing w:line="240" w:lineRule="auto" w:before="0" w:after="0"/>
              <w:pStyle w:val="Compact"/>
            </w:pPr>
            <w:r>
              <w:rPr>
                <w:sz w:val="20"/>
                <w:szCs w:val="20"/>
              </w:rPr>
              <w:t xml:space="preserve">coupling_index</w:t>
            </w:r>
          </w:p>
        </w:tc>
        <w:tc>
          <w:tcPr>
            <w:tcW w:w="0" w:type="auto"/>
          </w:tcPr>
          <w:p>
            <w:pPr>
              <w:spacing w:line="240" w:lineRule="auto" w:before="0" w:after="0"/>
              <w:pStyle w:val="Compact"/>
            </w:pPr>
            <w:r>
              <w:rPr>
                <w:sz w:val="20"/>
                <w:szCs w:val="20"/>
              </w:rPr>
              <w:t xml:space="preserve">-13.131</w:t>
            </w:r>
          </w:p>
        </w:tc>
        <w:tc>
          <w:tcPr>
            <w:tcW w:w="0" w:type="auto"/>
          </w:tcPr>
          <w:p>
            <w:pPr>
              <w:spacing w:line="240" w:lineRule="auto" w:before="0" w:after="0"/>
              <w:pStyle w:val="Compact"/>
            </w:pPr>
            <w:r>
              <w:rPr>
                <w:sz w:val="20"/>
                <w:szCs w:val="20"/>
              </w:rPr>
              <w:t xml:space="preserve">15.543</w:t>
            </w:r>
          </w:p>
        </w:tc>
        <w:tc>
          <w:tcPr>
            <w:tcW w:w="0" w:type="auto"/>
          </w:tcPr>
          <w:p>
            <w:pPr>
              <w:spacing w:line="240" w:lineRule="auto" w:before="0" w:after="0"/>
              <w:pStyle w:val="Compact"/>
            </w:pPr>
            <w:r>
              <w:rPr>
                <w:sz w:val="20"/>
                <w:szCs w:val="20"/>
              </w:rPr>
              <w:t xml:space="preserve">-0.8448</w:t>
            </w:r>
          </w:p>
        </w:tc>
        <w:tc>
          <w:tcPr>
            <w:tcW w:w="0" w:type="auto"/>
          </w:tcPr>
          <w:p>
            <w:pPr>
              <w:spacing w:line="240" w:lineRule="auto" w:before="0" w:after="0"/>
              <w:pStyle w:val="Compact"/>
            </w:pPr>
            <w:r>
              <w:rPr>
                <w:sz w:val="20"/>
                <w:szCs w:val="20"/>
              </w:rPr>
              <w:t xml:space="preserve">0.3982</w:t>
            </w:r>
          </w:p>
        </w:tc>
        <w:tc>
          <w:tcPr>
            <w:tcW w:w="0" w:type="auto"/>
          </w:tcPr>
          <w:p>
            <w:pPr>
              <w:spacing w:line="240" w:lineRule="auto" w:before="0" w:after="0"/>
              <w:pStyle w:val="Compact"/>
            </w:pPr>
            <w:r>
              <w:rPr>
                <w:sz w:val="20"/>
                <w:szCs w:val="20"/>
              </w:rPr>
              <w:t xml:space="preserve">[-43.5948, 17.3328]</w:t>
            </w:r>
          </w:p>
        </w:tc>
      </w:tr>
      <w:tr>
        <w:tc>
          <w:tcPr>
            <w:tcW w:w="0" w:type="auto"/>
          </w:tcPr>
          <w:p>
            <w:pPr>
              <w:spacing w:line="240" w:lineRule="auto" w:before="0" w:after="0"/>
              <w:pStyle w:val="Compact"/>
            </w:pPr>
            <w:r>
              <w:rPr>
                <w:sz w:val="20"/>
                <w:szCs w:val="20"/>
              </w:rPr>
              <w:t xml:space="preserve">years_since_kdp_c</w:t>
            </w:r>
          </w:p>
        </w:tc>
        <w:tc>
          <w:tcPr>
            <w:tcW w:w="0" w:type="auto"/>
          </w:tcPr>
          <w:p>
            <w:pPr>
              <w:spacing w:line="240" w:lineRule="auto" w:before="0" w:after="0"/>
              <w:pStyle w:val="Compact"/>
            </w:pPr>
            <w:r>
              <w:rPr>
                <w:sz w:val="20"/>
                <w:szCs w:val="20"/>
              </w:rPr>
              <w:t xml:space="preserve">11.0333</w:t>
            </w:r>
          </w:p>
        </w:tc>
        <w:tc>
          <w:tcPr>
            <w:tcW w:w="0" w:type="auto"/>
          </w:tcPr>
          <w:p>
            <w:pPr>
              <w:spacing w:line="240" w:lineRule="auto" w:before="0" w:after="0"/>
              <w:pStyle w:val="Compact"/>
            </w:pPr>
            <w:r>
              <w:rPr>
                <w:sz w:val="20"/>
                <w:szCs w:val="20"/>
              </w:rPr>
              <w:t xml:space="preserve">2.5042</w:t>
            </w:r>
          </w:p>
        </w:tc>
        <w:tc>
          <w:tcPr>
            <w:tcW w:w="0" w:type="auto"/>
          </w:tcPr>
          <w:p>
            <w:pPr>
              <w:spacing w:line="240" w:lineRule="auto" w:before="0" w:after="0"/>
              <w:pStyle w:val="Compact"/>
            </w:pPr>
            <w:r>
              <w:rPr>
                <w:sz w:val="20"/>
                <w:szCs w:val="20"/>
              </w:rPr>
              <w:t xml:space="preserve">4.4059</w:t>
            </w:r>
          </w:p>
        </w:tc>
        <w:tc>
          <w:tcPr>
            <w:tcW w:w="0" w:type="auto"/>
          </w:tcPr>
          <w:p>
            <w:pPr>
              <w:spacing w:line="240" w:lineRule="auto" w:before="0" w:after="0"/>
              <w:pStyle w:val="Compact"/>
            </w:pPr>
            <w:r>
              <w:rPr>
                <w:sz w:val="20"/>
                <w:szCs w:val="20"/>
              </w:rPr>
              <w:t xml:space="preserve">1.053e-05</w:t>
            </w:r>
          </w:p>
        </w:tc>
        <w:tc>
          <w:tcPr>
            <w:tcW w:w="0" w:type="auto"/>
          </w:tcPr>
          <w:p>
            <w:pPr>
              <w:spacing w:line="240" w:lineRule="auto" w:before="0" w:after="0"/>
              <w:pStyle w:val="Compact"/>
            </w:pPr>
            <w:r>
              <w:rPr>
                <w:sz w:val="20"/>
                <w:szCs w:val="20"/>
              </w:rPr>
              <w:t xml:space="preserve">[6.1251, 15.9414]</w:t>
            </w:r>
          </w:p>
        </w:tc>
      </w:tr>
    </w:tbl>
    <w:p>
      <w:pPr>
        <w:pStyle w:val="BodyText"/>
      </w:pPr>
      <w:r>
        <w:t xml:space="preserve">Fit: N = 35 R2 = 0.5788 R2_adj = 0.538 F = 12.1052 F_p = 4.856e-06</w:t>
      </w:r>
    </w:p>
    <w:bookmarkEnd w:id="105"/>
    <w:bookmarkEnd w:id="106"/>
    <w:bookmarkEnd w:id="1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9" Target="media/rId99.png" /><Relationship Type="http://schemas.openxmlformats.org/officeDocument/2006/relationships/hyperlink" Id="rId70" Target="https://amostech.com/TechnicalPapers/2020/Poster/Fedeler.pdf" TargetMode="External" /><Relationship Type="http://schemas.openxmlformats.org/officeDocument/2006/relationships/hyperlink" Id="rId72" Target="https://doi.org/10.1016/j.actaastro.2025.07.014" TargetMode="External" /><Relationship Type="http://schemas.openxmlformats.org/officeDocument/2006/relationships/hyperlink" Id="rId74" Target="https://doi.org/10.1016/j.actaastro.2026.04.012" TargetMode="External" /><Relationship Type="http://schemas.openxmlformats.org/officeDocument/2006/relationships/hyperlink" Id="rId68" Target="https://doi.org/10.64861/PEUU1014" TargetMode="External" /><Relationship Type="http://schemas.openxmlformats.org/officeDocument/2006/relationships/hyperlink" Id="rId94" Target="https://www.gao.gov/products/gao-11-239sp" TargetMode="External" /><Relationship Type="http://schemas.openxmlformats.org/officeDocument/2006/relationships/hyperlink" Id="rId92" Target="https://www.gao.gov/products/gao-12-207sp" TargetMode="External" /><Relationship Type="http://schemas.openxmlformats.org/officeDocument/2006/relationships/hyperlink" Id="rId90" Target="https://www.gao.gov/products/gao-18-280sp" TargetMode="External" /><Relationship Type="http://schemas.openxmlformats.org/officeDocument/2006/relationships/hyperlink" Id="rId88" Target="https://www.gao.gov/products/gao-19-262sp" TargetMode="External" /><Relationship Type="http://schemas.openxmlformats.org/officeDocument/2006/relationships/hyperlink" Id="rId86" Target="https://www.gao.gov/products/gao-20-405" TargetMode="External" /><Relationship Type="http://schemas.openxmlformats.org/officeDocument/2006/relationships/hyperlink" Id="rId84" Target="https://www.gao.gov/products/gao-21-306" TargetMode="External" /><Relationship Type="http://schemas.openxmlformats.org/officeDocument/2006/relationships/hyperlink" Id="rId82" Target="https://www.gao.gov/products/gao-22-105212" TargetMode="External" /><Relationship Type="http://schemas.openxmlformats.org/officeDocument/2006/relationships/hyperlink" Id="rId80" Target="https://www.gao.gov/products/gao-23-106021" TargetMode="External" /><Relationship Type="http://schemas.openxmlformats.org/officeDocument/2006/relationships/hyperlink" Id="rId78" Target="https://www.gao.gov/products/gao-24-106767" TargetMode="External" /><Relationship Type="http://schemas.openxmlformats.org/officeDocument/2006/relationships/hyperlink" Id="rId76" Target="https://www.gao.gov/products/gao-25-107591" TargetMode="External" /><Relationship Type="http://schemas.openxmlformats.org/officeDocument/2006/relationships/hyperlink" Id="rId96" Target="https://www.nasa.gov/wp-content/uploads/2020/03/2020_nasa_technology_taxonomy.pdf" TargetMode="External" /></Relationships>
</file>

<file path=word/_rels/footnotes.xml.rels><?xml version="1.0" encoding="UTF-8"?><Relationships xmlns="http://schemas.openxmlformats.org/package/2006/relationships"><Relationship Type="http://schemas.openxmlformats.org/officeDocument/2006/relationships/hyperlink" Id="rId70" Target="https://amostech.com/TechnicalPapers/2020/Poster/Fedeler.pdf" TargetMode="External" /><Relationship Type="http://schemas.openxmlformats.org/officeDocument/2006/relationships/hyperlink" Id="rId72" Target="https://doi.org/10.1016/j.actaastro.2025.07.014" TargetMode="External" /><Relationship Type="http://schemas.openxmlformats.org/officeDocument/2006/relationships/hyperlink" Id="rId74" Target="https://doi.org/10.1016/j.actaastro.2026.04.012" TargetMode="External" /><Relationship Type="http://schemas.openxmlformats.org/officeDocument/2006/relationships/hyperlink" Id="rId68" Target="https://doi.org/10.64861/PEUU1014" TargetMode="External" /><Relationship Type="http://schemas.openxmlformats.org/officeDocument/2006/relationships/hyperlink" Id="rId94" Target="https://www.gao.gov/products/gao-11-239sp" TargetMode="External" /><Relationship Type="http://schemas.openxmlformats.org/officeDocument/2006/relationships/hyperlink" Id="rId92" Target="https://www.gao.gov/products/gao-12-207sp" TargetMode="External" /><Relationship Type="http://schemas.openxmlformats.org/officeDocument/2006/relationships/hyperlink" Id="rId90" Target="https://www.gao.gov/products/gao-18-280sp" TargetMode="External" /><Relationship Type="http://schemas.openxmlformats.org/officeDocument/2006/relationships/hyperlink" Id="rId88" Target="https://www.gao.gov/products/gao-19-262sp" TargetMode="External" /><Relationship Type="http://schemas.openxmlformats.org/officeDocument/2006/relationships/hyperlink" Id="rId86" Target="https://www.gao.gov/products/gao-20-405" TargetMode="External" /><Relationship Type="http://schemas.openxmlformats.org/officeDocument/2006/relationships/hyperlink" Id="rId84" Target="https://www.gao.gov/products/gao-21-306" TargetMode="External" /><Relationship Type="http://schemas.openxmlformats.org/officeDocument/2006/relationships/hyperlink" Id="rId82" Target="https://www.gao.gov/products/gao-22-105212" TargetMode="External" /><Relationship Type="http://schemas.openxmlformats.org/officeDocument/2006/relationships/hyperlink" Id="rId80" Target="https://www.gao.gov/products/gao-23-106021" TargetMode="External" /><Relationship Type="http://schemas.openxmlformats.org/officeDocument/2006/relationships/hyperlink" Id="rId78" Target="https://www.gao.gov/products/gao-24-106767" TargetMode="External" /><Relationship Type="http://schemas.openxmlformats.org/officeDocument/2006/relationships/hyperlink" Id="rId76" Target="https://www.gao.gov/products/gao-25-107591" TargetMode="External" /><Relationship Type="http://schemas.openxmlformats.org/officeDocument/2006/relationships/hyperlink" Id="rId96" Target="https://www.nasa.gov/wp-content/uploads/2020/03/2020_nasa_technology_taxonomy.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2026-06-26T16:46:36Z</dcterms:created>
  <dcterms:modified xsi:type="dcterms:W3CDTF">2026-06-26T16:46:36Z</dcterms:modified>
</cp:coreProperties>
</file>

<file path=docProps/custom.xml><?xml version="1.0" encoding="utf-8"?>
<Properties xmlns="http://schemas.openxmlformats.org/officeDocument/2006/custom-properties" xmlns:vt="http://schemas.openxmlformats.org/officeDocument/2006/docPropsVTypes"/>
</file>