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PORTFOLIO ALLOCATION UNDER UNCERTAINTY: A VALUE-OF-INFORMATION MODEL FOR SEQUENCING SPACE TECHNOLOGY INVESTMENTS</w:t>
      </w:r>
    </w:p>
    <w:p>
      <w:pPr>
        <w:jc w:val="center"/>
      </w:pPr>
    </w:p>
    <w:p>
      <w:pPr>
        <w:jc w:val="center"/>
      </w:pPr>
      <w:r>
        <w:rPr>
          <w:rFonts w:ascii="Times New Roman" w:hAnsi="Times New Roman"/>
          <w:sz w:val="24"/>
        </w:rPr>
        <w:t>by</w:t>
      </w:r>
    </w:p>
    <w:p>
      <w:pPr>
        <w:jc w:val="center"/>
      </w:pPr>
      <w:r>
        <w:rPr>
          <w:rFonts w:ascii="Times New Roman" w:hAnsi="Times New Roman"/>
          <w:b/>
          <w:sz w:val="28"/>
        </w:rPr>
        <w:t>Bruno Reyes</w:t>
      </w:r>
    </w:p>
    <w:p>
      <w:pPr>
        <w:jc w:val="center"/>
      </w:pPr>
      <w:r>
        <w:rPr>
          <w:rFonts w:ascii="Times New Roman" w:hAnsi="Times New Roman"/>
          <w:sz w:val="24"/>
        </w:rPr>
        <w:t>1B-RIM-084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3bd9fc815f0854c6cdab7bcbafd41a76cfa19cb"/>
    <w:p>
      <w:pPr>
        <w:pStyle w:val="Heading2"/>
        <w:spacing w:line="480" w:lineRule="auto"/>
      </w:pPr>
      <w:r>
        <w:t xml:space="preserve">1.1 The Decision That This Dissertation Studies</w:t>
      </w:r>
    </w:p>
    <w:p>
      <w:pPr>
        <w:pStyle w:val="FirstParagraph"/>
        <w:spacing w:line="480" w:lineRule="auto"/>
      </w:pPr>
      <w:r>
        <w:t xml:space="preserve">A research and innovation manager at the National Aeronautics and Space Administration, and at the Jet Propulsion Laboratory in particular, must do two things that are routinely conflated in the literature and in practice. The manager must choose which space technology projects to fund out of a candidate set, and the manager must choose the order in which to fund them. The first decision is the subject of a mature flexible-design literature that optimizes a multi-objective figure of merit over portfolios of immature technologies under uncertain environments</w:t>
      </w:r>
      <w:r>
        <w:t xml:space="preserve"> </w:t>
      </w:r>
      <w:hyperlink w:anchor="ref-1">
        <w:r>
          <w:rPr>
            <w:rStyle w:val="Hyperlink"/>
          </w:rPr>
          <w:t xml:space="preserve">[1]</w:t>
        </w:r>
      </w:hyperlink>
      <w:r>
        <w:t xml:space="preserve">. The second decision is the subject of nothing comparable. Yet the second decision is consequential, because a project funded early can resolve uncertainty on which a later, larger commitment depends, and a portfolio that ignores that coupling forgoes a recoverable source of value. This dissertation studies the second decision. It asks whether the value of resolving uncertainty before commitment can be priced in dollars on the audited program record, and whether a sequencing rule that ranks candidate projects by that price produces portfolios with higher realized value than the static expected-value rule that current practice uses.</w:t>
      </w:r>
    </w:p>
    <w:p>
      <w:pPr>
        <w:pStyle w:val="BodyText"/>
        <w:spacing w:line="480" w:lineRule="auto"/>
        <w:ind w:firstLine="720"/>
      </w:pPr>
      <w:r>
        <w:t xml:space="preserve">The decision is sharper than the existing literature treats it. When a portfolio manager at the Space Technology Mission Directorate selects, in a given fiscal year, which TechPort projects to fund out of a candidate set, the manager is implicitly choosing among three actions: fund a precursor demonstration today that will retire an uncertainty governing a downstream commitment, fund the downstream commitment today and accept that the precursor uncertainty will be resolved during execution, or defer one or both. Flexible-design work handles the first two as a static composition problem [1, 24]. It is silent on the third. The value-of-information literature in space situational awareness handles the analogous tasking problem dynamically and prices the information return on each candidate observation explicitly [2, 4, 5]. Nobody has built the bridge between the two. Building it, and showing that the bridge bears empirical weight on the NASA program record, is the work of this dissertation.</w:t>
      </w:r>
    </w:p>
    <w:bookmarkEnd w:id="61"/>
    <w:bookmarkStart w:id="62" w:name="X84f14673e93a0d8bcab31fe944058226490f7d5"/>
    <w:p>
      <w:pPr>
        <w:pStyle w:val="Heading2"/>
        <w:spacing w:line="480" w:lineRule="auto"/>
      </w:pPr>
      <w:r>
        <w:t xml:space="preserve">1.2 Stakes for NASA and for the Jet Propulsion Laboratory</w:t>
      </w:r>
    </w:p>
    <w:p>
      <w:pPr>
        <w:pStyle w:val="FirstParagraph"/>
        <w:spacing w:line="480" w:lineRule="auto"/>
      </w:pPr>
      <w:r>
        <w:t xml:space="preserve">The stakes are not abstract. For fifteen consecutive fiscal years the United States Government Accountability Office has tracked the cost performance of NASA major projects against their Key Decision Point C baselines [7, 8, 11], and the cumulative record shows that the projects which enter confirmation with the lowest-technology-readiness critical technologies are also the projects that book the largest realized cost growth against baseline. The first empirical companion to this dissertation, estimated on a thirty-five-project cross-section of GAO-tracked NASA major projects, recovers a partial coefficient of approximately minus eleven percentage points of realized cost growth per unit increase in lowest critical-technology TRL at confirmation, in the direction the value-of-information theory predicts, although at borderline significance given the cross-sectional sample [7, 8, 11]. The second empirical companion, on a panel assembled from the audited GAO assessments published from 2020 through 2025 [7, 11], recovers a conditional coefficient of minus 8.88 percentage points of cost growth per one-level increase in entry TRL with a two-sided p-value of 0.044, holding design maturity, life-cycle cost, and the presence of an under-mature critical technology fixed. The two estimates converge. The shadow price sits in the neighborhood of nine to eleven percentage points of cost growth for every TRL level a critical technology fails to mature before commitment. On a portfolio that allocates billions of dollars per fiscal year, that price is large enough to be a managerial lever rather than a statistical curiosity.</w:t>
      </w:r>
    </w:p>
    <w:p>
      <w:pPr>
        <w:pStyle w:val="BodyText"/>
        <w:spacing w:line="480" w:lineRule="auto"/>
        <w:ind w:firstLine="720"/>
      </w:pPr>
      <w:r>
        <w:t xml:space="preserve">For the Jet Propulsion Laboratory the stakes are particularly concrete. JPL is responsible for the deep-space science portfolio in which informational coupling between projects is structurally tight, because the planetary missions JPL flies depend on instrument technologies, autonomy stacks, and entry-descent-landing systems that are demonstrated in earlier missions or in targeted technology projects funded years before the flagship commitment [1, 22]. When the precursor uncertainty is not retired before the flagship commits, the flagship absorbs the cost. Mars Science Laboratory, Europa Clipper, Psyche, and the Mars Sample Return architecture each show, in different proportions, the cost-growth signature that the value-of-information account predicts when an upstream uncertainty is carried forward into a downstream commitment without first being priced. A sequencing rule that prices the upstream uncertainty before the downstream commitment is approved is, for JPL, the difference between a flagship that lands on baseline and a flagship that absorbs the realized cost growth of an unresolved technical question. The dissertation’s contribution is to formalize that rule, identify it on the audited record, and supply the empirical anchor a portfolio manager needs in order to apply it.</w:t>
      </w:r>
    </w:p>
    <w:bookmarkEnd w:id="62"/>
    <w:bookmarkStart w:id="63" w:name="two-literatures-and-the-gap-between-them"/>
    <w:p>
      <w:pPr>
        <w:pStyle w:val="Heading2"/>
        <w:spacing w:line="480" w:lineRule="auto"/>
      </w:pPr>
      <w:r>
        <w:t xml:space="preserve">1.3 Two Literatures and the Gap Between Them</w:t>
      </w:r>
    </w:p>
    <w:p>
      <w:pPr>
        <w:pStyle w:val="FirstParagraph"/>
        <w:spacing w:line="480" w:lineRule="auto"/>
      </w:pPr>
      <w:r>
        <w:t xml:space="preserve">Two literatures bracket the decision this dissertation studies, and neither has crossed into the other.</w:t>
      </w:r>
    </w:p>
    <w:p>
      <w:pPr>
        <w:pStyle w:val="BodyText"/>
        <w:spacing w:line="480" w:lineRule="auto"/>
        <w:ind w:firstLine="720"/>
      </w:pPr>
      <w:r>
        <w:t xml:space="preserve">The first is the flexible-design portfolio literature, which has matured a rigorous apparatus for selecting and planning technology portfolios under uncertainty. The exemplar is the multi-objective decision-making framework for flexible design and planning of oxygen production facilities in an uncertain lunar environment [1, 24], which optimizes a portfolio of in-situ resource utilization technology investments across uncertain lunar environmental conditions and selects the bundle that performs best across a range of scenarios. Adjacent work on staged deployment of satellite mega-constellations under demand uncertainty handles the timing of capacity additions but not the informational coupling between distinct technology projects</w:t>
      </w:r>
      <w:r>
        <w:t xml:space="preserve"> </w:t>
      </w:r>
      <w:hyperlink w:anchor="ref-25">
        <w:r>
          <w:rPr>
            <w:rStyle w:val="Hyperlink"/>
          </w:rPr>
          <w:t xml:space="preserve">[25]</w:t>
        </w:r>
      </w:hyperlink>
      <w:r>
        <w:t xml:space="preserve">. A controlled user study on the role of situational awareness in design decisions for future lunar in-situ resource utilization systems shows experimentally that the information available to a designer at the moment of decision materially changes the design choice made</w:t>
      </w:r>
      <w:r>
        <w:t xml:space="preserve"> </w:t>
      </w:r>
      <w:hyperlink w:anchor="ref-3">
        <w:r>
          <w:rPr>
            <w:rStyle w:val="Hyperlink"/>
          </w:rPr>
          <w:t xml:space="preserve">[3]</w:t>
        </w:r>
      </w:hyperlink>
      <w:r>
        <w:t xml:space="preserve">. This literature is strong on what to hold and how to plan a flexible system. It treats the information state available at the moment of selection as a fixed input to the optimization, not as a decision variable that the sequencing of earlier projects can deliberately manipulate. Composition, it answers. Sequencing it leaves to managerial discretion.</w:t>
      </w:r>
    </w:p>
    <w:p>
      <w:pPr>
        <w:pStyle w:val="BodyText"/>
        <w:spacing w:line="480" w:lineRule="auto"/>
        <w:ind w:firstLine="720"/>
      </w:pPr>
      <w:r>
        <w:t xml:space="preserve">The second is the space situational awareness sensor-tasking literature, which has built an explicit formal theory of the value of information as a decision quantity. Sensor tasking is cast as the problem of evaluating an information functional over candidate observations, so that tasking decisions become a matter of ranking actions by their expected informational return</w:t>
      </w:r>
      <w:r>
        <w:t xml:space="preserve"> </w:t>
      </w:r>
      <w:hyperlink w:anchor="ref-4">
        <w:r>
          <w:rPr>
            <w:rStyle w:val="Hyperlink"/>
          </w:rPr>
          <w:t xml:space="preserve">[4]</w:t>
        </w:r>
      </w:hyperlink>
      <w:r>
        <w:t xml:space="preserve">. Recent work on conjunction-based sensor tasking using inferential moments makes the value-of-information construct central to tasking by quantifying the decision-relevant uncertainty an observation resolves</w:t>
      </w:r>
      <w:r>
        <w:t xml:space="preserve"> </w:t>
      </w:r>
      <w:hyperlink w:anchor="ref-2">
        <w:r>
          <w:rPr>
            <w:rStyle w:val="Hyperlink"/>
          </w:rPr>
          <w:t xml:space="preserve">[2]</w:t>
        </w:r>
      </w:hyperlink>
      <w:r>
        <w:t xml:space="preserve">. Tree-search formulations carry the same logic into partially observed sequential tasking over a horizon rather than over a single myopic step</w:t>
      </w:r>
      <w:r>
        <w:t xml:space="preserve"> </w:t>
      </w:r>
      <w:hyperlink w:anchor="ref-5">
        <w:r>
          <w:rPr>
            <w:rStyle w:val="Hyperlink"/>
          </w:rPr>
          <w:t xml:space="preserve">[5]</w:t>
        </w:r>
      </w:hyperlink>
      <w:r>
        <w:t xml:space="preserve">, and operational systems already let the value of collection for each tracked object drive tasking over time</w:t>
      </w:r>
      <w:r>
        <w:t xml:space="preserve"> </w:t>
      </w:r>
      <w:hyperlink w:anchor="ref-6">
        <w:r>
          <w:rPr>
            <w:rStyle w:val="Hyperlink"/>
          </w:rPr>
          <w:t xml:space="preserve">[6]</w:t>
        </w:r>
      </w:hyperlink>
      <w:r>
        <w:t xml:space="preserve">. Adjacent work prices the impact of orbit-accuracy-based tasking on sensor network efficiency</w:t>
      </w:r>
      <w:r>
        <w:t xml:space="preserve"> </w:t>
      </w:r>
      <w:hyperlink w:anchor="ref-10">
        <w:r>
          <w:rPr>
            <w:rStyle w:val="Hyperlink"/>
          </w:rPr>
          <w:t xml:space="preserve">[10]</w:t>
        </w:r>
      </w:hyperlink>
      <w:r>
        <w:t xml:space="preserve">, schedules radar tracking via genetic algorithms over candidate tasking actions</w:t>
      </w:r>
      <w:r>
        <w:t xml:space="preserve"> </w:t>
      </w:r>
      <w:hyperlink w:anchor="ref-16">
        <w:r>
          <w:rPr>
            <w:rStyle w:val="Hyperlink"/>
          </w:rPr>
          <w:t xml:space="preserve">[16]</w:t>
        </w:r>
      </w:hyperlink>
      <w:r>
        <w:t xml:space="preserve">, and extends predictive sensor tasking to multi-spacecraft cislunar architectures</w:t>
      </w:r>
      <w:r>
        <w:t xml:space="preserve"> </w:t>
      </w:r>
      <w:hyperlink w:anchor="ref-17">
        <w:r>
          <w:rPr>
            <w:rStyle w:val="Hyperlink"/>
          </w:rPr>
          <w:t xml:space="preserve">[17]</w:t>
        </w:r>
      </w:hyperlink>
      <w:r>
        <w:t xml:space="preserve">. Decision-support systems for space situational awareness developed through cognitive systems engineering carry the same value-of-information logic into the human-in-the-loop layer</w:t>
      </w:r>
      <w:r>
        <w:t xml:space="preserve"> </w:t>
      </w:r>
      <w:hyperlink w:anchor="ref-18">
        <w:r>
          <w:rPr>
            <w:rStyle w:val="Hyperlink"/>
          </w:rPr>
          <w:t xml:space="preserve">[18]</w:t>
        </w:r>
      </w:hyperlink>
      <w:r>
        <w:t xml:space="preserve">. On pricing information sequentially, this literature is strong. It has never been carried across the boundary into research and innovation portfolio management.</w:t>
      </w:r>
    </w:p>
    <w:p>
      <w:pPr>
        <w:pStyle w:val="BodyText"/>
        <w:spacing w:line="480" w:lineRule="auto"/>
        <w:ind w:firstLine="720"/>
      </w:pPr>
      <w:r>
        <w:t xml:space="preserve">The gap is the bridge. No work in the portfolio-management literature treats the value of an early project as the expected reduction in the decision-relevant uncertainty governing a later project. No work in the value-of-information literature applies its sequential pricing machinery to the ordering of space technology investments. The dissertation occupies exactly that bridge. It imports the value-of-information formalism that the situational-awareness literature has matured for sensor tasking [2, 4, 5] and applies it to the sequencing decision that the flexible-design literature has left to managerial discretion [1, 3, 24]. The import is not metaphorical. The information functional that prices an observation in the tasking literature is the same functional, with a different domain, that prices an early technology project in the portfolio literature. Three things change: the action set, the belief state, and the cost basis. What does not change is the mathematics that maps an action to its expected reduction in decision-relevant uncertainty.</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a single, sharp claim that admits a single, sharp test. The claim is that ranking candidate space technology projects by their value of information per dollar produces sequenced portfolios whose realized value, after uncertainty is resolved, strictly exceeds that of portfolios composed by static expected-net-value selection.</w:t>
      </w:r>
    </w:p>
    <w:p>
      <w:pPr>
        <w:pStyle w:val="BodyText"/>
        <w:spacing w:line="480" w:lineRule="auto"/>
        <w:ind w:firstLine="720"/>
      </w:pPr>
      <w:r>
        <w:t xml:space="preserve">Formally, the null and alternative hypotheses that organize the empirical work are stated as follows.</w:t>
      </w:r>
    </w:p>
    <w:p>
      <w:pPr>
        <w:pStyle w:val="BodyText"/>
        <w:spacing w:line="480" w:lineRule="auto"/>
        <w:ind w:firstLine="720"/>
      </w:pPr>
      <w:r>
        <w:rPr>
          <w:b/>
          <w:bCs/>
        </w:rPr>
        <w:t xml:space="preserve">H0 (null).</w:t>
      </w:r>
      <w:r>
        <w:t xml:space="preserve"> </w:t>
      </w:r>
      <w:r>
        <w:t xml:space="preserve">Sequencing a space technology portfolio by value-of-information per dollar yields realized portfolio value no greater than sequencing by static expected-net-value. The expected reduction in decision-relevant uncertainty that an early project delivers carries no measurable portfolio-level premium once the project selection is held fixed.</w:t>
      </w:r>
    </w:p>
    <w:p>
      <w:pPr>
        <w:pStyle w:val="BodyText"/>
        <w:spacing w:line="480" w:lineRule="auto"/>
        <w:ind w:firstLine="720"/>
      </w:pPr>
      <w:r>
        <w:rPr>
          <w:b/>
          <w:bCs/>
        </w:rPr>
        <w:t xml:space="preserve">H1 (alternative).</w:t>
      </w:r>
      <w:r>
        <w:t xml:space="preserve"> </w:t>
      </w:r>
      <w:r>
        <w:t xml:space="preserve">Sequencing by value-of-information per dollar yields strictly higher realized portfolio value than static expected-net-value selection, and the size of the premium increases monotonically with the degree of informational coupling among projects.</w:t>
      </w:r>
    </w:p>
    <w:p>
      <w:pPr>
        <w:pStyle w:val="BodyText"/>
        <w:spacing w:line="480" w:lineRule="auto"/>
        <w:ind w:firstLine="720"/>
      </w:pPr>
      <w:r>
        <w:t xml:space="preserve">H1 is falsified if, across the empirical sample, value-of-information-ranked sequencing fails to outperform static selection at conventional significance, or if the premium shows no monotone relationship with the measured informational-coupling index. The empirical companions to this dissertation, presented in later chapters, already supply two independent pieces of corroborating evidence that the precondition for H1 holds in the audited program record. The first companion estimates a partial association of approximately minus eleven percentage points of realized cost growth per unit increase in lowest critical-technology TRL at confirmation on a thirty-five-project cross-section of GAO-tracked major projects [7, 8, 11]. The second companion estimates a conditional coefficient of minus 8.88 percentage points of cost growth per one-level increase in entry TRL at preliminary design review on a thirty-five-project panel assembled from GAO assessments [7, 11], significant at the five percent level after holding design maturity, life-cycle cost, and the presence of an under-mature critical technology fixed. Both estimates are necessary conditions for H1, not sufficient ones. The sufficient test, conducted on the TechPort dataset described in section 1.5, is the paired-counterfactual simulation in which the two sequencing rules are executed on the identical project set under identical realized uncertainty draws and the realized-value differential is the estimand.</w:t>
      </w:r>
    </w:p>
    <w:p>
      <w:pPr>
        <w:pStyle w:val="BodyText"/>
        <w:spacing w:line="480" w:lineRule="auto"/>
        <w:ind w:firstLine="720"/>
      </w:pPr>
      <w:r>
        <w:t xml:space="preserve">The contribution is falsifiable, single, and precise. It is not a claim about whether value-of-information theory is useful in some general sense; it is a claim about whether a specific sequencing rule, derived from a specific information functional, outperforms a specific static comparator on a specific public dataset at a specific significance level. The claim either survives the test or it does not.</w:t>
      </w:r>
    </w:p>
    <w:bookmarkEnd w:id="64"/>
    <w:bookmarkStart w:id="65" w:name="the-empirical-anchor"/>
    <w:p>
      <w:pPr>
        <w:pStyle w:val="Heading2"/>
        <w:spacing w:line="480" w:lineRule="auto"/>
      </w:pPr>
      <w:r>
        <w:t xml:space="preserve">1.5 The Empirical Anchor</w:t>
      </w:r>
    </w:p>
    <w:p>
      <w:pPr>
        <w:pStyle w:val="FirstParagraph"/>
        <w:spacing w:line="480" w:lineRule="auto"/>
      </w:pPr>
      <w:r>
        <w:t xml:space="preserve">The empirical anchor is real, government-published, and obtainable without restriction. Two datasets are used in series. The first is the NASA Technology Taxonomy and the publicly released technology project records of NASA’s Space Technology Mission Directorate, drawn from the NASA Technology Transfer / TechPort database, which publishes for each funded technology project its taxonomy area, start and end dates, technology readiness level at entry and exit, and program lineage</w:t>
      </w:r>
      <w:r>
        <w:t xml:space="preserve"> </w:t>
      </w:r>
      <w:hyperlink w:anchor="ref-9">
        <w:r>
          <w:rPr>
            <w:rStyle w:val="Hyperlink"/>
          </w:rPr>
          <w:t xml:space="preserve">[9]</w:t>
        </w:r>
      </w:hyperlink>
      <w:r>
        <w:t xml:space="preserve">. The taxonomy supplies the informational-coupling structure among projects; the entry and exit TRL fields supply the observed uncertainty-resolution signal; the dated project records supply the sequencing history against which the two rules are tested. The second is the United States Government Accountability Office’s annual NASA Assessments of Major Projects series [7, 8, 11], which supplies the audited cost-growth record against which the precondition for H1 has already been corroborated. The two datasets are complementary. TechPort supports the paired-counterfactual sequencing experiment that delivers the central test. The GAO series corroborates that the information-deficit signal is present in the audited program record on which the sequencing rule will eventually be deployed.</w:t>
      </w:r>
    </w:p>
    <w:p>
      <w:pPr>
        <w:pStyle w:val="BodyText"/>
        <w:spacing w:line="480" w:lineRule="auto"/>
        <w:ind w:firstLine="720"/>
      </w:pPr>
      <w:r>
        <w:t xml:space="preserve">The construct validity of the import from sensor tasking to portfolio management is defended rather than assumed. The value of an observation in the tasking literature is the expected reduction in a decision-relevant moment of the posterior over the state to be acted upon [2, 4]. The value of an early technology project in the portfolio literature is the expected reduction in the decision-relevant variance of the downstream commitment whose payoff depends on the technology. The two functionals share the same form. They differ in the domain over which the posterior is defined, in the action set the decision-maker can take, and in the cost basis against which value-per-dollar is computed. The dissertation defends the transfer formally in chapter 3 and tests its empirical content in chapters 4 and 5.</w:t>
      </w:r>
    </w:p>
    <w:bookmarkEnd w:id="65"/>
    <w:bookmarkStart w:id="66" w:name="roadmap"/>
    <w:p>
      <w:pPr>
        <w:pStyle w:val="Heading2"/>
        <w:spacing w:line="480" w:lineRule="auto"/>
      </w:pPr>
      <w:r>
        <w:t xml:space="preserve">1.6 Roadmap</w:t>
      </w:r>
    </w:p>
    <w:p>
      <w:pPr>
        <w:pStyle w:val="FirstParagraph"/>
        <w:spacing w:line="480" w:lineRule="auto"/>
      </w:pPr>
      <w:r>
        <w:t xml:space="preserve">The dissertation proceeds as follows. Chapter 2 reviews the two literatures that bracket the decision, the flexible-design portfolio literature [1, 3, 24, 25] and the value-of-information sensor-tasking literature [2, 4, 5, 6, 10, 16, 17, 18], and develops the bridge between them in detail. Chapter 3 derives the value-of-information functional for the portfolio problem, states the sequencing rule formally, and proves the conditions under which the rule strictly dominates the static expected-net-value comparator in expectation. Chapter 4 presents the first empirical companion, the GAO cross-section that estimates the partial association between lowest critical-technology TRL at confirmation and realized cost growth on the thirty-five-project cohort [7, 8, 11]. Chapter 5 presents the second empirical companion, the panel that estimates the conditional association between entry TRL at preliminary design review and realized cost growth on the audited GAO panel from 2020 through 2025 [7, 11]. Chapter 6 presents the central test, the paired-counterfactual simulation on the TechPort dataset</w:t>
      </w:r>
      <w:r>
        <w:t xml:space="preserve"> </w:t>
      </w:r>
      <w:hyperlink w:anchor="ref-9">
        <w:r>
          <w:rPr>
            <w:rStyle w:val="Hyperlink"/>
          </w:rPr>
          <w:t xml:space="preserve">[9]</w:t>
        </w:r>
      </w:hyperlink>
      <w:r>
        <w:t xml:space="preserve"> </w:t>
      </w:r>
      <w:r>
        <w:t xml:space="preserve">in which the two sequencing rules are executed on the identical project set under identical realized uncertainty draws and the realized-value differential is the estimand. Chapter 7 estimates the moderator on informational coupling, recovers the relationship between the realized-value premium and the coupling index, and tests whether the premium shows the monotone relationship that H1 requires. Chapter 8 discusses the four salient threats to validity, develops the implications of the findings for NASA portfolio management and for the Jet Propulsion Laboratory in particular, and concludes.</w:t>
      </w:r>
    </w:p>
    <w:p>
      <w:pPr>
        <w:pStyle w:val="BodyText"/>
        <w:spacing w:line="480" w:lineRule="auto"/>
        <w:ind w:firstLine="720"/>
      </w:pPr>
      <w:r>
        <w:t xml:space="preserve">The roadmap is sequential, but the logic is cumulative. The literature chapter establishes that the bridge between the two bodies of work has not been built and that the materials to build it are in place. Then the theory chapter builds it. The two empirical companions establish that the audited program record carries the information-deficit signal that the bridge prices. The central test asks whether the priced signal supports the sequencing rule that the bridge implies. The moderator test asks whether the rule’s premium scales with the informational coupling that the bridge predicts to be the operative mechanism. The discussion closes by translating the rule into a managerial protocol that a portfolio manager at NASA or at JPL can apply.</w:t>
      </w:r>
    </w:p>
    <w:p>
      <w:pPr>
        <w:pStyle w:val="BodyText"/>
        <w:spacing w:line="480" w:lineRule="auto"/>
        <w:ind w:firstLine="720"/>
      </w:pPr>
      <w:r>
        <w:t xml:space="preserve">The contribution, if it survives the test, relocates portfolio management from a one-shot bundling problem to a sequential decision problem in which information has a measurable, dollar-denominated price. That relocation is the work of this dissertation.</w:t>
      </w:r>
    </w:p>
    <w:bookmarkEnd w:id="66"/>
    <w:bookmarkEnd w:id="67"/>
    <w:bookmarkStart w:id="83" w:name="chapter-2.-literature-review"/>
    <w:p>
      <w:pPr>
        <w:pStyle w:val="Heading1"/>
        <w:spacing w:line="480" w:lineRule="auto"/>
      </w:pPr>
      <w:r>
        <w:t xml:space="preserve">Chapter 2. Literature Review</w:t>
      </w:r>
    </w:p>
    <w:bookmarkStart w:id="68"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The intellectual problem this dissertation engages sits in the unjoined seam between two mature bodies of work. The first is the technical literature on the design, planning, and management of space technology portfolios under uncertainty, a literature whose center of gravity in the past decade has shifted from deterministic systems engineering toward flexible, real-options-flavored treatments of staged commitment. The second is the cliometric and econometric methodology used to price information as a decision-relevant quantity, a methodology that has matured most rapidly inside the space situational awareness (SSA) community as the formal theory of sensor tasking and observation value. The two literatures share a common substrate, namely decisions made under uncertainty in space systems, but they have not been brought into contact. The portfolio literature treats information as a fixed input to a static optimization; the SSA tasking literature treats information as the decision variable itself, with a dollar-denominated price. This chapter reviews each in turn, traces the conceptual machinery each has developed, and identifies the precise place where the construct of value-of-information (VOI) can be carried across the boundary. The review is the foundation on which the dissertation’s single falsifiable claim, that sequencing space technology investments by VOI-per-dollar produces strictly higher realized portfolio value than static expected-net-value selection, is identified [1, 2].</w:t>
      </w:r>
    </w:p>
    <w:p>
      <w:pPr>
        <w:pStyle w:val="BodyText"/>
        <w:spacing w:line="480" w:lineRule="auto"/>
        <w:ind w:firstLine="720"/>
      </w:pPr>
      <w:r>
        <w:t xml:space="preserve">The structure of the chapter is as follows. Section 2.2 reviews the domain technical literature on flexible space-systems design, project portfolios, and the information state of the decision-maker, with attention to lunar in-situ resource utilization (ISRU), megaconstellation deployment, science-mission planning, and the audited record of NASA major projects. Section 2.3 reviews the methodological literature on the value of information as it has been formalized in SSA sensor tasking, including reward-function formulations, inferential-moment quantification, partially observed sequential decision treatments, and operational systems that price observation collection. Section 2.4 synthesizes the two literatures and locates the gap. Section 2.5 closes by stating the gap formally and previewing the bridge that the remainder of the dissertation constructs.</w:t>
      </w:r>
    </w:p>
    <w:bookmarkEnd w:id="68"/>
    <w:bookmarkStart w:id="74" w:name="Xa556e4ad4ad3cedc6a6078c533d68abbded6bad"/>
    <w:p>
      <w:pPr>
        <w:pStyle w:val="Heading2"/>
        <w:spacing w:line="480" w:lineRule="auto"/>
      </w:pPr>
      <w:r>
        <w:t xml:space="preserve">2.2 The Domain Technical Literature: Space Technology Portfolios Under Uncertainty</w:t>
      </w:r>
    </w:p>
    <w:bookmarkStart w:id="69" w:name="Xc90f90e4e1d42ea2f1e4a840fa93c712df2094b"/>
    <w:p>
      <w:pPr>
        <w:pStyle w:val="Heading3"/>
        <w:spacing w:line="480" w:lineRule="auto"/>
      </w:pPr>
      <w:r>
        <w:t xml:space="preserve">2.2.1 Flexible Design and Portfolio Optimization for Uncertain Space Environments</w:t>
      </w:r>
    </w:p>
    <w:p>
      <w:pPr>
        <w:pStyle w:val="FirstParagraph"/>
        <w:spacing w:line="480" w:lineRule="auto"/>
      </w:pPr>
      <w:r>
        <w:t xml:space="preserve">The most rigorous recent treatment of the portfolio-selection problem for space technology investments is the flexible-design literature led by the Cardin group, whose work on lunar oxygen production facilities is paradigmatic. Ikeya et al. formulate the design and planning of an oxygen production facility on the lunar surface as a multi-objective decision-making problem in which planners must optimize a project portfolio across competing technology investments under an uncertain lunar environment [1, 24]. The contribution is to extend traditional flexible-design methodology, which had been applied to single-system architectures, into the portfolio domain, so that the decision-maker is no longer asked merely which process technology to adopt but which bundle of candidate technologies to fund across the facility’s life cycle. The optimization is multi-objective because the facility must satisfy production-rate, cost, mass, and risk constraints simultaneously, and it is performed under uncertainty because the environment in which the facility will operate is imperfectly known.</w:t>
      </w:r>
    </w:p>
    <w:p>
      <w:pPr>
        <w:pStyle w:val="BodyText"/>
        <w:spacing w:line="480" w:lineRule="auto"/>
        <w:ind w:firstLine="720"/>
      </w:pPr>
      <w:r>
        <w:t xml:space="preserve">The methodological move is consequential. Traditional flexible-design work treats flexibility as an option embedded in a single architecture, for example the option to expand a satellite constellation in response to demand realization, and prices that option against a deterministic baseline. The Cardin-group extension lifts the option-pricing logic out of the single-architecture frame and into the portfolio frame, so that the value of flexibility is recovered across a bundle of technology investments rather than within one [1, 24]. The closely related work of Anderson, Cardin, and Grogan on satellite megaconstellations carries the same logic into the deployment problem, designing and analyzing flexible multi-layer staged deployment for constellations under demand uncertainty, and recovering the value of staging as a real option against an inflexible reference design</w:t>
      </w:r>
      <w:r>
        <w:t xml:space="preserve"> </w:t>
      </w:r>
      <w:hyperlink w:anchor="ref-25">
        <w:r>
          <w:rPr>
            <w:rStyle w:val="Hyperlink"/>
          </w:rPr>
          <w:t xml:space="preserve">[25]</w:t>
        </w:r>
      </w:hyperlink>
      <w:r>
        <w:t xml:space="preserve">. The common move across these contributions is to treat the deployment or production schedule as a decision variable whose value is recoverable when uncertainty is allowed to resolve over time, rather than as a parameter fixed at the moment of architectural commitment.</w:t>
      </w:r>
    </w:p>
    <w:p>
      <w:pPr>
        <w:pStyle w:val="BodyText"/>
        <w:spacing w:line="480" w:lineRule="auto"/>
        <w:ind w:firstLine="720"/>
      </w:pPr>
      <w:r>
        <w:t xml:space="preserve">For this dissertation the salient observation is what these portfolio formulations do not do. They treat the information state of the decision-maker as a fixed input to the optimization. At the start the planner is endowed with a probability distribution over uncertain environmental and technical variables, and the optimization searches over portfolios that perform well in expectation across that distribution. The portfolio that maximizes the multi-objective figure of merit is then selected, and the value of the portfolio is the expected utility under the fixed prior. No mechanism in this framing lets the planner deliberately fund an early, inexpensive project whose purpose is to retire the very uncertainty that the optimization is conditioning on. Information is exogenous; the decision is endogenous; the two are not coupled.</w:t>
      </w:r>
    </w:p>
    <w:bookmarkEnd w:id="69"/>
    <w:bookmarkStart w:id="70" w:name="Xc3444720742d6a89a479de60af2c3916fd6b089"/>
    <w:p>
      <w:pPr>
        <w:pStyle w:val="Heading3"/>
        <w:spacing w:line="480" w:lineRule="auto"/>
      </w:pPr>
      <w:r>
        <w:t xml:space="preserve">2.2.2 The Information State of the Designer as a First-Order Determinant</w:t>
      </w:r>
    </w:p>
    <w:p>
      <w:pPr>
        <w:pStyle w:val="FirstParagraph"/>
        <w:spacing w:line="480" w:lineRule="auto"/>
      </w:pPr>
      <w:r>
        <w:t xml:space="preserve">A second strand within the same research program has begun to interrogate this fixed-information assumption from the user side. Malone et al. present a controlled user study of the role of situational awareness in design decisions for future lunar ISRU systems, treating the information available to a designer at the moment of choice as itself a variable</w:t>
      </w:r>
      <w:r>
        <w:t xml:space="preserve"> </w:t>
      </w:r>
      <w:hyperlink w:anchor="ref-3">
        <w:r>
          <w:rPr>
            <w:rStyle w:val="Hyperlink"/>
          </w:rPr>
          <w:t xml:space="preserve">[3]</w:t>
        </w:r>
      </w:hyperlink>
      <w:r>
        <w:t xml:space="preserve">. The empirical finding is that the design decisions that designers make depend materially on what they know, and that the same designer facing the same set of architectural alternatives will choose differently as the information state shifts. The implication for portfolio design is direct and underappreciated: if the information state of the decision-maker is a first-order determinant of the design decision actually made, then the information state ceases to be a neutral background variable and becomes a quantity that program management can, and should, deliberately manipulate.</w:t>
      </w:r>
    </w:p>
    <w:p>
      <w:pPr>
        <w:pStyle w:val="BodyText"/>
        <w:spacing w:line="480" w:lineRule="auto"/>
        <w:ind w:firstLine="720"/>
      </w:pPr>
      <w:r>
        <w:t xml:space="preserve">The Malone et al. contribution matters methodologically. It is one of the few in the flexible-design literature to operationalize the information-state-to-decision linkage empirically rather than merely assume it</w:t>
      </w:r>
      <w:r>
        <w:t xml:space="preserve"> </w:t>
      </w:r>
      <w:hyperlink w:anchor="ref-3">
        <w:r>
          <w:rPr>
            <w:rStyle w:val="Hyperlink"/>
          </w:rPr>
          <w:t xml:space="preserve">[3]</w:t>
        </w:r>
      </w:hyperlink>
      <w:r>
        <w:t xml:space="preserve">. The controlled user-study design isolates the marginal effect of additional situational awareness on design choice, and the finding licenses the inference that managers who invest in earlier, cheaper information acquisition will, on average, make different and better downstream commitments. What the study does not do, and what the broader literature has not done, is price the marginal value of the additional situational awareness so that it can be ranked against the cost of producing it. The empirical finding sets up the price problem; it does not solve it.</w:t>
      </w:r>
    </w:p>
    <w:bookmarkEnd w:id="70"/>
    <w:bookmarkStart w:id="71" w:name="X7c4d901fce32e6b45e72f0a1d5287aead823dac"/>
    <w:p>
      <w:pPr>
        <w:pStyle w:val="Heading3"/>
        <w:spacing w:line="480" w:lineRule="auto"/>
      </w:pPr>
      <w:r>
        <w:t xml:space="preserve">2.2.3 Adjacent Technical Literature: Schedules, Constellations, Docking, and Communication-Constrained Operations</w:t>
      </w:r>
    </w:p>
    <w:p>
      <w:pPr>
        <w:pStyle w:val="FirstParagraph"/>
        <w:spacing w:line="480" w:lineRule="auto"/>
      </w:pPr>
      <w:r>
        <w:t xml:space="preserve">The portfolio-design strand is embedded in a wider technical literature that, while not framed as portfolio management, illuminates the same coupling between information acquisition and downstream commitment. Vallat et al. document the science-planning process on the Rosetta mission, in which the decision to schedule a particular science observation depends on what the comet environment turns out to be, with planning revisited iteratively as new measurements arrive</w:t>
      </w:r>
      <w:r>
        <w:t xml:space="preserve"> </w:t>
      </w:r>
      <w:hyperlink w:anchor="ref-22">
        <w:r>
          <w:rPr>
            <w:rStyle w:val="Hyperlink"/>
          </w:rPr>
          <w:t xml:space="preserve">[22]</w:t>
        </w:r>
      </w:hyperlink>
      <w:r>
        <w:t xml:space="preserve">. The Rosetta planning process is not framed in value-of-information language, but the structural logic is the same: an early, cheaper observation retires uncertainty about the operating environment, and the schedule of subsequent, more committing observations is updated accordingly. Here is the lesson. Operationally successful programs already behave as if information had a sequencing-relevant value; they have not formalized the price.</w:t>
      </w:r>
    </w:p>
    <w:p>
      <w:pPr>
        <w:pStyle w:val="BodyText"/>
        <w:spacing w:line="480" w:lineRule="auto"/>
        <w:ind w:firstLine="720"/>
      </w:pPr>
      <w:r>
        <w:t xml:space="preserve">A second adjacent strand concerns the technical management of complex space-system operations under information constraints. Wu, Xu, and Zhang study decentralized adaptive control for attitude synchronization of multiple spacecraft via quantized information exchange</w:t>
      </w:r>
      <w:r>
        <w:t xml:space="preserve"> </w:t>
      </w:r>
      <w:hyperlink w:anchor="ref-26">
        <w:r>
          <w:rPr>
            <w:rStyle w:val="Hyperlink"/>
          </w:rPr>
          <w:t xml:space="preserve">[26]</w:t>
        </w:r>
      </w:hyperlink>
      <w:r>
        <w:t xml:space="preserve">, a setting in which the limited information bandwidth among cooperating spacecraft becomes a binding constraint on the coordination problem. The methodological insight transferable to portfolio management is that information is not a free resource: each bit acquired has a cost, and the design of the coordination protocol must price that cost against the value of the information acquired. Khalil, Wang, and Aouf’s hybrid deep-learning monocular pose estimator for autonomous space docking</w:t>
      </w:r>
      <w:r>
        <w:t xml:space="preserve"> </w:t>
      </w:r>
      <w:hyperlink w:anchor="ref-23">
        <w:r>
          <w:rPr>
            <w:rStyle w:val="Hyperlink"/>
          </w:rPr>
          <w:t xml:space="preserve">[23]</w:t>
        </w:r>
      </w:hyperlink>
      <w:r>
        <w:t xml:space="preserve"> </w:t>
      </w:r>
      <w:r>
        <w:t xml:space="preserve">occupies a similar position; the design of the perception system is implicitly a value-of-information problem in which sensor modalities are selected for the marginal posterior reduction they offer at given computational cost. These contributions price information at the operational level of an individual mission; the portfolio-level analogue, in which the program prices information across projects rather than within them, has not been articulated.</w:t>
      </w:r>
    </w:p>
    <w:bookmarkEnd w:id="71"/>
    <w:bookmarkStart w:id="72" w:name="Xfa6c786671803cb7ac3bd72f98611d59eee3ad9"/>
    <w:p>
      <w:pPr>
        <w:pStyle w:val="Heading3"/>
        <w:spacing w:line="480" w:lineRule="auto"/>
      </w:pPr>
      <w:r>
        <w:t xml:space="preserve">2.2.4 Innovation Pathways and the Governance of Staged Technology Investment</w:t>
      </w:r>
    </w:p>
    <w:p>
      <w:pPr>
        <w:pStyle w:val="FirstParagraph"/>
        <w:spacing w:line="480" w:lineRule="auto"/>
      </w:pPr>
      <w:r>
        <w:t xml:space="preserve">The portfolio literature is further informed by case-based work on the innovation pathways through which space technology programs actually evolve. Jesus et al. analyze the China-Brazil Earth Resources Satellite program as an innovation path subject to contingent technical and institutional events, and recover a pattern in which early-stage decisions about which subsystem investments to make condition the entire downstream trajectory of the program</w:t>
      </w:r>
      <w:r>
        <w:t xml:space="preserve"> </w:t>
      </w:r>
      <w:hyperlink w:anchor="ref-20">
        <w:r>
          <w:rPr>
            <w:rStyle w:val="Hyperlink"/>
          </w:rPr>
          <w:t xml:space="preserve">[20]</w:t>
        </w:r>
      </w:hyperlink>
      <w:r>
        <w:t xml:space="preserve">. The pattern is precisely what a sequencing framework would predict, although the paper does not frame it that way: early commitments either preserve or foreclose options for later commitments, and the program’s realized value is path-dependent on the sequence.</w:t>
      </w:r>
    </w:p>
    <w:p>
      <w:pPr>
        <w:pStyle w:val="BodyText"/>
        <w:spacing w:line="480" w:lineRule="auto"/>
        <w:ind w:firstLine="720"/>
      </w:pPr>
      <w:r>
        <w:t xml:space="preserve">In a complementary register, Paravano et al. assess the value of commercial space stations for space and non-space users as a portfolio of services whose realization depends on which precursor capabilities are funded first</w:t>
      </w:r>
      <w:r>
        <w:t xml:space="preserve"> </w:t>
      </w:r>
      <w:hyperlink w:anchor="ref-19">
        <w:r>
          <w:rPr>
            <w:rStyle w:val="Hyperlink"/>
          </w:rPr>
          <w:t xml:space="preserve">[19]</w:t>
        </w:r>
      </w:hyperlink>
      <w:r>
        <w:t xml:space="preserve">. The LEO economy framing makes explicit what is implicit in the earlier portfolio-design literature: the value of a given commercial investment is conditional on a portfolio of upstream technical commitments whose ordering is itself a decision variable. The governance literature on the New Space age, including the recent analysis of beneficiaries of the New Space governance regime</w:t>
      </w:r>
      <w:r>
        <w:t xml:space="preserve"> </w:t>
      </w:r>
      <w:hyperlink w:anchor="ref-21">
        <w:r>
          <w:rPr>
            <w:rStyle w:val="Hyperlink"/>
          </w:rPr>
          <w:t xml:space="preserve">[21]</w:t>
        </w:r>
      </w:hyperlink>
      <w:r>
        <w:t xml:space="preserve">, extends this observation into the institutional domain by treating the sequence in which governance instruments are adopted as material to the realized distribution of value across actors. The Australian space economic-technological renaissance roadmap</w:t>
      </w:r>
      <w:r>
        <w:t xml:space="preserve"> </w:t>
      </w:r>
      <w:hyperlink w:anchor="ref-27">
        <w:r>
          <w:rPr>
            <w:rStyle w:val="Hyperlink"/>
          </w:rPr>
          <w:t xml:space="preserve">[27]</w:t>
        </w:r>
      </w:hyperlink>
      <w:r>
        <w:t xml:space="preserve"> </w:t>
      </w:r>
      <w:r>
        <w:t xml:space="preserve">is a further instance of the genre: an explicit attempt to choreograph a national portfolio of space investments across time so that the early commitments produce the conditions under which later commitments become viable.</w:t>
      </w:r>
    </w:p>
    <w:bookmarkEnd w:id="72"/>
    <w:bookmarkStart w:id="73" w:name="X0d7145460953c756c45919d07cc86da44ead7c0"/>
    <w:p>
      <w:pPr>
        <w:pStyle w:val="Heading3"/>
        <w:spacing w:line="480" w:lineRule="auto"/>
      </w:pPr>
      <w:r>
        <w:t xml:space="preserve">2.2.5 The Audited Record of NASA Major Projects</w:t>
      </w:r>
    </w:p>
    <w:p>
      <w:pPr>
        <w:pStyle w:val="FirstParagraph"/>
        <w:spacing w:line="480" w:lineRule="auto"/>
      </w:pPr>
      <w:r>
        <w:t xml:space="preserve">The empirical foundation against which any portfolio claim about NASA technology investment must be tested is the audited program record produced by the United States Government Accountability Office. The GAO assessments of NASA major projects, published annually, record for each flight project its baseline life-cycle cost, its baseline schedule, the technology readiness level of its lowest-TRL critical technology at Key Decision Point C, the percent of engineering design drawings released at preliminary design review, and the subsequent realized cost growth against the KDP-C baseline [7, 8, 11]. The series is the public-record analogue of the staged technology-investment dataset that the prospectus identifies as obtainable through the NASA Technology Taxonomy</w:t>
      </w:r>
      <w:r>
        <w:t xml:space="preserve"> </w:t>
      </w:r>
      <w:hyperlink w:anchor="ref-9">
        <w:r>
          <w:rPr>
            <w:rStyle w:val="Hyperlink"/>
          </w:rPr>
          <w:t xml:space="preserve">[9]</w:t>
        </w:r>
      </w:hyperlink>
      <w:r>
        <w:t xml:space="preserve">. Two empirical companion papers in this dissertation establish that, on this record, the TRL of the lowest-TRL critical technology at the moment of confirmation is associated, in the directional sense, with realized cost growth, and that the conditional association is statistically significant in a four-regressor specification on a thirty-five-project panel. The audited record therefore licenses the inference that the residual information state that a project carries past PDR is priced, in the sense that it predicts a larger realized cost line.</w:t>
      </w:r>
    </w:p>
    <w:p>
      <w:pPr>
        <w:pStyle w:val="BodyText"/>
        <w:spacing w:line="480" w:lineRule="auto"/>
        <w:ind w:firstLine="720"/>
      </w:pPr>
      <w:r>
        <w:t xml:space="preserve">What the audited record does not do, and what the portfolio literature has not done, is supply an explicit decision-theoretic mechanism by which the residual information state can be priced ex ante, before the project is committed, in a form that supports sequencing among candidate projects. The audited record establishes the empirical existence of a price; the methodology for setting that price lives in a different literature altogether.</w:t>
      </w:r>
    </w:p>
    <w:bookmarkEnd w:id="73"/>
    <w:bookmarkEnd w:id="74"/>
    <w:bookmarkStart w:id="80" w:name="X051adfd3992b77f78197f87e820ed6870d162ce"/>
    <w:p>
      <w:pPr>
        <w:pStyle w:val="Heading2"/>
        <w:spacing w:line="480" w:lineRule="auto"/>
      </w:pPr>
      <w:r>
        <w:t xml:space="preserve">2.3 The Cliometric and Methodological Literature: Pricing Information as a Decision Quantity</w:t>
      </w:r>
    </w:p>
    <w:bookmarkStart w:id="75" w:name="Xffec553cf81e76b9f77d133dddfdc98ea4b7741"/>
    <w:p>
      <w:pPr>
        <w:pStyle w:val="Heading3"/>
        <w:spacing w:line="480" w:lineRule="auto"/>
      </w:pPr>
      <w:r>
        <w:t xml:space="preserve">2.3.1 The Reward-Function Foundation in Sensor Tasking</w:t>
      </w:r>
    </w:p>
    <w:p>
      <w:pPr>
        <w:pStyle w:val="FirstParagraph"/>
        <w:spacing w:line="480" w:lineRule="auto"/>
      </w:pPr>
      <w:r>
        <w:t xml:space="preserve">The methodological literature on the value of information as a decision-relevant quantity has matured most rapidly inside the SSA sensor-tasking community. The foundational move is to recast a sensor-tasking decision as the choice of an action that maximizes a reward function in which the reward is an explicit function of the informational return of the candidate observation. Gehly and Bennett provide one of the clearest early formulations, incorporating target priorities into the sensor-tasking reward function so that the value of observing a given resident space object depends on the joint product of the priority weight on that object and the informational return of the observation</w:t>
      </w:r>
      <w:r>
        <w:t xml:space="preserve"> </w:t>
      </w:r>
      <w:hyperlink w:anchor="ref-4">
        <w:r>
          <w:rPr>
            <w:rStyle w:val="Hyperlink"/>
          </w:rPr>
          <w:t xml:space="preserve">[4]</w:t>
        </w:r>
      </w:hyperlink>
      <w:r>
        <w:t xml:space="preserve">. The contribution matters for two reasons. First, it makes the reward function an explicit object of design, rather than a tacit by-product of the tasking algorithm. Second, it disentangles two quantities that the operational literature had previously conflated, namely the importance of the target and the informational quality of the candidate observation, so that the optimization can rank actions on their joint product rather than on either alone.</w:t>
      </w:r>
    </w:p>
    <w:p>
      <w:pPr>
        <w:pStyle w:val="BodyText"/>
        <w:spacing w:line="480" w:lineRule="auto"/>
        <w:ind w:firstLine="720"/>
      </w:pPr>
      <w:r>
        <w:t xml:space="preserve">The Gehly and Bennett framework is the conceptual ancestor of every formulation reviewed in the remainder of this section</w:t>
      </w:r>
      <w:r>
        <w:t xml:space="preserve"> </w:t>
      </w:r>
      <w:hyperlink w:anchor="ref-4">
        <w:r>
          <w:rPr>
            <w:rStyle w:val="Hyperlink"/>
          </w:rPr>
          <w:t xml:space="preserve">[4]</w:t>
        </w:r>
      </w:hyperlink>
      <w:r>
        <w:t xml:space="preserve">. The structural lesson it carries forward, transferable to portfolio management, is that the decision-maker should rank candidate actions by their expected informational return weighted by the importance of the decision the information will inform. In sensor tasking the decision is the conjunction assessment over a particular orbit. In portfolio management the decision is the commitment of capital to a particular downstream technology investment. The structural problem is the same; the change of object is what the dissertation proposes.</w:t>
      </w:r>
    </w:p>
    <w:bookmarkEnd w:id="75"/>
    <w:bookmarkStart w:id="76" w:name="Xa2015d74dbd115beaeb6472a90de95d7eb7874e"/>
    <w:p>
      <w:pPr>
        <w:pStyle w:val="Heading3"/>
        <w:spacing w:line="480" w:lineRule="auto"/>
      </w:pPr>
      <w:r>
        <w:t xml:space="preserve">2.3.2 Inferential Moments and Conjunction-Based Tasking</w:t>
      </w:r>
    </w:p>
    <w:p>
      <w:pPr>
        <w:pStyle w:val="FirstParagraph"/>
        <w:spacing w:line="480" w:lineRule="auto"/>
      </w:pPr>
      <w:r>
        <w:t xml:space="preserve">The most explicit recent quantification of the value of an observation as a decision-relevant uncertainty reduction is the work of Vanslette and Taing on conjunction-based sensor tasking using inferential moments</w:t>
      </w:r>
      <w:r>
        <w:t xml:space="preserve"> </w:t>
      </w:r>
      <w:hyperlink w:anchor="ref-2">
        <w:r>
          <w:rPr>
            <w:rStyle w:val="Hyperlink"/>
          </w:rPr>
          <w:t xml:space="preserve">[2]</w:t>
        </w:r>
      </w:hyperlink>
      <w:r>
        <w:t xml:space="preserve">. The contribution constructs a value-of-information functional in which the value of an observation is the expected reduction in a decision-relevant inferential moment of the posterior over the orbit state, and shows that ranking candidate tasking actions by this functional is optimal in a precisely defined decision-theoretic sense</w:t>
      </w:r>
      <w:r>
        <w:t xml:space="preserve"> </w:t>
      </w:r>
      <w:hyperlink w:anchor="ref-2">
        <w:r>
          <w:rPr>
            <w:rStyle w:val="Hyperlink"/>
          </w:rPr>
          <w:t xml:space="preserve">[2]</w:t>
        </w:r>
      </w:hyperlink>
      <w:r>
        <w:t xml:space="preserve">. The apparatus is consequential. It converts the value of information from an informal heuristic into a quantity that can be computed, ranked, and priced. The optimization no longer asks</w:t>
      </w:r>
      <w:r>
        <w:t xml:space="preserve"> </w:t>
      </w:r>
      <w:r>
        <w:t xml:space="preserve">“which observation is informative”</w:t>
      </w:r>
      <w:r>
        <w:t xml:space="preserve"> </w:t>
      </w:r>
      <w:r>
        <w:t xml:space="preserve">in a qualitative sense; it asks</w:t>
      </w:r>
      <w:r>
        <w:t xml:space="preserve"> </w:t>
      </w:r>
      <w:r>
        <w:t xml:space="preserve">“which observation maximizes the expected reduction of the decision-relevant moment per unit of tasking cost”</w:t>
      </w:r>
      <w:r>
        <w:t xml:space="preserve"> </w:t>
      </w:r>
      <w:r>
        <w:t xml:space="preserve">in a quantitative sense.</w:t>
      </w:r>
    </w:p>
    <w:p>
      <w:pPr>
        <w:pStyle w:val="BodyText"/>
        <w:spacing w:line="480" w:lineRule="auto"/>
        <w:ind w:firstLine="720"/>
      </w:pPr>
      <w:r>
        <w:t xml:space="preserve">The construct of the inferential moment is the precise mathematical object that the dissertation will carry across the boundary into portfolio management. A space technology project, in the framing the prospectus proposes, is a candidate observation whose inferential moment is the expected reduction in the decision-relevant variance of a downstream capital commitment. The Vanslette and Taing formulation is methodological license for the construct</w:t>
      </w:r>
      <w:r>
        <w:t xml:space="preserve"> </w:t>
      </w:r>
      <w:hyperlink w:anchor="ref-2">
        <w:r>
          <w:rPr>
            <w:rStyle w:val="Hyperlink"/>
          </w:rPr>
          <w:t xml:space="preserve">[2]</w:t>
        </w:r>
      </w:hyperlink>
      <w:r>
        <w:t xml:space="preserve">; the empirical companion papers establish that the construct is non-trivial on the audited NASA program record [1, 7].</w:t>
      </w:r>
    </w:p>
    <w:bookmarkEnd w:id="76"/>
    <w:bookmarkStart w:id="77" w:name="X5e4ea6934cf6d7a1ea67e5f43c3df91e79a185f"/>
    <w:p>
      <w:pPr>
        <w:pStyle w:val="Heading3"/>
        <w:spacing w:line="480" w:lineRule="auto"/>
      </w:pPr>
      <w:r>
        <w:t xml:space="preserve">2.3.3 Sequential Decision Treatments: Tree Search and POMDP Formulations</w:t>
      </w:r>
    </w:p>
    <w:p>
      <w:pPr>
        <w:pStyle w:val="FirstParagraph"/>
        <w:spacing w:line="480" w:lineRule="auto"/>
      </w:pPr>
      <w:r>
        <w:t xml:space="preserve">The further methodological refinement that the SSA literature has produced is the embedding of the tasking decision in a sequential, partially observed Markov decision process (POMDP) framework, in which the value of a tasking action is computed not myopically but over a horizon. Fedeler, Holzinger, and Whitacre develop the optimality and application of tree-search methods for POMDP-based sensor tasking, demonstrating that a tree-search formulation can recover the value of a tasking action over a multi-step horizon and rank actions by their forward-looking informational return rather than by their immediate posterior reduction</w:t>
      </w:r>
      <w:r>
        <w:t xml:space="preserve"> </w:t>
      </w:r>
      <w:hyperlink w:anchor="ref-5">
        <w:r>
          <w:rPr>
            <w:rStyle w:val="Hyperlink"/>
          </w:rPr>
          <w:t xml:space="preserve">[5]</w:t>
        </w:r>
      </w:hyperlink>
      <w:r>
        <w:t xml:space="preserve">. The methodological importance for portfolio management is direct: a candidate project in a research and innovation portfolio is best valued not by the immediate uncertainty reduction it offers but by the expected uncertainty reduction it produces over the horizon during which downstream commitments will be made.</w:t>
      </w:r>
    </w:p>
    <w:p>
      <w:pPr>
        <w:pStyle w:val="BodyText"/>
        <w:spacing w:line="480" w:lineRule="auto"/>
        <w:ind w:firstLine="720"/>
      </w:pPr>
      <w:r>
        <w:t xml:space="preserve">The tree-search framework is methodologically demanding because the state space of the POMDP grows rapidly with the planning horizon, and the SSA literature has invested considerable effort in approximating the value function efficiently. The portfolio-management analogue inherits the same computational challenge, and the dissertation’s empirical strategy of paired counterfactual simulation, in which realized performance draws are held fixed across two sequencing rules, is the analogue of the rollout policies that the tree-search literature uses to estimate the value of a tasking action under a tractable approximation. Tomita, Shimane, and Ho extend the multi-spacecraft predictive sensor-tasking framework into cislunar space situational awareness</w:t>
      </w:r>
      <w:r>
        <w:t xml:space="preserve"> </w:t>
      </w:r>
      <w:hyperlink w:anchor="ref-17">
        <w:r>
          <w:rPr>
            <w:rStyle w:val="Hyperlink"/>
          </w:rPr>
          <w:t xml:space="preserve">[17]</w:t>
        </w:r>
      </w:hyperlink>
      <w:r>
        <w:t xml:space="preserve">, demonstrating that the POMDP formulation generalizes across operating domains, which is methodological reassurance that the portfolio-management transfer the dissertation proposes is not domain-specific to sensor tasking proper.</w:t>
      </w:r>
    </w:p>
    <w:bookmarkEnd w:id="77"/>
    <w:bookmarkStart w:id="78" w:name="X9970d0438c15a7847a8a9fef00d6f4bde4c6be1"/>
    <w:p>
      <w:pPr>
        <w:pStyle w:val="Heading3"/>
        <w:spacing w:line="480" w:lineRule="auto"/>
      </w:pPr>
      <w:r>
        <w:t xml:space="preserve">2.3.4 Scheduling, Cognitive Decision Support, and Operational VOI</w:t>
      </w:r>
    </w:p>
    <w:p>
      <w:pPr>
        <w:pStyle w:val="FirstParagraph"/>
        <w:spacing w:line="480" w:lineRule="auto"/>
      </w:pPr>
      <w:r>
        <w:t xml:space="preserve">A further set of contributions extends the value-of-information construct into operational systems where the price of information is computed in real time. Andersson et al. develop a genetic-algorithm-driven scheduling system for radar-based satellite tracking in which the value of a candidate scheduling decision is the expected informational return weighted by the cost of the radar dwell time required</w:t>
      </w:r>
      <w:r>
        <w:t xml:space="preserve"> </w:t>
      </w:r>
      <w:hyperlink w:anchor="ref-16">
        <w:r>
          <w:rPr>
            <w:rStyle w:val="Hyperlink"/>
          </w:rPr>
          <w:t xml:space="preserve">[16]</w:t>
        </w:r>
      </w:hyperlink>
      <w:r>
        <w:t xml:space="preserve">. Dhingra et al. study the impact of orbit-accuracy-based tasking on sensor network efficiency, treating the value of a tasking action as the marginal reduction in the orbit-accuracy uncertainty per unit of network resource consumed</w:t>
      </w:r>
      <w:r>
        <w:t xml:space="preserve"> </w:t>
      </w:r>
      <w:hyperlink w:anchor="ref-10">
        <w:r>
          <w:rPr>
            <w:rStyle w:val="Hyperlink"/>
          </w:rPr>
          <w:t xml:space="preserve">[10]</w:t>
        </w:r>
      </w:hyperlink>
      <w:r>
        <w:t xml:space="preserve">. Both contributions operationalize the VOI construct in a network-resource-constrained setting, which is the structural analogue of the budget-constrained portfolio-management setting the dissertation will engage.</w:t>
      </w:r>
    </w:p>
    <w:p>
      <w:pPr>
        <w:pStyle w:val="BodyText"/>
        <w:spacing w:line="480" w:lineRule="auto"/>
        <w:ind w:firstLine="720"/>
      </w:pPr>
      <w:r>
        <w:t xml:space="preserve">The cognitive-systems-engineering literature provides a complementary refinement. Jaunzemis et al. develop and evaluate an SSA decision-support system using cognitive systems engineering, treating the human decision-maker as a second locus at which the value of information must be priced, because information that is unusable to the human is not informationally valuable in the operational sense</w:t>
      </w:r>
      <w:r>
        <w:t xml:space="preserve"> </w:t>
      </w:r>
      <w:hyperlink w:anchor="ref-18">
        <w:r>
          <w:rPr>
            <w:rStyle w:val="Hyperlink"/>
          </w:rPr>
          <w:t xml:space="preserve">[18]</w:t>
        </w:r>
      </w:hyperlink>
      <w:r>
        <w:t xml:space="preserve">. The implication for portfolio management is that the value of an early project’s information must be priced not merely against the downstream commitment it will inform but also against the program managers’ capacity to use that information when it arrives. The Stouch et al. work on distributed augmented reality for astrodynamics decision-making</w:t>
      </w:r>
      <w:r>
        <w:t xml:space="preserve"> </w:t>
      </w:r>
      <w:hyperlink w:anchor="ref-14">
        <w:r>
          <w:rPr>
            <w:rStyle w:val="Hyperlink"/>
          </w:rPr>
          <w:t xml:space="preserve">[14]</w:t>
        </w:r>
      </w:hyperlink>
      <w:r>
        <w:t xml:space="preserve"> </w:t>
      </w:r>
      <w:r>
        <w:t xml:space="preserve">and the Gerschefske and Witmer work on agile visualization for SSA</w:t>
      </w:r>
      <w:r>
        <w:t xml:space="preserve"> </w:t>
      </w:r>
      <w:hyperlink w:anchor="ref-15">
        <w:r>
          <w:rPr>
            <w:rStyle w:val="Hyperlink"/>
          </w:rPr>
          <w:t xml:space="preserve">[15]</w:t>
        </w:r>
      </w:hyperlink>
      <w:r>
        <w:t xml:space="preserve"> </w:t>
      </w:r>
      <w:r>
        <w:t xml:space="preserve">develop the same theme in the visualization register: the price of information is in part the price of making it cognitively accessible.</w:t>
      </w:r>
    </w:p>
    <w:bookmarkEnd w:id="78"/>
    <w:bookmarkStart w:id="79" w:name="Xecca85a76326b85ddcb2256a57aa74e52b1edf6"/>
    <w:p>
      <w:pPr>
        <w:pStyle w:val="Heading3"/>
        <w:spacing w:line="480" w:lineRule="auto"/>
      </w:pPr>
      <w:r>
        <w:t xml:space="preserve">2.3.5 Operational Systems and the Institutional Pricing of Information</w:t>
      </w:r>
    </w:p>
    <w:p>
      <w:pPr>
        <w:pStyle w:val="FirstParagraph"/>
        <w:spacing w:line="480" w:lineRule="auto"/>
      </w:pPr>
      <w:r>
        <w:t xml:space="preserve">The methodological literature has, finally, produced operational systems in which the price of collection is computed across the entire population of tracked objects continuously. Reed et al. develop the Blockchain Enabled Space Traffic Awareness (BESTA) system, which lets the value of collection for each tracked object drive tasking over time</w:t>
      </w:r>
      <w:r>
        <w:t xml:space="preserve"> </w:t>
      </w:r>
      <w:hyperlink w:anchor="ref-6">
        <w:r>
          <w:rPr>
            <w:rStyle w:val="Hyperlink"/>
          </w:rPr>
          <w:t xml:space="preserve">[6]</w:t>
        </w:r>
      </w:hyperlink>
      <w:r>
        <w:t xml:space="preserve">, and which represents the most mature operational instance of a continuously priced informational return. Krolikowski et al. document the Space Command and Control Program Kobayashi Maru architecture, in which the institutional pricing of information collection is embedded in the program’s command-and-control logic</w:t>
      </w:r>
      <w:r>
        <w:t xml:space="preserve"> </w:t>
      </w:r>
      <w:hyperlink w:anchor="ref-13">
        <w:r>
          <w:rPr>
            <w:rStyle w:val="Hyperlink"/>
          </w:rPr>
          <w:t xml:space="preserve">[13]</w:t>
        </w:r>
      </w:hyperlink>
      <w:r>
        <w:t xml:space="preserve">. Raygan’s work on the architectural definition of an international information system for orbital space data treats the institutional infrastructure for pricing information as itself a design problem</w:t>
      </w:r>
      <w:r>
        <w:t xml:space="preserve"> </w:t>
      </w:r>
      <w:hyperlink w:anchor="ref-12">
        <w:r>
          <w:rPr>
            <w:rStyle w:val="Hyperlink"/>
          </w:rPr>
          <w:t xml:space="preserve">[12]</w:t>
        </w:r>
      </w:hyperlink>
      <w:r>
        <w:t xml:space="preserve">. The cumulative pattern across these contributions is that the SSA community has moved the value-of-information construct from a theoretical proposal, through a methodological formalism, into operational practice.</w:t>
      </w:r>
    </w:p>
    <w:p>
      <w:pPr>
        <w:pStyle w:val="BodyText"/>
        <w:spacing w:line="480" w:lineRule="auto"/>
        <w:ind w:firstLine="720"/>
      </w:pPr>
      <w:r>
        <w:t xml:space="preserve">One thing the SSA community has not done, and no work in the methodological literature has done, is carry the value-of-information construct across the boundary into the management of research and innovation portfolios for space technology. The construct has been priced for observations; it has not been priced for projects. The institutional infrastructure exists for sensor systems; it does not exist for portfolios.</w:t>
      </w:r>
    </w:p>
    <w:bookmarkEnd w:id="79"/>
    <w:bookmarkEnd w:id="80"/>
    <w:bookmarkStart w:id="81" w:name="Xd8d6b7f95d350059825ce662576b8ab638868b7"/>
    <w:p>
      <w:pPr>
        <w:pStyle w:val="Heading2"/>
        <w:spacing w:line="480" w:lineRule="auto"/>
      </w:pPr>
      <w:r>
        <w:t xml:space="preserve">2.4 Synthesis: The Coupling That the Two Literatures Have Not Made</w:t>
      </w:r>
    </w:p>
    <w:p>
      <w:pPr>
        <w:pStyle w:val="FirstParagraph"/>
        <w:spacing w:line="480" w:lineRule="auto"/>
      </w:pPr>
      <w:r>
        <w:t xml:space="preserve">The two literatures reviewed in Sections 2.2 and 2.3 are mature, internally coherent, and structurally compatible. The portfolio-design literature has built the framework within which space technology investments are bundled, sequenced, and committed under uncertainty [1, 24, 25]. Malone et al. establish empirically that the information state at the moment of decision is a first-order determinant of the decision actually made</w:t>
      </w:r>
      <w:r>
        <w:t xml:space="preserve"> </w:t>
      </w:r>
      <w:hyperlink w:anchor="ref-3">
        <w:r>
          <w:rPr>
            <w:rStyle w:val="Hyperlink"/>
          </w:rPr>
          <w:t xml:space="preserve">[3]</w:t>
        </w:r>
      </w:hyperlink>
      <w:r>
        <w:t xml:space="preserve">. The audited record of NASA major projects, as documented in the GAO assessment series, establishes that the residual information state a project carries past confirmation predicts the realized cost line [7, 8, 11]. The portfolio-design literature, in short, has the architectural frame, the empirical motivation, and the audited record. One thing it lacks: a decision-theoretic mechanism for pricing the information state ex ante.</w:t>
      </w:r>
    </w:p>
    <w:p>
      <w:pPr>
        <w:pStyle w:val="BodyText"/>
        <w:spacing w:line="480" w:lineRule="auto"/>
        <w:ind w:firstLine="720"/>
      </w:pPr>
      <w:r>
        <w:t xml:space="preserve">The sensor-tasking literature has built precisely that mechanism. Gehly and Bennett formulate the reward function as an explicit object of design</w:t>
      </w:r>
      <w:r>
        <w:t xml:space="preserve"> </w:t>
      </w:r>
      <w:hyperlink w:anchor="ref-4">
        <w:r>
          <w:rPr>
            <w:rStyle w:val="Hyperlink"/>
          </w:rPr>
          <w:t xml:space="preserve">[4]</w:t>
        </w:r>
      </w:hyperlink>
      <w:r>
        <w:t xml:space="preserve">. Vanslette and Taing quantify the value of an observation as the expected reduction in a decision-relevant inferential moment of the posterior</w:t>
      </w:r>
      <w:r>
        <w:t xml:space="preserve"> </w:t>
      </w:r>
      <w:hyperlink w:anchor="ref-2">
        <w:r>
          <w:rPr>
            <w:rStyle w:val="Hyperlink"/>
          </w:rPr>
          <w:t xml:space="preserve">[2]</w:t>
        </w:r>
      </w:hyperlink>
      <w:r>
        <w:t xml:space="preserve">. Fedeler, Holzinger, and Whitacre embed the tasking decision in a sequential POMDP framework</w:t>
      </w:r>
      <w:r>
        <w:t xml:space="preserve"> </w:t>
      </w:r>
      <w:hyperlink w:anchor="ref-5">
        <w:r>
          <w:rPr>
            <w:rStyle w:val="Hyperlink"/>
          </w:rPr>
          <w:t xml:space="preserve">[5]</w:t>
        </w:r>
      </w:hyperlink>
      <w:r>
        <w:t xml:space="preserve">, and Tomita, Shimane, and Ho extend the framework into cislunar operations</w:t>
      </w:r>
      <w:r>
        <w:t xml:space="preserve"> </w:t>
      </w:r>
      <w:hyperlink w:anchor="ref-17">
        <w:r>
          <w:rPr>
            <w:rStyle w:val="Hyperlink"/>
          </w:rPr>
          <w:t xml:space="preserve">[17]</w:t>
        </w:r>
      </w:hyperlink>
      <w:r>
        <w:t xml:space="preserve">. Andersson et al. operationalize VOI under radar-resource constraints</w:t>
      </w:r>
      <w:r>
        <w:t xml:space="preserve"> </w:t>
      </w:r>
      <w:hyperlink w:anchor="ref-16">
        <w:r>
          <w:rPr>
            <w:rStyle w:val="Hyperlink"/>
          </w:rPr>
          <w:t xml:space="preserve">[16]</w:t>
        </w:r>
      </w:hyperlink>
      <w:r>
        <w:t xml:space="preserve">, Dhingra et al. price tasking against sensor-network efficiency</w:t>
      </w:r>
      <w:r>
        <w:t xml:space="preserve"> </w:t>
      </w:r>
      <w:hyperlink w:anchor="ref-10">
        <w:r>
          <w:rPr>
            <w:rStyle w:val="Hyperlink"/>
          </w:rPr>
          <w:t xml:space="preserve">[10]</w:t>
        </w:r>
      </w:hyperlink>
      <w:r>
        <w:t xml:space="preserve">, Jaunzemis et al. and Stouch et al. price the cognitive accessibility of information [18, 14], Reed et al. and Krolikowski et al. embed the construct in operational systems [6, 13], and Raygan designs the institutional infrastructure for pricing information at scale</w:t>
      </w:r>
      <w:r>
        <w:t xml:space="preserve"> </w:t>
      </w:r>
      <w:hyperlink w:anchor="ref-12">
        <w:r>
          <w:rPr>
            <w:rStyle w:val="Hyperlink"/>
          </w:rPr>
          <w:t xml:space="preserve">[12]</w:t>
        </w:r>
      </w:hyperlink>
      <w:r>
        <w:t xml:space="preserve">. The sensor-tasking literature, in short, has the methodological apparatus, the computational machinery, the operational practice, and the institutional architecture.</w:t>
      </w:r>
    </w:p>
    <w:p>
      <w:pPr>
        <w:pStyle w:val="BodyText"/>
        <w:spacing w:line="480" w:lineRule="auto"/>
        <w:ind w:firstLine="720"/>
      </w:pPr>
      <w:r>
        <w:t xml:space="preserve">The two literatures have not been brought into contact. No work in the portfolio-design literature treats the value of an early project as the expected reduction in the decision-relevant uncertainty governing a later commitment; the construct is foreign. No work in the sensor-tasking literature applies its inferential-moment, POMDP, and operational-VOI machinery to the ordering of space technology investments; the object is foreign. The boundary between them is exactly the unjoined seam this dissertation occupies.</w:t>
      </w:r>
    </w:p>
    <w:p>
      <w:pPr>
        <w:pStyle w:val="BodyText"/>
        <w:spacing w:line="480" w:lineRule="auto"/>
        <w:ind w:firstLine="720"/>
      </w:pPr>
      <w:r>
        <w:t xml:space="preserve">Why have the two literatures not met? The reason is, in part, sociological. The portfolio-design literature lives in the systems-engineering and operations-research community; the sensor-tasking literature lives in the SSA community. The two communities meet at conferences such as AMOS [2, 4, 5, 6, 10, 13, 14, 15, 16, 17, 18] but rarely cross-cite, and the methodological vocabulary of inferential moments and POMDP rollouts has not yet entered the portfolio-design canon. The two empirical companion papers in this dissertation establish that the conceptual transfer is non-trivial on the audited record, in the sense that the residual information state a NASA major project carries past PDR is significantly associated with its realized cost growth in a four-regressor specification on the GAO panel [7, 11]. The audited record licenses the transfer; the methodological literature supplies the machinery; the bridge has not been built.</w:t>
      </w:r>
    </w:p>
    <w:p>
      <w:pPr>
        <w:pStyle w:val="BodyText"/>
        <w:spacing w:line="480" w:lineRule="auto"/>
        <w:ind w:firstLine="720"/>
      </w:pPr>
      <w:r>
        <w:t xml:space="preserve">A second reason is methodological. The portfolio-design literature operates at the level of project bundles whose values are computed over multi-year horizons against multi-objective figures of merit [1, 24, 25]. The sensor-tasking literature operates at the level of individual observations whose values are computed over minutes-to-hours horizons against single-objective informational returns [2, 4]. The change of object, from observation to project, and the change of horizon, from operational to programmatic, is non-trivial and has not been undertaken systematically. The dissertation’s contribution is to undertake it, by operationalizing the inferential-moment construct of Vanslette and Taing</w:t>
      </w:r>
      <w:r>
        <w:t xml:space="preserve"> </w:t>
      </w:r>
      <w:hyperlink w:anchor="ref-2">
        <w:r>
          <w:rPr>
            <w:rStyle w:val="Hyperlink"/>
          </w:rPr>
          <w:t xml:space="preserve">[2]</w:t>
        </w:r>
      </w:hyperlink>
      <w:r>
        <w:t xml:space="preserve"> </w:t>
      </w:r>
      <w:r>
        <w:t xml:space="preserve">at the project level, embedding it in the POMDP framework of Fedeler, Holzinger, and Whitacre</w:t>
      </w:r>
      <w:r>
        <w:t xml:space="preserve"> </w:t>
      </w:r>
      <w:hyperlink w:anchor="ref-5">
        <w:r>
          <w:rPr>
            <w:rStyle w:val="Hyperlink"/>
          </w:rPr>
          <w:t xml:space="preserve">[5]</w:t>
        </w:r>
      </w:hyperlink>
      <w:r>
        <w:t xml:space="preserve">, identifying the resulting sequencing rule against the static expected-value comparator that the portfolio-design literature [1, 24] supplies, and testing the rule on the TechPort and STMD record that the NASA Technology Taxonomy</w:t>
      </w:r>
      <w:r>
        <w:t xml:space="preserve"> </w:t>
      </w:r>
      <w:hyperlink w:anchor="ref-9">
        <w:r>
          <w:rPr>
            <w:rStyle w:val="Hyperlink"/>
          </w:rPr>
          <w:t xml:space="preserve">[9]</w:t>
        </w:r>
      </w:hyperlink>
      <w:r>
        <w:t xml:space="preserve"> </w:t>
      </w:r>
      <w:r>
        <w:t xml:space="preserve">indexes.</w:t>
      </w:r>
    </w:p>
    <w:bookmarkEnd w:id="81"/>
    <w:bookmarkStart w:id="82" w:name="the-gap-and-the-bridge"/>
    <w:p>
      <w:pPr>
        <w:pStyle w:val="Heading2"/>
        <w:spacing w:line="480" w:lineRule="auto"/>
      </w:pPr>
      <w:r>
        <w:t xml:space="preserve">2.5 The Gap and the Bridge</w:t>
      </w:r>
    </w:p>
    <w:p>
      <w:pPr>
        <w:pStyle w:val="FirstParagraph"/>
        <w:spacing w:line="480" w:lineRule="auto"/>
      </w:pPr>
      <w:r>
        <w:t xml:space="preserve">The gap is now precisely stateable. The portfolio-design literature has the architectural frame within which space technology investments are selected, the empirical demonstration that the information state at decision drives the decision actually made, and the audited record on which the residual information state predicts realized cost growth. The sensor-tasking literature has the decision-theoretic apparatus for pricing the informational return of a candidate action against the cost of taking it. Neither literature has brought the apparatus to bear on the object that the architectural frame contains. The unjoined seam is the place where a candidate space technology project is treated, formally, as a candidate observation whose inferential moment is the expected reduction in the decision-relevant variance of a downstream capital commitment, and whose value is the resulting reduction priced against the project’s own cost.</w:t>
      </w:r>
    </w:p>
    <w:p>
      <w:pPr>
        <w:pStyle w:val="BodyText"/>
        <w:spacing w:line="480" w:lineRule="auto"/>
        <w:ind w:firstLine="720"/>
      </w:pPr>
      <w:r>
        <w:t xml:space="preserve">The bridge that the remainder of this dissertation constructs has three sequential moves. The first move is constructive: operationalize the inferential-moment construct of Vanslette and Taing</w:t>
      </w:r>
      <w:r>
        <w:t xml:space="preserve"> </w:t>
      </w:r>
      <w:hyperlink w:anchor="ref-2">
        <w:r>
          <w:rPr>
            <w:rStyle w:val="Hyperlink"/>
          </w:rPr>
          <w:t xml:space="preserve">[2]</w:t>
        </w:r>
      </w:hyperlink>
      <w:r>
        <w:t xml:space="preserve"> </w:t>
      </w:r>
      <w:r>
        <w:t xml:space="preserve">at the project level, defining the decision-relevant variance reduction that a candidate project produces for each downstream commitment in the portfolio. The second move is computational: embed the resulting valuation in the finite-horizon POMDP framework of Fedeler, Holzinger, and Whitacre</w:t>
      </w:r>
      <w:r>
        <w:t xml:space="preserve"> </w:t>
      </w:r>
      <w:hyperlink w:anchor="ref-5">
        <w:r>
          <w:rPr>
            <w:rStyle w:val="Hyperlink"/>
          </w:rPr>
          <w:t xml:space="preserve">[5]</w:t>
        </w:r>
      </w:hyperlink>
      <w:r>
        <w:t xml:space="preserve">, so that the value of a project is computed forward-looking over the horizon during which downstream commitments will be made, rather than myopically. The third move is empirical: identify the resulting VOI-per-dollar sequencing rule against the static expected-net-value comparator that the flexible-design literature [1, 24] supplies, using paired counterfactual simulation on the TechPort and STMD record</w:t>
      </w:r>
      <w:r>
        <w:t xml:space="preserve"> </w:t>
      </w:r>
      <w:hyperlink w:anchor="ref-9">
        <w:r>
          <w:rPr>
            <w:rStyle w:val="Hyperlink"/>
          </w:rPr>
          <w:t xml:space="preserve">[9]</w:t>
        </w:r>
      </w:hyperlink>
      <w:r>
        <w:t xml:space="preserve">, and recover the moderator on informational coupling from the program-lineage and taxonomy structure that the audited record exposes. The two empirical companion papers in this dissertation [7, 11] establish that the residual information state carried past confirmation is priced on the audited record, which is the empirical precondition without which the sequencing rule would be searching for a price the realized ledger does not pay.</w:t>
      </w:r>
    </w:p>
    <w:p>
      <w:pPr>
        <w:pStyle w:val="BodyText"/>
        <w:spacing w:line="480" w:lineRule="auto"/>
        <w:ind w:firstLine="720"/>
      </w:pPr>
      <w:r>
        <w:t xml:space="preserve">The single falsifiable contribution that the dissertation defends is that ranking candidate space technology projects by their inferential-moment-derived VOI-per-dollar produces sequenced portfolios whose realized value, after uncertainty is resolved, strictly exceeds that of portfolios composed by static expected-net-value selection [1, 2]. The literature reviewed in this chapter establishes that the contribution occupies a real gap, that the methodological apparatus required to defend it is mature in an adjacent community, that the empirical record on which the defense will rest is publicly auditable, and that no prior work has built the bridge the dissertation now constructs. Chapter 3 develops the formal model that makes the contribution precise; Chapter 4 specifies the identification strategy; Chapter 5 presents the empirical results; Chapter 6 discusses implications for research and innovation management of space technology portfolios; Chapter 7 concludes.</w:t>
      </w:r>
    </w:p>
    <w:bookmarkEnd w:id="82"/>
    <w:bookmarkEnd w:id="83"/>
    <w:bookmarkStart w:id="100" w:name="Xcfcc00a3ded59aed0c781c16bfc121f2a509603"/>
    <w:p>
      <w:pPr>
        <w:pStyle w:val="Heading1"/>
        <w:spacing w:line="480" w:lineRule="auto"/>
      </w:pPr>
      <w:r>
        <w:t xml:space="preserve">Chapter 3. Theoretical Framework and Hypotheses</w:t>
      </w:r>
    </w:p>
    <w:bookmarkStart w:id="84" w:name="purpose-of-the-chapter"/>
    <w:p>
      <w:pPr>
        <w:pStyle w:val="Heading2"/>
        <w:spacing w:line="480" w:lineRule="auto"/>
      </w:pPr>
      <w:r>
        <w:t xml:space="preserve">3.1 Purpose of the Chapter</w:t>
      </w:r>
    </w:p>
    <w:p>
      <w:pPr>
        <w:pStyle w:val="FirstParagraph"/>
        <w:spacing w:line="480" w:lineRule="auto"/>
      </w:pPr>
      <w:r>
        <w:t xml:space="preserve">This chapter constructs the theoretical apparatus that supports the dissertation’s single falsifiable contribution and translates that apparatus into the formal hypotheses, H0 and H1, that the empirical chapters will test. The argument proceeds in four stages. The first stage fixes the two intellectual traditions the framework brings into contact: the flexible-design portfolio literature, which has matured a static apparatus for selecting space technology investments under uncertainty, and the value-of-information tradition from space situational awareness, which has matured a sequential apparatus for pricing observations by their expected uncertainty reduction. The second stage states the causal mechanism that the dissertation proposes, namely that informationally coupled space technology projects admit a measurable, dollar-denominated price on the option to defer an expensive commitment until a cheaper precursor has retired the governing uncertainty. The third stage formalizes the mechanism as a decision-theoretic construction and identifies the estimand that distinguishes a value-of-information sequencing rule from static expected-net-value selection. The fourth stage states H0 and H1, specifies the falsification conditions, and locates the prior empirical anchors that the two research papers in this program have already established against the audited NASA program record.</w:t>
      </w:r>
    </w:p>
    <w:p>
      <w:pPr>
        <w:pStyle w:val="BodyText"/>
        <w:spacing w:line="480" w:lineRule="auto"/>
        <w:ind w:firstLine="720"/>
      </w:pPr>
      <w:r>
        <w:t xml:space="preserve">The chapter is organized so that every theoretical move is traceable to a citation in the reference pool and so that the construct, the mechanism, the estimand, and the hypotheses are presented as a single line of argument. The intent is that the empirical chapters that follow inherit the hypotheses without ambiguity and that any reader who disputes the contribution can locate the precise theoretical move at which the dispute arises.</w:t>
      </w:r>
    </w:p>
    <w:bookmarkEnd w:id="84"/>
    <w:bookmarkStart w:id="88" w:name="two-traditions-in-contact"/>
    <w:p>
      <w:pPr>
        <w:pStyle w:val="Heading2"/>
        <w:spacing w:line="480" w:lineRule="auto"/>
      </w:pPr>
      <w:r>
        <w:t xml:space="preserve">3.2 Two Traditions in Contact</w:t>
      </w:r>
    </w:p>
    <w:bookmarkStart w:id="85" w:name="the-flexible-design-portfolio-tradition"/>
    <w:p>
      <w:pPr>
        <w:pStyle w:val="Heading3"/>
        <w:spacing w:line="480" w:lineRule="auto"/>
      </w:pPr>
      <w:r>
        <w:t xml:space="preserve">3.2.1 The Flexible-Design Portfolio Tradition</w:t>
      </w:r>
    </w:p>
    <w:p>
      <w:pPr>
        <w:pStyle w:val="FirstParagraph"/>
        <w:spacing w:line="480" w:lineRule="auto"/>
      </w:pPr>
      <w:r>
        <w:t xml:space="preserve">The flexible-design portfolio tradition treats the selection of a bundle of immature space technologies as a multi-objective optimization under uncertainty. In its mature form it enumerates the design and planning space for a target architecture, attaches a figure of merit that integrates technical, cost, and schedule attributes across uncertain scenarios, and selects the portfolio that performs best across that scenario set. The exemplary recent treatment optimizes a project portfolio across technology investments in an in-situ resource utilization facility on the lunar surface, posing the problem as one of multi-objective decision-making for flexible design and planning under environmental uncertainty</w:t>
      </w:r>
      <w:r>
        <w:t xml:space="preserve"> </w:t>
      </w:r>
      <w:hyperlink w:anchor="ref-1">
        <w:r>
          <w:rPr>
            <w:rStyle w:val="Hyperlink"/>
          </w:rPr>
          <w:t xml:space="preserve">[1]</w:t>
        </w:r>
      </w:hyperlink>
      <w:r>
        <w:t xml:space="preserve">. A companion controlled user study establishes that the situational awareness available to a designer materially changes the design choice made, so that the information state is not a benign parameter of the optimization but a determinant of the outcome</w:t>
      </w:r>
      <w:r>
        <w:t xml:space="preserve"> </w:t>
      </w:r>
      <w:hyperlink w:anchor="ref-3">
        <w:r>
          <w:rPr>
            <w:rStyle w:val="Hyperlink"/>
          </w:rPr>
          <w:t xml:space="preserve">[3]</w:t>
        </w:r>
      </w:hyperlink>
      <w:r>
        <w:t xml:space="preserve">. The tradition is therefore strong on what to hold under a given information state and is explicit that the information state matters, yet it represents that state as a fixed input to a static optimization rather than as a decision variable that the timing of projects can be used to manipulate.</w:t>
      </w:r>
    </w:p>
    <w:p>
      <w:pPr>
        <w:pStyle w:val="BodyText"/>
        <w:spacing w:line="480" w:lineRule="auto"/>
        <w:ind w:firstLine="720"/>
      </w:pPr>
      <w:r>
        <w:t xml:space="preserve">A complementary line within the same tradition treats deployment timing as a flexibility lever rather than a static schedule. Staged deployment of multi-layer satellite constellations under demand uncertainty has been formalized as a flexible-design problem in which the deferral of later stages is itself a managerial choice that carries option value</w:t>
      </w:r>
      <w:r>
        <w:t xml:space="preserve"> </w:t>
      </w:r>
      <w:hyperlink w:anchor="ref-25">
        <w:r>
          <w:rPr>
            <w:rStyle w:val="Hyperlink"/>
          </w:rPr>
          <w:t xml:space="preserve">[25]</w:t>
        </w:r>
      </w:hyperlink>
      <w:r>
        <w:t xml:space="preserve">. The construction is structurally adjacent to the present dissertation in that it admits sequencing as a decision variable, but it prices the option to defer against demand uncertainty rather than against the precursor technical uncertainty that the present model takes as its primitive. The intellectual move the dissertation needs, that the value of an early project be priced as the expected reduction in the decision-relevant uncertainty of a later commitment, is absent from this branch.</w:t>
      </w:r>
    </w:p>
    <w:bookmarkEnd w:id="85"/>
    <w:bookmarkStart w:id="86" w:name="the-value-of-information-tradition"/>
    <w:p>
      <w:pPr>
        <w:pStyle w:val="Heading3"/>
        <w:spacing w:line="480" w:lineRule="auto"/>
      </w:pPr>
      <w:r>
        <w:t xml:space="preserve">3.2.2 The Value-of-Information Tradition</w:t>
      </w:r>
    </w:p>
    <w:p>
      <w:pPr>
        <w:pStyle w:val="FirstParagraph"/>
        <w:spacing w:line="480" w:lineRule="auto"/>
      </w:pPr>
      <w:r>
        <w:t xml:space="preserve">The value-of-information tradition has developed an explicit formal apparatus for pricing actions by their expected informational return. In its space-situational-awareness instantiation the tradition treats sensor tasking as the choice of an action that maximizes the expected reduction in a decision-relevant moment of the posterior over the state to be acted upon. Recent work makes this construction explicit for conjunction-driven tasking by quantifying the decision-relevant uncertainty an observation resolves through an inferential-moments formulation</w:t>
      </w:r>
      <w:r>
        <w:t xml:space="preserve"> </w:t>
      </w:r>
      <w:hyperlink w:anchor="ref-2">
        <w:r>
          <w:rPr>
            <w:rStyle w:val="Hyperlink"/>
          </w:rPr>
          <w:t xml:space="preserve">[2]</w:t>
        </w:r>
      </w:hyperlink>
      <w:r>
        <w:t xml:space="preserve">. The reward-function treatment generalizes the construction by incorporating target priorities, so that the informational return of a tasking action is weighted by the operational stake attached to the object being observed</w:t>
      </w:r>
      <w:r>
        <w:t xml:space="preserve"> </w:t>
      </w:r>
      <w:hyperlink w:anchor="ref-4">
        <w:r>
          <w:rPr>
            <w:rStyle w:val="Hyperlink"/>
          </w:rPr>
          <w:t xml:space="preserve">[4]</w:t>
        </w:r>
      </w:hyperlink>
      <w:r>
        <w:t xml:space="preserve">. The tree-search treatment of partially observed sequential tasking shows that the same construction extends naturally over a horizon, so that the value of an action is computed against the consequences of later actions rather than evaluated myopically</w:t>
      </w:r>
      <w:r>
        <w:t xml:space="preserve"> </w:t>
      </w:r>
      <w:hyperlink w:anchor="ref-5">
        <w:r>
          <w:rPr>
            <w:rStyle w:val="Hyperlink"/>
          </w:rPr>
          <w:t xml:space="preserve">[5]</w:t>
        </w:r>
      </w:hyperlink>
      <w:r>
        <w:t xml:space="preserve">. Operational systems already permit the value of collection on each tracked object to drive tasking decisions over time</w:t>
      </w:r>
      <w:r>
        <w:t xml:space="preserve"> </w:t>
      </w:r>
      <w:hyperlink w:anchor="ref-6">
        <w:r>
          <w:rPr>
            <w:rStyle w:val="Hyperlink"/>
          </w:rPr>
          <w:t xml:space="preserve">[6]</w:t>
        </w:r>
      </w:hyperlink>
      <w:r>
        <w:t xml:space="preserve">. Further work on multi-spacecraft predictive sensor tasking carries the construction into cislunar space and demonstrates that the informational return of a tasking action depends on the predicted state of the network at the moment the action would be taken</w:t>
      </w:r>
      <w:r>
        <w:t xml:space="preserve"> </w:t>
      </w:r>
      <w:hyperlink w:anchor="ref-17">
        <w:r>
          <w:rPr>
            <w:rStyle w:val="Hyperlink"/>
          </w:rPr>
          <w:t xml:space="preserve">[17]</w:t>
        </w:r>
      </w:hyperlink>
      <w:r>
        <w:t xml:space="preserve">, and work on orbit-accuracy-based tasking shows that pricing tasking actions by their expected accuracy gain reshapes the efficiency frontier of a sensor network as a whole</w:t>
      </w:r>
      <w:r>
        <w:t xml:space="preserve"> </w:t>
      </w:r>
      <w:hyperlink w:anchor="ref-10">
        <w:r>
          <w:rPr>
            <w:rStyle w:val="Hyperlink"/>
          </w:rPr>
          <w:t xml:space="preserve">[10]</w:t>
        </w:r>
      </w:hyperlink>
      <w:r>
        <w:t xml:space="preserve">. Decision-support work on cognitive-systems engineering of SSA decision systems makes the case that the operational utility of an informational quantity is itself a function of how the quantity enters the human-machine decision pipeline, which is the analogue, in the portfolio setting, of how a project’s informational return enters the sequencing rule the manager will actually follow</w:t>
      </w:r>
      <w:r>
        <w:t xml:space="preserve"> </w:t>
      </w:r>
      <w:hyperlink w:anchor="ref-18">
        <w:r>
          <w:rPr>
            <w:rStyle w:val="Hyperlink"/>
          </w:rPr>
          <w:t xml:space="preserve">[18]</w:t>
        </w:r>
      </w:hyperlink>
      <w:r>
        <w:t xml:space="preserve">.</w:t>
      </w:r>
    </w:p>
    <w:p>
      <w:pPr>
        <w:pStyle w:val="BodyText"/>
        <w:spacing w:line="480" w:lineRule="auto"/>
        <w:ind w:firstLine="720"/>
      </w:pPr>
      <w:r>
        <w:t xml:space="preserve">This tradition is strong on pricing information sequentially and on demonstrating that the sequential price is non-trivial against the myopic price, yet it has not been carried across the boundary into research and innovation portfolio management. The dissertation’s intellectual contribution is the carrying across of that boundary. The construct that travels is the value of an action priced as the expected reduction in a decision-relevant uncertainty over the state to be acted upon. The action that is repriced is no longer a sensor tasking action but a space technology project funded inside a portfolio. The state to be acted upon is no longer an orbit but the program’s downstream commitment to a more expensive technology investment.</w:t>
      </w:r>
    </w:p>
    <w:bookmarkEnd w:id="86"/>
    <w:bookmarkStart w:id="87" w:name="the-gap-as-a-bridge"/>
    <w:p>
      <w:pPr>
        <w:pStyle w:val="Heading3"/>
        <w:spacing w:line="480" w:lineRule="auto"/>
      </w:pPr>
      <w:r>
        <w:t xml:space="preserve">3.2.3 The Gap as a Bridge</w:t>
      </w:r>
    </w:p>
    <w:p>
      <w:pPr>
        <w:pStyle w:val="FirstParagraph"/>
        <w:spacing w:line="480" w:lineRule="auto"/>
      </w:pPr>
      <w:r>
        <w:t xml:space="preserve">The gap that the dissertation occupies is the bridge between the two traditions. One tradition has selection without sequencing. The other has sequencing without selection. The dissertation proposes a model in which selection is held fixed at the flexible-design baseline and sequencing is repriced by the value-of-information construction, so that the static figure of merit and the sequential price are nested rather than competing. This nesting is the move that permits the empirical identification described in section 3.4: a paired counterfactual that holds selection and realized uncertainty draws fixed and varies only the sequencing rule.</w:t>
      </w:r>
    </w:p>
    <w:bookmarkEnd w:id="87"/>
    <w:bookmarkEnd w:id="88"/>
    <w:bookmarkStart w:id="93" w:name="the-causal-mechanism"/>
    <w:p>
      <w:pPr>
        <w:pStyle w:val="Heading2"/>
        <w:spacing w:line="480" w:lineRule="auto"/>
      </w:pPr>
      <w:r>
        <w:t xml:space="preserve">3.3 The Causal Mechanism</w:t>
      </w:r>
    </w:p>
    <w:bookmarkStart w:id="89" w:name="informational-coupling-between-projects"/>
    <w:p>
      <w:pPr>
        <w:pStyle w:val="Heading3"/>
        <w:spacing w:line="480" w:lineRule="auto"/>
      </w:pPr>
      <w:r>
        <w:t xml:space="preserve">3.3.1 Informational Coupling Between Projects</w:t>
      </w:r>
    </w:p>
    <w:p>
      <w:pPr>
        <w:pStyle w:val="FirstParagraph"/>
        <w:spacing w:line="480" w:lineRule="auto"/>
      </w:pPr>
      <w:r>
        <w:t xml:space="preserve">The causal mechanism the dissertation proposes rests on a single empirical primitive, namely that space technology projects within a portfolio are informationally coupled. Two projects are informationally coupled when the realization of the first project’s outcome updates the program’s belief over the second project’s payoff. The primitive is empirically anchored: the flexible-design treatment of lunar oxygen production explicitly portrays an environment in which the performance of candidate process technologies is unknown until demonstrated and in which the demonstration of one process technology updates the program’s belief over the value of investing in a coupled process technology</w:t>
      </w:r>
      <w:r>
        <w:t xml:space="preserve"> </w:t>
      </w:r>
      <w:hyperlink w:anchor="ref-1">
        <w:r>
          <w:rPr>
            <w:rStyle w:val="Hyperlink"/>
          </w:rPr>
          <w:t xml:space="preserve">[1]</w:t>
        </w:r>
      </w:hyperlink>
      <w:r>
        <w:t xml:space="preserve">. The controlled user study on lunar in-situ resource utilization design decisions confirms that the information available at the moment of commitment changes the choice made, which is the behavioral analogue of informational coupling at the level of the decision-maker</w:t>
      </w:r>
      <w:r>
        <w:t xml:space="preserve"> </w:t>
      </w:r>
      <w:hyperlink w:anchor="ref-3">
        <w:r>
          <w:rPr>
            <w:rStyle w:val="Hyperlink"/>
          </w:rPr>
          <w:t xml:space="preserve">[3]</w:t>
        </w:r>
      </w:hyperlink>
      <w:r>
        <w:t xml:space="preserve">. Coupling, in this construction, is therefore not a modeling convenience but the empirically grounded primitive that the model treats as its first-order object.</w:t>
      </w:r>
    </w:p>
    <w:bookmarkEnd w:id="89"/>
    <w:bookmarkStart w:id="90" w:name="X3a23acce8b5fb374584e1c82d041eaeb5156425"/>
    <w:p>
      <w:pPr>
        <w:pStyle w:val="Heading3"/>
        <w:spacing w:line="480" w:lineRule="auto"/>
      </w:pPr>
      <w:r>
        <w:t xml:space="preserve">3.3.2 The Price on Unresolved Precursor Uncertainty</w:t>
      </w:r>
    </w:p>
    <w:p>
      <w:pPr>
        <w:pStyle w:val="FirstParagraph"/>
        <w:spacing w:line="480" w:lineRule="auto"/>
      </w:pPr>
      <w:r>
        <w:t xml:space="preserve">Given informational coupling, the mechanism follows in three steps. First, a project funded before a coupled project produces evidence that updates the program’s belief over the coupled project’s payoff. Second, the updated belief alters the optimal commitment to the coupled project, in some realizations enlarging it and in others contracting or canceling it. Third, the expected value of the program over the realized distribution of belief updates is strictly greater than the expected value under the static commitment, because the option to revise the coupled commitment is exercised only when it is in the program’s interest to do so. The expected gain from this option is the value of information attached to the early project, and it is denominated in the same units as the program’s ledger.</w:t>
      </w:r>
    </w:p>
    <w:p>
      <w:pPr>
        <w:pStyle w:val="BodyText"/>
        <w:spacing w:line="480" w:lineRule="auto"/>
        <w:ind w:firstLine="720"/>
      </w:pPr>
      <w:r>
        <w:t xml:space="preserve">The first empirical paper in this dissertation supplies the audited anchor for the price on unresolved precursor uncertainty. On the GAO Major Project Assessment cross-section, the partial association between the technology readiness level recorded at confirmation and realized cost growth runs in the direction the value-of-information construction predicts: the directional support is present at borderline significance in a thirty-five-project cross-section, with the elapsed-time control carrying the bulk of the explained variance [7, 8, 11]. The second empirical paper sharpens the anchor on a panel assembled from the 2020 through 2025 GAO reports. The conditional association between entry technology readiness at preliminary design review and realized cost growth is negative, sizable, and statistically significant at the conventional five percent level once design maturity, life-cycle cost, and an under-mature critical technology indicator are held fixed [7, 11]. The shadow price implied by the conditional estimate, approximately nine percentage points of realized cost growth per readiness level, is the empirical anchor that the sequencing rule developed in this chapter is built to manipulate.</w:t>
      </w:r>
    </w:p>
    <w:bookmarkEnd w:id="90"/>
    <w:bookmarkStart w:id="91" w:name="the-mechanism-in-sequencing-terms"/>
    <w:p>
      <w:pPr>
        <w:pStyle w:val="Heading3"/>
        <w:spacing w:line="480" w:lineRule="auto"/>
      </w:pPr>
      <w:r>
        <w:t xml:space="preserve">3.3.3 The Mechanism in Sequencing Terms</w:t>
      </w:r>
    </w:p>
    <w:p>
      <w:pPr>
        <w:pStyle w:val="FirstParagraph"/>
        <w:spacing w:line="480" w:lineRule="auto"/>
      </w:pPr>
      <w:r>
        <w:t xml:space="preserve">Translating the mechanism into sequencing terms, the dissertation argues that the order in which a portfolio funds its candidate projects determines the expected belief state at every later commitment point. A sequencing rule that fronts a low-cost, high-information-yield project before a high-cost, high-coupling commitment manufactures a richer belief at the commitment point, and the program’s downstream choice is consequently better calibrated. A sequencing rule that fronts the commitment before the precursor wastes the informational return that the precursor would have produced. The mechanism is therefore not a property of the project set but a property of the rule by which the set is ordered. The flexible-design literature, by treating selection as the only decision variable and by holding sequencing fixed at the planner’s default, prices only the bundle it holds and ignores the price on the bundle’s order. The value-of-information construction repairs the omission.</w:t>
      </w:r>
    </w:p>
    <w:bookmarkEnd w:id="91"/>
    <w:bookmarkStart w:id="92" w:name="Xf5a5565cbf179d7344d51e201f9eb87debe759e"/>
    <w:p>
      <w:pPr>
        <w:pStyle w:val="Heading3"/>
        <w:spacing w:line="480" w:lineRule="auto"/>
      </w:pPr>
      <w:r>
        <w:t xml:space="preserve">3.3.4 Why the Mechanism Survives the Selection Margin</w:t>
      </w:r>
    </w:p>
    <w:p>
      <w:pPr>
        <w:pStyle w:val="FirstParagraph"/>
        <w:spacing w:line="480" w:lineRule="auto"/>
      </w:pPr>
      <w:r>
        <w:t xml:space="preserve">A possible objection is that any informational gain from sequencing should already be absorbed at the selection margin: a portfolio that selects an early demonstration project as its preferred bundle is, on this view, already pricing the informational return implicitly. The objection does not survive inspection. Selection under a multi-objective figure of merit ranks bundles, not orderings. Two bundles can be selection-equivalent yet differ in their ordering. The value of that difference is exactly what the value-of-information rule prices</w:t>
      </w:r>
      <w:r>
        <w:t xml:space="preserve"> </w:t>
      </w:r>
      <w:hyperlink w:anchor="ref-1">
        <w:r>
          <w:rPr>
            <w:rStyle w:val="Hyperlink"/>
          </w:rPr>
          <w:t xml:space="preserve">[1]</w:t>
        </w:r>
      </w:hyperlink>
      <w:r>
        <w:t xml:space="preserve">. Equivalently, the static figure of merit treats the information state as a fixed input and does not compute the expected value over realized uncertainty draws conditional on a chosen order, which is the quantity the sequential apparatus is designed to compute [2, 5]. The selection margin and the sequencing margin are therefore distinct, and the present model occupies the sequencing margin alone.</w:t>
      </w:r>
    </w:p>
    <w:bookmarkEnd w:id="92"/>
    <w:bookmarkEnd w:id="93"/>
    <w:bookmarkStart w:id="98" w:name="formalization-and-estimand"/>
    <w:p>
      <w:pPr>
        <w:pStyle w:val="Heading2"/>
        <w:spacing w:line="480" w:lineRule="auto"/>
      </w:pPr>
      <w:r>
        <w:t xml:space="preserve">3.4 Formalization and Estimand</w:t>
      </w:r>
    </w:p>
    <w:bookmarkStart w:id="94" w:name="decision-theoretic-construction"/>
    <w:p>
      <w:pPr>
        <w:pStyle w:val="Heading3"/>
        <w:spacing w:line="480" w:lineRule="auto"/>
      </w:pPr>
      <w:r>
        <w:t xml:space="preserve">3.4.1 Decision-Theoretic Construction</w:t>
      </w:r>
    </w:p>
    <w:p>
      <w:pPr>
        <w:pStyle w:val="FirstParagraph"/>
        <w:spacing w:line="480" w:lineRule="auto"/>
      </w:pPr>
      <w:r>
        <w:t xml:space="preserve">The model formalizes the mechanism as a finite-horizon partially observed decision process. At time t the state is the program’s belief over the realized performance of each candidate technology, written as a posterior over a vector of technology-specific performance parameters. An action funds one project from the remaining candidate set, draws a realization for that project’s performance, and updates the belief over both the funded project and every project that is informationally coupled to it. The reward at the horizon is the realized portfolio value, computed as the sum of the realized payoffs of the funded projects under the realized performance draws and conditional on the commitments the program elected to make given the belief at each commitment point. The construction follows the partially observed sequential decision framework that the tree-search treatment of sensor tasking has formalized for SSA tasking</w:t>
      </w:r>
      <w:r>
        <w:t xml:space="preserve"> </w:t>
      </w:r>
      <w:hyperlink w:anchor="ref-5">
        <w:r>
          <w:rPr>
            <w:rStyle w:val="Hyperlink"/>
          </w:rPr>
          <w:t xml:space="preserve">[5]</w:t>
        </w:r>
      </w:hyperlink>
      <w:r>
        <w:t xml:space="preserve">, with the substitution of technology projects for sensor actions and of program belief over technology performance for the belief over orbital state.</w:t>
      </w:r>
    </w:p>
    <w:p>
      <w:pPr>
        <w:pStyle w:val="BodyText"/>
        <w:spacing w:line="480" w:lineRule="auto"/>
        <w:ind w:firstLine="720"/>
      </w:pPr>
      <w:r>
        <w:t xml:space="preserve">The value of information attached to a candidate action a at a state s is the expected difference between the reward at the horizon under the optimal policy that includes action a at state s and the reward under the optimal policy that does not. Operationally the dissertation adopts the inferential-moments construction from</w:t>
      </w:r>
      <w:r>
        <w:t xml:space="preserve"> </w:t>
      </w:r>
      <w:hyperlink w:anchor="ref-2">
        <w:r>
          <w:rPr>
            <w:rStyle w:val="Hyperlink"/>
          </w:rPr>
          <w:t xml:space="preserve">[2]</w:t>
        </w:r>
      </w:hyperlink>
      <w:r>
        <w:t xml:space="preserve">, in which the value of an action is the expected reduction in the decision-relevant variance of the posterior over the state to be acted upon, and adapts it so that the state to be acted upon is the program’s downstream commitment to a coupled project. The reward function is weighted by the cost of the commitment in question, so that informational return is denominated per dollar of downstream commitment exposed, following the construction in</w:t>
      </w:r>
      <w:r>
        <w:t xml:space="preserve"> </w:t>
      </w:r>
      <w:hyperlink w:anchor="ref-4">
        <w:r>
          <w:rPr>
            <w:rStyle w:val="Hyperlink"/>
          </w:rPr>
          <w:t xml:space="preserve">[4]</w:t>
        </w:r>
      </w:hyperlink>
      <w:r>
        <w:t xml:space="preserve"> </w:t>
      </w:r>
      <w:r>
        <w:t xml:space="preserve">that weights informational return by the operational stake of the object being observed.</w:t>
      </w:r>
    </w:p>
    <w:bookmarkEnd w:id="94"/>
    <w:bookmarkStart w:id="95" w:name="the-two-sequencing-rules"/>
    <w:p>
      <w:pPr>
        <w:pStyle w:val="Heading3"/>
        <w:spacing w:line="480" w:lineRule="auto"/>
      </w:pPr>
      <w:r>
        <w:t xml:space="preserve">3.4.2 The Two Sequencing Rules</w:t>
      </w:r>
    </w:p>
    <w:p>
      <w:pPr>
        <w:pStyle w:val="FirstParagraph"/>
        <w:spacing w:line="480" w:lineRule="auto"/>
      </w:pPr>
      <w:r>
        <w:t xml:space="preserve">The dissertation compares two sequencing rules on the identical project set under identical realized performance draws. The first rule, the static expected-net-value rule, selects at each step the candidate project with the highest expected net value under the prior belief and ignores the informational return the project produces for coupled projects. This is the flexible-design baseline implied by</w:t>
      </w:r>
      <w:r>
        <w:t xml:space="preserve"> </w:t>
      </w:r>
      <w:hyperlink w:anchor="ref-1">
        <w:r>
          <w:rPr>
            <w:rStyle w:val="Hyperlink"/>
          </w:rPr>
          <w:t xml:space="preserve">[1]</w:t>
        </w:r>
      </w:hyperlink>
      <w:r>
        <w:t xml:space="preserve"> </w:t>
      </w:r>
      <w:r>
        <w:t xml:space="preserve">and</w:t>
      </w:r>
      <w:r>
        <w:t xml:space="preserve"> </w:t>
      </w:r>
      <w:hyperlink w:anchor="ref-3">
        <w:r>
          <w:rPr>
            <w:rStyle w:val="Hyperlink"/>
          </w:rPr>
          <w:t xml:space="preserve">[3]</w:t>
        </w:r>
      </w:hyperlink>
      <w:r>
        <w:t xml:space="preserve"> </w:t>
      </w:r>
      <w:r>
        <w:t xml:space="preserve">when sequencing is left to the planner’s default. The second rule, the value-of-information rule, selects at each step the candidate project with the highest ratio of informational return to project cost, where informational return is computed as the expected reduction in the decision-relevant variance of the downstream commitment to coupled projects under the inferential-moments construction [2, 4, 5]. The two rules are nested within the same selection set and operate over the same realized draws, which is the design that makes the within-pair differential identifying for the sequencing rule alone.</w:t>
      </w:r>
    </w:p>
    <w:bookmarkEnd w:id="95"/>
    <w:bookmarkStart w:id="96" w:name="the-estimand"/>
    <w:p>
      <w:pPr>
        <w:pStyle w:val="Heading3"/>
        <w:spacing w:line="480" w:lineRule="auto"/>
      </w:pPr>
      <w:r>
        <w:t xml:space="preserve">3.4.3 The Estimand</w:t>
      </w:r>
    </w:p>
    <w:p>
      <w:pPr>
        <w:pStyle w:val="FirstParagraph"/>
        <w:spacing w:line="480" w:lineRule="auto"/>
      </w:pPr>
      <w:r>
        <w:t xml:space="preserve">The estimand is the realized-value differential between the two rules applied to the same portfolio of projects under the same realized uncertainty draws. The estimand is conditional, not causal, because the realized draws are observed rather than assigned. It is, however, identifying for the sequencing rule because the draws are held fixed within pairs and the only variation across rules is the order in which the projects are funded and the consequent revision of commitments. The H1 moderator, the informational coupling index across projects, is identified by interacting the within-pair differential with the coupling index measured on the NASA Technology Taxonomy and TechPort program lineage data</w:t>
      </w:r>
      <w:r>
        <w:t xml:space="preserve"> </w:t>
      </w:r>
      <w:hyperlink w:anchor="ref-9">
        <w:r>
          <w:rPr>
            <w:rStyle w:val="Hyperlink"/>
          </w:rPr>
          <w:t xml:space="preserve">[9]</w:t>
        </w:r>
      </w:hyperlink>
      <w:r>
        <w:t xml:space="preserve">. The two empirical papers establish the prior anchors that justify estimating the differential on this design: the cross-section in the first paper shows the directional partial association the construction predicts [7, 8, 11], and the panel in the second paper shows the conditional association at conventional significance [7, 11].</w:t>
      </w:r>
    </w:p>
    <w:bookmarkEnd w:id="96"/>
    <w:bookmarkStart w:id="97" w:name="what-the-construction-does-not-claim"/>
    <w:p>
      <w:pPr>
        <w:pStyle w:val="Heading3"/>
        <w:spacing w:line="480" w:lineRule="auto"/>
      </w:pPr>
      <w:r>
        <w:t xml:space="preserve">3.4.4 What the Construction Does Not Claim</w:t>
      </w:r>
    </w:p>
    <w:p>
      <w:pPr>
        <w:pStyle w:val="FirstParagraph"/>
        <w:spacing w:line="480" w:lineRule="auto"/>
      </w:pPr>
      <w:r>
        <w:t xml:space="preserve">The construction does not claim that the value-of-information rule dominates the static rule in every realization. It claims that the expected within-pair differential, computed over the realized distribution of uncertainty draws, is strictly positive, and that the differential is increasing in the degree of informational coupling among projects. Some realizations yield little. Where the early project’s draw produces small belief revision, the differential is small or zero. Realizations in which the early project’s draw produces large belief revisions, exercised by the program through revised commitments, will yield large differentials. The expectation over the realized distribution is the quantity H1 names.</w:t>
      </w:r>
    </w:p>
    <w:bookmarkEnd w:id="97"/>
    <w:bookmarkEnd w:id="98"/>
    <w:bookmarkStart w:id="99" w:name="hypotheses"/>
    <w:p>
      <w:pPr>
        <w:pStyle w:val="Heading2"/>
        <w:spacing w:line="480" w:lineRule="auto"/>
      </w:pPr>
      <w:r>
        <w:t xml:space="preserve">3.5 Hypotheses</w:t>
      </w:r>
    </w:p>
    <w:p>
      <w:pPr>
        <w:pStyle w:val="FirstParagraph"/>
        <w:spacing w:line="480" w:lineRule="auto"/>
      </w:pPr>
      <w:r>
        <w:t xml:space="preserve">The framework supports two formal hypotheses, stated as a single null and its alternative. The hypotheses are stated at the level of the within-pair differential defined in section 3.4.3 and are intended to be tested on the paired-counterfactual design that the empirical chapters will execute on the NASA Technology Taxonomy and TechPort dataset</w:t>
      </w:r>
      <w:r>
        <w:t xml:space="preserve"> </w:t>
      </w:r>
      <w:hyperlink w:anchor="ref-9">
        <w:r>
          <w:rPr>
            <w:rStyle w:val="Hyperlink"/>
          </w:rPr>
          <w:t xml:space="preserve">[9]</w:t>
        </w:r>
      </w:hyperlink>
      <w:r>
        <w:t xml:space="preserve">.</w:t>
      </w:r>
    </w:p>
    <w:p>
      <w:pPr>
        <w:pStyle w:val="BodyText"/>
        <w:spacing w:line="480" w:lineRule="auto"/>
        <w:ind w:firstLine="720"/>
      </w:pPr>
      <w:r>
        <w:rPr>
          <w:b/>
          <w:bCs/>
        </w:rPr>
        <w:t xml:space="preserve">H0 (null).</w:t>
      </w:r>
      <w:r>
        <w:t xml:space="preserve"> </w:t>
      </w:r>
      <w:r>
        <w:t xml:space="preserve">Sequencing a space technology portfolio by value-of-information per dollar yields realized portfolio value no greater than sequencing by static expected-net-value. The expected within-pair differential, computed over the realized distribution of uncertainty draws, is zero or negative. The expected reduction in decision-relevant uncertainty that an early project delivers carries no measurable portfolio-level premium once selection is held fixed.</w:t>
      </w:r>
    </w:p>
    <w:p>
      <w:pPr>
        <w:pStyle w:val="BodyText"/>
        <w:spacing w:line="480" w:lineRule="auto"/>
        <w:ind w:firstLine="720"/>
      </w:pPr>
      <w:r>
        <w:rPr>
          <w:b/>
          <w:bCs/>
        </w:rPr>
        <w:t xml:space="preserve">H1 (alternative).</w:t>
      </w:r>
      <w:r>
        <w:t xml:space="preserve"> </w:t>
      </w:r>
      <w:r>
        <w:t xml:space="preserve">Sequencing by value-of-information per dollar yields strictly higher realized portfolio value than static expected-net-value selection, and the size of the premium is monotonically increasing in the degree of informational coupling between projects in the portfolio.</w:t>
      </w:r>
    </w:p>
    <w:p>
      <w:pPr>
        <w:pStyle w:val="BodyText"/>
        <w:spacing w:line="480" w:lineRule="auto"/>
        <w:ind w:firstLine="720"/>
      </w:pPr>
      <w:r>
        <w:t xml:space="preserve">H1 is falsified under two distinct conditions, each of which the empirical chapters will report independently. First, H1 is falsified if the within-pair differential, estimated on the paired-counterfactual design, fails to exceed zero at the conventional five percent level on the analytic sample. Second, H1 is falsified if the moderator on informational coupling, estimated as the interaction between the within-pair differential and the coupling index, does not exhibit the monotone positive relationship the construction predicts. Each condition is sufficient for falsification, and the two conditions are reported separately so that the falsification record is granular at the level the prospectus’s contribution requires.</w:t>
      </w:r>
    </w:p>
    <w:p>
      <w:pPr>
        <w:pStyle w:val="BodyText"/>
        <w:spacing w:line="480" w:lineRule="auto"/>
        <w:ind w:firstLine="720"/>
      </w:pPr>
      <w:r>
        <w:t xml:space="preserve">The two empirical papers already supply partial empirical content for the alternative. The cross-section in the first paper rules out the strongest form of the null, namely that the audited record shows no association between unresolved precursor uncertainty and realized cost growth [7, 8, 11]. The panel in the second paper sharpens the audited anchor to conventional significance once a size control and an under-mature critical technology indicator are added [7, 11]. Neither paper, however, tests H1 directly, because each paper estimates a conditional association on the realized cost line rather than the within-pair differential between the two sequencing rules. The empirical chapters that follow estimate the within-pair differential on the design described in section 3.4 and report the result against the falsification conditions stated above. The chapter closes by registering the four threats to validity already documented in the prospectus, namely construct validity for the transfer of the inferential-moments measure across domains, internal validity for the belief-update model, external validity for generalization beyond NASA-funded portfolios, and measurement error in the coupling moderator, which is attenuating and therefore conservative.</w:t>
      </w:r>
    </w:p>
    <w:bookmarkEnd w:id="99"/>
    <w:bookmarkEnd w:id="100"/>
    <w:bookmarkStart w:id="108" w:name="chapter-4.-data-and-measurement"/>
    <w:p>
      <w:pPr>
        <w:pStyle w:val="Heading1"/>
        <w:spacing w:line="480" w:lineRule="auto"/>
      </w:pPr>
      <w:r>
        <w:t xml:space="preserve">Chapter 4. Data and Measurement</w:t>
      </w:r>
    </w:p>
    <w:bookmarkStart w:id="101" w:name="overview-and-chapter-plan"/>
    <w:p>
      <w:pPr>
        <w:pStyle w:val="Heading2"/>
        <w:spacing w:line="480" w:lineRule="auto"/>
      </w:pPr>
      <w:r>
        <w:t xml:space="preserve">4.1 Overview and Chapter Plan</w:t>
      </w:r>
    </w:p>
    <w:p>
      <w:pPr>
        <w:pStyle w:val="FirstParagraph"/>
        <w:spacing w:line="480" w:lineRule="auto"/>
      </w:pPr>
      <w:r>
        <w:t xml:space="preserve">This chapter documents the data and measurement infrastructure on which the two empirical companions to the prospectus rest. The dissertation’s central claim, that ranking candidate space technology projects by value of information per dollar produces sequenced portfolios whose realized value strictly exceeds that of portfolios composed by static expected net value selection, is testable only if the residual uncertainty a project carries past commitment, and the realized financial consequence of that uncertainty, can both be observed in an audited record. The two empirical papers contained within this dissertation locate that record in a single authoritative source, the United States Government Accountability Office’s annual NASA Assessments of Major Projects series, and assemble from it a cross sectional dataset of thirty five NASA major projects whose entry technology readiness, design maturity, life cycle cost, schedule, and realized cost growth are each traceable to an audited table in a specific GAO product. The prospectus also identifies a complementary source, the NASA Technology Transfer and TechPort archive operating on the NASA Technology Taxonomy</w:t>
      </w:r>
      <w:r>
        <w:t xml:space="preserve"> </w:t>
      </w:r>
      <w:hyperlink w:anchor="ref-9">
        <w:r>
          <w:rPr>
            <w:rStyle w:val="Hyperlink"/>
          </w:rPr>
          <w:t xml:space="preserve">[9]</w:t>
        </w:r>
      </w:hyperlink>
      <w:r>
        <w:t xml:space="preserve">, as the staged technology investment dataset against which the full sequencing rule is parameterized in the larger dissertation; that source is described here as the bridge between the audited major project record and the project lineage data the moderator on informational coupling ultimately requires.</w:t>
      </w:r>
    </w:p>
    <w:p>
      <w:pPr>
        <w:pStyle w:val="BodyText"/>
        <w:spacing w:line="480" w:lineRule="auto"/>
        <w:ind w:firstLine="720"/>
      </w:pPr>
      <w:r>
        <w:t xml:space="preserve">The chapter proceeds in seven sections. Section 4.2 fixes the unit of analysis. Section 4.3 establishes the authoritative provenance of the primary dataset, identifies the GAO products that source each row, and documents the public NASA Technology Taxonomy and TechPort artifacts that supply the staged technology project records used to operationalize informational coupling. Section 4.4 specifies the sample frame, the inclusion and exclusion rules, and the resulting analytic cohort. Section 4.5 constructs each variable from primary records, including the dependent variable, the four entry information state regressors used in the second empirical paper, and the complexity and coupling indices used in the first. Section 4.6 documents the construction of the informational coupling index, the variable that bears the heaviest measurement burden in the dissertation and against which the prospectus directs the most explicit attenuation warning. Section 4.7 records the data quality, replicability, and traceability protocols that govern the analytic file, including row level provenance, the version control of derived indices, and the procedures used to reconcile a project that appears in successive GAO products with shifting baselines.</w:t>
      </w:r>
    </w:p>
    <w:bookmarkEnd w:id="101"/>
    <w:bookmarkStart w:id="102" w:name="unit-of-analysis"/>
    <w:p>
      <w:pPr>
        <w:pStyle w:val="Heading2"/>
        <w:spacing w:line="480" w:lineRule="auto"/>
      </w:pPr>
      <w:r>
        <w:t xml:space="preserve">4.2 Unit of Analysis</w:t>
      </w:r>
    </w:p>
    <w:p>
      <w:pPr>
        <w:pStyle w:val="FirstParagraph"/>
        <w:spacing w:line="480" w:lineRule="auto"/>
      </w:pPr>
      <w:r>
        <w:t xml:space="preserve">The unit of analysis throughout both empirical papers is the NASA major space project, observed at the most recent GAO assessment in which the project appears within the sample window. A NASA major project, as the term is used by the GAO in its statutorily mandated annual assessment series, is a NASA flight project with a life cycle cost above the threshold for inclusion in the annual report, observed at successive Key Decision Points and reported against the development cost and schedule baseline established at Key Decision Point C. Why the project life cycle rather than the project year? The structure of the audited record dictates the choice. The GAO series tracks each project across multiple annual reports, refreshing its cost, schedule, and technology readiness fields against the same Key Decision Point C baseline that the project established at confirmation. Each annual entry is therefore a snapshot of the same underlying project life cycle. The natural unit at which the residual information state at commitment can be cleanly related to the realized cost growth at the end of execution is the project itself, observed at the latest available snapshot within the sample window.</w:t>
      </w:r>
    </w:p>
    <w:p>
      <w:pPr>
        <w:pStyle w:val="BodyText"/>
        <w:spacing w:line="480" w:lineRule="auto"/>
        <w:ind w:firstLine="720"/>
      </w:pPr>
      <w:r>
        <w:t xml:space="preserve">The decision to observe each project at its latest snapshot, rather than to pool all annual snapshots, follows from the identification logic of the second empirical paper. That paper asks whether the residual information state a project carries past Preliminary Design Review predicts the realized cost growth ultimately reported against the Key Decision Point C baseline. The latest snapshot delivers the largest available realization of that cost growth path for each project and avoids the artificial dependence that pooling annual snapshots from the same project would introduce. The first empirical paper applies the same convention for the same identification reason, with the additional control that the years elapsed between Key Decision Point C and the cost snapshot is included as a regressor that absorbs the within project drift of cost growth across time. The cross sectional design is appropriate because the GAO series reports each project’s cost trajectory against its own Key Decision Point C baseline, which absorbs project specific level effects without requiring an explicit fixed effect term, and because the latest snapshot convention removes the redundancy that pooled annual snapshots would otherwise introduce.</w:t>
      </w:r>
    </w:p>
    <w:p>
      <w:pPr>
        <w:pStyle w:val="BodyText"/>
        <w:spacing w:line="480" w:lineRule="auto"/>
        <w:ind w:firstLine="720"/>
      </w:pPr>
      <w:r>
        <w:t xml:space="preserve">The unit of observation in the staged technology project record drawn from the NASA Technology Taxonomy and TechPort archive</w:t>
      </w:r>
      <w:r>
        <w:t xml:space="preserve"> </w:t>
      </w:r>
      <w:hyperlink w:anchor="ref-9">
        <w:r>
          <w:rPr>
            <w:rStyle w:val="Hyperlink"/>
          </w:rPr>
          <w:t xml:space="preserve">[9]</w:t>
        </w:r>
      </w:hyperlink>
      <w:r>
        <w:t xml:space="preserve">, used in the larger dissertation to parameterize the sequencing rule, is the funded technology project at its start date. Each TechPort record corresponds to a single funded project with a taxonomy area, a start date, an end date, an entry technology readiness level, an exit technology readiness level, and a program lineage. The major project record described in this chapter and the TechPort record described in the prospectus are joined by the program lineage field in TechPort, which identifies the downstream commitment a technology project was funded to retire risk for, and by the NASA Technology Taxonomy area, which identifies the technical domain shared between a precursor demonstration and the critical technology of a downstream major project.</w:t>
      </w:r>
    </w:p>
    <w:bookmarkEnd w:id="102"/>
    <w:bookmarkStart w:id="103" w:name="authoritative-sources-and-provenance"/>
    <w:p>
      <w:pPr>
        <w:pStyle w:val="Heading2"/>
        <w:spacing w:line="480" w:lineRule="auto"/>
      </w:pPr>
      <w:r>
        <w:t xml:space="preserve">4.3 Authoritative Sources and Provenance</w:t>
      </w:r>
    </w:p>
    <w:p>
      <w:pPr>
        <w:pStyle w:val="FirstParagraph"/>
        <w:spacing w:line="480" w:lineRule="auto"/>
      </w:pPr>
      <w:r>
        <w:t xml:space="preserve">The primary dataset is assembled from six audited GAO products, each a public release of the annual NASA Assessments of Major Projects series, all retrieved from the GAO public catalogue at gao.gov. The reports drawn upon are GAO-25-107591</w:t>
      </w:r>
      <w:r>
        <w:t xml:space="preserve"> </w:t>
      </w:r>
      <w:hyperlink w:anchor="ref-7">
        <w:r>
          <w:rPr>
            <w:rStyle w:val="Hyperlink"/>
          </w:rPr>
          <w:t xml:space="preserve">[7]</w:t>
        </w:r>
      </w:hyperlink>
      <w:r>
        <w:t xml:space="preserve">, GAO-24-106767, GAO-23-106021, GAO-22-105212, GAO-21-306, and GAO-20-405</w:t>
      </w:r>
      <w:r>
        <w:t xml:space="preserve"> </w:t>
      </w:r>
      <w:hyperlink w:anchor="ref-11">
        <w:r>
          <w:rPr>
            <w:rStyle w:val="Hyperlink"/>
          </w:rPr>
          <w:t xml:space="preserve">[11]</w:t>
        </w:r>
      </w:hyperlink>
      <w:r>
        <w:t xml:space="preserve">. Each product is a standalone audited assessment that, project by project, tabulates the variables on which both empirical papers depend. The reports record for each project the project name, the managing NASA center, the life cycle cost at the most recent estimate and at the Key Decision Point C baseline, the schedule slip in months, the lowest technology readiness level among the project’s critical technologies as of Preliminary Design Review and as of Key Decision Point C, the percent of engineering design drawings released at Preliminary Design Review, and a binary indicator of whether any critical technology was below technology readiness level six at Preliminary Design Review. The first empirical paper additionally draws on the older products GAO-12-207SP</w:t>
      </w:r>
      <w:r>
        <w:t xml:space="preserve"> </w:t>
      </w:r>
      <w:hyperlink w:anchor="ref-8">
        <w:r>
          <w:rPr>
            <w:rStyle w:val="Hyperlink"/>
          </w:rPr>
          <w:t xml:space="preserve">[8]</w:t>
        </w:r>
      </w:hyperlink>
      <w:r>
        <w:t xml:space="preserve"> </w:t>
      </w:r>
      <w:r>
        <w:t xml:space="preserve">and GAO-11-239SP for the earlier vintage of projects whose Key Decision Point C baselines fall within the fiscal year 2011 to 2015 portion of the cohort. Each row in the analytic file records, in a rightmost source column, the specific GAO product number from which the row’s authoritative values were drawn, so that every observation is traceable to an audited table.</w:t>
      </w:r>
    </w:p>
    <w:p>
      <w:pPr>
        <w:pStyle w:val="BodyText"/>
        <w:spacing w:line="480" w:lineRule="auto"/>
        <w:ind w:firstLine="720"/>
      </w:pPr>
      <w:r>
        <w:t xml:space="preserve">The staged technology project record is sourced from the NASA Technology Taxonomy</w:t>
      </w:r>
      <w:r>
        <w:t xml:space="preserve"> </w:t>
      </w:r>
      <w:hyperlink w:anchor="ref-9">
        <w:r>
          <w:rPr>
            <w:rStyle w:val="Hyperlink"/>
          </w:rPr>
          <w:t xml:space="preserve">[9]</w:t>
        </w:r>
      </w:hyperlink>
      <w:r>
        <w:t xml:space="preserve"> </w:t>
      </w:r>
      <w:r>
        <w:t xml:space="preserve">and the public TechPort archive at techport.nasa.gov. The NASA Technology Taxonomy organizes NASA’s research and innovation investments into seventeen high level technical areas with hierarchical subareas, and is the controlled vocabulary that the TechPort archive uses to classify funded technology projects. TechPort is openly accessible and machine readable through its public application programming interface and through a bulk export, and publishes for each funded technology project the taxonomy area at the leaf level, the start and end dates, the technology readiness level at entry and at exit, the program lineage, and the funding office. The taxonomy and the archive together constitute the staged, dated, technology readiness stamped project records that the prospectus identifies as obtainable without restriction and directly suited to recovering both the realized value differential and the coupling moderator on the larger sequencing rule.</w:t>
      </w:r>
    </w:p>
    <w:p>
      <w:pPr>
        <w:pStyle w:val="BodyText"/>
        <w:spacing w:line="480" w:lineRule="auto"/>
        <w:ind w:firstLine="720"/>
      </w:pPr>
      <w:r>
        <w:t xml:space="preserve">Three considerations dictate the choice of these two authoritative sources, the GAO Major Project Assessments and the NASA Technology Taxonomy and TechPort archive. First, both are publicly released, audited or controlled, and obtainable without restriction, which satisfies the prospectus’s commitment to a real, obtainable dataset rather than a privileged or simulated one. Second, both record the variables the value of information construction requires without paraphrase: the lowest technology readiness level at a defined Key Decision Point, the realized cost growth against a defined baseline, and the program lineage that connects a precursor demonstration to a downstream commitment. Third, the GAO series and the TechPort archive are mutually reinforcing: the GAO record carries the downstream commitment outcome that the sequencing rule is meant to improve, and the TechPort record carries the upstream technology investment lineage against which the value of an earlier project is priced. Neither alone would identify the full sequencing rule; together they bracket it.</w:t>
      </w:r>
    </w:p>
    <w:bookmarkEnd w:id="103"/>
    <w:bookmarkStart w:id="104" w:name="sample-frame-and-inclusion-criteria"/>
    <w:p>
      <w:pPr>
        <w:pStyle w:val="Heading2"/>
        <w:spacing w:line="480" w:lineRule="auto"/>
      </w:pPr>
      <w:r>
        <w:t xml:space="preserve">4.4 Sample Frame and Inclusion Criteria</w:t>
      </w:r>
    </w:p>
    <w:p>
      <w:pPr>
        <w:pStyle w:val="FirstParagraph"/>
        <w:spacing w:line="480" w:lineRule="auto"/>
      </w:pPr>
      <w:r>
        <w:t xml:space="preserve">The sample frame for both empirical papers is the population of NASA major projects appearing in the GAO Assessments of Major Projects series within the relevant fiscal year window. The first empirical paper draws on assessments published from fiscal year 2011 through fiscal year 2025, covering the reporting cycles of GAO-11-239SP, GAO-12-207SP</w:t>
      </w:r>
      <w:r>
        <w:t xml:space="preserve"> </w:t>
      </w:r>
      <w:hyperlink w:anchor="ref-8">
        <w:r>
          <w:rPr>
            <w:rStyle w:val="Hyperlink"/>
          </w:rPr>
          <w:t xml:space="preserve">[8]</w:t>
        </w:r>
      </w:hyperlink>
      <w:r>
        <w:t xml:space="preserve">, GAO-18-280SP, GAO-19-262SP, GAO-20-405</w:t>
      </w:r>
      <w:r>
        <w:t xml:space="preserve"> </w:t>
      </w:r>
      <w:hyperlink w:anchor="ref-11">
        <w:r>
          <w:rPr>
            <w:rStyle w:val="Hyperlink"/>
          </w:rPr>
          <w:t xml:space="preserve">[11]</w:t>
        </w:r>
      </w:hyperlink>
      <w:r>
        <w:t xml:space="preserve">, GAO-21-306, GAO-22-105212, GAO-23-106021, GAO-24-106767, and GAO-25-107591</w:t>
      </w:r>
      <w:r>
        <w:t xml:space="preserve"> </w:t>
      </w:r>
      <w:hyperlink w:anchor="ref-7">
        <w:r>
          <w:rPr>
            <w:rStyle w:val="Hyperlink"/>
          </w:rPr>
          <w:t xml:space="preserve">[7]</w:t>
        </w:r>
      </w:hyperlink>
      <w:r>
        <w:t xml:space="preserve">. The second empirical paper restricts the window to assessments published from fiscal year 2020 through fiscal year 2025, that is, GAO-20-405</w:t>
      </w:r>
      <w:r>
        <w:t xml:space="preserve"> </w:t>
      </w:r>
      <w:hyperlink w:anchor="ref-11">
        <w:r>
          <w:rPr>
            <w:rStyle w:val="Hyperlink"/>
          </w:rPr>
          <w:t xml:space="preserve">[11]</w:t>
        </w:r>
      </w:hyperlink>
      <w:r>
        <w:t xml:space="preserve"> </w:t>
      </w:r>
      <w:r>
        <w:t xml:space="preserve">through GAO-25-107591</w:t>
      </w:r>
      <w:r>
        <w:t xml:space="preserve"> </w:t>
      </w:r>
      <w:hyperlink w:anchor="ref-7">
        <w:r>
          <w:rPr>
            <w:rStyle w:val="Hyperlink"/>
          </w:rPr>
          <w:t xml:space="preserve">[7]</w:t>
        </w:r>
      </w:hyperlink>
      <w:r>
        <w:t xml:space="preserve">, the period over which the percent of engineering design drawings released at Preliminary Design Review is consistently reported in a comparable form across the series.</w:t>
      </w:r>
    </w:p>
    <w:p>
      <w:pPr>
        <w:pStyle w:val="BodyText"/>
        <w:spacing w:line="480" w:lineRule="auto"/>
        <w:ind w:firstLine="720"/>
      </w:pPr>
      <w:r>
        <w:t xml:space="preserve">The inclusion rule is that a project enters the analytic file if and only if it appears in at least one assessment within the window with a tabulated Key Decision Point C baseline life cycle cost, a tabulated lowest critical technology readiness level at Preliminary Design Review or at Key Decision Point C as applicable, and a tabulated realized life cycle cost at the snapshot date. Projects that appear in pre confirmation status only, that is, projects observed before Key Decision Point C and therefore without a baseline against which realized cost growth can be computed, are excluded. Projects whose tabulated values in any of the required fields are reported by GAO as not yet available or as withheld are likewise excluded from the row level analytic file, although their existence is recorded in a sample audit log so that the cohort’s coverage of the underlying major project population is traceable.</w:t>
      </w:r>
    </w:p>
    <w:p>
      <w:pPr>
        <w:pStyle w:val="BodyText"/>
        <w:spacing w:line="480" w:lineRule="auto"/>
        <w:ind w:firstLine="720"/>
      </w:pPr>
      <w:r>
        <w:t xml:space="preserve">The resulting analytic cohort comprises thirty five NASA major projects. It spans the science, exploration systems, space operations, and human landing portfolios, and within the science portfolio it spans flagship observatories, including the James Webb Space Telescope and the Stratospheric Observatory for Infrared Astronomy; planetary missions, including the Mars Science Laboratory, Juno, the Mars 2020 Perseverance mission, Europa Clipper, Psyche, the Double Asteroid Redirection Test, Lucy, Dragonfly, the DAVINCI mission, the VERITAS mission, and OSIRIS-REx; and Earth observing systems, including the Plankton, Aerosol, Cloud, ocean Ecosystem mission, the Surface Water and Ocean Topography mission, the NASA-ISRO Synthetic Aperture Radar mission, ICESat-2, the Global Precipitation Measurement mission, the Joint Polar Satellite System spacecraft, the Geostationary Operational Environmental Satellite spacecraft, and Landsat 9. The cohort is dominated numerically by science missions, a feature that, as the discussion in the first empirical paper records, bounds the external validity of the cost growth findings to the science portfolio and motivates the staged technology investment dataset to be drawn from TechPort for the main dissertation study.</w:t>
      </w:r>
    </w:p>
    <w:bookmarkEnd w:id="104"/>
    <w:bookmarkStart w:id="105" w:name="X4d68ae530fb50ff27d1ffe4ee4ca61bfe9c6755"/>
    <w:p>
      <w:pPr>
        <w:pStyle w:val="Heading2"/>
        <w:spacing w:line="480" w:lineRule="auto"/>
      </w:pPr>
      <w:r>
        <w:t xml:space="preserve">4.5 Variable Construction from Primary Records</w:t>
      </w:r>
    </w:p>
    <w:p>
      <w:pPr>
        <w:pStyle w:val="FirstParagraph"/>
        <w:spacing w:line="480" w:lineRule="auto"/>
      </w:pPr>
      <w:r>
        <w:t xml:space="preserve">This section specifies the construction of each variable in the analytic file from the primary GAO and TechPort records. The construction is documented at the level of detail required for a replicator to reproduce the analytic file from the source documents without additional instruction from the candidate.</w:t>
      </w:r>
    </w:p>
    <w:p>
      <w:pPr>
        <w:pStyle w:val="BodyText"/>
        <w:spacing w:line="480" w:lineRule="auto"/>
        <w:ind w:firstLine="720"/>
      </w:pPr>
      <w:r>
        <w:rPr>
          <w:b/>
          <w:bCs/>
        </w:rPr>
        <w:t xml:space="preserve">Realized percent cost growth.</w:t>
      </w:r>
      <w:r>
        <w:t xml:space="preserve"> </w:t>
      </w:r>
      <w:r>
        <w:t xml:space="preserve">The dependent variable in both empirical papers is the realized percent growth in development cost, measured against the Key Decision Point C baseline. For each project, the current life cycle cost estimate at the snapshot date and the Key Decision Point C baseline life cycle cost are read from the GAO product’s per project table. The variable is constructed as the current life cycle cost estimate minus the Key Decision Point C baseline, divided by the Key Decision Point C baseline, multiplied by one hundred. The construction is applied consistently across the cohort and across the source GAO products, and the source product number is recorded in the row’s source column. The first empirical paper applies this variable across the longer fiscal year 2011 through fiscal year 2025 window. The second empirical paper applies it across the fiscal year 2020 through fiscal year 2025 window for the same cohort observed at its latest available snapshot.</w:t>
      </w:r>
    </w:p>
    <w:p>
      <w:pPr>
        <w:pStyle w:val="BodyText"/>
        <w:spacing w:line="480" w:lineRule="auto"/>
        <w:ind w:firstLine="720"/>
      </w:pPr>
      <w:r>
        <w:rPr>
          <w:b/>
          <w:bCs/>
        </w:rPr>
        <w:t xml:space="preserve">Entry technology readiness level at Preliminary Design Review.</w:t>
      </w:r>
      <w:r>
        <w:t xml:space="preserve"> </w:t>
      </w:r>
      <w:r>
        <w:t xml:space="preserve">The principal regressor in the second empirical paper is the lowest technology readiness level among the project’s critical technologies as recorded by GAO at Preliminary Design Review. For each project, the GAO assessment narrative on critical technologies is read for the snapshot year, and the lowest tabulated technology readiness level across the critical technologies is recorded. Where the project’s Preliminary Design Review snapshot is not the project’s most recent GAO assessment, the value is taken from the earliest GAO product within the window in which the Preliminary Design Review snapshot is tabulated, and the source product number is recorded.</w:t>
      </w:r>
    </w:p>
    <w:p>
      <w:pPr>
        <w:pStyle w:val="BodyText"/>
        <w:spacing w:line="480" w:lineRule="auto"/>
        <w:ind w:firstLine="720"/>
      </w:pPr>
      <w:r>
        <w:rPr>
          <w:b/>
          <w:bCs/>
        </w:rPr>
        <w:t xml:space="preserve">Lowest critical technology readiness level at Key Decision Point C.</w:t>
      </w:r>
      <w:r>
        <w:t xml:space="preserve"> </w:t>
      </w:r>
      <w:r>
        <w:t xml:space="preserve">The principal regressor in the first empirical paper is the lowest technology readiness level among the project’s critical technologies as of Key Decision Point C. The value is read directly from the GAO narrative on critical technologies for each project, which records the lowest technology readiness level across critical technologies as of confirmation. The variable is integer valued on the conventional one through nine technology readiness level scale.</w:t>
      </w:r>
    </w:p>
    <w:p>
      <w:pPr>
        <w:pStyle w:val="BodyText"/>
        <w:spacing w:line="480" w:lineRule="auto"/>
        <w:ind w:firstLine="720"/>
      </w:pPr>
      <w:r>
        <w:rPr>
          <w:b/>
          <w:bCs/>
        </w:rPr>
        <w:t xml:space="preserve">Design maturity at Preliminary Design Review.</w:t>
      </w:r>
      <w:r>
        <w:t xml:space="preserve"> </w:t>
      </w:r>
      <w:r>
        <w:t xml:space="preserve">The complementary regressor in the second empirical paper is the percent of engineering design drawings released at Preliminary Design Review. The value is read directly from the GAO per project table for projects in the fiscal year 2020 through fiscal year 2025 window. The variable is a percent on the zero to one hundred scale.</w:t>
      </w:r>
    </w:p>
    <w:p>
      <w:pPr>
        <w:pStyle w:val="BodyText"/>
        <w:spacing w:line="480" w:lineRule="auto"/>
        <w:ind w:firstLine="720"/>
      </w:pPr>
      <w:r>
        <w:rPr>
          <w:b/>
          <w:bCs/>
        </w:rPr>
        <w:t xml:space="preserve">Under mature critical technology indicator at Preliminary Design Review.</w:t>
      </w:r>
      <w:r>
        <w:t xml:space="preserve"> </w:t>
      </w:r>
      <w:r>
        <w:t xml:space="preserve">The binary regressor in the second empirical paper is set to one if any critical technology was tabulated by GAO at technology readiness level five or below at Preliminary Design Review and to zero otherwise. The value is derived from the same GAO narrative on critical technologies as the entry technology readiness level variable, and is consistent with that variable in the sense that a project whose lowest critical technology readiness level at Preliminary Design Review is five or below carries an indicator of one.</w:t>
      </w:r>
    </w:p>
    <w:p>
      <w:pPr>
        <w:pStyle w:val="BodyText"/>
        <w:spacing w:line="480" w:lineRule="auto"/>
        <w:ind w:firstLine="720"/>
      </w:pPr>
      <w:r>
        <w:rPr>
          <w:b/>
          <w:bCs/>
        </w:rPr>
        <w:t xml:space="preserve">Life cycle cost.</w:t>
      </w:r>
      <w:r>
        <w:t xml:space="preserve"> </w:t>
      </w:r>
      <w:r>
        <w:t xml:space="preserve">The size control in the second empirical paper is the most recent life cycle cost estimate in millions of nominal dollars. The value is read directly from the GAO per project table. The first empirical paper uses the Key Decision Point C baseline life cycle cost as the level on the same units. The use of nominal dollars across vintages, rather than inflation adjusted dollars, is dictated by the GAO reporting convention and is conservative for the second empirical paper’s coefficient estimation in the sense that the per million dollar coefficient is interpreted within the cohort’s own dollar scale rather than across the cohort to a deflated reference.</w:t>
      </w:r>
    </w:p>
    <w:p>
      <w:pPr>
        <w:pStyle w:val="BodyText"/>
        <w:spacing w:line="480" w:lineRule="auto"/>
        <w:ind w:firstLine="720"/>
      </w:pPr>
      <w:r>
        <w:rPr>
          <w:b/>
          <w:bCs/>
        </w:rPr>
        <w:t xml:space="preserve">Years since Key Decision Point C.</w:t>
      </w:r>
      <w:r>
        <w:t xml:space="preserve"> </w:t>
      </w:r>
      <w:r>
        <w:t xml:space="preserve">The exposure control in the first empirical paper is the integer number of years between the project’s Key Decision Point C confirmation date and the cost snapshot date. The Key Decision Point C confirmation date is read from the GAO per project history block, and the snapshot date is the fiscal year of the source GAO product. The variable absorbs accumulated exposure to the cost growth process: longer running projects have had more years across which growth could be booked.</w:t>
      </w:r>
    </w:p>
    <w:p>
      <w:pPr>
        <w:pStyle w:val="BodyText"/>
        <w:spacing w:line="480" w:lineRule="auto"/>
        <w:ind w:firstLine="720"/>
      </w:pPr>
      <w:r>
        <w:rPr>
          <w:b/>
          <w:bCs/>
        </w:rPr>
        <w:t xml:space="preserve">Schedule slip in months.</w:t>
      </w:r>
      <w:r>
        <w:t xml:space="preserve"> </w:t>
      </w:r>
      <w:r>
        <w:t xml:space="preserve">The auxiliary outcome variable in the second empirical paper is the schedule slip in months between the Key Decision Point C launch readiness date and the most recent estimated launch readiness date. The value is read directly from the GAO per project table.</w:t>
      </w:r>
    </w:p>
    <w:p>
      <w:pPr>
        <w:pStyle w:val="BodyText"/>
        <w:spacing w:line="480" w:lineRule="auto"/>
        <w:ind w:firstLine="720"/>
      </w:pPr>
      <w:r>
        <w:rPr>
          <w:b/>
          <w:bCs/>
        </w:rPr>
        <w:t xml:space="preserve">Managing NASA center.</w:t>
      </w:r>
      <w:r>
        <w:t xml:space="preserve"> </w:t>
      </w:r>
      <w:r>
        <w:t xml:space="preserve">The categorical variable identifying the NASA center managing the project is read directly from the GAO per project table. It is not used as a regressor in either empirical paper but is retained in the analytic file for descriptive and robustness purposes.</w:t>
      </w:r>
    </w:p>
    <w:bookmarkEnd w:id="105"/>
    <w:bookmarkStart w:id="106" w:name="X733a11411aabce981a609c05d616c73d7744c64"/>
    <w:p>
      <w:pPr>
        <w:pStyle w:val="Heading2"/>
        <w:spacing w:line="480" w:lineRule="auto"/>
      </w:pPr>
      <w:r>
        <w:t xml:space="preserve">4.6 Construction of the Informational Coupling Index</w:t>
      </w:r>
    </w:p>
    <w:p>
      <w:pPr>
        <w:pStyle w:val="FirstParagraph"/>
        <w:spacing w:line="480" w:lineRule="auto"/>
      </w:pPr>
      <w:r>
        <w:t xml:space="preserve">The informational coupling index bears the heaviest measurement burden in the dissertation, because it operationalizes the construct on which the value of information premium in H1 of the prospectus is moderated. The construct is the degree to which a project’s payoff depends on uncertainty that an earlier, cheaper project could have retired before commitment. Construction proceeds in two steps that correspond to the two empirical papers.</w:t>
      </w:r>
    </w:p>
    <w:p>
      <w:pPr>
        <w:pStyle w:val="BodyText"/>
        <w:spacing w:line="480" w:lineRule="auto"/>
        <w:ind w:firstLine="720"/>
      </w:pPr>
      <w:r>
        <w:t xml:space="preserve">In the first empirical paper, the coupling index is coded ordinally from the GAO project profile narrative, using the cooperative program flag, the instrument count, the destination class, and the program lineage as inputs. A project that flies in cooperation with another agency or commercial partner and that inherits a precursor demonstration from that partner is coded as more coupled than a project that flies alone. A project with a single instrument whose performance has been previously demonstrated is coded as less coupled than a project with multiple instruments whose performance has not. A project whose destination class has been previously visited by a precursor demonstration is coded as less coupled than a project whose destination class has not. The program lineage field, which records whether the project draws on a heritage avionics, propulsion, or instrument package, contributes a level of coupling proportional to the heritage that the project inherits. The four inputs are combined into an ordinal index whose construction rule is recorded in the paper’s configuration file for replication. The first empirical paper’s findings on the coupling index are reported in the regression and the discussion is explicit that the resulting variable, coded from public narrative rather than from observed dependency, is a noisy approximation of the construct.</w:t>
      </w:r>
    </w:p>
    <w:p>
      <w:pPr>
        <w:pStyle w:val="BodyText"/>
        <w:spacing w:line="480" w:lineRule="auto"/>
        <w:ind w:firstLine="720"/>
      </w:pPr>
      <w:r>
        <w:t xml:space="preserve">In the larger dissertation, the coupling index is refined by joining the major project record to the staged technology investment record drawn from the TechPort archive</w:t>
      </w:r>
      <w:r>
        <w:t xml:space="preserve"> </w:t>
      </w:r>
      <w:hyperlink w:anchor="ref-9">
        <w:r>
          <w:rPr>
            <w:rStyle w:val="Hyperlink"/>
          </w:rPr>
          <w:t xml:space="preserve">[9]</w:t>
        </w:r>
      </w:hyperlink>
      <w:r>
        <w:t xml:space="preserve">. A precursor demonstration is identified for each major project’s lowest technology readiness level critical technology by matching the technology’s NASA Technology Taxonomy area to the taxonomy area of TechPort funded projects whose end dates precede the major project’s Key Decision Point C confirmation date and whose program lineage references the major project’s program. The coupling index in the refined construction is then the cumulative funded cost of the matched precursor demonstrations divided by the major project’s Key Decision Point C baseline life cycle cost, scaled to a zero to one bounded ratio. This refined construction is what the main dissertation study uses to identify the moderator on H1 of the prospectus from observed dependency rather than from coded narrative. The chapter records both constructions because the first is what the first empirical paper estimates and the second is the construction the main study uses.</w:t>
      </w:r>
    </w:p>
    <w:p>
      <w:pPr>
        <w:pStyle w:val="BodyText"/>
        <w:spacing w:line="480" w:lineRule="auto"/>
        <w:ind w:firstLine="720"/>
      </w:pPr>
      <w:r>
        <w:t xml:space="preserve">The complexity index, treated separately from the coupling index, is coded ordinally from the GAO project profile narrative on mission scale, instrument count, payload class, and operational concept, and is recorded in the analytic file with the same row level provenance.</w:t>
      </w:r>
    </w:p>
    <w:bookmarkEnd w:id="106"/>
    <w:bookmarkStart w:id="107" w:name="X5c348f8e90e460d5e291b8f306893129596c704"/>
    <w:p>
      <w:pPr>
        <w:pStyle w:val="Heading2"/>
        <w:spacing w:line="480" w:lineRule="auto"/>
      </w:pPr>
      <w:r>
        <w:t xml:space="preserve">4.7 Data Quality, Replicability, and Traceability</w:t>
      </w:r>
    </w:p>
    <w:p>
      <w:pPr>
        <w:pStyle w:val="FirstParagraph"/>
        <w:spacing w:line="480" w:lineRule="auto"/>
      </w:pPr>
      <w:r>
        <w:t xml:space="preserve">Every row in the analytic file is traceable to a specific GAO product number recorded in the row’s source column. Provenance is exact. Where a project appears in more than one GAO product within the sample window, the row records the snapshot from the latest available product and a notes column records the earlier GAO product numbers in which the project also appears. Where the Key Decision Point C baseline values reported in successive GAO products differ for the same project, the row records the earliest tabulated Key Decision Point C baseline as the authoritative reference value, on the principle that the Key Decision Point C baseline is, by definition, the value established at confirmation and is not re baselined by subsequent reporting cycles. Where GAO subsequently re baselined a project’s life cycle cost following a major management decision, the re baselined value is recorded in a separate column and is not used as the Key Decision Point C baseline for the realized cost growth variable.</w:t>
      </w:r>
    </w:p>
    <w:p>
      <w:pPr>
        <w:pStyle w:val="BodyText"/>
        <w:spacing w:line="480" w:lineRule="auto"/>
        <w:ind w:firstLine="720"/>
      </w:pPr>
      <w:r>
        <w:t xml:space="preserve">The construction of every derived variable is recorded in a configuration file that accompanies each empirical paper, including the regression equation, the variable definitions, and the construction notes for the complexity and coupling indices. The configuration file is the artifact a replicator reads first, before opening the analytic file, and is the canonical reference against which any reconstruction of the dataset is checked. The analytic file itself is a single comma separated file whose row order is the cohort’s alphabetical project order, whose columns are the variables enumerated in section 4.5, and whose rightmost column is the GAO product number from which the row’s authoritative values were drawn.</w:t>
      </w:r>
    </w:p>
    <w:p>
      <w:pPr>
        <w:pStyle w:val="BodyText"/>
        <w:spacing w:line="480" w:lineRule="auto"/>
        <w:ind w:firstLine="720"/>
      </w:pPr>
      <w:r>
        <w:t xml:space="preserve">The data quality protocol records, for each variable, the proportion of cohort rows whose value is observed without imputation. The realized cost growth, the entry technology readiness level at Preliminary Design Review, the life cycle cost, and the years since Key Decision Point C are observed without imputation across the cohort. The design maturity at Preliminary Design Review and the schedule slip in months are observed without imputation for the fiscal year 2020 through fiscal year 2025 portion of the cohort, which is the analytic window of the second empirical paper. The complexity and coupling indices are derived, not observed, and their construction rule is the artifact under version control.</w:t>
      </w:r>
    </w:p>
    <w:p>
      <w:pPr>
        <w:pStyle w:val="BodyText"/>
        <w:spacing w:line="480" w:lineRule="auto"/>
        <w:ind w:firstLine="720"/>
      </w:pPr>
      <w:r>
        <w:t xml:space="preserve">The traceability protocol is closed by a sample audit log that records the cohort’s coverage of the underlying major project population: the number of projects appearing in each GAO product within the window, the number meeting the inclusion criteria of section 4.4, and the number entering the analytic file. The log is the means by which a replicator confirms that the cohort of thirty five projects is the cohort the inclusion rule selects from the audited record, and not a privileged or curated subset.</w:t>
      </w:r>
    </w:p>
    <w:p>
      <w:pPr>
        <w:pStyle w:val="BodyText"/>
        <w:spacing w:line="480" w:lineRule="auto"/>
        <w:ind w:firstLine="720"/>
      </w:pPr>
      <w:r>
        <w:t xml:space="preserve">The chapter closes with the observation that the data infrastructure documented here is sufficient for the two empirical papers and necessary, but not sufficient, for the main dissertation study. The main study additionally requires the staged technology project record drawn from the NASA Technology Taxonomy and TechPort archive</w:t>
      </w:r>
      <w:r>
        <w:t xml:space="preserve"> </w:t>
      </w:r>
      <w:hyperlink w:anchor="ref-9">
        <w:r>
          <w:rPr>
            <w:rStyle w:val="Hyperlink"/>
          </w:rPr>
          <w:t xml:space="preserve">[9]</w:t>
        </w:r>
      </w:hyperlink>
      <w:r>
        <w:t xml:space="preserve">, joined to the major project record on the program lineage and taxonomy fields, to identify the moderator on informational coupling from observed dependency. The construction of that joined dataset is the subject of the methods chapter that follows, and inherits the row level provenance, the version control of derived indices, and the sample audit log conventions established here.</w:t>
      </w:r>
    </w:p>
    <w:bookmarkEnd w:id="107"/>
    <w:bookmarkEnd w:id="108"/>
    <w:bookmarkStart w:id="116" w:name="chapter-5.-methods-and-identification"/>
    <w:p>
      <w:pPr>
        <w:pStyle w:val="Heading1"/>
        <w:spacing w:line="480" w:lineRule="auto"/>
      </w:pPr>
      <w:r>
        <w:t xml:space="preserve">Chapter 5. Methods and Identification</w:t>
      </w:r>
    </w:p>
    <w:bookmarkStart w:id="109" w:name="overview"/>
    <w:p>
      <w:pPr>
        <w:pStyle w:val="Heading2"/>
        <w:spacing w:line="480" w:lineRule="auto"/>
      </w:pPr>
      <w:r>
        <w:t xml:space="preserve">5.1 Overview</w:t>
      </w:r>
    </w:p>
    <w:p>
      <w:pPr>
        <w:pStyle w:val="FirstParagraph"/>
        <w:spacing w:line="480" w:lineRule="auto"/>
      </w:pPr>
      <w:r>
        <w:t xml:space="preserve">This chapter specifies the estimators, the identification strategy, and the threats to validity that govern the empirical apparatus of the dissertation. The argument advanced across Chapters 1 through 4 is a single falsifiable claim: that ranking candidate space technology projects by their value of information per dollar produces sequenced portfolios whose realized value, after uncertainty resolution, strictly exceeds that of portfolios composed by static expected-net-value selection</w:t>
      </w:r>
      <w:r>
        <w:t xml:space="preserve"> </w:t>
      </w:r>
      <w:hyperlink w:anchor="ref-24">
        <w:r>
          <w:rPr>
            <w:rStyle w:val="Hyperlink"/>
          </w:rPr>
          <w:t xml:space="preserve">[24]</w:t>
        </w:r>
      </w:hyperlink>
      <w:r>
        <w:t xml:space="preserve">. The empirical work that supports this claim is organized into three estimation layers. The first layer is a cross-sectional ordinary least squares (OLS) regression on the audited NASA major project record, used to establish that the residual information state a project carries past commitment is conditionally associated with realized cost growth. The second layer is a panel OLS estimator with project-level absorbing effects on the TechPort technology-investment archive, used to recover within-project transitions in technology readiness and to bound the cross-sectional endogeneity that the first layer cannot dispatch. The third layer is a paired counterfactual simulation estimator that, on the same project set and the same realized uncertainty draws, contrasts the realized value of a value-of-information-ranked sequence against the realized value of a static expected-net-value sequence, recovering the sequencing-rule differential that is the central estimand of the dissertation.</w:t>
      </w:r>
    </w:p>
    <w:p>
      <w:pPr>
        <w:pStyle w:val="BodyText"/>
        <w:spacing w:line="480" w:lineRule="auto"/>
        <w:ind w:firstLine="720"/>
      </w:pPr>
      <w:r>
        <w:t xml:space="preserve">The chapter is organized as follows. Section 5.2 specifies the cross-sectional and panel OLS estimators that ground the conditional associations on the audited record. Section 5.3 specifies the value-of-information functional that the sequencing rule operationalizes and the partially observed sequential decision process that embeds it. Section 5.4 specifies the paired counterfactual simulation estimator that identifies the sequencing-rule differential. Section 5.5 states the identification strategy in compact form. Section 5.6 enumerates the threats to validity in four classes, construct, internal, external, and statistical, and states explicitly how each threat is bounded by design or by sensitivity analysis. Section 5.7 closes with the prespecified inference protocol and the falsification conditions that the empirical work must meet for the dissertation’s claim to survive.</w:t>
      </w:r>
    </w:p>
    <w:bookmarkEnd w:id="109"/>
    <w:bookmarkStart w:id="110" w:name="estimators-on-the-audited-record"/>
    <w:p>
      <w:pPr>
        <w:pStyle w:val="Heading2"/>
        <w:spacing w:line="480" w:lineRule="auto"/>
      </w:pPr>
      <w:r>
        <w:t xml:space="preserve">5.2 Estimators on the Audited Record</w:t>
      </w:r>
    </w:p>
    <w:p>
      <w:pPr>
        <w:pStyle w:val="FirstParagraph"/>
        <w:spacing w:line="480" w:lineRule="auto"/>
      </w:pPr>
      <w:r>
        <w:t xml:space="preserve">The empirical apparatus begins on the audited NASA major project record. That record is the dollar-denominated outcome line against which the value-of-information construction must demonstrate non-trivial predictive content. Two estimators are used.</w:t>
      </w:r>
    </w:p>
    <w:p>
      <w:pPr>
        <w:pStyle w:val="BodyText"/>
        <w:spacing w:line="480" w:lineRule="auto"/>
        <w:ind w:firstLine="720"/>
      </w:pPr>
      <w:r>
        <w:t xml:space="preserve">The first is a cross-sectional OLS regression in which realized percent cost growth from the Key Decision Point C baseline is regressed on the technology readiness level of the lowest-TRL critical technology at confirmation, a complexity index coded from the Government Accountability Office (GAO) project profile narrative, an informational-coupling index coded from program lineage, and years elapsed between confirmation and the cost snapshot. The cross-section spans thirty-five NASA major projects drawn from GAO assessments published between fiscal year 2011 and fiscal year 2025 [7, 8, 11]. Standard errors are conventional OLS standard errors, and inference is two-sided at the conventional five percent level. This estimator is identified for the directional content of the central hypothesis: a negative coefficient on entering TRL identifies the conditional association between residual technical uncertainty at commitment and realized cost growth that a value-of-information theory of portfolio sequencing predicts. The years-since-KDP-C control absorbs accumulated exposure to the cost-growth process, so that the TRL coefficient carries the partial effect of interest rather than a within-project drift. The complexity control absorbs the well-documented relationship between mission scale and cost variance, isolating the marginal contribution of entering technical maturity at given complexity.</w:t>
      </w:r>
    </w:p>
    <w:p>
      <w:pPr>
        <w:pStyle w:val="BodyText"/>
        <w:spacing w:line="480" w:lineRule="auto"/>
        <w:ind w:firstLine="720"/>
      </w:pPr>
      <w:r>
        <w:t xml:space="preserve">The second estimator on the audited record is a four-regressor OLS specification with heteroskedasticity-robust standard errors on a thirty-five-project panel assembled from GAO assessments published between fiscal year 2020 and fiscal year 2025 [7, 11]. The regressors are the entry TRL of the lowest-TRL critical technology at preliminary design review, the percent of engineering design drawings released at preliminary design review, the life-cycle cost in millions of dollars, and a binary indicator for the presence of any critical technology below TRL 6 at preliminary design review. The dependent variable is again the percent growth in development cost from the KDP-C baseline. This specification adds a design-maturity margin to the technology-readiness margin and a size control whose coefficient is interpreted on a per-million-dollar basis. The robust standard errors guard against the heteroskedasticity that the wide variation in project scale induces. The estimator is identified for the conditional association between the entry information state and the audited cost line, not for a causal effect; the limits of that identification are discussed in Section 5.6.</w:t>
      </w:r>
    </w:p>
    <w:p>
      <w:pPr>
        <w:pStyle w:val="BodyText"/>
        <w:spacing w:line="480" w:lineRule="auto"/>
        <w:ind w:firstLine="720"/>
      </w:pPr>
      <w:r>
        <w:t xml:space="preserve">The two audited-record estimators are complementary. The first uses the longer GAO window to maximize the variation in entering TRL and elapsed time. The second uses the shorter window in which design-maturity reporting is consistently coded, so that the technology-readiness margin can be conditioned on the design-completeness margin. Together they establish the directional precondition the value-of-information sequencing rule requires.</w:t>
      </w:r>
    </w:p>
    <w:bookmarkEnd w:id="110"/>
    <w:bookmarkStart w:id="111" w:name="Xe63967aa0080e49edd78f75a18dfaee4a4e9428"/>
    <w:p>
      <w:pPr>
        <w:pStyle w:val="Heading2"/>
        <w:spacing w:line="480" w:lineRule="auto"/>
      </w:pPr>
      <w:r>
        <w:t xml:space="preserve">5.3 The Value-of-Information Functional and the Sequencing Estimator</w:t>
      </w:r>
    </w:p>
    <w:p>
      <w:pPr>
        <w:pStyle w:val="FirstParagraph"/>
        <w:spacing w:line="480" w:lineRule="auto"/>
      </w:pPr>
      <w:r>
        <w:t xml:space="preserve">The sequencing rule that the dissertation proposes is operationalized through a value-of-information functional that prices each candidate project by the expected reduction it produces in the decision-relevant variance of a downstream commitment. The functional is imported from the space situational awareness literature, where the value of an observation is constructed as the expected reduction in a decision-relevant moment of the posterior over the state to be acted upon, and where sensor-tasking decisions are recast as the maximization of this functional over admissible actions [2, 4]. The construction is portable across the domain boundary because the formal object, an action that updates a belief over a state on which a subsequent decision depends, is identical in structure: the early project is the action, the program’s belief over the downstream technology’s performance is the state, and the later commitment is the decision whose expected loss the functional is designed to reduce.</w:t>
      </w:r>
    </w:p>
    <w:p>
      <w:pPr>
        <w:pStyle w:val="BodyText"/>
        <w:spacing w:line="480" w:lineRule="auto"/>
        <w:ind w:firstLine="720"/>
      </w:pPr>
      <w:r>
        <w:t xml:space="preserve">The sequencing problem is posed as a finite-horizon partially observed sequential decision process. The state at horizon t is the program’s belief, represented as a parametric posterior, over each candidate technology’s performance distribution. An action funds one project, draws an outcome from the audited TechPort lineage, and applies a Bayesian update to the belief. The reward at horizon T is the realized value of the portfolio under the posterior at termination. The tree-search treatment of partially observed sequential tasking developed in the sensor-tasking literature is adopted in its entirety as the computational backbone for the sequencing estimator</w:t>
      </w:r>
      <w:r>
        <w:t xml:space="preserve"> </w:t>
      </w:r>
      <w:hyperlink w:anchor="ref-5">
        <w:r>
          <w:rPr>
            <w:rStyle w:val="Hyperlink"/>
          </w:rPr>
          <w:t xml:space="preserve">[5]</w:t>
        </w:r>
      </w:hyperlink>
      <w:r>
        <w:t xml:space="preserve">, and the priority-weighted information functional from the same literature supplies the per-project ranking inside each tree node</w:t>
      </w:r>
      <w:r>
        <w:t xml:space="preserve"> </w:t>
      </w:r>
      <w:hyperlink w:anchor="ref-4">
        <w:r>
          <w:rPr>
            <w:rStyle w:val="Hyperlink"/>
          </w:rPr>
          <w:t xml:space="preserve">[4]</w:t>
        </w:r>
      </w:hyperlink>
      <w:r>
        <w:t xml:space="preserve">. The myopic baseline, which ranks projects by static expected net value at a fixed information state, is the static comparator that the flexible-design portfolio literature treats as the prevailing practice [1, 24], and is the comparator against which the sequencing rule is identified.</w:t>
      </w:r>
    </w:p>
    <w:p>
      <w:pPr>
        <w:pStyle w:val="BodyText"/>
        <w:spacing w:line="480" w:lineRule="auto"/>
        <w:ind w:firstLine="720"/>
      </w:pPr>
      <w:r>
        <w:t xml:space="preserve">The empirical sequencing estimator is defined as the dollar-denominated differential between the realized portfolio value under value-of-information-per-dollar ranking and the realized portfolio value under static expected-net-value ranking, averaged across draws of the realized performance outcomes. The numerator of the per-project ranking is the expected reduction in decision-relevant variance evaluated under the current posterior. The denominator is the project cost as recorded in TechPort. The differential is the central estimand of the dissertation; Section 5.4 specifies the simulation estimator that recovers it.</w:t>
      </w:r>
    </w:p>
    <w:bookmarkEnd w:id="111"/>
    <w:bookmarkStart w:id="112" w:name="X4e9d8a0fc12f4c780d9ee14ecdfbb9f8aa00d3a"/>
    <w:p>
      <w:pPr>
        <w:pStyle w:val="Heading2"/>
        <w:spacing w:line="480" w:lineRule="auto"/>
      </w:pPr>
      <w:r>
        <w:t xml:space="preserve">5.4 The Paired Counterfactual Simulation Estimator</w:t>
      </w:r>
    </w:p>
    <w:p>
      <w:pPr>
        <w:pStyle w:val="FirstParagraph"/>
        <w:spacing w:line="480" w:lineRule="auto"/>
      </w:pPr>
      <w:r>
        <w:t xml:space="preserve">Identification of the sequencing-rule differential requires that the two rules be evaluated under identical realized uncertainty. The realized performance of a NASA technology project is drawn once in history, so the counterfactual sequence under the alternative rule cannot be observed directly. The estimator therefore adopts a paired counterfactual simulation design in which the realized performance draws recorded in TechPort are held fixed across the two rules, and the two rules are executed sequentially on the identical project set. The paired structure isolates the effect of the sequencing rule from the effect of the underlying uncertainty because both rules face the same draw, and the differential at each replication is a within-pair estimand.</w:t>
      </w:r>
    </w:p>
    <w:p>
      <w:pPr>
        <w:pStyle w:val="BodyText"/>
        <w:spacing w:line="480" w:lineRule="auto"/>
        <w:ind w:firstLine="720"/>
      </w:pPr>
      <w:r>
        <w:t xml:space="preserve">Formally, let a portfolio of N candidate projects be drawn from the TechPort archive [9, 15], and let the realized TRL-delta and cost outcome for each project be observed from its TechPort record. For each replication r, the value-of-information-per-dollar sequence and the static expected-net-value sequence are constructed on the same project set under the same observed outcomes, and the realized portfolio value at termination is recorded under each rule. The estimator of the differential is the within-replication difference in realized value, averaged across replications. Inference on the differential proceeds by the paired bootstrap over replications, with the bootstrap distribution generated by resampling replications with replacement. The interaction of the differential with a measured informational-coupling index, coded from the NASA Technology Taxonomy area and from the TechPort program lineage [9, 15], recovers the moderator that the alternative hypothesis predicts: that the size of the differential increases with the degree of informational coupling among projects.</w:t>
      </w:r>
    </w:p>
    <w:p>
      <w:pPr>
        <w:pStyle w:val="BodyText"/>
        <w:spacing w:line="480" w:lineRule="auto"/>
        <w:ind w:firstLine="720"/>
      </w:pPr>
      <w:r>
        <w:t xml:space="preserve">The simulation estimator is identified for the sequencing-rule differential under three conditions. First, the realized performance draws are the same for both rules, which the paired design enforces by construction. Second, the belief-update model that maps observed outcomes to posterior states is correctly specified; misspecification is bounded by sensitivity analysis under three alternative belief-update parameterizations, including a non-conjugate alternative that the tree-search formulation</w:t>
      </w:r>
      <w:r>
        <w:t xml:space="preserve"> </w:t>
      </w:r>
      <w:hyperlink w:anchor="ref-5">
        <w:r>
          <w:rPr>
            <w:rStyle w:val="Hyperlink"/>
          </w:rPr>
          <w:t xml:space="preserve">[5]</w:t>
        </w:r>
      </w:hyperlink>
      <w:r>
        <w:t xml:space="preserve"> </w:t>
      </w:r>
      <w:r>
        <w:t xml:space="preserve">admits without modification. Third, the static comparator is implemented as the flexible-design portfolio literature</w:t>
      </w:r>
      <w:r>
        <w:t xml:space="preserve"> </w:t>
      </w:r>
      <w:hyperlink w:anchor="ref-1">
        <w:r>
          <w:rPr>
            <w:rStyle w:val="Hyperlink"/>
          </w:rPr>
          <w:t xml:space="preserve">[1]</w:t>
        </w:r>
      </w:hyperlink>
      <w:r>
        <w:t xml:space="preserve"> </w:t>
      </w:r>
      <w:r>
        <w:t xml:space="preserve">specifies, rather than as a strawman; the comparator is calibrated to reproduce the published multi-objective figure of merit on a held-out cohort before it is used in the paired contrast.</w:t>
      </w:r>
    </w:p>
    <w:p>
      <w:pPr>
        <w:pStyle w:val="BodyText"/>
        <w:spacing w:line="480" w:lineRule="auto"/>
        <w:ind w:firstLine="720"/>
      </w:pPr>
      <w:r>
        <w:t xml:space="preserve">The choice of OLS on the audited record and a simulation estimator on the TechPort panel is deliberate. OLS is the appropriate estimator for the audited-record layer because the unit of analysis is the project life cycle as observed at the latest available snapshot, because the audited cost-growth line is bounded but unbounded by below, and because the regressors are pretreatment with respect to the cost outcome by the design of the KDP-C reporting protocol</w:t>
      </w:r>
      <w:r>
        <w:t xml:space="preserve"> </w:t>
      </w:r>
      <w:hyperlink w:anchor="ref-11">
        <w:r>
          <w:rPr>
            <w:rStyle w:val="Hyperlink"/>
          </w:rPr>
          <w:t xml:space="preserve">[11]</w:t>
        </w:r>
      </w:hyperlink>
      <w:r>
        <w:t xml:space="preserve">. The simulation estimator is the appropriate estimator for the sequencing layer because the counterfactual sequence is unobserved in the historical record, and because the paired design is the only feasible identification route that does not require a randomized assignment of sequencing rules to portfolios, an assignment that the federal acquisition apparatus does not permit.</w:t>
      </w:r>
    </w:p>
    <w:bookmarkEnd w:id="112"/>
    <w:bookmarkStart w:id="113" w:name="Xeae9de280f62538ec5035b1c2b22092c1ba4e75"/>
    <w:p>
      <w:pPr>
        <w:pStyle w:val="Heading2"/>
        <w:spacing w:line="480" w:lineRule="auto"/>
      </w:pPr>
      <w:r>
        <w:t xml:space="preserve">5.5 The Identification Strategy in Compact Form</w:t>
      </w:r>
    </w:p>
    <w:p>
      <w:pPr>
        <w:pStyle w:val="FirstParagraph"/>
        <w:spacing w:line="480" w:lineRule="auto"/>
      </w:pPr>
      <w:r>
        <w:t xml:space="preserve">The identification strategy can be stated in compact form. The audited-record OLS estimators identify the conditional association between the residual information state and the realized cost line, holding fixed the complexity, coupling, design-maturity, and size controls that the GAO record supplies [7, 11]. The simulation estimator identifies the sequencing-rule differential by holding fixed the realized performance draws across the two rules, eliminating the confounding of the rule with the underlying uncertainty. The moderator on informational coupling is identified by interacting the differential with the taxonomy-and-lineage-coded coupling index [9, 15]; because the index is measured with error relative to the unobserved dependency graph, the interaction is biased toward zero under classical measurement error, and the test of the moderator is therefore conservative.</w:t>
      </w:r>
    </w:p>
    <w:p>
      <w:pPr>
        <w:pStyle w:val="BodyText"/>
        <w:spacing w:line="480" w:lineRule="auto"/>
        <w:ind w:firstLine="720"/>
      </w:pPr>
      <w:r>
        <w:t xml:space="preserve">The identification claim is not a causal claim about portfolio managers’ choices. The audited record does not randomize entering TRL across projects, and the TechPort panel does not randomize sequencing rules across portfolios. The identification claim is that the value-of-information sequencing rule, applied to the same project set under the same realized draws, produces a strictly higher realized portfolio value than the static rule that the flexible-design literature treats as the prevailing comparator [1, 24]. The estimand is the sequencing-rule differential conditional on selection, not the marginal effect of selection itself. This conditional-on-selection identification is the relevant quantity for the managerial decision the dissertation addresses because a portfolio manager applying the rule has already made the selection decision and is choosing the order in which the selected projects are funded.</w:t>
      </w:r>
    </w:p>
    <w:bookmarkEnd w:id="113"/>
    <w:bookmarkStart w:id="114" w:name="threats-to-validity-and-their-bounds"/>
    <w:p>
      <w:pPr>
        <w:pStyle w:val="Heading2"/>
        <w:spacing w:line="480" w:lineRule="auto"/>
      </w:pPr>
      <w:r>
        <w:t xml:space="preserve">5.6 Threats to Validity and Their Bounds</w:t>
      </w:r>
    </w:p>
    <w:p>
      <w:pPr>
        <w:pStyle w:val="FirstParagraph"/>
        <w:spacing w:line="480" w:lineRule="auto"/>
      </w:pPr>
      <w:r>
        <w:t xml:space="preserve">Four classes of threat to validity are salient. Each is bounded by an explicit design feature or by a prespecified sensitivity analysis.</w:t>
      </w:r>
    </w:p>
    <w:p>
      <w:pPr>
        <w:pStyle w:val="BodyText"/>
        <w:spacing w:line="480" w:lineRule="auto"/>
        <w:ind w:firstLine="720"/>
      </w:pPr>
      <w:r>
        <w:t xml:space="preserve">The first class is construct validity. The construct that the dissertation imports across the domain boundary is the value-of-information functional itself, which has been validated for sensor observations against orbit-state posteriors [2, 4] and for sequential tasking decisions in cislunar regimes</w:t>
      </w:r>
      <w:r>
        <w:t xml:space="preserve"> </w:t>
      </w:r>
      <w:hyperlink w:anchor="ref-17">
        <w:r>
          <w:rPr>
            <w:rStyle w:val="Hyperlink"/>
          </w:rPr>
          <w:t xml:space="preserve">[17]</w:t>
        </w:r>
      </w:hyperlink>
      <w:r>
        <w:t xml:space="preserve">. Its transfer to research and innovation portfolio management presumes that a technology project resolves uncertainty that is decision-relevant for a downstream commitment, not merely uncertainty that is technical. The TRL-delta from entry to exit, recorded in TechPort for each funded project [9, 15], is the operationalization that the dissertation uses, supplemented by the audited TRL-at-confirmation field that the GAO assessments publish for each major project</w:t>
      </w:r>
      <w:r>
        <w:t xml:space="preserve"> </w:t>
      </w:r>
      <w:hyperlink w:anchor="ref-11">
        <w:r>
          <w:rPr>
            <w:rStyle w:val="Hyperlink"/>
          </w:rPr>
          <w:t xml:space="preserve">[11]</w:t>
        </w:r>
      </w:hyperlink>
      <w:r>
        <w:t xml:space="preserve">. The construct is bounded by triangulation: directional support for the construct in the audited cross-section</w:t>
      </w:r>
      <w:r>
        <w:t xml:space="preserve"> </w:t>
      </w:r>
      <w:hyperlink w:anchor="ref-7">
        <w:r>
          <w:rPr>
            <w:rStyle w:val="Hyperlink"/>
          </w:rPr>
          <w:t xml:space="preserve">[7]</w:t>
        </w:r>
      </w:hyperlink>
      <w:r>
        <w:t xml:space="preserve"> </w:t>
      </w:r>
      <w:r>
        <w:t xml:space="preserve">and conditional significance on the audited panel</w:t>
      </w:r>
      <w:r>
        <w:t xml:space="preserve"> </w:t>
      </w:r>
      <w:hyperlink w:anchor="ref-11">
        <w:r>
          <w:rPr>
            <w:rStyle w:val="Hyperlink"/>
          </w:rPr>
          <w:t xml:space="preserve">[11]</w:t>
        </w:r>
      </w:hyperlink>
      <w:r>
        <w:t xml:space="preserve"> </w:t>
      </w:r>
      <w:r>
        <w:t xml:space="preserve">establish that the construct is not a theoretical curiosity, while the simulation estimator on the TechPort archive supplies the principal test. A null on the simulation would indicate that the construct does not transfer, even though the audited associations support it; this is precisely the falsification condition that Section 5.7 records. The construct validity threat is therefore not eliminated but is exposed to a clean test that can fail.</w:t>
      </w:r>
    </w:p>
    <w:p>
      <w:pPr>
        <w:pStyle w:val="BodyText"/>
        <w:spacing w:line="480" w:lineRule="auto"/>
        <w:ind w:firstLine="720"/>
      </w:pPr>
      <w:r>
        <w:t xml:space="preserve">The second class is internal validity. The audited-record OLS estimators identify conditional associations on observational data, and the assignment of projects to entering TRL is endogenous to NASA’s portfolio choices. A program that selects an immature critical technology may be doing so under unobserved characteristics, such as scientific urgency or budgetary constraint, that are also correlated with realized cost growth. The cross-section absorbs project-specific levels through the KDP-C baseline normalization but cannot absorb unobserved cohort effects beyond the elapsed-time control. The panel specification adds a size control and a design-maturity margin, but it remains observational. The simulation estimator addresses the within-project endogeneity of the audited record by holding realized draws fixed across rules; what it does not address is the possibility that the belief-update model is misspecified. This residual threat is bounded by the three-parameterization sensitivity analysis specified in Section 5.4, including a non-conjugate alternative whose deviation from the central specification places an upper bound on the misspecification bias of the differential.</w:t>
      </w:r>
    </w:p>
    <w:p>
      <w:pPr>
        <w:pStyle w:val="BodyText"/>
        <w:spacing w:line="480" w:lineRule="auto"/>
        <w:ind w:firstLine="720"/>
      </w:pPr>
      <w:r>
        <w:t xml:space="preserve">The third class is external validity. The TechPort archive records NASA-funded technology projects, and the GAO assessments record NASA major flight projects. Both sources are dominated by the science and exploration cohorts and under-represent the human-spaceflight, commercial, and international portfolios whose cost profiles and coupling structures may differ. A measured sequencing-rule differential may not generalize beyond the NASA cohort. The bound on this threat is a stated scope condition: the dissertation claims the differential for NASA-funded staged technology investments under the audited reporting regime, and explicitly does not claim generalization to commercial or international portfolios whose information-state reporting is non-comparable. Adjacent evidence from the commercial low-Earth-orbit value-assessment literature</w:t>
      </w:r>
      <w:r>
        <w:t xml:space="preserve"> </w:t>
      </w:r>
      <w:hyperlink w:anchor="ref-19">
        <w:r>
          <w:rPr>
            <w:rStyle w:val="Hyperlink"/>
          </w:rPr>
          <w:t xml:space="preserve">[19]</w:t>
        </w:r>
      </w:hyperlink>
      <w:r>
        <w:t xml:space="preserve"> </w:t>
      </w:r>
      <w:r>
        <w:t xml:space="preserve">and from international satellite-program innovation paths</w:t>
      </w:r>
      <w:r>
        <w:t xml:space="preserve"> </w:t>
      </w:r>
      <w:hyperlink w:anchor="ref-20">
        <w:r>
          <w:rPr>
            <w:rStyle w:val="Hyperlink"/>
          </w:rPr>
          <w:t xml:space="preserve">[20]</w:t>
        </w:r>
      </w:hyperlink>
      <w:r>
        <w:t xml:space="preserve"> </w:t>
      </w:r>
      <w:r>
        <w:t xml:space="preserve">is treated as suggestive rather than dispositive, and is not used to extend the central claim.</w:t>
      </w:r>
    </w:p>
    <w:p>
      <w:pPr>
        <w:pStyle w:val="BodyText"/>
        <w:spacing w:line="480" w:lineRule="auto"/>
        <w:ind w:firstLine="720"/>
      </w:pPr>
      <w:r>
        <w:t xml:space="preserve">The fourth class is statistical validity. The audited-record cross-section is powered at the directional level but is at the margin of the conventional two-sided threshold for the central TRL coefficient. The audited-record panel reaches conventional significance on the TRL coefficient under heteroskedasticity-robust standard errors and a four-regressor specification. The simulation estimator’s inference proceeds by the paired bootstrap, whose validity depends on the exchangeability of replications; exchangeability is enforced by the simulation design, which draws replications independently. The coupling-index measurement error attenuates the moderator interaction toward zero under classical measurement error, which makes a positive moderator finding harder to obtain and is therefore conservative for the alternative hypothesis. Multiple-testing exposure is bounded by the prespecification of the three hypotheses in Chapter 3 and by the single primary test on the sequencing-rule differential, with the moderator interaction and the secondary panel tests reported as supplementary.</w:t>
      </w:r>
    </w:p>
    <w:p>
      <w:pPr>
        <w:pStyle w:val="BodyText"/>
        <w:spacing w:line="480" w:lineRule="auto"/>
        <w:ind w:firstLine="720"/>
      </w:pPr>
      <w:r>
        <w:t xml:space="preserve">A fifth threat, peripheral to the four classes but worth recording, is operational. The audited cost-growth field is reported by NASA to GAO under a reporting protocol whose stability across the 2011-to-2025 window is documented but not invariant [8, 11]. Definitional changes in the KDP-C baseline accounting are bounded by the project-level normalization, which absorbs any uniform shift in baseline construction at the project level. Definitional changes in the TRL field across the same window are bounded by the use of the lowest-TRL critical technology, which is the field that the GAO narrative coding has been most consistent in reporting.</w:t>
      </w:r>
    </w:p>
    <w:bookmarkEnd w:id="114"/>
    <w:bookmarkStart w:id="115" w:name="inference-protocol-and-falsification"/>
    <w:p>
      <w:pPr>
        <w:pStyle w:val="Heading2"/>
        <w:spacing w:line="480" w:lineRule="auto"/>
      </w:pPr>
      <w:r>
        <w:t xml:space="preserve">5.7 Inference Protocol and Falsification</w:t>
      </w:r>
    </w:p>
    <w:p>
      <w:pPr>
        <w:pStyle w:val="FirstParagraph"/>
        <w:spacing w:line="480" w:lineRule="auto"/>
      </w:pPr>
      <w:r>
        <w:t xml:space="preserve">The inference protocol is prespecified. On the audited record, the directional test on entering TRL is two-sided at the conventional five percent level for the panel specification</w:t>
      </w:r>
      <w:r>
        <w:t xml:space="preserve"> </w:t>
      </w:r>
      <w:hyperlink w:anchor="ref-11">
        <w:r>
          <w:rPr>
            <w:rStyle w:val="Hyperlink"/>
          </w:rPr>
          <w:t xml:space="preserve">[11]</w:t>
        </w:r>
      </w:hyperlink>
      <w:r>
        <w:t xml:space="preserve"> </w:t>
      </w:r>
      <w:r>
        <w:t xml:space="preserve">and is reported as a directional test at the borderline of the conventional threshold for the cross-section</w:t>
      </w:r>
      <w:r>
        <w:t xml:space="preserve"> </w:t>
      </w:r>
      <w:hyperlink w:anchor="ref-7">
        <w:r>
          <w:rPr>
            <w:rStyle w:val="Hyperlink"/>
          </w:rPr>
          <w:t xml:space="preserve">[7]</w:t>
        </w:r>
      </w:hyperlink>
      <w:r>
        <w:t xml:space="preserve">. On the TechPort simulation, the primary test is the paired bootstrap on the sequencing-rule differential, with the null hypothesis that the differential is non-positive. The alternative is rejected at the conventional five percent level if the lower bound of the bootstrap confidence interval on the differential is strictly above zero. The moderator interaction with the coupling index is reported as a secondary test, with the prior expectation that the interaction is attenuated by the measurement error in the coupling index.</w:t>
      </w:r>
    </w:p>
    <w:p>
      <w:pPr>
        <w:pStyle w:val="BodyText"/>
        <w:spacing w:line="480" w:lineRule="auto"/>
        <w:ind w:firstLine="720"/>
      </w:pPr>
      <w:r>
        <w:t xml:space="preserve">The falsification conditions are likewise prespecified. The central hypothesis is falsified if the paired bootstrap on the sequencing-rule differential fails to reject the non-positive null at the conventional level, or if the differential is positive but its magnitude is materially smaller than the audited-record TRL coefficient implies, after scaling. The moderator is falsified if the interaction with the coupling index is not monotone in coupling across the three sensitivity specifications. The construct itself is falsified if the audited-record directional test fails to support the predicted sign on entering TRL once the panel specification is estimated; in that case, the value-of-information theory would lack the audited precondition that the sequencing rule requires, and the dissertation’s central claim would not survive.</w:t>
      </w:r>
    </w:p>
    <w:p>
      <w:pPr>
        <w:pStyle w:val="BodyText"/>
        <w:spacing w:line="480" w:lineRule="auto"/>
        <w:ind w:firstLine="720"/>
      </w:pPr>
      <w:r>
        <w:t xml:space="preserve">The estimators specified in this chapter are therefore arranged to expose the dissertation’s single falsifiable contribution to a clean test that can fail. The audited-record OLS estimators establish the precondition, the value-of-information functional and the partially observed sequential decision process operationalize the sequencing rule, the paired counterfactual simulation identifies the sequencing-rule differential against the static comparator that the flexible-design literature treats as prevailing practice [1, 24], and the four classes of threat to validity are each bounded by a design feature or by a prespecified sensitivity analysis. Chapter 6 reports the empirical results that this apparatus produces.</w:t>
      </w:r>
    </w:p>
    <w:bookmarkEnd w:id="115"/>
    <w:bookmarkEnd w:id="116"/>
    <w:bookmarkStart w:id="123" w:name="chapter-6.-results"/>
    <w:p>
      <w:pPr>
        <w:pStyle w:val="Heading1"/>
        <w:spacing w:line="480" w:lineRule="auto"/>
      </w:pPr>
      <w:r>
        <w:t xml:space="preserve">Chapter 6. Results</w:t>
      </w:r>
    </w:p>
    <w:bookmarkStart w:id="117" w:name="overview-of-the-empirical-test"/>
    <w:p>
      <w:pPr>
        <w:pStyle w:val="Heading2"/>
        <w:spacing w:line="480" w:lineRule="auto"/>
      </w:pPr>
      <w:r>
        <w:t xml:space="preserve">6.1 Overview of the Empirical Test</w:t>
      </w:r>
    </w:p>
    <w:p>
      <w:pPr>
        <w:pStyle w:val="FirstParagraph"/>
        <w:spacing w:line="480" w:lineRule="auto"/>
      </w:pPr>
      <w:r>
        <w:t xml:space="preserve">Chapter 5 derived the estimating equations from a value-of-information theory of portfolio sequencing and identified the two cross-sectional regressions that this chapter reports. The first regression, denoted hereafter Paper I, prices the residual information state of a NASA major project at Key Decision Point C against the project’s realized cost growth, controlling for an ordinal complexity index, an ordinal informational-coupling index, and elapsed time since confirmation. The second regression, denoted Paper II, prices the residual information state at preliminary design review against the same realized outcome, using a different and partially overlapping panel and a different control set built around design maturity, life-cycle cost, and a binary indicator for the presence of an under-mature critical technology. Both estimators are ordinary least squares on a thirty-five-project cross-section drawn from the Government Accountability Office’s annual NASA Assessments of Major Projects, with heteroskedasticity-robust HC1 standard errors. Inference is two-sided at the conventional five percent level except where noted. The two regressions are companions rather than substitutes: each interrogates a different audited margin of the information deficit, and the dissertation’s central claim about the value of pricing unresolved precursor uncertainty stands or falls on the joint pattern they recover. Appendix A archives the variable construction notes, the row-level provenance to specific GAO product numbers, and the full coefficient tables; this chapter narrates the substantive content of those tables and reports each coefficient, standard error, and p-value in the running text so that the inferential argument can be followed without flipping to the appendix.</w:t>
      </w:r>
    </w:p>
    <w:p>
      <w:pPr>
        <w:pStyle w:val="BodyText"/>
        <w:spacing w:line="480" w:lineRule="auto"/>
        <w:ind w:firstLine="720"/>
      </w:pPr>
      <w:r>
        <w:t xml:space="preserve">The chapter proceeds in five sections after this overview. Section 6.2 reports the Paper I regression on TRL at KDP-C and the cross-sectional controls. Section 6.3 reports the Paper II regression on entry TRL at PDR, design maturity, life-cycle cost, and the under-mature critical-technology indicator. Section 6.4 reads the two regressions against the prospectus hypotheses and isolates which margins of the information deficit are priced in the audited record. Section 6.5 addresses joint pattern, robustness considerations internal to the estimators, and the limits the cross-sectional design imposes on causal inference. Section 6.6 closes by sharpening the empirical mandate that Chapter 7 carries into the discussion of sequencing rule design.</w:t>
      </w:r>
    </w:p>
    <w:bookmarkEnd w:id="117"/>
    <w:bookmarkStart w:id="118" w:name="X5875c9e4f654e8b510180dcc2b3627a06ced3f7"/>
    <w:p>
      <w:pPr>
        <w:pStyle w:val="Heading2"/>
        <w:spacing w:line="480" w:lineRule="auto"/>
      </w:pPr>
      <w:r>
        <w:t xml:space="preserve">6.2 Paper I: TRL at KDP-C, Complexity, Coupling, and Elapsed Time</w:t>
      </w:r>
    </w:p>
    <w:p>
      <w:pPr>
        <w:pStyle w:val="FirstParagraph"/>
        <w:spacing w:line="480" w:lineRule="auto"/>
      </w:pPr>
      <w:r>
        <w:t xml:space="preserve">The Paper I specification regresses realized percent cost growth on four regressors: the lowest critical-technology TRL at KDP-C, an ordinal complexity index, an ordinal informational-coupling index, and years since KDP-C. The estimator is ordinary least squares with HC1 robust standard errors. The cross-section comprises thirty-five NASA major space projects assembled from GAO assessments spanning fiscal years 2011 through 2025 [7, 8]. The model returns an R-squared of 0.5788 and an adjusted R-squared of 0.5380, with an F-statistic of 12.105 on the joint null and an F p-value of 4.86 times ten to the minus six. The model therefore explains roughly fifty-eight percent of the cross-sectional variance in realized cost growth, retains roughly fifty-four percent of that explanation after correction for the four-regressor cost of freedom, and rejects the joint null that none of the four regressors carries information about the outcome at a confidence level several orders of magnitude past the conventional threshold. The F-test reading is unambiguous: at the panel level, the bundle of TRL, complexity, coupling, and elapsed time conveys real information about the realized cost-growth distribution.</w:t>
      </w:r>
    </w:p>
    <w:p>
      <w:pPr>
        <w:pStyle w:val="BodyText"/>
        <w:spacing w:line="480" w:lineRule="auto"/>
        <w:ind w:firstLine="720"/>
      </w:pPr>
      <w:r>
        <w:t xml:space="preserve">Consider the TRL coefficient first. At KDP-C it is minus 10.8606 percentage points of realized cost growth per unit increase in the lowest critical-technology TRL at confirmation. The HC1 standard error is 6.7554, yielding a two-sided p-value of 0.108. The sign is the sign the value-of-information prediction anticipates: each step up the TRL ladder at confirmation, conditional on the other regressors, is associated with roughly eleven percentage points less realized cost growth against the KDP-C baseline. The magnitude is substantively large. A project that enters confirmation with TRL 6 on its lowest critical technology is, in the conditional mean, forecast to book approximately eleven percentage points less cost growth than an otherwise identical project that enters with TRL 5, and approximately twenty-two percentage points less than one that enters with TRL 4. Against the audited cost-growth distribution in the GAO series, where median realized growth is well into the tens of percentage points, an eleven-point conditional swing per TRL level is a managerially meaningful price on unresolved technical maturity.</w:t>
      </w:r>
    </w:p>
    <w:p>
      <w:pPr>
        <w:pStyle w:val="BodyText"/>
        <w:spacing w:line="480" w:lineRule="auto"/>
        <w:ind w:firstLine="720"/>
      </w:pPr>
      <w:r>
        <w:t xml:space="preserve">The two-sided test does not reject the null at five percent, and this is the honest reading of the cross-section. With thirty-five observations and four regressors, the panel is not powered to separate the TRL channel from the elapsed-time channel with conventional precision. The coefficient lies almost entirely on the predicted side of zero: the asymptotic ninety-five percent confidence interval centred on the point estimate with the reported standard error extends from roughly minus twenty-four to roughly plus two and a half, so the data place essentially the whole of the credible mass on negative coefficients. A one-tailed test motivated by the prospectus prior would place the coefficient near the conventional five percent threshold rather than safely past it, but the discipline of the two-sided default is preserved here. The cross-section delivers directional support for the central information-deficit prediction at marginal significance; the Paper II regression in the next section delivers the matching channel at conventional significance using a different audited margin.</w:t>
      </w:r>
    </w:p>
    <w:p>
      <w:pPr>
        <w:pStyle w:val="BodyText"/>
        <w:spacing w:line="480" w:lineRule="auto"/>
        <w:ind w:firstLine="720"/>
      </w:pPr>
      <w:r>
        <w:t xml:space="preserve">The coefficient on the complexity index is plus 12.8303 percentage points of realized cost growth per unit increase in the ordinal complexity score, with an HC1 standard error of 13.9098 and a p-value of 0.356. The sign is the sign the framing predicts, since more complex missions face more numerous uncertainties that the entry information state has not yet retired, but the coefficient is not distinguished from zero in the cross-section. The most defensible reading is that the complexity index, coded from the GAO project profile narrative using the cooperative-program flag, instrument count, destination class, and program lineage as inputs, shares enough variance with TRL at KDP-C and with elapsed time that its marginal partial effect is squeezed once those two regressors are conditioned on. Section 6.5 returns to the implications.</w:t>
      </w:r>
    </w:p>
    <w:p>
      <w:pPr>
        <w:pStyle w:val="BodyText"/>
        <w:spacing w:line="480" w:lineRule="auto"/>
        <w:ind w:firstLine="720"/>
      </w:pPr>
      <w:r>
        <w:t xml:space="preserve">The coefficient on the coupling index is minus 13.131 percentage points of realized cost growth per unit increase in coupling, with an HC1 standard error of 15.543 and a p-value of 0.398. The sign is opposite the sign the framing predicts, the magnitude is small relative to the standard error, and the asymptotic confidence interval admits both signs. The coupling hypothesis advanced in the prospectus, that higher informational coupling between a project and a precursor demonstration should associate with higher realized cost growth because the project carries more upstream-resolvable uncertainty that the program declined to retire, receives no support from the Paper I regression. This null result is itself informative. The prospectus’s threats-to-validity discussion warned that the coupling index, coded from narrative and program lineage rather than from observed dependency, would be a noisy measure of the construct the dissertation needs. The Paper I null is the empirical realisation of that warning. The result does not reject the value-of-information account; it tells the dissertation that the audited cross-section cannot, with a narrative-coded coupling index on thirty-five observations, recover the upstream-coupling channel. The main study, which assembles dependency edges from the TechPort lineage data along the lines outlined in the prospectus and the NASA technology taxonomy</w:t>
      </w:r>
      <w:r>
        <w:t xml:space="preserve"> </w:t>
      </w:r>
      <w:hyperlink w:anchor="ref-9">
        <w:r>
          <w:rPr>
            <w:rStyle w:val="Hyperlink"/>
          </w:rPr>
          <w:t xml:space="preserve">[9]</w:t>
        </w:r>
      </w:hyperlink>
      <w:r>
        <w:t xml:space="preserve">, substitutes an observed dependency measure for the narrative-coded index, and that substitution is the operational answer to the Paper I null on coupling.</w:t>
      </w:r>
    </w:p>
    <w:p>
      <w:pPr>
        <w:pStyle w:val="BodyText"/>
        <w:spacing w:line="480" w:lineRule="auto"/>
        <w:ind w:firstLine="720"/>
      </w:pPr>
      <w:r>
        <w:t xml:space="preserve">Elapsed time is the cleanest channel in the table by a considerable margin. The coefficient on years since KDP-C is plus 11.0333 percentage points of realized cost growth per year, with an HC1 standard error of 2.5042 and a p-value below 0.0001 to the four-decimal precision the estimator reports. The asymptotic ninety-five percent confidence interval extends approximately from plus 6.13 to plus 15.94. The interpretation has two parts. Mechanically, older projects have had more years across which growth could be booked against their baselines, and the coefficient on elapsed time absorbs that cumulative exposure. Substantively, the size of the elapsed-time channel relative to the TRL channel, roughly eleven points per TRL level versus roughly eleven points per year, is exactly the pattern the dissertation is built to address: realized cost growth on NASA major projects is, in the audited record, a process in which time drips uncertainty into the cost line at a roughly constant rate, and the entry information state controls the height of the initial trajectory. A sequencing rule that retires precursor uncertainty before commitment reduces the height of the trajectory; it does not change the slope. The cross-section is recovering both pieces of that decomposition, with the slope estimated cleanly and the height estimated with the precision the sample size permits.</w:t>
      </w:r>
    </w:p>
    <w:p>
      <w:pPr>
        <w:pStyle w:val="BodyText"/>
        <w:spacing w:line="480" w:lineRule="auto"/>
        <w:ind w:firstLine="720"/>
      </w:pPr>
      <w:r>
        <w:t xml:space="preserve">The intercept is 25.9613 percentage points with an HC1 standard error of 29.2878 and a p-value of 0.3754. With four controls in the model and the regressors not centred, the intercept is not interpreted on its own. It is consistent with a high baseline cost-growth pressure for projects entering confirmation at the lowest observed TRL, complexity, coupling, and elapsed-time values in the panel, but the intercept’s standard error counsels against substantive reading at the level of the point estimate alone.</w:t>
      </w:r>
    </w:p>
    <w:p>
      <w:pPr>
        <w:pStyle w:val="BodyText"/>
        <w:spacing w:line="480" w:lineRule="auto"/>
        <w:ind w:firstLine="720"/>
      </w:pPr>
      <w:r>
        <w:t xml:space="preserve">The Paper I regression therefore returns a model with substantial explanatory power, a clean elapsed-time channel, directional and substantively large support for the central information-deficit prediction at marginal significance on TRL, no support and considerable measurement-error attenuation on coupling, and a complexity coefficient in the predicted direction at non-significance. The headline reading is that the audited cross-section does not refute the value-of-information account at its central claim and that the channel the account predicts is the channel the regression recovers, subject to the power limit a thirty-five-project sample imposes [7, 8].</w:t>
      </w:r>
    </w:p>
    <w:bookmarkEnd w:id="118"/>
    <w:bookmarkStart w:id="119" w:name="X1b8c4c1656b6af380dcf006be5eb86ff88d3a62"/>
    <w:p>
      <w:pPr>
        <w:pStyle w:val="Heading2"/>
        <w:spacing w:line="480" w:lineRule="auto"/>
      </w:pPr>
      <w:r>
        <w:t xml:space="preserve">6.3 Paper II: Entry TRL at PDR, Design Maturity, Life-Cycle Cost, and the Under-Mature Critical Technology Indicator</w:t>
      </w:r>
    </w:p>
    <w:p>
      <w:pPr>
        <w:pStyle w:val="FirstParagraph"/>
        <w:spacing w:line="480" w:lineRule="auto"/>
      </w:pPr>
      <w:r>
        <w:t xml:space="preserve">The Paper II specification regresses realized percent cost growth on four regressors: the entry TRL of the lowest-TRL critical technology at preliminary design review, the percent of engineering design drawings released at PDR, the life-cycle cost in millions of dollars, and a binary indicator equal to one if any critical technology was below TRL 6 at PDR. The estimator is ordinary least squares with HC1 robust standard errors on a thirty-five-project cross-section assembled from the GAO Assessments of Major Projects for fiscal years 2020 through 2025 [7, 11]. The model returns an R-squared of 0.6369 and an adjusted R-squared of 0.5885, with an F-statistic of 12.476 on the joint null and an F p-value of 4.31 times ten to the minus six. The R-squared is roughly six percentage points higher than the Paper I specification, the adjusted R-squared roughly five points higher, the F-statistic and its p-value comparable in magnitude. The two regressions are recovering joint signals of roughly equal strength on overlapping but distinct subsets of the audited record, and the Paper II specification adds a small but visible increment in explained variance once the audited PDR margin replaces the broader KDP-C narrative.</w:t>
      </w:r>
    </w:p>
    <w:p>
      <w:pPr>
        <w:pStyle w:val="BodyText"/>
        <w:spacing w:line="480" w:lineRule="auto"/>
        <w:ind w:firstLine="720"/>
      </w:pPr>
      <w:r>
        <w:t xml:space="preserve">Here is the central result of Paper II. The coefficient on entry TRL at PDR is minus 8.8798 percentage points of realized cost growth per one-level increase in the entry TRL of the lowest-TRL critical technology, with an HC1 standard error of 4.3986 and a two-sided p-value of 0.0435. This is a substantive advance on the marginally significant Paper I TRL coefficient. The coefficient is statistically distinguished from zero at the conventional five percent level, two-sided. The point estimate says that, holding design maturity at PDR, life-cycle cost in millions of dollars, and the under-mature critical-technology indicator fixed, a one-level improvement in the entry TRL of the lowest-TRL critical technology at PDR is associated, on average, with a reduction in realized cost growth of approximately nine percentage points against the KDP-C baseline. The two-tailed test rejects the null at p equal to 0.0435 against the conventional p equal to 0.05 threshold, which delivers the conditional information-deficit channel that Paper I could only signal directionally. The reading the dissertation requires is unambiguous: a project that enters its preliminary design review carrying more residual technical uncertainty, indexed by a lower TRL on its lowest-TRL critical technology, reports systematically higher realized cost growth against its baseline once the program closes the books, and the relationship survives controls for size, design-package completion, and the binary indicator that the program itself flagged the technology as under-mature.</w:t>
      </w:r>
    </w:p>
    <w:p>
      <w:pPr>
        <w:pStyle w:val="BodyText"/>
        <w:spacing w:line="480" w:lineRule="auto"/>
        <w:ind w:firstLine="720"/>
      </w:pPr>
      <w:r>
        <w:t xml:space="preserve">The coefficient on life-cycle cost is plus 0.0026 percentage points of realized cost growth per additional million dollars of life-cycle cost, with an HC1 standard error of 0.0013 and a two-sided p-value of 0.0386. The point estimate is small in level but precisely estimated, and over the three-order-of-magnitude range of life-cycle cost in the panel the implied scale is substantively important. A one-billion-dollar increase in life-cycle cost, conditional on the entry information-state variables and the under-mature indicator, is associated with approximately 2.6 percentage points of additional realized cost growth, with the same conditioning. The result is consistent with the prospectus framing in which larger commitments expose more of the program’s value to whatever residual uncertainty the entry information state has not yet retired, and it delivers the size channel at conventional significance against the conventional p equal to 0.05 threshold. The implication for sequencing-rule design, picked up in Chapter 7, is that the value of resolving a unit of uncertainty before commitment is larger, in dollar terms, for larger projects: a VOI-per-dollar sequencing rule should accordingly prioritise early information acquisition that informs the largest downstream commitments.</w:t>
      </w:r>
    </w:p>
    <w:p>
      <w:pPr>
        <w:pStyle w:val="BodyText"/>
        <w:spacing w:line="480" w:lineRule="auto"/>
        <w:ind w:firstLine="720"/>
      </w:pPr>
      <w:r>
        <w:t xml:space="preserve">The coefficient on design maturity at PDR, defined as the percent of engineering design drawings released at preliminary design review, is minus 0.2986 percentage points of realized cost growth per percentage point of design release, with an HC1 standard error of 0.6717 and a two-sided p-value of 0.6566. The sign is the sign the framing anticipates: more complete design packages at PDR ought to retire residual planning uncertainty and reduce realized cost growth. The coefficient is not statistically distinguished from zero, however, and the most natural reading is that the marginal information design maturity carries about realized cost growth, conditional on entry TRL at PDR, is small. Projects that enter PDR with a low-TRL critical technology are also typically the projects with the lower design-release percentages and with the under-mature critical technology flag. When entry TRL is conditioned on, the additional partial effect of design completion does not separate from zero in this cross-section. The substantive implication, developed in Section 6.4, is that the technology-readiness margin dominates the design-completeness margin in the audited PDR record once both are placed in the same equation. The small panel and the strong correlation between the two margins counsel caution about reading the design-maturity coefficient as evidence of no relationship; the regression establishes that the dominant pricing margin is TRL rather than design release, not that design completion is causally irrelevant.</w:t>
      </w:r>
    </w:p>
    <w:p>
      <w:pPr>
        <w:pStyle w:val="BodyText"/>
        <w:spacing w:line="480" w:lineRule="auto"/>
        <w:ind w:firstLine="720"/>
      </w:pPr>
      <w:r>
        <w:t xml:space="preserve">Now the binary flag. The coefficient on the under-mature critical technology indicator is plus 0.5996 percentage points of realized cost growth, with an HC1 standard error of 7.6404 and a two-sided p-value of 0.9374. The point estimate is essentially zero, and the standard error is wide. The binary indicator does not carry independent signal beyond what the continuous entry-TRL measure already captures. This is exactly the redundancy that the construction would predict: a project below TRL 6 on a critical technology at PDR is, by construction, a project at the low end of the entry-TRL distribution, and once the continuous measure is in the equation the binary flag adds essentially no information. The estimator confirms the redundancy quantitatively. The result is a small piece of evidence for the empirical priority of the continuous TRL measure over the binary flag that NASA reports alongside it, a point picked up again in Chapter 7 in connection with how a sequencing rule should code its entry information state.</w:t>
      </w:r>
    </w:p>
    <w:p>
      <w:pPr>
        <w:pStyle w:val="BodyText"/>
        <w:spacing w:line="480" w:lineRule="auto"/>
        <w:ind w:firstLine="720"/>
      </w:pPr>
      <w:r>
        <w:t xml:space="preserve">The intercept is 86.0845 percentage points with an HC1 standard error of 47.5049 and a two-sided p-value of 0.0700, marginally above the conventional five percent threshold. Because the design-maturity and life-cycle cost regressors are not centred and because the binary indicator and the entry TRL are bounded, the intercept should be read as the conditional mean for projects at the bottom of the joint regressor distribution rather than as a substantive parameter. It is consistent with the audited fact that projects entering design with the lowest observed entry TRL, the lowest observed design completion, the smallest observed life-cycle cost, and the under-mature flag at zero have reported very high realized cost growth in the GAO record.</w:t>
      </w:r>
    </w:p>
    <w:p>
      <w:pPr>
        <w:pStyle w:val="BodyText"/>
        <w:spacing w:line="480" w:lineRule="auto"/>
        <w:ind w:firstLine="720"/>
      </w:pPr>
      <w:r>
        <w:t xml:space="preserve">The Paper II regression therefore returns the central information-deficit channel at conventional significance, the size channel at conventional significance with a substantively meaningful implied scale per billion dollars of life-cycle cost, the design-maturity margin in the predicted direction at non-significance, and the under-mature critical-technology indicator as redundant with the continuous TRL measure. The model as a whole rejects the joint null at p equal to 4.31 times ten to the minus six, and explains roughly two-thirds of the cross-sectional variance in realized cost growth. The audited PDR record is therefore identifying for the dissertation’s central prospectus claim, in the specific and conservative sense that the residual information state a project carries past PDR is priced by the realized cost line, that the price is approximately nine percentage points of growth per TRL level, and that the price scales with the size of the downstream commitment in the direction the framing anticipates [7, 11].</w:t>
      </w:r>
    </w:p>
    <w:bookmarkEnd w:id="119"/>
    <w:bookmarkStart w:id="120" w:name="X0a8a7c7e1e9db01af06cf0d6749aa85b02f6b68"/>
    <w:p>
      <w:pPr>
        <w:pStyle w:val="Heading2"/>
        <w:spacing w:line="480" w:lineRule="auto"/>
      </w:pPr>
      <w:r>
        <w:t xml:space="preserve">6.4 Reading the Two Regressions Against the Prospectus Hypotheses</w:t>
      </w:r>
    </w:p>
    <w:p>
      <w:pPr>
        <w:pStyle w:val="FirstParagraph"/>
        <w:spacing w:line="480" w:lineRule="auto"/>
      </w:pPr>
      <w:r>
        <w:t xml:space="preserve">The prospectus stated a single falsifiable contribution and decomposed it into a central hypothesis on the price of unresolved technical uncertainty and a moderator on informational coupling. Paper I and Paper II together deliver the central hypothesis and decline to deliver the coupling moderator on the cross-sectional sample, in a pattern that the prospectus’s own validity discussion anticipated.</w:t>
      </w:r>
    </w:p>
    <w:p>
      <w:pPr>
        <w:pStyle w:val="BodyText"/>
        <w:spacing w:line="480" w:lineRule="auto"/>
        <w:ind w:firstLine="720"/>
      </w:pPr>
      <w:r>
        <w:t xml:space="preserve">The central information-deficit hypothesis carries the predicted sign in both regressions. In Paper I the coefficient on TRL at KDP-C is minus 10.8606 with HC1 standard error 6.7554 and p equal to 0.108. In Paper II the coefficient on entry TRL at PDR is minus 8.8798 with HC1 standard error 4.3986 and p equal to 0.0435. The two estimates bracket roughly nine to eleven percentage points of conditional cost-growth reduction per TRL level. The estimates are recovered from overlapping but distinct samples, with distinct control sets, against distinct audited measurement points, and they return point estimates of comparable magnitude and the same sign. The Paper II coefficient rejects the null at the conventional two-sided five percent threshold; the Paper I coefficient lies almost entirely on the predicted side of zero but does not reject at two-sided five percent. The dissertation reads the joint pattern as substantive support for the central prediction on the audited record, with the appropriate caution about the power limit imposed by thirty-five-observation cross-sections. The flexible-design literature against which the prediction is identified treats the information available to a decision-maker as a determinant of the design choice ultimately made</w:t>
      </w:r>
      <w:r>
        <w:t xml:space="preserve"> </w:t>
      </w:r>
      <w:hyperlink w:anchor="ref-3">
        <w:r>
          <w:rPr>
            <w:rStyle w:val="Hyperlink"/>
          </w:rPr>
          <w:t xml:space="preserve">[3]</w:t>
        </w:r>
      </w:hyperlink>
      <w:r>
        <w:t xml:space="preserve"> </w:t>
      </w:r>
      <w:r>
        <w:t xml:space="preserve">and treats portfolio optimization under environmental uncertainty as governed by the level of information at commitment</w:t>
      </w:r>
      <w:r>
        <w:t xml:space="preserve"> </w:t>
      </w:r>
      <w:hyperlink w:anchor="ref-1">
        <w:r>
          <w:rPr>
            <w:rStyle w:val="Hyperlink"/>
          </w:rPr>
          <w:t xml:space="preserve">[1]</w:t>
        </w:r>
      </w:hyperlink>
      <w:r>
        <w:t xml:space="preserve">. The audited cost-growth line is the realized analogue of the downstream commitment whose decision-relevant variance the prospectus proposes to reduce, and the regressions price that analogue with a measurable, dollar-denominated coefficient.</w:t>
      </w:r>
    </w:p>
    <w:p>
      <w:pPr>
        <w:pStyle w:val="BodyText"/>
        <w:spacing w:line="480" w:lineRule="auto"/>
        <w:ind w:firstLine="720"/>
      </w:pPr>
      <w:r>
        <w:t xml:space="preserve">The coupling moderator does not survive the Paper I cross-section. The narrative-coded coupling index returns a coefficient of minus 13.131 with HC1 standard error 15.543 and p equal to 0.398, opposite in sign and not distinguished from zero. The prospectus warned that a coupling index coded from taxonomy and lineage rather than from observed dependency would carry attenuation toward the null. The Paper I result is the empirical realisation of that attenuation. The reading the dissertation takes is conservative and constructive. The cross-section cannot, with a thirty-five-project sample and a narrative-coded coupling index, recover the upstream-coupling channel. The main study, which derives an observed dependency measure from the TechPort lineage data structured against the NASA technology taxonomy</w:t>
      </w:r>
      <w:r>
        <w:t xml:space="preserve"> </w:t>
      </w:r>
      <w:hyperlink w:anchor="ref-9">
        <w:r>
          <w:rPr>
            <w:rStyle w:val="Hyperlink"/>
          </w:rPr>
          <w:t xml:space="preserve">[9]</w:t>
        </w:r>
      </w:hyperlink>
      <w:r>
        <w:t xml:space="preserve">, substitutes an instrument-grade measure for the narrative-coded one. The Paper I null on coupling is therefore an empirical mandate rather than a refutation: it tells the dissertation precisely where the cross-section breaks down, and the main study answers that breakdown with an audited dependency measure.</w:t>
      </w:r>
    </w:p>
    <w:p>
      <w:pPr>
        <w:pStyle w:val="BodyText"/>
        <w:spacing w:line="480" w:lineRule="auto"/>
        <w:ind w:firstLine="720"/>
      </w:pPr>
      <w:r>
        <w:t xml:space="preserve">The size channel, formulated in Paper II as the conditional partial effect of life-cycle cost in millions of dollars, returns a coefficient of plus 0.0026 with HC1 standard error 0.0013 and p equal to 0.0386. The size hypothesis is supported at the conventional two-sided five percent level, with the substantive implication that larger projects, conditional on the entry information state and the under-mature indicator, run higher percentage cost growth. The implication for the sequencing rule is that the VOI-per-dollar quantity the dissertation proposes to maximise scales not only in the expected reduction in decision-relevant uncertainty but in the dollar value of the downstream commitment that the resolved uncertainty informs. A sequencing rule that prices early information acquisition by VOI-per-dollar is, by construction, exactly the rule the size channel supports.</w:t>
      </w:r>
    </w:p>
    <w:p>
      <w:pPr>
        <w:pStyle w:val="BodyText"/>
        <w:spacing w:line="480" w:lineRule="auto"/>
        <w:ind w:firstLine="720"/>
      </w:pPr>
      <w:r>
        <w:t xml:space="preserve">The two ancillary regressors at PDR, design maturity and the under-mature critical-technology indicator, behave as the construction predicts. Design maturity carries the predicted negative sign at non-significance once entry TRL is in the model, which says that the technology-readiness margin dominates the design-completeness margin once both are conditioned on. The under-mature critical-technology indicator is essentially zero with a wide standard error, which says that the binary flag NASA reports alongside the continuous TRL measure does not carry independent signal once the continuous measure is in the equation. Neither result overturns the central reading; each contributes to the operational shape the sequencing rule should take when Chapter 7 picks it up.</w:t>
      </w:r>
    </w:p>
    <w:p>
      <w:pPr>
        <w:pStyle w:val="BodyText"/>
        <w:spacing w:line="480" w:lineRule="auto"/>
        <w:ind w:firstLine="720"/>
      </w:pPr>
      <w:r>
        <w:t xml:space="preserve">The Paper I complexity coefficient, plus 12.8303 with HC1 standard error 13.9098 and p equal to 0.356, returns the predicted positive sign at non-significance. The substantive content of this coefficient is consistent with what the flexible-design literature would predict but limited in precision by the cross-sectional sample, and the dissertation does not read the Paper I complexity coefficient as more than directional confirmation of the well-documented scale-variance relationship [1, 3].</w:t>
      </w:r>
    </w:p>
    <w:p>
      <w:pPr>
        <w:pStyle w:val="BodyText"/>
        <w:spacing w:line="480" w:lineRule="auto"/>
        <w:ind w:firstLine="720"/>
      </w:pPr>
      <w:r>
        <w:t xml:space="preserve">The Paper I elapsed-time coefficient, plus 11.0333 with HC1 standard error 2.5042 and p below 0.0001, is the cleanest result across the two regressions and is also the regressor that the Paper II specification absorbs implicitly by drawing on the more recent fiscal-year-2020-through-2025 window. The decomposition the two regressions jointly recover is that the audited cost-growth process on NASA major projects has a roughly constant per-year slope and a height that the entry information state at confirmation or PDR governs. The sequencing rule the dissertation proposes operates on the height, not the slope, which is the operational reading of the two coefficient pairs together.</w:t>
      </w:r>
    </w:p>
    <w:bookmarkEnd w:id="120"/>
    <w:bookmarkStart w:id="121" w:name="Xc19db800d82e45890a5d6cbc8d28f8ac5ef15a9"/>
    <w:p>
      <w:pPr>
        <w:pStyle w:val="Heading2"/>
        <w:spacing w:line="480" w:lineRule="auto"/>
      </w:pPr>
      <w:r>
        <w:t xml:space="preserve">6.5 Joint Pattern, Robustness, and Limits of the Cross-Sectional Design</w:t>
      </w:r>
    </w:p>
    <w:p>
      <w:pPr>
        <w:pStyle w:val="FirstParagraph"/>
        <w:spacing w:line="480" w:lineRule="auto"/>
      </w:pPr>
      <w:r>
        <w:t xml:space="preserve">The two regressions share a panel size of thirty-five projects and an estimator family of ordinary least squares with HC1 robust standard errors. The shared sample size sets a hard power ceiling on what either cross-section can resolve. Robustness internal to the estimators is established by three observations.</w:t>
      </w:r>
    </w:p>
    <w:p>
      <w:pPr>
        <w:pStyle w:val="BodyText"/>
        <w:spacing w:line="480" w:lineRule="auto"/>
        <w:ind w:firstLine="720"/>
      </w:pPr>
      <w:r>
        <w:t xml:space="preserve">First, the joint F-tests reject the joint null at p equal to 4.86 times ten to the minus six in Paper I and at p equal to 4.31 times ten to the minus six in Paper II. Neither rejection is marginal. Whatever signal the cross-sections carry is carried jointly across the regressors, and the model-level inference is essentially unambiguous.</w:t>
      </w:r>
    </w:p>
    <w:p>
      <w:pPr>
        <w:pStyle w:val="BodyText"/>
        <w:spacing w:line="480" w:lineRule="auto"/>
        <w:ind w:firstLine="720"/>
      </w:pPr>
      <w:r>
        <w:t xml:space="preserve">Second, the explanatory power of the two regressions, R-squared 0.5788 and adjusted 0.5380 in Paper I, R-squared 0.6369 and adjusted 0.5885 in Paper II, is high for cross-sectional regressions on audited program data. The two specifications recover roughly fifty-eight to sixty-four percent of the realized cost-growth variance in their panels, retain roughly fifty-four to fifty-nine percent after adjustment for the four-regressor cost of freedom, and do so without explicit project fixed effects. The cross-sectional design absorbs project-level heterogeneity into the GAO baseline reference that the dependent variable is constructed against; the result is that the estimators do not need a separate fixed-effects layer to deliver high explanatory power.</w:t>
      </w:r>
    </w:p>
    <w:p>
      <w:pPr>
        <w:pStyle w:val="BodyText"/>
        <w:spacing w:line="480" w:lineRule="auto"/>
        <w:ind w:firstLine="720"/>
      </w:pPr>
      <w:r>
        <w:t xml:space="preserve">Third, the two TRL coefficients, recovered from overlapping but distinct samples against distinct audited measurement points, return point estimates that bracket roughly nine to eleven percentage points of cost-growth reduction per TRL level. The convergence of the two point estimates across distinct specifications is a substantive robustness check for the central finding. A reading of the dissertation that took only one of the two regressions would understate the empirical support for the central information-deficit prediction; the joint pattern is what the dissertation rests on.</w:t>
      </w:r>
    </w:p>
    <w:p>
      <w:pPr>
        <w:pStyle w:val="BodyText"/>
        <w:spacing w:line="480" w:lineRule="auto"/>
        <w:ind w:firstLine="720"/>
      </w:pPr>
      <w:r>
        <w:t xml:space="preserve">Three limits of the cross-sectional design must be recorded. First, the panel is observational, so the negative TRL coefficients identify conditional associations rather than causal effects. The assignment of projects to entry TRL is endogenous to NASA’s own portfolio choices, and selection into low-TRL commitments may correlate with unobserved program characteristics that also drive cost growth. The conditional association is, however, the quantity that a value-of-information sequencing rule is designed to manipulate, and a non-null estimate is the minimum empirical content the prospectus requires [1, 2]. Second, the TRL measure is the lowest TRL at the audited milestone, a coarse summary of a project’s technology portfolio. A more granular instrument that recovers the distribution of TRLs across all critical technologies on a project would resolve more of the channel-level variance, and the main study’s TechPort dataset supports exactly that disaggregation</w:t>
      </w:r>
      <w:r>
        <w:t xml:space="preserve"> </w:t>
      </w:r>
      <w:hyperlink w:anchor="ref-9">
        <w:r>
          <w:rPr>
            <w:rStyle w:val="Hyperlink"/>
          </w:rPr>
          <w:t xml:space="preserve">[9]</w:t>
        </w:r>
      </w:hyperlink>
      <w:r>
        <w:t xml:space="preserve">. Third, the audited cross-section observes each project at a single snapshot, so the Paper I elapsed-time coefficient is doing double duty as a controlled exposure and as an unobserved cohort effect. The panel design in the main dissertation study substitutes a project fixed effect for this control. The Paper II specification, by drawing on a tighter fiscal-year-2020-through-2025 window, partially mitigates this concern but does not fully resolve it.</w:t>
      </w:r>
    </w:p>
    <w:p>
      <w:pPr>
        <w:pStyle w:val="BodyText"/>
        <w:spacing w:line="480" w:lineRule="auto"/>
        <w:ind w:firstLine="720"/>
      </w:pPr>
      <w:r>
        <w:t xml:space="preserve">The two regressions are not, in short, the dissertation’s final test of its sequencing claim. They are its identification check. The audited cost-growth ledger does carry a measurable, dollar-denominated price on the residual information state, the price runs in the direction the value-of-information theory predicts, and the price survives controls that the flexible-design literature would treat as the natural confounders [1, 3]. With that identification established on the audited record, Chapter 7 turns to how a sequencing rule should be parameterised on the TechPort panel to recover the realized-value differential that is the prospectus’s central estimand.</w:t>
      </w:r>
    </w:p>
    <w:bookmarkEnd w:id="121"/>
    <w:bookmarkStart w:id="122" w:name="empirical-mandate-carried-into-chapter-7"/>
    <w:p>
      <w:pPr>
        <w:pStyle w:val="Heading2"/>
        <w:spacing w:line="480" w:lineRule="auto"/>
      </w:pPr>
      <w:r>
        <w:t xml:space="preserve">6.6 Empirical Mandate Carried Into Chapter 7</w:t>
      </w:r>
    </w:p>
    <w:p>
      <w:pPr>
        <w:pStyle w:val="FirstParagraph"/>
        <w:spacing w:line="480" w:lineRule="auto"/>
      </w:pPr>
      <w:r>
        <w:t xml:space="preserve">The audited record returns the following empirical mandate for the sequencing-rule design that Chapter 7 takes up. The dissertation has shown that the residual information state at confirmation and at preliminary design review is priced by the realized cost line on NASA major projects, that the price is approximately nine to eleven percentage points of conditional cost growth per TRL level, and that the price scales with the dollar size of the downstream commitment. The information-functional construction that the dissertation imports from the sensor-tasking literature [2, 4, 5], and the partial-observability formulation that the dissertation adopts for the sequencing problem</w:t>
      </w:r>
      <w:r>
        <w:t xml:space="preserve"> </w:t>
      </w:r>
      <w:hyperlink w:anchor="ref-5">
        <w:r>
          <w:rPr>
            <w:rStyle w:val="Hyperlink"/>
          </w:rPr>
          <w:t xml:space="preserve">[5]</w:t>
        </w:r>
      </w:hyperlink>
      <w:r>
        <w:t xml:space="preserve">, are therefore not searching for a price that the realized ledger does not pay. The price is paid. The remaining empirical work is to parameterise the rule on the TechPort panel, identify the realized-value differential against the static expected-value comparator using paired counterfactual draws, and recover the moderator on informational coupling from observed dependency rather than coded narrative. The cross-sectional regressions reported in this chapter are the empirical foothold that warrants that programme; Chapter 7 takes the foothold and builds the rule.</w:t>
      </w:r>
    </w:p>
    <w:bookmarkEnd w:id="122"/>
    <w:bookmarkEnd w:id="123"/>
    <w:bookmarkStart w:id="130" w:name="X21322cb5e29cbf4eb576afddcad42f86ace4e0d"/>
    <w:p>
      <w:pPr>
        <w:pStyle w:val="Heading1"/>
        <w:spacing w:line="480" w:lineRule="auto"/>
      </w:pPr>
      <w:r>
        <w:t xml:space="preserve">Chapter 7. Discussion and Governance Implications</w:t>
      </w:r>
    </w:p>
    <w:bookmarkStart w:id="124" w:name="restating-the-claim-against-the-evidence"/>
    <w:p>
      <w:pPr>
        <w:pStyle w:val="Heading2"/>
        <w:spacing w:line="480" w:lineRule="auto"/>
      </w:pPr>
      <w:r>
        <w:t xml:space="preserve">7.1 Restating the Claim Against the Evidence</w:t>
      </w:r>
    </w:p>
    <w:p>
      <w:pPr>
        <w:pStyle w:val="FirstParagraph"/>
        <w:spacing w:line="480" w:lineRule="auto"/>
      </w:pPr>
      <w:r>
        <w:t xml:space="preserve">The dissertation advanced a single falsifiable contribution: that a sequencing rule which ranks candidate space technology projects by value of information per dollar produces portfolios whose realized value, after uncertainty is resolved, exceeds that of portfolios composed by static expected net value selection</w:t>
      </w:r>
      <w:r>
        <w:t xml:space="preserve"> </w:t>
      </w:r>
      <w:hyperlink w:anchor="ref-1">
        <w:r>
          <w:rPr>
            <w:rStyle w:val="Hyperlink"/>
          </w:rPr>
          <w:t xml:space="preserve">[1]</w:t>
        </w:r>
      </w:hyperlink>
      <w:r>
        <w:t xml:space="preserve">. The two empirical papers presented in the preceding chapters were designed not to prove that proposition on the audited record directly, since the audited record does not observe counterfactual sequencings, but to establish the empirical pre-condition that the proposition requires: that the residual information state a project carries past commitment is observably priced by the realized cost line. If unresolved technical uncertainty at confirmation did not show up in the realized cost ledger, the value of resolving that uncertainty earlier could not be priced either, and the sequencing rule the prospectus advanced would be searching for a quantity the program record does not pay. The two papers together establish that the pre-condition holds, with caveats that this chapter takes seriously.</w:t>
      </w:r>
    </w:p>
    <w:p>
      <w:pPr>
        <w:pStyle w:val="BodyText"/>
        <w:spacing w:line="480" w:lineRule="auto"/>
        <w:ind w:firstLine="720"/>
      </w:pPr>
      <w:r>
        <w:t xml:space="preserve">The first empirical paper, on the thirty-five project cross-section drawn from the GAO Major Project Assessment series from fiscal year 2011 through fiscal year 2025, returned a coefficient on the lowest critical-technology TRL at Key Decision Point C of minus 10.86 percentage points of realized cost growth per unit TRL increase, with a p-value of 0.108 and a 95 percent confidence interval running from minus 24.10 to plus 2.38. The sign was the sign the value-of-information account predicts, and the magnitude was managerially material, but the cross-section was not powered to separate the technology-readiness channel from the elapsed-time channel at conventional thresholds. The second empirical paper, on the thirty-five project panel assembled from GAO assessments published from 2020 through 2025, conditioned on a richer set of regressors that included the percent of engineering design drawings released at preliminary design review and the life-cycle cost of the project, and returned a coefficient on entry TRL of minus 8.88 percentage points of cost growth per TRL level, significant at the five percent level with a p-value of 0.044, alongside a small but precisely estimated positive coefficient on life-cycle cost at 0.0026 percentage points per million dollars with a p-value of 0.039. Across two specifications drawn from the same audited series, the technology-readiness channel carried the predicted sign with a magnitude in the range of nine to eleven percentage points of cost growth per TRL level. Combined with the value-of-information construction imported from the sensor-tasking literature</w:t>
      </w:r>
      <w:r>
        <w:t xml:space="preserve"> </w:t>
      </w:r>
      <w:hyperlink w:anchor="ref-2">
        <w:r>
          <w:rPr>
            <w:rStyle w:val="Hyperlink"/>
          </w:rPr>
          <w:t xml:space="preserve">[2]</w:t>
        </w:r>
      </w:hyperlink>
      <w:r>
        <w:t xml:space="preserve">, where the value of an observation is the expected reduction in decision-relevant uncertainty, the empirical pre-condition for pricing early information in space technology portfolios is therefore established on the audited record.</w:t>
      </w:r>
    </w:p>
    <w:p>
      <w:pPr>
        <w:pStyle w:val="BodyText"/>
        <w:spacing w:line="480" w:lineRule="auto"/>
        <w:ind w:firstLine="720"/>
      </w:pPr>
      <w:r>
        <w:t xml:space="preserve">What the chapter does not claim, and what no observational design on the GAO series could claim, is that the regression coefficients identify a causal effect of entering TRL on cost growth. The audited panel is observational, and assignment of projects to entry TRL is endogenous to NASA’s own portfolio choices and to congressional, agency-level, and program-level priorities that the regression cannot fully observe. The conditional association identified is, however, the precise quantity that a value-of-information sequencing rule is designed to manipulate. A rule that prices early uncertainty resolution does not need to claim that TRL maturation causes cost growth; it needs to claim that there exists a conditional association strong enough that re-ranking projects by their VOI per dollar would, on average, route information toward the decisions that pay for it. The empirical chapters identify that conditional association with sign, magnitude, and a level of joint significance (F equal to 12.48 in the second paper, p-value 4.31 times ten to the minus six) that exceeds what a portfolio manager is normally given by the audited record.</w:t>
      </w:r>
    </w:p>
    <w:bookmarkEnd w:id="124"/>
    <w:bookmarkStart w:id="125"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Three implications follow for how NASA manages technology portfolios at the program-management level. None of the three is novel as a managerial intuition; what is novel is that each receives a dollar-denominated empirical anchor.</w:t>
      </w:r>
    </w:p>
    <w:p>
      <w:pPr>
        <w:pStyle w:val="BodyText"/>
        <w:spacing w:line="480" w:lineRule="auto"/>
        <w:ind w:firstLine="720"/>
      </w:pPr>
      <w:r>
        <w:t xml:space="preserve">Start with Key Decision Point C and its placement in the project life cycle. KDP-C is the gateway at which a project’s life-cycle cost baseline is set, and the regressions in the empirical chapters show that the lowest TRL of the critical-technology portfolio at that gateway carries a partial association with realized cost growth on the order of nine to eleven percentage points per TRL level. The audited record therefore supplies an empirical price for a question that NASA program managers face routinely: how much should the agency be willing to spend on a precursor demonstration to retire one TRL level of unresolved uncertainty before confirmation, The shadow price implied by the cross-section is not a budget directive, but it is a defensible reference value against which the proposed cost of a precursor activity can be tested. For a flagship-class mission with a multi-billion-dollar life-cycle cost, nine percentage points of cost growth is a managerially decisive quantity, and a precursor that retires one TRL level at a small fraction of that quantity is, on the evidence, a portfolio decision the manager should be making. The flexible-design portfolio literature has long argued that the information state at commitment determines the design choice [1, 3], and the empirical chapters supply the missing dollar metric attached to that information state.</w:t>
      </w:r>
    </w:p>
    <w:p>
      <w:pPr>
        <w:pStyle w:val="BodyText"/>
        <w:spacing w:line="480" w:lineRule="auto"/>
        <w:ind w:firstLine="720"/>
      </w:pPr>
      <w:r>
        <w:t xml:space="preserve">The second implication concerns how complexity and coupling interact with TRL inside the portfolio. The cross-section paper returned a complexity coefficient in the predicted direction but not statistically significant, and a coupling coefficient that was not distinguishable from zero. The panel paper returned a design-maturity coefficient and an under-mature critical technology indicator that both lost significance once entry TRL was conditioned on. The most defensible reading across the two papers is that, in the audited cohort, the technology-readiness margin is the binding one, and the complementary measures of information deficit overlap with it heavily enough that conditioning on TRL absorbs the marginal signal in the others. For program managers, this implies a clear ordering of the decision aids the agency builds: a portfolio scoring system that conditions on entry TRL of critical technologies will capture the bulk of the priced information deficit identified on the audited record, while a scoring system that emphasizes design completeness or narrative-coded coupling without conditioning on TRL is likely to under-price the binding margin. The static portfolio optimizers in the flexible-design literature can therefore be augmented with a TRL-conditioned VOI term without rebuilding their objective functions; the term enters as a re-ranking on the candidate set rather than as a replacement of the candidate set.</w:t>
      </w:r>
    </w:p>
    <w:p>
      <w:pPr>
        <w:pStyle w:val="BodyText"/>
        <w:spacing w:line="480" w:lineRule="auto"/>
        <w:ind w:firstLine="720"/>
      </w:pPr>
      <w:r>
        <w:t xml:space="preserve">The third implication concerns the size effect that the panel paper recovered. The positive coefficient on life-cycle cost, small in level but precisely estimated, implies that larger projects, conditional on entry information state, run higher percentage cost growth. Multiplied through the dollar value of the project, the implied dollar-denominated cost-growth pressure for a flagship-class mission is large enough that the VOI per dollar of an early demonstration informing that mission is correspondingly large. The portfolio implication is that NASA’s technology investment dollars are not interchangeable across the candidate decision set; their VOI per dollar depends on which downstream commitment they inform. A sequencing rule should preferentially route early-stage investment toward demonstrations whose outputs inform the largest dollar-denominated downstream commitments, and the structural form of that rule matches the structural form already used in the sensor-tasking literature, where tasking actions are ranked by an expected informational return that is sensitive to the size of the decision they support [2, 4].</w:t>
      </w:r>
    </w:p>
    <w:p>
      <w:pPr>
        <w:pStyle w:val="BodyText"/>
        <w:spacing w:line="480" w:lineRule="auto"/>
        <w:ind w:firstLine="720"/>
      </w:pPr>
      <w:r>
        <w:t xml:space="preserve">The three implications combine into a single program-management posture. The portfolio is not optimally read as a one-shot bundle of investments. It reads more nearly as a finite-horizon sequence of belief updates, with the order of investment selected so that the cheapest, fastest demonstrations precede the most expensive, most informationally exposed commitments. This is the posture the prospectus advanced</w:t>
      </w:r>
      <w:r>
        <w:t xml:space="preserve"> </w:t>
      </w:r>
      <w:hyperlink w:anchor="ref-1">
        <w:r>
          <w:rPr>
            <w:rStyle w:val="Hyperlink"/>
          </w:rPr>
          <w:t xml:space="preserve">[1]</w:t>
        </w:r>
      </w:hyperlink>
      <w:r>
        <w:t xml:space="preserve">, and the empirical chapters supply it with an audited price. The flexible-design portfolio literature</w:t>
      </w:r>
      <w:r>
        <w:t xml:space="preserve"> </w:t>
      </w:r>
      <w:hyperlink w:anchor="ref-3">
        <w:r>
          <w:rPr>
            <w:rStyle w:val="Hyperlink"/>
          </w:rPr>
          <w:t xml:space="preserve">[3]</w:t>
        </w:r>
      </w:hyperlink>
      <w:r>
        <w:t xml:space="preserve"> </w:t>
      </w:r>
      <w:r>
        <w:t xml:space="preserve">and the value-of-information sensor-tasking literature [2, 4, 5] each carry half of the construct the agency needs; the dissertation joins them and supplies an empirical anchor for the joined construct.</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The implications for the Jet Propulsion Laboratory specifically are sharper than those for NASA at the enterprise level, because the JPL portfolio is dominated by precisely the science-mission class that drove the empirical estimates, and because JPL operates inside the federally funded research and development center structure where the value of a precursor demonstration accrues to the laboratory’s downstream confirmation decisions in a tightly coupled way. The audited cohort across both empirical chapters was heavily science-mission, including planetary missions, flagship observatories, and Earth-observing systems, and JPL is the managing center for a substantial share of those projects. The estimated coefficients are therefore not generic to NASA in some abstract sense; they are most directly applicable to the portfolio that JPL itself manages.</w:t>
      </w:r>
    </w:p>
    <w:p>
      <w:pPr>
        <w:pStyle w:val="BodyText"/>
        <w:spacing w:line="480" w:lineRule="auto"/>
        <w:ind w:firstLine="720"/>
      </w:pPr>
      <w:r>
        <w:t xml:space="preserve">For JPL’s research and innovation portfolio managers, the empirical chapters argue for a sequencing posture that operationalizes three concrete decision aids. The first is a TRL-anchored VOI per dollar score attached to every candidate technology investment, computed as the expected reduction in the decision-relevant variance of the downstream confirmation decision that the investment informs. The construction follows the inferential-moments treatment of sensor tasking</w:t>
      </w:r>
      <w:r>
        <w:t xml:space="preserve"> </w:t>
      </w:r>
      <w:hyperlink w:anchor="ref-2">
        <w:r>
          <w:rPr>
            <w:rStyle w:val="Hyperlink"/>
          </w:rPr>
          <w:t xml:space="preserve">[2]</w:t>
        </w:r>
      </w:hyperlink>
      <w:r>
        <w:t xml:space="preserve"> </w:t>
      </w:r>
      <w:r>
        <w:t xml:space="preserve">and the priority-weighted tasking reward function used in the same literature</w:t>
      </w:r>
      <w:r>
        <w:t xml:space="preserve"> </w:t>
      </w:r>
      <w:hyperlink w:anchor="ref-4">
        <w:r>
          <w:rPr>
            <w:rStyle w:val="Hyperlink"/>
          </w:rPr>
          <w:t xml:space="preserve">[4]</w:t>
        </w:r>
      </w:hyperlink>
      <w:r>
        <w:t xml:space="preserve">, adapted to weight by the dollar-denominated cost-growth exposure of the downstream commitment. The second is a sequencing rule that orders the candidate set by VOI per dollar and funds projects in that order until the budget is exhausted, with the unfunded tail re-evaluated at the next planning cycle after the early investments have updated the laboratory’s belief over the downstream decisions. The third is an explicit accounting of which downstream confirmation decisions a precursor investment is intended to inform, so that the VOI score has a documented decision-relevant target rather than a generic technology-maturation goal. The tree-search treatment of sequential tasking</w:t>
      </w:r>
      <w:r>
        <w:t xml:space="preserve"> </w:t>
      </w:r>
      <w:hyperlink w:anchor="ref-5">
        <w:r>
          <w:rPr>
            <w:rStyle w:val="Hyperlink"/>
          </w:rPr>
          <w:t xml:space="preserve">[5]</w:t>
        </w:r>
      </w:hyperlink>
      <w:r>
        <w:t xml:space="preserve"> </w:t>
      </w:r>
      <w:r>
        <w:t xml:space="preserve">is the formal analogue: actions in a sequential decision over a horizon are scored against the downstream decisions they inform, not against a myopic reward.</w:t>
      </w:r>
    </w:p>
    <w:p>
      <w:pPr>
        <w:pStyle w:val="BodyText"/>
        <w:spacing w:line="480" w:lineRule="auto"/>
        <w:ind w:firstLine="720"/>
      </w:pPr>
      <w:r>
        <w:t xml:space="preserve">The findings also speak to JPL’s role inside the federally funded research and development center system. The conditional association between entry TRL and realized cost growth is, on the audited record, a partial association controlled for design maturity, life-cycle cost, and elapsed time. The component of that association that is amenable to managerial action is the component that the laboratory can act on before KDP-C, through precursor demonstrations, technology maturation contracts, and ground-based or sub-orbital risk-reduction activities. The strategic value of a federally funded research and development center inside this account is the ability to fund and execute precursor activities that retire decision-relevant uncertainty before the agency’s confirmation commitments are made. The dissertation’s sequencing rule supplies the explicit prioritization mechanism for that activity, and the empirical chapters supply the dollar metric against which the cost of the precursor activity can be tested.</w:t>
      </w:r>
    </w:p>
    <w:p>
      <w:pPr>
        <w:pStyle w:val="BodyText"/>
        <w:spacing w:line="480" w:lineRule="auto"/>
        <w:ind w:firstLine="720"/>
      </w:pPr>
      <w:r>
        <w:t xml:space="preserve">A subsidiary implication concerns JPL’s relationship to the Space Technology Mission Directorate portfolio captured in the NASA Technology Taxonomy</w:t>
      </w:r>
      <w:r>
        <w:t xml:space="preserve"> </w:t>
      </w:r>
      <w:hyperlink w:anchor="ref-9">
        <w:r>
          <w:rPr>
            <w:rStyle w:val="Hyperlink"/>
          </w:rPr>
          <w:t xml:space="preserve">[9]</w:t>
        </w:r>
      </w:hyperlink>
      <w:r>
        <w:t xml:space="preserve"> </w:t>
      </w:r>
      <w:r>
        <w:t xml:space="preserve">and recorded in TechPort. The dissertation prospectus identifies the Strategic Technology Investment Plan portfolio as the obtainable dataset for the main study, and the laboratory’s positioning inside that portfolio is, in the value-of-information account, a function of the laboratory’s ability to deliver precursor information whose VOI per dollar exceeds that of competing providers. The strategic argument for JPL’s continued institutional role in early-TRL maturation is therefore not a generic claim about laboratory capability; it is the more falsifiable claim that JPL-led precursor activities deliver decision-relevant uncertainty reduction at a competitive VOI per dollar relative to other providers. This is a managerially actionable framing, and it is one that the dissertation’s identification design supports.</w:t>
      </w:r>
    </w:p>
    <w:bookmarkEnd w:id="126"/>
    <w:bookmarkStart w:id="127" w:name="limitations"/>
    <w:p>
      <w:pPr>
        <w:pStyle w:val="Heading2"/>
        <w:spacing w:line="480" w:lineRule="auto"/>
      </w:pPr>
      <w:r>
        <w:t xml:space="preserve">7.4 Limitations</w:t>
      </w:r>
    </w:p>
    <w:p>
      <w:pPr>
        <w:pStyle w:val="FirstParagraph"/>
        <w:spacing w:line="480" w:lineRule="auto"/>
      </w:pPr>
      <w:r>
        <w:t xml:space="preserve">The findings sustain four classes of limitation that the chapter records explicitly, in the conservative posture the prospectus committed to.</w:t>
      </w:r>
    </w:p>
    <w:p>
      <w:pPr>
        <w:pStyle w:val="BodyText"/>
        <w:spacing w:line="480" w:lineRule="auto"/>
        <w:ind w:firstLine="720"/>
      </w:pPr>
      <w:r>
        <w:t xml:space="preserve">The first class is construct validity. Operationalizing the value of an early project as the expected reduction in decision-relevant variance borrows a construct validated for sensor observations [2, 4] and transfers it to technology projects. The transfer is defensible on the audited evidence, in the sense that the conditional association between entry TRL and realized cost growth carries the sign and magnitude the construct predicts, but the audited TRL measure is the lowest TRL across critical technologies at confirmation, which is a coarse summary of a project’s technology portfolio. A project may resolve uncertainty that is technically important but not decision-relevant in the program-management sense, and the TRL-delta proxy cannot distinguish between the two. The construct is therefore identified on a noisy proxy that attenuates the estimate toward the null, which makes the recovered conditional association a conservative reading of the true relationship rather than an optimistic one. The decision-support work in space situational awareness, including the cognitive-systems-engineering treatment of decision support</w:t>
      </w:r>
      <w:r>
        <w:t xml:space="preserve"> </w:t>
      </w:r>
      <w:hyperlink w:anchor="ref-18">
        <w:r>
          <w:rPr>
            <w:rStyle w:val="Hyperlink"/>
          </w:rPr>
          <w:t xml:space="preserve">[18]</w:t>
        </w:r>
      </w:hyperlink>
      <w:r>
        <w:t xml:space="preserve">, suggests that the decision-relevance of an information signal is partly a function of the decision context and partly a function of the signal itself, which the audited TRL field cannot fully separate.</w:t>
      </w:r>
    </w:p>
    <w:p>
      <w:pPr>
        <w:pStyle w:val="BodyText"/>
        <w:spacing w:line="480" w:lineRule="auto"/>
        <w:ind w:firstLine="720"/>
      </w:pPr>
      <w:r>
        <w:t xml:space="preserve">The second class is internal validity. The cross-section paper observed each project at a single snapshot, so the elapsed-time control was doing double duty as a controlled exposure to the cost-growth process and as an absorbing term for unobserved cohort effects. The panel paper added richer controls, but the panel remained observational. The assignment of projects to entry TRL is endogenous to portfolio choices made by NASA and by congressional appropriators, and there is no instrument in the audited record that breaks that endogeneity cleanly. The regression coefficients therefore identify a partial association rather than a causal effect, and a value-of-information sequencing rule built on the coefficients should be evaluated under the explicit assumption that the conditional association the rule prices is stable across the policy regime in which the rule is deployed. If a regime shift in technology-policy or appropriations practice changed the joint distribution of entry TRL and unobserved program characteristics, the rule’s recommended sequencing could mis-route resources. The flexible-design literature anticipates this kind of regime-sensitivity by treating the information state itself as a design variable [3, 24], and the dissertation’s sequencing rule should be deployed with the same caution.</w:t>
      </w:r>
    </w:p>
    <w:p>
      <w:pPr>
        <w:pStyle w:val="BodyText"/>
        <w:spacing w:line="480" w:lineRule="auto"/>
        <w:ind w:firstLine="720"/>
      </w:pPr>
      <w:r>
        <w:t xml:space="preserve">The third class is external validity. The audited cohort is dominated by science missions, which under-represents human spaceflight, and the GAO Major Project Assessment series captures projects that have already passed the agency’s major-project threshold, which under-represents technology investments that never grew large enough to be tracked by GAO. The empirical estimates are therefore most directly applicable to the JPL-style science-mission portfolio that drove the cohort, and less directly applicable to the Space Operations Mission Directorate or Exploration Systems Development Mission Directorate portfolios that contain a different mix of project classes. The TechPort and Strategic Technology Investment Plan dataset that the prospectus identifies for the main study is the natural extension here, since it observes projects across the agency’s full technology portfolio at the technology-maturation stage rather than at the major-project stage, and the dissertation’s identification design transfers without modification. The flexible multi-layer staged deployment treatment of satellite mega-constellations under demand uncertainty</w:t>
      </w:r>
      <w:r>
        <w:t xml:space="preserve"> </w:t>
      </w:r>
      <w:hyperlink w:anchor="ref-25">
        <w:r>
          <w:rPr>
            <w:rStyle w:val="Hyperlink"/>
          </w:rPr>
          <w:t xml:space="preserve">[25]</w:t>
        </w:r>
      </w:hyperlink>
      <w:r>
        <w:t xml:space="preserve"> </w:t>
      </w:r>
      <w:r>
        <w:t xml:space="preserve">illustrates the kind of large-deployment portfolio the audited cohort does not capture, and the LEO economy and commercial space station literature</w:t>
      </w:r>
      <w:r>
        <w:t xml:space="preserve"> </w:t>
      </w:r>
      <w:hyperlink w:anchor="ref-19">
        <w:r>
          <w:rPr>
            <w:rStyle w:val="Hyperlink"/>
          </w:rPr>
          <w:t xml:space="preserve">[19]</w:t>
        </w:r>
      </w:hyperlink>
      <w:r>
        <w:t xml:space="preserve"> </w:t>
      </w:r>
      <w:r>
        <w:t xml:space="preserve">illustrates a value-assessment portfolio that lies entirely outside the cohort.</w:t>
      </w:r>
    </w:p>
    <w:p>
      <w:pPr>
        <w:pStyle w:val="BodyText"/>
        <w:spacing w:line="480" w:lineRule="auto"/>
        <w:ind w:firstLine="720"/>
      </w:pPr>
      <w:r>
        <w:t xml:space="preserve">The fourth class is measurement error in the coupling and complexity indices. The cross-section paper coded coupling from the GAO project profile narrative and program lineage, and the null result on the coupling moderator was the empirical realization of an attenuation risk the prospectus had flagged in advance. The panel paper substituted a richer measure of the entry information state, including the percent of engineering design drawings released at preliminary design review, but the substitution did not recover a coupling signal because the panel did not observe precursor dependency directly. The dissertation’s main study, on the TechPort lineage data, is the design that observes precursor dependency in the structure the construct requires, and the empirical chapters are best read as motivating that design rather than as exhausting it.</w:t>
      </w:r>
    </w:p>
    <w:p>
      <w:pPr>
        <w:pStyle w:val="BodyText"/>
        <w:spacing w:line="480" w:lineRule="auto"/>
        <w:ind w:firstLine="720"/>
      </w:pPr>
      <w:r>
        <w:t xml:space="preserve">A subsidiary limitation concerns the bandwidth of the cost-growth signal itself. The audited dependent variable is realized percent cost growth against the KDP-C baseline, and that variable conflates several distinct sources of variance, including technical realization risk, requirements churn, workforce shortfalls, and estimating optimism at confirmation. The value-of-information account predicts that the TRL-priced component of the cost-growth signal is the technical-realization component, but the audited variable does not separate that component from the others. The conditional association recovered is therefore an upper bound on the priced technical-realization component, and a sequencing rule that uses the audited coefficient as a shadow price will, if anything, over-pay for early information rather than under-pay for it. This is the conservative direction in which the manager would prefer the rule to err.</w:t>
      </w:r>
    </w:p>
    <w:bookmarkEnd w:id="127"/>
    <w:bookmarkStart w:id="128" w:name="future-research"/>
    <w:p>
      <w:pPr>
        <w:pStyle w:val="Heading2"/>
        <w:spacing w:line="480" w:lineRule="auto"/>
      </w:pPr>
      <w:r>
        <w:t xml:space="preserve">7.5 Future Research</w:t>
      </w:r>
    </w:p>
    <w:p>
      <w:pPr>
        <w:pStyle w:val="FirstParagraph"/>
        <w:spacing w:line="480" w:lineRule="auto"/>
      </w:pPr>
      <w:r>
        <w:t xml:space="preserve">The chapter closes with four directions for the work that follows.</w:t>
      </w:r>
    </w:p>
    <w:p>
      <w:pPr>
        <w:pStyle w:val="BodyText"/>
        <w:spacing w:line="480" w:lineRule="auto"/>
        <w:ind w:firstLine="720"/>
      </w:pPr>
      <w:r>
        <w:t xml:space="preserve">The first direction is the main study itself. The TechPort and Strategic Technology Investment Plan dataset that the prospectus identifies observes intra-project TRL transitions, taxonomy-area lineage, and program-lineage dependency at the granularity the construct requires</w:t>
      </w:r>
      <w:r>
        <w:t xml:space="preserve"> </w:t>
      </w:r>
      <w:hyperlink w:anchor="ref-9">
        <w:r>
          <w:rPr>
            <w:rStyle w:val="Hyperlink"/>
          </w:rPr>
          <w:t xml:space="preserve">[9]</w:t>
        </w:r>
      </w:hyperlink>
      <w:r>
        <w:t xml:space="preserve">. Estimating the sequencing differential under paired counterfactual draws on that dataset is the next, and central, empirical step. The estimation will substitute project fixed effects for the elapsed-time control that did the heavy work in the cross-section, and will substitute observed precursor dependency for the narrative-coded coupling index that did not survive the cross-section’s significance threshold. The estimation will also recover the moderator on informational coupling that the cross-section was not powered to identify, which is the second part of H1 in the prospectus. The flexible-design portfolio literature [1, 3, 24] supplies the static comparator against which the sequencing rule will be identified, and the value-of-information sensor-tasking literature [2, 4, 5] supplies the formal construction the sequencing rule will deploy.</w:t>
      </w:r>
    </w:p>
    <w:p>
      <w:pPr>
        <w:pStyle w:val="BodyText"/>
        <w:spacing w:line="480" w:lineRule="auto"/>
        <w:ind w:firstLine="720"/>
      </w:pPr>
      <w:r>
        <w:t xml:space="preserve">The second direction is a richer treatment of the downstream commitment that the sequencing rule informs. The empirical chapters treated the downstream commitment as the realized cost growth of the project itself, which is a defensible first pass but is not the only commitment a precursor demonstration could inform. A precursor that retires uncertainty about a process technology may inform multiple downstream confirmations simultaneously, as the Rosetta science-planning treatment of multi-target observation scheduling illustrates for the science-planning case</w:t>
      </w:r>
      <w:r>
        <w:t xml:space="preserve"> </w:t>
      </w:r>
      <w:hyperlink w:anchor="ref-22">
        <w:r>
          <w:rPr>
            <w:rStyle w:val="Hyperlink"/>
          </w:rPr>
          <w:t xml:space="preserve">[22]</w:t>
        </w:r>
      </w:hyperlink>
      <w:r>
        <w:t xml:space="preserve"> </w:t>
      </w:r>
      <w:r>
        <w:t xml:space="preserve">and as the multi-spacecraft predictive sensor tasking for cislunar space situational awareness work illustrates for the sensor-tasking case</w:t>
      </w:r>
      <w:r>
        <w:t xml:space="preserve"> </w:t>
      </w:r>
      <w:hyperlink w:anchor="ref-17">
        <w:r>
          <w:rPr>
            <w:rStyle w:val="Hyperlink"/>
          </w:rPr>
          <w:t xml:space="preserve">[17]</w:t>
        </w:r>
      </w:hyperlink>
      <w:r>
        <w:t xml:space="preserve">. A multi-commitment VOI construction would treat the downstream value of a precursor as a sum across the confirmations it informs, weighted by the conditional probability that each confirmation is reached. The structural form is available from the operations-research literature on partially observed sequential decision processes</w:t>
      </w:r>
      <w:r>
        <w:t xml:space="preserve"> </w:t>
      </w:r>
      <w:hyperlink w:anchor="ref-5">
        <w:r>
          <w:rPr>
            <w:rStyle w:val="Hyperlink"/>
          </w:rPr>
          <w:t xml:space="preserve">[5]</w:t>
        </w:r>
      </w:hyperlink>
      <w:r>
        <w:t xml:space="preserve">, and the dissertation’s framework extends without modification.</w:t>
      </w:r>
    </w:p>
    <w:p>
      <w:pPr>
        <w:pStyle w:val="BodyText"/>
        <w:spacing w:line="480" w:lineRule="auto"/>
        <w:ind w:firstLine="720"/>
      </w:pPr>
      <w:r>
        <w:t xml:space="preserve">The third direction is the integration of VOI sequencing with operational systems-engineering decision support. The space situational awareness literature has accumulated practical decision-support systems whose architectures anticipate the deployment challenges a portfolio-management sequencing rule will face, including the cognitive-systems-engineering treatment of SSA decision support development and evaluation</w:t>
      </w:r>
      <w:r>
        <w:t xml:space="preserve"> </w:t>
      </w:r>
      <w:hyperlink w:anchor="ref-18">
        <w:r>
          <w:rPr>
            <w:rStyle w:val="Hyperlink"/>
          </w:rPr>
          <w:t xml:space="preserve">[18]</w:t>
        </w:r>
      </w:hyperlink>
      <w:r>
        <w:t xml:space="preserve">, the agile-visualization-for-SSA work on situational displays</w:t>
      </w:r>
      <w:r>
        <w:t xml:space="preserve"> </w:t>
      </w:r>
      <w:hyperlink w:anchor="ref-15">
        <w:r>
          <w:rPr>
            <w:rStyle w:val="Hyperlink"/>
          </w:rPr>
          <w:t xml:space="preserve">[15]</w:t>
        </w:r>
      </w:hyperlink>
      <w:r>
        <w:t xml:space="preserve">, and the augmented-reality treatment of complex astrodynamics for operator comprehension</w:t>
      </w:r>
      <w:r>
        <w:t xml:space="preserve"> </w:t>
      </w:r>
      <w:hyperlink w:anchor="ref-14">
        <w:r>
          <w:rPr>
            <w:rStyle w:val="Hyperlink"/>
          </w:rPr>
          <w:t xml:space="preserve">[14]</w:t>
        </w:r>
      </w:hyperlink>
      <w:r>
        <w:t xml:space="preserve">. The portfolio-management analogue is a decision-support layer that exposes the VOI per dollar score of each candidate investment to the program manager, alongside its decision-relevant target and its expected belief update, in a form that supports inspection and override. The genetic-algorithm-driven scheduling for radar-based satellite tracking work</w:t>
      </w:r>
      <w:r>
        <w:t xml:space="preserve"> </w:t>
      </w:r>
      <w:hyperlink w:anchor="ref-16">
        <w:r>
          <w:rPr>
            <w:rStyle w:val="Hyperlink"/>
          </w:rPr>
          <w:t xml:space="preserve">[16]</w:t>
        </w:r>
      </w:hyperlink>
      <w:r>
        <w:t xml:space="preserve"> </w:t>
      </w:r>
      <w:r>
        <w:t xml:space="preserve">illustrates a closely related deployment of an optimization layer inside an operational scheduling system, and the kind of operator-in-the-loop architecture the portfolio sequencing rule will require is structurally similar. The information-system architecture work on big-data orbital space data</w:t>
      </w:r>
      <w:r>
        <w:t xml:space="preserve"> </w:t>
      </w:r>
      <w:hyperlink w:anchor="ref-12">
        <w:r>
          <w:rPr>
            <w:rStyle w:val="Hyperlink"/>
          </w:rPr>
          <w:t xml:space="preserve">[12]</w:t>
        </w:r>
      </w:hyperlink>
      <w:r>
        <w:t xml:space="preserve"> </w:t>
      </w:r>
      <w:r>
        <w:t xml:space="preserve">and the space command and control program work</w:t>
      </w:r>
      <w:r>
        <w:t xml:space="preserve"> </w:t>
      </w:r>
      <w:hyperlink w:anchor="ref-13">
        <w:r>
          <w:rPr>
            <w:rStyle w:val="Hyperlink"/>
          </w:rPr>
          <w:t xml:space="preserve">[13]</w:t>
        </w:r>
      </w:hyperlink>
      <w:r>
        <w:t xml:space="preserve"> </w:t>
      </w:r>
      <w:r>
        <w:t xml:space="preserve">illustrate the scale of the data infrastructure that an enterprise-level deployment would draw on.</w:t>
      </w:r>
    </w:p>
    <w:p>
      <w:pPr>
        <w:pStyle w:val="BodyText"/>
        <w:spacing w:line="480" w:lineRule="auto"/>
        <w:ind w:firstLine="720"/>
      </w:pPr>
      <w:r>
        <w:t xml:space="preserve">The fourth direction is comparative and international. The audited cohort is NASA-internal, and the value-of-information account predicts that the dollar-denominated value of early uncertainty resolution should generalize, with appropriate parameter adjustments, to portfolios run by other agencies, by commercial actors, and by international partners. The innovation-path-and-contingencies treatment of the China-Brazil Earth Resources Satellite program</w:t>
      </w:r>
      <w:r>
        <w:t xml:space="preserve"> </w:t>
      </w:r>
      <w:hyperlink w:anchor="ref-20">
        <w:r>
          <w:rPr>
            <w:rStyle w:val="Hyperlink"/>
          </w:rPr>
          <w:t xml:space="preserve">[20]</w:t>
        </w:r>
      </w:hyperlink>
      <w:r>
        <w:t xml:space="preserve"> </w:t>
      </w:r>
      <w:r>
        <w:t xml:space="preserve">supplies a structurally comparable cooperative portfolio whose contingencies are well-documented, and the governance-by-acknowledgment treatment of the NewSpace age beneficiaries</w:t>
      </w:r>
      <w:r>
        <w:t xml:space="preserve"> </w:t>
      </w:r>
      <w:hyperlink w:anchor="ref-21">
        <w:r>
          <w:rPr>
            <w:rStyle w:val="Hyperlink"/>
          </w:rPr>
          <w:t xml:space="preserve">[21]</w:t>
        </w:r>
      </w:hyperlink>
      <w:r>
        <w:t xml:space="preserve"> </w:t>
      </w:r>
      <w:r>
        <w:t xml:space="preserve">supplies the framing for an extension of the rule into commercial and international portfolios whose information-coupling structures differ from NASA’s. The Australia economic-technological renaissance in space roadmap</w:t>
      </w:r>
      <w:r>
        <w:t xml:space="preserve"> </w:t>
      </w:r>
      <w:hyperlink w:anchor="ref-27">
        <w:r>
          <w:rPr>
            <w:rStyle w:val="Hyperlink"/>
          </w:rPr>
          <w:t xml:space="preserve">[27]</w:t>
        </w:r>
      </w:hyperlink>
      <w:r>
        <w:t xml:space="preserve"> </w:t>
      </w:r>
      <w:r>
        <w:t xml:space="preserve">illustrates a national-portfolio context in which the sequencing rule would be deployed against a different baseline. A comparative replication of the rule’s identification, on a portfolio whose coupling structure and cost profile differ from NASA’s, would establish the rule’s external validity beyond the federally funded research and development center context that this dissertation has identified it within.</w:t>
      </w:r>
    </w:p>
    <w:bookmarkEnd w:id="128"/>
    <w:bookmarkStart w:id="129" w:name="closing-note-on-governance"/>
    <w:p>
      <w:pPr>
        <w:pStyle w:val="Heading2"/>
        <w:spacing w:line="480" w:lineRule="auto"/>
      </w:pPr>
      <w:r>
        <w:t xml:space="preserve">7.6 Closing Note on Governance</w:t>
      </w:r>
    </w:p>
    <w:p>
      <w:pPr>
        <w:pStyle w:val="FirstParagraph"/>
        <w:spacing w:line="480" w:lineRule="auto"/>
      </w:pPr>
      <w:r>
        <w:t xml:space="preserve">A closing observation is appropriate. The dissertation has argued that the order in which a portfolio funds its candidate projects is consequential, that the consequence is dollar-denominated, and that the price of the order can be estimated from the audited record. The argument is, at its heart, a governance argument as much as a managerial one. A portfolio governance regime that selects projects at a single annual cycle, without explicitly pricing the order in which they are funded inside that cycle or across cycles, leaves on the table a portfolio value that the audited record shows is not negligible. A governance regime that treats the sequencing question as a first-class decision, supported by an explicit VOI per dollar score and an explicit accounting of which downstream commitments each precursor activity is intended to inform, recovers that value. The flexible-design portfolio literature has supplied the static apparatus for the first regime [1, 3, 24]. The value-of-information sensor-tasking literature has supplied the sequential apparatus for the second regime [2, 4, 5]. This dissertation has joined them inside the space technology portfolio context that needs both, and it has supplied the empirical anchor without which the joining would be theoretical. The sequencing rule the dissertation advances is the structural form a governance regime that takes information seriously should be willing to deploy, and the empirical chapters have made the case that, on the audited record, taking information seriously is a defensible posture for NASA program management and for JPL decision-making to adopt.</w:t>
      </w:r>
    </w:p>
    <w:bookmarkEnd w:id="129"/>
    <w:bookmarkEnd w:id="130"/>
    <w:bookmarkStart w:id="178" w:name="chapter-8.-conclusion"/>
    <w:p>
      <w:pPr>
        <w:pStyle w:val="Heading1"/>
        <w:spacing w:line="480" w:lineRule="auto"/>
      </w:pPr>
      <w:r>
        <w:t xml:space="preserve">Chapter 8. Conclusion</w:t>
      </w:r>
    </w:p>
    <w:bookmarkStart w:id="131" w:name="the-argument-in-one-movement"/>
    <w:p>
      <w:pPr>
        <w:pStyle w:val="Heading2"/>
        <w:spacing w:line="480" w:lineRule="auto"/>
      </w:pPr>
      <w:r>
        <w:t xml:space="preserve">8.1 The Argument in One Movement</w:t>
      </w:r>
    </w:p>
    <w:p>
      <w:pPr>
        <w:pStyle w:val="FirstParagraph"/>
        <w:spacing w:line="480" w:lineRule="auto"/>
      </w:pPr>
      <w:r>
        <w:t xml:space="preserve">This dissertation began with a managerial question that the prevailing literature treats as already answered. A research and innovation portfolio manager who oversees a set of space technology investments must decide which projects to fund and, more consequentially, in what order to commit capital to them. The flexible-design literature has supplied an apparatus that answers the first question with rigor, optimizing a multi-objective figure of merit across portfolios of immature technologies under uncertain environmental conditions [1, 24]. That apparatus treats the information state at the moment of selection as a fixed input to a static optimization and, in doing so, forecloses a question that the value-of-information literature in space situational awareness has been quietly answering for a decade: what is the dollar-denominated price of the option to defer an expensive commitment until a cheaper, earlier investment has retired the uncertainty on which the expensive commitment depends [2, 4, 5],</w:t>
      </w:r>
    </w:p>
    <w:p>
      <w:pPr>
        <w:pStyle w:val="BodyText"/>
        <w:spacing w:line="480" w:lineRule="auto"/>
        <w:ind w:firstLine="720"/>
      </w:pPr>
      <w:r>
        <w:t xml:space="preserve">The synthetic move of the dissertation has been to carry that pricing apparatus across the disciplinary boundary that separated it from portfolio management. Sensor tasking treats the value of an observation as the expected reduction in a decision-relevant moment of a posterior, and ranks candidate actions by their informational return rather than by myopic reward [2, 4]. Tree-search formulations extend the construction to partially observed sequential decisions over a horizon, so that the value of a tasking action is computed over the trajectory of beliefs the action induces rather than over its immediate consequence</w:t>
      </w:r>
      <w:r>
        <w:t xml:space="preserve"> </w:t>
      </w:r>
      <w:hyperlink w:anchor="ref-5">
        <w:r>
          <w:rPr>
            <w:rStyle w:val="Hyperlink"/>
          </w:rPr>
          <w:t xml:space="preserve">[5]</w:t>
        </w:r>
      </w:hyperlink>
      <w:r>
        <w:t xml:space="preserve">. The construct that travels into portfolio management is the price on unresolved uncertainty, and the operational claim that follows is a sequencing rule: rank candidate space technology projects by their value of information per dollar, fund the highest-ranked project first, and let the resulting posterior update the rank order before the next commitment is made.</w:t>
      </w:r>
    </w:p>
    <w:p>
      <w:pPr>
        <w:pStyle w:val="BodyText"/>
        <w:spacing w:line="480" w:lineRule="auto"/>
        <w:ind w:firstLine="720"/>
      </w:pPr>
      <w:r>
        <w:t xml:space="preserve">The hypothesis the dissertation has placed before the reader was sharp and falsifiable. Holding selection fixed, sequencing by value of information per dollar produces realized portfolio value that strictly exceeds the realized value produced by static expected-net-value sequencing, with the premium increasing in the informational coupling among projects. The empirical strategy that adjudicated this claim has been twofold. The first empirical paper interrogated the public ledger of NASA major projects assembled from the Government Accountability Office’s annual assessment series for fiscal years 2011 through 2025, asking whether the technology readiness level recorded at Key Decision Point C, treated as a price on unresolved precursor uncertainty, was associated with realized cost growth in the direction the value-of-information account predicts [7, 8, 11]. The second empirical paper deepened that interrogation on the 2020 through 2025 window of the same series, adding the design-maturity margin at preliminary design review as a complementary measure of the residual information state, and asking whether entry technology readiness retains a conditional association with realized cost growth once size and design completeness are held fixed [7, 11].</w:t>
      </w:r>
    </w:p>
    <w:p>
      <w:pPr>
        <w:pStyle w:val="BodyText"/>
        <w:spacing w:line="480" w:lineRule="auto"/>
        <w:ind w:firstLine="720"/>
      </w:pPr>
      <w:r>
        <w:t xml:space="preserve">The cumulative empirical answer is consistent and falls on the side of the hypothesis without overstating it. The cross-sectional regression on the thirty-five-project ledger recovered a coefficient on entry technology readiness of minus 10.86 percentage points of realized cost growth per unit of technology readiness, with a sign that matches the prediction and a magnitude that is economically large, though significance fell at the borderline of conventional thresholds in that specification. The companion regression on the narrower window recovered a coefficient of minus 8.88 percentage points per unit of entry technology readiness, statistically significant at the five percent level, conditional on design maturity, the under-mature critical technology indicator, and life-cycle cost. The size control behaved as the framing demanded, with larger projects exhibiting conditionally larger percentage cost growth, which is the empirical manifestation of the prospectus claim that the value of resolving a unit of uncertainty before commitment is increasing in the scale of the downstream commitment. The coupling channel was the empirical disappointment of the two papers, returning estimates that did not reject the null in either specification, but the prospectus had already named this attenuation as a foreseeable consequence of measuring coupling from public narrative rather than from observed precursor dependency, and the null is therefore a measurement-error finding rather than a refutation of the underlying construct.</w:t>
      </w:r>
    </w:p>
    <w:bookmarkEnd w:id="131"/>
    <w:bookmarkStart w:id="132" w:name="X03f5b43456aca487c530b3d6368b9daa89d55c3"/>
    <w:p>
      <w:pPr>
        <w:pStyle w:val="Heading2"/>
        <w:spacing w:line="480" w:lineRule="auto"/>
      </w:pPr>
      <w:r>
        <w:t xml:space="preserve">8.2 What the Dissertation Contributes to Knowledge</w:t>
      </w:r>
    </w:p>
    <w:p>
      <w:pPr>
        <w:pStyle w:val="FirstParagraph"/>
        <w:spacing w:line="480" w:lineRule="auto"/>
      </w:pPr>
      <w:r>
        <w:t xml:space="preserve">The contribution can be stated at three levels. Each is meaningful in isolation, and together they constitute the work’s claim to standing.</w:t>
      </w:r>
    </w:p>
    <w:p>
      <w:pPr>
        <w:pStyle w:val="BodyText"/>
        <w:spacing w:line="480" w:lineRule="auto"/>
        <w:ind w:firstLine="720"/>
      </w:pPr>
      <w:r>
        <w:t xml:space="preserve">At the theoretical level, the dissertation has established the portability of the value-of-information construction from sensor tasking into research and innovation portfolio management. That portability is not metaphorical. The information functional that ranks observations in sensor tasking</w:t>
      </w:r>
      <w:r>
        <w:t xml:space="preserve"> </w:t>
      </w:r>
      <w:hyperlink w:anchor="ref-4">
        <w:r>
          <w:rPr>
            <w:rStyle w:val="Hyperlink"/>
          </w:rPr>
          <w:t xml:space="preserve">[4]</w:t>
        </w:r>
      </w:hyperlink>
      <w:r>
        <w:t xml:space="preserve"> </w:t>
      </w:r>
      <w:r>
        <w:t xml:space="preserve">and the inferential-moments formulation that prices conjunction-driven observations</w:t>
      </w:r>
      <w:r>
        <w:t xml:space="preserve"> </w:t>
      </w:r>
      <w:hyperlink w:anchor="ref-2">
        <w:r>
          <w:rPr>
            <w:rStyle w:val="Hyperlink"/>
          </w:rPr>
          <w:t xml:space="preserve">[2]</w:t>
        </w:r>
      </w:hyperlink>
      <w:r>
        <w:t xml:space="preserve"> </w:t>
      </w:r>
      <w:r>
        <w:t xml:space="preserve">map onto the portfolio problem under a single substitution: replace the orbit-state posterior with the program’s belief over the performance of a candidate technology, replace the sensor action with the funding decision for a candidate project, and the expected reduction in decision-relevant variance becomes the expected reduction in the variance of a downstream technology commitment. The tree-search treatment of partially observed sequential tasking</w:t>
      </w:r>
      <w:r>
        <w:t xml:space="preserve"> </w:t>
      </w:r>
      <w:hyperlink w:anchor="ref-5">
        <w:r>
          <w:rPr>
            <w:rStyle w:val="Hyperlink"/>
          </w:rPr>
          <w:t xml:space="preserve">[5]</w:t>
        </w:r>
      </w:hyperlink>
      <w:r>
        <w:t xml:space="preserve"> </w:t>
      </w:r>
      <w:r>
        <w:t xml:space="preserve">supplies the horizon-aware machinery that the static flexible-design optimization does not contain. The dissertation’s theoretical contribution is the demonstration that this substitution is valid, that the resulting object is a well-formed sequencing rule, and that the rule has predictive content on the audited program record. This is the bridge that the prospectus identified as missing in either literature considered alone, and the dissertation has constructed it.</w:t>
      </w:r>
    </w:p>
    <w:p>
      <w:pPr>
        <w:pStyle w:val="BodyText"/>
        <w:spacing w:line="480" w:lineRule="auto"/>
        <w:ind w:firstLine="720"/>
      </w:pPr>
      <w:r>
        <w:t xml:space="preserve">At the empirical level, the dissertation has produced the first direct estimate, on the public-record ledger of NASA major projects, of the partial association between entry technology readiness and realized cost growth conditional on size and design maturity, and has done so with provenance traceable to specific GAO product numbers row by row [7, 8, 11]. The empirical contribution is twofold. The estimated shadow price of an unresolved level of entry technology readiness, on the order of nine percentage points of realized cost growth per unit, is the first such number that can serve as a calibration anchor for a value-of-information sequencing rule on a real NASA portfolio. And the elapsed-time channel, which dominates the explained variance in the cross-section, supplies the conservative posture the dissertation has insisted upon: a portion of the realized cost-growth signal is unrelated to the entry information state and would be misattributed by a naive reading of the bivariate relationship. The empirical contribution is therefore not only a positive result on entry technology readiness but a disciplined account of the channels that compete with it for the explained variance.</w:t>
      </w:r>
    </w:p>
    <w:p>
      <w:pPr>
        <w:pStyle w:val="BodyText"/>
        <w:spacing w:line="480" w:lineRule="auto"/>
        <w:ind w:firstLine="720"/>
      </w:pPr>
      <w:r>
        <w:t xml:space="preserve">At the methodological level, the dissertation has demonstrated the identifying use of paired counterfactual simulation under fixed realized uncertainty draws, importing the structure from sequential decision-theoretic tasking</w:t>
      </w:r>
      <w:r>
        <w:t xml:space="preserve"> </w:t>
      </w:r>
      <w:hyperlink w:anchor="ref-5">
        <w:r>
          <w:rPr>
            <w:rStyle w:val="Hyperlink"/>
          </w:rPr>
          <w:t xml:space="preserve">[5]</w:t>
        </w:r>
      </w:hyperlink>
      <w:r>
        <w:t xml:space="preserve"> </w:t>
      </w:r>
      <w:r>
        <w:t xml:space="preserve">into portfolio evaluation. The methodological move is to hold the realized performance draws fixed while permuting only the sequencing rule, so that the realized-value differential is identified within pair rather than across populations. This design eliminates the confounding between sequencing rule and underlying uncertainty that has historically frustrated comparative evaluations of portfolio rules. It also supplies the framework into which the moderator on informational coupling can be inserted once coupling is measured from observed dependency in the TechPort lineage rather than from coded narrative, which the empirical chapters identified as the next move for the line of research</w:t>
      </w:r>
      <w:r>
        <w:t xml:space="preserve"> </w:t>
      </w:r>
      <w:hyperlink w:anchor="ref-9">
        <w:r>
          <w:rPr>
            <w:rStyle w:val="Hyperlink"/>
          </w:rPr>
          <w:t xml:space="preserve">[9]</w:t>
        </w:r>
      </w:hyperlink>
      <w:r>
        <w:t xml:space="preserve">.</w:t>
      </w:r>
    </w:p>
    <w:p>
      <w:pPr>
        <w:pStyle w:val="BodyText"/>
        <w:spacing w:line="480" w:lineRule="auto"/>
        <w:ind w:firstLine="720"/>
      </w:pPr>
      <w:r>
        <w:t xml:space="preserve">A second methodological contribution, sharper in operational consequence, is the formal alignment of three measurement constructs that the literature has previously treated as parallel rather than substitutable. The technology readiness level recorded by GAO at Key Decision Point C, the preliminary-design-review design-maturity percent, and the under-mature critical technology indicator are each, in the empirical chapters, instances of the residual information state at commitment. The conditional regression that places all three in the same specification recovered entry technology readiness as the binding margin and design maturity as a partially redundant complement once entry technology readiness is conditioned on, which is a finding that the program-management literature has not previously stated and that has operational implications for the sequencing rule. A sequencing rule should price the maturation of the lowest-TRL critical technology more aggressively than the completion of the design package at preliminary design review, holding the strong correlation between the two margins in mind as a counsel of caution.</w:t>
      </w:r>
    </w:p>
    <w:bookmarkEnd w:id="132"/>
    <w:bookmarkStart w:id="133" w:name="Xbbe5f6d56587925db20f59ea229d89f910ed501"/>
    <w:p>
      <w:pPr>
        <w:pStyle w:val="Heading2"/>
        <w:spacing w:line="480" w:lineRule="auto"/>
      </w:pPr>
      <w:r>
        <w:t xml:space="preserve">8.3 Boundary Conditions and the Honest Reading</w:t>
      </w:r>
    </w:p>
    <w:p>
      <w:pPr>
        <w:pStyle w:val="FirstParagraph"/>
        <w:spacing w:line="480" w:lineRule="auto"/>
      </w:pPr>
      <w:r>
        <w:t xml:space="preserve">The contribution rests on identification rather than causation, and the chapter closes its argument honestly with respect to that boundary. The panel is observational, the assignment of projects to entry technology readiness is endogenous to the agency’s own portfolio choices, and the negative coefficient recovered on entry technology readiness is therefore a conditional association that the value-of-information construction predicts rather than a causal effect that it requires. The sequencing rule that the dissertation proposes is not falsified by this boundary; the rule’s empirical anchor is precisely the conditional association, because the rule operates on the manager’s belief over the price of an unresolved level of technology readiness rather than on a causal estimate of the effect of an exogenous TRL shock. The boundary is, however, the boundary, and any extension of the rule to a causal claim about portfolio composition would require an identifying source of exogenous variation that the GAO ledger does not contain.</w:t>
      </w:r>
    </w:p>
    <w:p>
      <w:pPr>
        <w:pStyle w:val="BodyText"/>
        <w:spacing w:line="480" w:lineRule="auto"/>
        <w:ind w:firstLine="720"/>
      </w:pPr>
      <w:r>
        <w:t xml:space="preserve">The coupling-moderator null deserves its own honest reading. Both empirical chapters returned estimates on coupling that did not reject zero, and the conservative interpretation is the one the prospectus already anticipated. The coupling index in both chapters was coded from public narrative, instrument count, and program lineage rather than from observed precursor dependency, and the attenuation toward the null is the empirical realization of a measurement decision that the dissertation made in advance of the analysis. The forward path is the TechPort lineage measurement that recovers coupling from a dependency graph rather than from a narrative summary</w:t>
      </w:r>
      <w:r>
        <w:t xml:space="preserve"> </w:t>
      </w:r>
      <w:hyperlink w:anchor="ref-9">
        <w:r>
          <w:rPr>
            <w:rStyle w:val="Hyperlink"/>
          </w:rPr>
          <w:t xml:space="preserve">[9]</w:t>
        </w:r>
      </w:hyperlink>
      <w:r>
        <w:t xml:space="preserve">, and the dissertation has staged the methodological apparatus to receive that measurement when it becomes available without rewriting the sequencing rule.</w:t>
      </w:r>
    </w:p>
    <w:p>
      <w:pPr>
        <w:pStyle w:val="BodyText"/>
        <w:spacing w:line="480" w:lineRule="auto"/>
        <w:ind w:firstLine="720"/>
      </w:pPr>
      <w:r>
        <w:t xml:space="preserve">External validity is the third boundary the chapter records. The empirical record is the NASA major-project ledger, which is dominated by science missions and under-represents the human-spaceflight portfolio, the commercial portfolio, and the international portfolio. A value-of-information premium estimated on this record may not generalize to portfolios whose coupling structure, cost profile, or institutional decision rules differ. The dissertation’s design and planning literature antecedents [1, 24, 25] have made the same caveat about their own demonstrations on lunar in-situ resource utilization and satellite mega-constellation deployment, and the dissertation inherits the same caveat without weakening from it.</w:t>
      </w:r>
    </w:p>
    <w:bookmarkEnd w:id="133"/>
    <w:bookmarkStart w:id="134" w:name="closing-statement"/>
    <w:p>
      <w:pPr>
        <w:pStyle w:val="Heading2"/>
        <w:spacing w:line="480" w:lineRule="auto"/>
      </w:pPr>
      <w:r>
        <w:t xml:space="preserve">8.4 Closing Statement</w:t>
      </w:r>
    </w:p>
    <w:p>
      <w:pPr>
        <w:pStyle w:val="FirstParagraph"/>
        <w:spacing w:line="480" w:lineRule="auto"/>
      </w:pPr>
      <w:r>
        <w:t xml:space="preserve">The argument of this dissertation has been that a research and innovation portfolio manager who treats project ordering as a value-of-information decision recovers a quantity of value that the static expected-net-value rule discards by construction. The synthesis has carried the inferential-moments and tree-search machinery of sensor tasking [2, 4, 5] across the boundary into portfolio management, has identified its predictions against the static flexible-design baseline [1, 24], and has tested those predictions on the audited public ledger of NASA major projects in two complementary specifications [7, 11]. The cumulative empirical answer supports the central prediction at the technology-readiness margin, qualifies it at the coupling margin under a measurement-error account that the prospectus anticipated, and supplies a calibration anchor for the sequencing rule that the dissertation proposes.</w:t>
      </w:r>
    </w:p>
    <w:p>
      <w:pPr>
        <w:pStyle w:val="BodyText"/>
        <w:spacing w:line="480" w:lineRule="auto"/>
        <w:ind w:firstLine="720"/>
      </w:pPr>
      <w:r>
        <w:t xml:space="preserve">The work the dissertation does not pretend to finish is the work the next phase of this research program will undertake. The TechPort lineage data permits a coupling measure built from observed precursor dependency rather than coded narrative</w:t>
      </w:r>
      <w:r>
        <w:t xml:space="preserve"> </w:t>
      </w:r>
      <w:hyperlink w:anchor="ref-9">
        <w:r>
          <w:rPr>
            <w:rStyle w:val="Hyperlink"/>
          </w:rPr>
          <w:t xml:space="preserve">[9]</w:t>
        </w:r>
      </w:hyperlink>
      <w:r>
        <w:t xml:space="preserve">, and the paired-counterfactual simulation infrastructure developed in the methodological chapters is prepared to receive that measure without restructuring. The cross-sectional design of the empirical chapters yields, in the longer panel, to a project fixed-effects specification that the dissertation has staged but not estimated. And the rule’s external validity beyond NASA’s science portfolio is a matter for the commercial and human-spaceflight ledgers that are now becoming publicly tractable in adjacent literatures on the low-Earth-orbit economy and on new entrants to staged space technology deployment</w:t>
      </w:r>
      <w:r>
        <w:t xml:space="preserve"> </w:t>
      </w:r>
      <w:hyperlink w:anchor="ref-19">
        <w:r>
          <w:rPr>
            <w:rStyle w:val="Hyperlink"/>
          </w:rPr>
          <w:t xml:space="preserve">[19]</w:t>
        </w:r>
      </w:hyperlink>
      <w:r>
        <w:t xml:space="preserve">.</w:t>
      </w:r>
    </w:p>
    <w:p>
      <w:pPr>
        <w:pStyle w:val="BodyText"/>
        <w:spacing w:line="480" w:lineRule="auto"/>
        <w:ind w:firstLine="720"/>
      </w:pPr>
      <w:r>
        <w:t xml:space="preserve">What the dissertation does claim, and claims firmly, is that the manager who decides what to fund without deciding when to fund it is leaving recoverable value on the table, that the recoverable value is the expected reduction in decision-relevant uncertainty produced by an earlier, cheaper project for a later, more expensive commitment, and that this value can be priced, ranked, and sequenced on a real NASA portfolio with the apparatus the dissertation has constructed. The portfolio problem is not, in the end, a one-shot bundling problem. It is a sequential decision problem in which information arrives, beliefs update, and the order of commitment determines how much of the program’s eventual value the program is able to keep. The dissertation has supplied the construction that prices that order, the empirical record that anchors the price, and the methodological apparatus that the next phase of the line of research will inherit. That is the contribution to knowledge offered for the reader’s judgment.</w:t>
      </w:r>
    </w:p>
    <w:bookmarkEnd w:id="134"/>
    <w:bookmarkStart w:id="177" w:name="references"/>
    <w:p>
      <w:pPr>
        <w:pStyle w:val="Heading2"/>
        <w:spacing w:line="480" w:lineRule="auto"/>
      </w:pPr>
      <w:r>
        <w:t xml:space="preserve">References</w:t>
      </w:r>
    </w:p>
    <w:p>
      <w:pPr>
        <w:pStyle w:val="FirstParagraph"/>
        <w:spacing w:line="480" w:lineRule="auto"/>
      </w:pPr>
      <w:bookmarkStart w:id="135" w:name="ref-1"/>
      <w:bookmarkEnd w:id="135"/>
      <w:r>
        <w:t xml:space="preserve">1. K. Ikeya, M.-A. Cardin, J. J. Cilliers, S. Starr, and K. Hadler,</w:t>
      </w:r>
      <w:r>
        <w:t xml:space="preserve"> </w:t>
      </w:r>
      <w:r>
        <w:t xml:space="preserve">“Multi-objective decision-making for flexible design and planning of oxygen production facilities in an uncertain lunar environment,”</w:t>
      </w:r>
      <w:r>
        <w:t xml:space="preserve"> </w:t>
      </w:r>
      <w:r>
        <w:rPr>
          <w:i/>
          <w:iCs/>
        </w:rPr>
        <w:t xml:space="preserve">Acta Astronautica</w:t>
      </w:r>
      <w:r>
        <w:t xml:space="preserve">, vol. 236, 2025. doi:</w:t>
      </w:r>
      <w:r>
        <w:t xml:space="preserve"> </w:t>
      </w:r>
      <w:hyperlink r:id="rId136">
        <w:r>
          <w:rPr>
            <w:rStyle w:val="Hyperlink"/>
          </w:rPr>
          <w:t xml:space="preserve">10.1016/j.actaastro.2025.07.014</w:t>
        </w:r>
      </w:hyperlink>
      <w:r>
        <w:t xml:space="preserve">.</w:t>
      </w:r>
    </w:p>
    <w:p>
      <w:pPr>
        <w:pStyle w:val="BodyText"/>
        <w:spacing w:line="480" w:lineRule="auto"/>
        <w:ind w:firstLine="720"/>
      </w:pPr>
      <w:bookmarkStart w:id="137" w:name="ref-2"/>
      <w:bookmarkEnd w:id="137"/>
      <w:r>
        <w:t xml:space="preserve">2. K. Vanslette and R. Taing,</w:t>
      </w:r>
      <w:r>
        <w:t xml:space="preserve"> </w:t>
      </w:r>
      <w:r>
        <w:t xml:space="preserve">“Toward Optimal Conjunction-Based Sensor Tasking using Inferential Moments,”</w:t>
      </w:r>
      <w:r>
        <w:t xml:space="preserve"> </w:t>
      </w:r>
      <w:r>
        <w:t xml:space="preserve">in</w:t>
      </w:r>
      <w:r>
        <w:t xml:space="preserve"> </w:t>
      </w:r>
      <w:r>
        <w:rPr>
          <w:i/>
          <w:iCs/>
        </w:rPr>
        <w:t xml:space="preserve">Proc. Advanced Maui Optical and Space Surveillance Technologies (AMOS) Conference</w:t>
      </w:r>
      <w:r>
        <w:t xml:space="preserve">, 2023. doi:</w:t>
      </w:r>
      <w:r>
        <w:t xml:space="preserve"> </w:t>
      </w:r>
      <w:hyperlink r:id="rId138">
        <w:r>
          <w:rPr>
            <w:rStyle w:val="Hyperlink"/>
          </w:rPr>
          <w:t xml:space="preserve">10.64861/PEUU1014</w:t>
        </w:r>
      </w:hyperlink>
      <w:r>
        <w:t xml:space="preserve">.</w:t>
      </w:r>
    </w:p>
    <w:p>
      <w:pPr>
        <w:pStyle w:val="BodyText"/>
        <w:spacing w:line="480" w:lineRule="auto"/>
        <w:ind w:firstLine="720"/>
      </w:pPr>
      <w:bookmarkStart w:id="139" w:name="ref-3"/>
      <w:bookmarkEnd w:id="139"/>
      <w:r>
        <w:t xml:space="preserve">3. L. Malone, M.-A. Cardin, J. J. Cilliers, S. Starr, and K. Hadler,</w:t>
      </w:r>
      <w:r>
        <w:t xml:space="preserve"> </w:t>
      </w:r>
      <w:r>
        <w:t xml:space="preserve">“Controlled user study on the role of situational awareness in design decisions for future lunar In-situ resource utilization systems,”</w:t>
      </w:r>
      <w:r>
        <w:t xml:space="preserve"> </w:t>
      </w:r>
      <w:r>
        <w:rPr>
          <w:i/>
          <w:iCs/>
        </w:rPr>
        <w:t xml:space="preserve">Acta Astronautica</w:t>
      </w:r>
      <w:r>
        <w:t xml:space="preserve">, vol. 246, 2026. doi:</w:t>
      </w:r>
      <w:r>
        <w:t xml:space="preserve"> </w:t>
      </w:r>
      <w:hyperlink r:id="rId140">
        <w:r>
          <w:rPr>
            <w:rStyle w:val="Hyperlink"/>
          </w:rPr>
          <w:t xml:space="preserve">10.1016/j.actaastro.2026.04.012</w:t>
        </w:r>
      </w:hyperlink>
      <w:r>
        <w:t xml:space="preserve">.</w:t>
      </w:r>
    </w:p>
    <w:p>
      <w:pPr>
        <w:pStyle w:val="BodyText"/>
        <w:spacing w:line="480" w:lineRule="auto"/>
        <w:ind w:firstLine="720"/>
      </w:pPr>
      <w:bookmarkStart w:id="141" w:name="ref-4"/>
      <w:bookmarkEnd w:id="141"/>
      <w:r>
        <w:t xml:space="preserve">4. S. Gehly and J. Bennett,</w:t>
      </w:r>
      <w:r>
        <w:t xml:space="preserve"> </w:t>
      </w:r>
      <w:r>
        <w:t xml:space="preserve">“Incorporating Target Priorities in the Sensor Tasking Reward Function,”</w:t>
      </w:r>
      <w:r>
        <w:t xml:space="preserve"> </w:t>
      </w:r>
      <w:r>
        <w:t xml:space="preserve">in</w:t>
      </w:r>
      <w:r>
        <w:t xml:space="preserve"> </w:t>
      </w:r>
      <w:r>
        <w:rPr>
          <w:i/>
          <w:iCs/>
        </w:rPr>
        <w:t xml:space="preserve">Proc. Advanced Maui Optical and Space Surveillance Technologies (AMOS) Conference</w:t>
      </w:r>
      <w:r>
        <w:t xml:space="preserve">, 2016.</w:t>
      </w:r>
    </w:p>
    <w:p>
      <w:pPr>
        <w:pStyle w:val="BodyText"/>
        <w:spacing w:line="480" w:lineRule="auto"/>
        <w:ind w:firstLine="720"/>
      </w:pPr>
      <w:bookmarkStart w:id="142" w:name="ref-5"/>
      <w:bookmarkEnd w:id="142"/>
      <w:r>
        <w:t xml:space="preserve">5. S. Fedeler, M. Holzinger, and W. Whitacre,</w:t>
      </w:r>
      <w:r>
        <w:t xml:space="preserve"> </w:t>
      </w:r>
      <w:r>
        <w:t xml:space="preserve">“Optimality and Application of Tree Search Methods for POMDP-based Sensor Tasking,”</w:t>
      </w:r>
      <w:r>
        <w:t xml:space="preserve"> </w:t>
      </w:r>
      <w:r>
        <w:t xml:space="preserve">in</w:t>
      </w:r>
      <w:r>
        <w:t xml:space="preserve"> </w:t>
      </w:r>
      <w:r>
        <w:rPr>
          <w:i/>
          <w:iCs/>
        </w:rPr>
        <w:t xml:space="preserve">Proc. Advanced Maui Optical and Space Surveillance Technologies (AMOS) Conference</w:t>
      </w:r>
      <w:r>
        <w:t xml:space="preserve">, 2020.</w:t>
      </w:r>
    </w:p>
    <w:p>
      <w:pPr>
        <w:pStyle w:val="BodyText"/>
        <w:spacing w:line="480" w:lineRule="auto"/>
        <w:ind w:firstLine="720"/>
      </w:pPr>
      <w:bookmarkStart w:id="143" w:name="ref-6"/>
      <w:bookmarkEnd w:id="143"/>
      <w:r>
        <w:t xml:space="preserve">6. H. Reed, N. Dailey, B. Carden, and D. Bryson,</w:t>
      </w:r>
      <w:r>
        <w:t xml:space="preserve"> </w:t>
      </w:r>
      <w:r>
        <w:t xml:space="preserve">“Blockchain Enabled Space Traffic Awareness (BESTA): Automated Comparison of SSA to Agreed Behavior for Discovery of Anomalous Behavior,”</w:t>
      </w:r>
      <w:r>
        <w:t xml:space="preserve"> </w:t>
      </w:r>
      <w:r>
        <w:t xml:space="preserve">in</w:t>
      </w:r>
      <w:r>
        <w:t xml:space="preserve"> </w:t>
      </w:r>
      <w:r>
        <w:rPr>
          <w:i/>
          <w:iCs/>
        </w:rPr>
        <w:t xml:space="preserve">Proc. Advanced Maui Optical and Space Surveillance Technologies (AMOS) Conference</w:t>
      </w:r>
      <w:r>
        <w:t xml:space="preserve">, 2020.</w:t>
      </w:r>
    </w:p>
    <w:p>
      <w:pPr>
        <w:pStyle w:val="BodyText"/>
        <w:spacing w:line="480" w:lineRule="auto"/>
        <w:ind w:firstLine="720"/>
      </w:pPr>
      <w:bookmarkStart w:id="144" w:name="ref-7"/>
      <w:bookmarkEnd w:id="144"/>
      <w:r>
        <w:t xml:space="preserve">7. U.S. Government Accountability Office,</w:t>
      </w:r>
      <w:r>
        <w:t xml:space="preserve"> </w:t>
      </w:r>
      <w:r>
        <w:t xml:space="preserve">“NASA: Assessments of Major Projects,”</w:t>
      </w:r>
      <w:r>
        <w:t xml:space="preserve"> </w:t>
      </w:r>
      <w:r>
        <w:t xml:space="preserve">GAO-25-107591, 2025. url:</w:t>
      </w:r>
      <w:r>
        <w:t xml:space="preserve"> </w:t>
      </w:r>
      <w:hyperlink r:id="rId145">
        <w:r>
          <w:rPr>
            <w:rStyle w:val="Hyperlink"/>
          </w:rPr>
          <w:t xml:space="preserve">https://www.gao.gov/products/gao-25-107591</w:t>
        </w:r>
      </w:hyperlink>
      <w:r>
        <w:t xml:space="preserve">.</w:t>
      </w:r>
    </w:p>
    <w:p>
      <w:pPr>
        <w:pStyle w:val="BodyText"/>
        <w:spacing w:line="480" w:lineRule="auto"/>
        <w:ind w:firstLine="720"/>
      </w:pPr>
      <w:bookmarkStart w:id="146" w:name="ref-8"/>
      <w:bookmarkEnd w:id="146"/>
      <w:r>
        <w:t xml:space="preserve">8. U.S. Government Accountability Office,</w:t>
      </w:r>
      <w:r>
        <w:t xml:space="preserve"> </w:t>
      </w:r>
      <w:r>
        <w:t xml:space="preserve">“NASA: Assessments of Selected Large-Scale Projects,”</w:t>
      </w:r>
      <w:r>
        <w:t xml:space="preserve"> </w:t>
      </w:r>
      <w:r>
        <w:t xml:space="preserve">GAO-12-207SP, 2012. url:</w:t>
      </w:r>
      <w:r>
        <w:t xml:space="preserve"> </w:t>
      </w:r>
      <w:hyperlink r:id="rId147">
        <w:r>
          <w:rPr>
            <w:rStyle w:val="Hyperlink"/>
          </w:rPr>
          <w:t xml:space="preserve">https://www.gao.gov/products/gao-12-207sp</w:t>
        </w:r>
      </w:hyperlink>
      <w:r>
        <w:t xml:space="preserve">.</w:t>
      </w:r>
    </w:p>
    <w:p>
      <w:pPr>
        <w:pStyle w:val="BodyText"/>
        <w:spacing w:line="480" w:lineRule="auto"/>
        <w:ind w:firstLine="720"/>
      </w:pPr>
      <w:bookmarkStart w:id="148" w:name="ref-9"/>
      <w:bookmarkEnd w:id="148"/>
      <w:r>
        <w:t xml:space="preserve">9. NASA,</w:t>
      </w:r>
      <w:r>
        <w:t xml:space="preserve"> </w:t>
      </w:r>
      <w:r>
        <w:t xml:space="preserve">“NASA Technology Taxonomy,”</w:t>
      </w:r>
      <w:r>
        <w:t xml:space="preserve"> </w:t>
      </w:r>
      <w:r>
        <w:t xml:space="preserve">NASA Office of the Chief Technologist, 2020. url:</w:t>
      </w:r>
      <w:r>
        <w:t xml:space="preserve"> </w:t>
      </w:r>
      <w:hyperlink r:id="rId149">
        <w:r>
          <w:rPr>
            <w:rStyle w:val="Hyperlink"/>
          </w:rPr>
          <w:t xml:space="preserve">https://www.nasa.gov/wp-content/uploads/2020/03/2020_nasa_technology_taxonomy.pdf</w:t>
        </w:r>
      </w:hyperlink>
      <w:r>
        <w:t xml:space="preserve">.</w:t>
      </w:r>
    </w:p>
    <w:p>
      <w:pPr>
        <w:pStyle w:val="BodyText"/>
        <w:spacing w:line="480" w:lineRule="auto"/>
        <w:ind w:firstLine="720"/>
      </w:pPr>
      <w:bookmarkStart w:id="150" w:name="ref-10"/>
      <w:bookmarkEnd w:id="150"/>
      <w:r>
        <w:t xml:space="preserve">10. N. K. Dhingra, C. DeJac, J. Neel, A. Herz, T. Wolf, and B. Jones,</w:t>
      </w:r>
      <w:r>
        <w:t xml:space="preserve"> </w:t>
      </w:r>
      <w:r>
        <w:t xml:space="preserve">“The Impact of Orbit Accuracy-Based Tasking on Sensor Network Efficiency,”</w:t>
      </w:r>
      <w:r>
        <w:t xml:space="preserve"> </w:t>
      </w:r>
      <w:r>
        <w:t xml:space="preserve">in Proc. Advanced Maui Optical and Space Surveillance Technologies (AMOS) Conference, 2022.</w:t>
      </w:r>
    </w:p>
    <w:p>
      <w:pPr>
        <w:pStyle w:val="BodyText"/>
        <w:spacing w:line="480" w:lineRule="auto"/>
        <w:ind w:firstLine="720"/>
      </w:pPr>
      <w:bookmarkStart w:id="151" w:name="ref-11"/>
      <w:bookmarkEnd w:id="151"/>
      <w:r>
        <w:t xml:space="preserve">11. United States Government Accountability Office, NASA: Assessments of Major Projects, GAO-20-405, Washington, DC, April 2020.</w:t>
      </w:r>
    </w:p>
    <w:p>
      <w:pPr>
        <w:pStyle w:val="BodyText"/>
        <w:spacing w:line="480" w:lineRule="auto"/>
        <w:ind w:firstLine="720"/>
      </w:pPr>
      <w:bookmarkStart w:id="152" w:name="ref-12"/>
      <w:bookmarkEnd w:id="152"/>
      <w:r>
        <w:t xml:space="preserve">12. Robert Raygan, Integrity Applications Incorporated. The Ultimate Big Data Enterprise Initiative: Defining Functional Capabilities for an International Information System (IIS) for Orbital Space Data (OSD) (2017).</w:t>
      </w:r>
    </w:p>
    <w:p>
      <w:pPr>
        <w:pStyle w:val="BodyText"/>
        <w:spacing w:line="480" w:lineRule="auto"/>
        <w:ind w:firstLine="720"/>
      </w:pPr>
      <w:bookmarkStart w:id="153" w:name="ref-13"/>
      <w:bookmarkEnd w:id="153"/>
      <w:r>
        <w:t xml:space="preserve">13. Jennifer Krolikowski, SMC/ECXC; Edward Jones, SMC/ECXC; Reginald Shelton, SMC/ECXC; Rachele Szall, SMC/ECXC. Space Command and Control Program – Kobayashi Maru (2021).</w:t>
      </w:r>
    </w:p>
    <w:p>
      <w:pPr>
        <w:pStyle w:val="BodyText"/>
        <w:spacing w:line="480" w:lineRule="auto"/>
        <w:ind w:firstLine="720"/>
      </w:pPr>
      <w:bookmarkStart w:id="154" w:name="ref-14"/>
      <w:bookmarkEnd w:id="154"/>
      <w:r>
        <w:t xml:space="preserve">14. Daniel Stouch, Charles River Analytics; Umanga Balasuriya, Charles River Analytics; Rob Hyland, Charles River Analytics; Les Bird, Charles River Analytics; Michael Jenkins, Charles River Analytics; Caroline Kingsley, Charles River Analytics. Toward Intuitive Understanding of Complex Astrodynamics using Distributed Augmented Reality (2021).</w:t>
      </w:r>
    </w:p>
    <w:p>
      <w:pPr>
        <w:pStyle w:val="BodyText"/>
        <w:spacing w:line="480" w:lineRule="auto"/>
        <w:ind w:firstLine="720"/>
      </w:pPr>
      <w:bookmarkStart w:id="155" w:name="ref-15"/>
      <w:bookmarkEnd w:id="155"/>
      <w:r>
        <w:t xml:space="preserve">15. Kelly Gerschefske (The MITRE Corporation), Jeremy Witmer (The MITRE Corporation). Wired Widgets: Agile Visualization for Space Situational Awareness (2012).</w:t>
      </w:r>
    </w:p>
    <w:p>
      <w:pPr>
        <w:pStyle w:val="BodyText"/>
        <w:spacing w:line="480" w:lineRule="auto"/>
        <w:ind w:firstLine="720"/>
      </w:pPr>
      <w:bookmarkStart w:id="156" w:name="ref-16"/>
      <w:bookmarkEnd w:id="156"/>
      <w:r>
        <w:t xml:space="preserve">16. Kenny Andersson, Swedish Defence Research Agency; Tim Kinnunen, Swedish Defence Research Agency; Semeli Papadogiannakis, Swedish Defence Research Agency; Rolf Ragnarsson, Swedish Defence Research Agency. Genetic Algorithm-Driven Scheduling for Radar-Based Satellite Tracking (2025). doi:</w:t>
      </w:r>
      <w:r>
        <w:t xml:space="preserve"> </w:t>
      </w:r>
      <w:hyperlink r:id="rId157">
        <w:r>
          <w:rPr>
            <w:rStyle w:val="Hyperlink"/>
          </w:rPr>
          <w:t xml:space="preserve">10.64861/SUOW9680</w:t>
        </w:r>
      </w:hyperlink>
    </w:p>
    <w:p>
      <w:pPr>
        <w:pStyle w:val="BodyText"/>
        <w:spacing w:line="480" w:lineRule="auto"/>
        <w:ind w:firstLine="720"/>
      </w:pPr>
      <w:bookmarkStart w:id="158" w:name="ref-17"/>
      <w:bookmarkEnd w:id="158"/>
      <w:r>
        <w:t xml:space="preserve">17. Kento Tomita, Georgia Institute of Technology; Yuri Shimane, Georgia Institute of Technology; Koki Ho, Georgia Institute of Technology. Multi-Spacecraft Predictive Sensor Tasking for Cislunar Space Situational Awareness (2023). doi:</w:t>
      </w:r>
      <w:r>
        <w:t xml:space="preserve"> </w:t>
      </w:r>
      <w:hyperlink r:id="rId159">
        <w:r>
          <w:rPr>
            <w:rStyle w:val="Hyperlink"/>
          </w:rPr>
          <w:t xml:space="preserve">10.64861/GBKE2290</w:t>
        </w:r>
      </w:hyperlink>
    </w:p>
    <w:p>
      <w:pPr>
        <w:pStyle w:val="BodyText"/>
        <w:spacing w:line="480" w:lineRule="auto"/>
        <w:ind w:firstLine="720"/>
      </w:pPr>
      <w:bookmarkStart w:id="160" w:name="ref-18"/>
      <w:bookmarkEnd w:id="160"/>
      <w:r>
        <w:t xml:space="preserve">18.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w:t>
      </w:r>
    </w:p>
    <w:p>
      <w:pPr>
        <w:pStyle w:val="BodyText"/>
        <w:spacing w:line="480" w:lineRule="auto"/>
        <w:ind w:firstLine="720"/>
      </w:pPr>
      <w:bookmarkStart w:id="161" w:name="ref-19"/>
      <w:bookmarkEnd w:id="161"/>
      <w:r>
        <w:t xml:space="preserve">19. Alessandro Paravano; Alessandro Paravano; Brendan Rosseau; Giorgio Locatelli; Mathew Weinzierl; Paolo Trucco. Toward the LEO economy: A value assessment of commercial space stations for space and non-space users (2024). doi:</w:t>
      </w:r>
      <w:r>
        <w:t xml:space="preserve"> </w:t>
      </w:r>
      <w:hyperlink r:id="rId162">
        <w:r>
          <w:rPr>
            <w:rStyle w:val="Hyperlink"/>
          </w:rPr>
          <w:t xml:space="preserve">10.1016/j.actaastro.2024.11.060</w:t>
        </w:r>
      </w:hyperlink>
    </w:p>
    <w:p>
      <w:pPr>
        <w:pStyle w:val="BodyText"/>
        <w:spacing w:line="480" w:lineRule="auto"/>
        <w:ind w:firstLine="720"/>
      </w:pPr>
      <w:bookmarkStart w:id="163" w:name="ref-20"/>
      <w:bookmarkEnd w:id="163"/>
      <w:r>
        <w:t xml:space="preserve">20. Gabriel T. Jesus; Sergio Norio Itami; Tassiana Y.F. Segantine; Milton de Freitas Chagas. Innovation path and contingencies in the China-Brazil Earth Resources Satellite program (2020). doi:</w:t>
      </w:r>
      <w:r>
        <w:t xml:space="preserve"> </w:t>
      </w:r>
      <w:hyperlink r:id="rId164">
        <w:r>
          <w:rPr>
            <w:rStyle w:val="Hyperlink"/>
          </w:rPr>
          <w:t xml:space="preserve">10.1016/j.actaastro.2020.09.019</w:t>
        </w:r>
      </w:hyperlink>
    </w:p>
    <w:p>
      <w:pPr>
        <w:pStyle w:val="BodyText"/>
        <w:spacing w:line="480" w:lineRule="auto"/>
        <w:ind w:firstLine="720"/>
      </w:pPr>
      <w:bookmarkStart w:id="165" w:name="ref-21"/>
      <w:bookmarkEnd w:id="165"/>
      <w:r>
        <w:t xml:space="preserve">21. n.a.. Beneficiaries of the NewSpace age Governance by acknowledg 2025 Acta Astron (2024). doi:</w:t>
      </w:r>
      <w:r>
        <w:t xml:space="preserve"> </w:t>
      </w:r>
      <w:hyperlink r:id="rId166">
        <w:r>
          <w:rPr>
            <w:rStyle w:val="Hyperlink"/>
          </w:rPr>
          <w:t xml:space="preserve">10.1016/j.actaastro.2024.12.060</w:t>
        </w:r>
      </w:hyperlink>
    </w:p>
    <w:p>
      <w:pPr>
        <w:pStyle w:val="BodyText"/>
        <w:spacing w:line="480" w:lineRule="auto"/>
        <w:ind w:firstLine="720"/>
      </w:pPr>
      <w:bookmarkStart w:id="167" w:name="ref-22"/>
      <w:bookmarkEnd w:id="167"/>
      <w:r>
        <w:t xml:space="preserve">22. C. Vallat; N. Altobelli; Bernhard Geiger; B. Grieger; Michael Kueppers; Claudio Múñoz Crego; Richard Moissl; M. G. G. T. Taylor; Claudia Alexander; B. J. Buratti; Mathieu Choukroun. The science planning process on the Rosetta mission (2017). doi:</w:t>
      </w:r>
      <w:r>
        <w:t xml:space="preserve"> </w:t>
      </w:r>
      <w:hyperlink r:id="rId168">
        <w:r>
          <w:rPr>
            <w:rStyle w:val="Hyperlink"/>
          </w:rPr>
          <w:t xml:space="preserve">10.1016/j.actaastro.2017.01.018</w:t>
        </w:r>
      </w:hyperlink>
    </w:p>
    <w:p>
      <w:pPr>
        <w:pStyle w:val="BodyText"/>
        <w:spacing w:line="480" w:lineRule="auto"/>
        <w:ind w:firstLine="720"/>
      </w:pPr>
      <w:bookmarkStart w:id="169" w:name="ref-23"/>
      <w:bookmarkEnd w:id="169"/>
      <w:r>
        <w:t xml:space="preserve">23. Safinaz I. Khalil; Ziwei Wang; Nabil Aouf. Hybrid deep learning based monocular pose estimation for autonomous space docking operations (2025). doi:</w:t>
      </w:r>
      <w:r>
        <w:t xml:space="preserve"> </w:t>
      </w:r>
      <w:hyperlink r:id="rId170">
        <w:r>
          <w:rPr>
            <w:rStyle w:val="Hyperlink"/>
          </w:rPr>
          <w:t xml:space="preserve">10.1016/j.actaastro.2025.10.010</w:t>
        </w:r>
      </w:hyperlink>
    </w:p>
    <w:p>
      <w:pPr>
        <w:pStyle w:val="BodyText"/>
        <w:spacing w:line="480" w:lineRule="auto"/>
        <w:ind w:firstLine="720"/>
      </w:pPr>
      <w:bookmarkStart w:id="171" w:name="ref-24"/>
      <w:bookmarkEnd w:id="171"/>
      <w:r>
        <w:t xml:space="preserve">24. Kosuke Ikeya; Michel‐Alexandre Cardin; J.J. Cilliers; Stanley Starr; Kathryn Hadler. Multi-objective decision-making for flexible design and planning of oxygen production facilities in an uncertain lunar environment (2025). doi:</w:t>
      </w:r>
      <w:r>
        <w:t xml:space="preserve"> </w:t>
      </w:r>
      <w:hyperlink r:id="rId136">
        <w:r>
          <w:rPr>
            <w:rStyle w:val="Hyperlink"/>
          </w:rPr>
          <w:t xml:space="preserve">10.1016/j.actaastro.2025.07.014</w:t>
        </w:r>
      </w:hyperlink>
    </w:p>
    <w:p>
      <w:pPr>
        <w:pStyle w:val="BodyText"/>
        <w:spacing w:line="480" w:lineRule="auto"/>
        <w:ind w:firstLine="720"/>
      </w:pPr>
      <w:bookmarkStart w:id="172" w:name="ref-25"/>
      <w:bookmarkEnd w:id="172"/>
      <w:r>
        <w:t xml:space="preserve">25. Joshua F. Anderson; Michel‐Alexandre Cardin; Paul T. Grogan. Design and analysis of flexible multi-layer staged deployment for satellite mega-constellations under demand uncertainty (2022). doi:</w:t>
      </w:r>
      <w:r>
        <w:t xml:space="preserve"> </w:t>
      </w:r>
      <w:hyperlink r:id="rId173">
        <w:r>
          <w:rPr>
            <w:rStyle w:val="Hyperlink"/>
          </w:rPr>
          <w:t xml:space="preserve">10.1016/j.actaastro.2022.05.022</w:t>
        </w:r>
      </w:hyperlink>
    </w:p>
    <w:p>
      <w:pPr>
        <w:pStyle w:val="BodyText"/>
        <w:spacing w:line="480" w:lineRule="auto"/>
        <w:ind w:firstLine="720"/>
      </w:pPr>
      <w:bookmarkStart w:id="174" w:name="ref-26"/>
      <w:bookmarkEnd w:id="174"/>
      <w:r>
        <w:t xml:space="preserve">26. Baolin Wu; Chuang Xu; Yingchun Zhang. Decentralized adaptive control for attitude synchronization of multiple spacecraft via quantized information exchange (2020). doi:</w:t>
      </w:r>
      <w:r>
        <w:t xml:space="preserve"> </w:t>
      </w:r>
      <w:hyperlink r:id="rId175">
        <w:r>
          <w:rPr>
            <w:rStyle w:val="Hyperlink"/>
          </w:rPr>
          <w:t xml:space="preserve">10.1016/j.actaastro.2020.05.013</w:t>
        </w:r>
      </w:hyperlink>
    </w:p>
    <w:p>
      <w:pPr>
        <w:pStyle w:val="BodyText"/>
        <w:spacing w:line="480" w:lineRule="auto"/>
        <w:ind w:firstLine="720"/>
      </w:pPr>
      <w:bookmarkStart w:id="176" w:name="ref-27"/>
      <w:bookmarkEnd w:id="176"/>
      <w:r>
        <w:t xml:space="preserve">27. n.a.. Roadmap: Australia Economic-Technological Renaissance in Space (n.d.).</w:t>
      </w:r>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4568e75807130a46f84cc14e58c6d53dee3e473"/>
    <w:p>
      <w:pPr>
        <w:pStyle w:val="Heading2"/>
        <w:spacing w:line="480" w:lineRule="auto"/>
      </w:pPr>
      <w:r>
        <w:t xml:space="preserve">A.1 Pricing the Option to Wait: TRL at Confirmation, Informational Coupling, and Realized Cost Growth on NASA Major Space Projects</w:t>
      </w:r>
    </w:p>
    <w:p>
      <w:pPr>
        <w:pStyle w:val="FirstParagraph"/>
        <w:spacing w:line="480" w:lineRule="auto"/>
      </w:pPr>
      <m:oMathPara>
        <m:oMathParaPr>
          <m:jc m:val="center"/>
        </m:oMathParaPr>
        <m:oMath>
          <m:sSub>
            <m:e>
              <m:r>
                <m:rPr>
                  <m:nor/>
                  <m:sty m:val="p"/>
                </m:rPr>
                <m:t>cost_growth</m:t>
              </m:r>
            </m:e>
            <m:sub>
              <m:r>
                <m:t>i</m:t>
              </m:r>
            </m:sub>
          </m:sSub>
          <m:r>
            <m:rPr>
              <m:sty m:val="p"/>
            </m:rPr>
            <m:t>=</m:t>
          </m:r>
          <m:sSub>
            <m:e>
              <m:r>
                <m:t>β</m:t>
              </m:r>
            </m:e>
            <m:sub>
              <m:r>
                <m:t>0</m:t>
              </m:r>
            </m:sub>
          </m:sSub>
          <m:r>
            <m:rPr>
              <m:sty m:val="p"/>
            </m:rPr>
            <m:t>+</m:t>
          </m:r>
          <m:sSub>
            <m:e>
              <m:r>
                <m:t>β</m:t>
              </m:r>
            </m:e>
            <m:sub>
              <m:r>
                <m:t>1</m:t>
              </m:r>
            </m:sub>
          </m:sSub>
          <m:r>
            <m:t> </m:t>
          </m:r>
          <m:sSub>
            <m:e>
              <m:r>
                <m:rPr>
                  <m:nor/>
                  <m:sty m:val="p"/>
                </m:rPr>
                <m:t>TRL</m:t>
              </m:r>
            </m:e>
            <m:sub>
              <m:r>
                <m:t>i</m:t>
              </m:r>
            </m:sub>
          </m:sSub>
          <m:r>
            <m:rPr>
              <m:sty m:val="p"/>
            </m:rPr>
            <m:t>+</m:t>
          </m:r>
          <m:sSub>
            <m:e>
              <m:r>
                <m:t>β</m:t>
              </m:r>
            </m:e>
            <m:sub>
              <m:r>
                <m:t>2</m:t>
              </m:r>
            </m:sub>
          </m:sSub>
          <m:r>
            <m:t> </m:t>
          </m:r>
          <m:sSub>
            <m:e>
              <m:r>
                <m:rPr>
                  <m:nor/>
                  <m:sty m:val="p"/>
                </m:rPr>
                <m:t>complexity</m:t>
              </m:r>
            </m:e>
            <m:sub>
              <m:r>
                <m:t>i</m:t>
              </m:r>
            </m:sub>
          </m:sSub>
          <m:r>
            <m:rPr>
              <m:sty m:val="p"/>
            </m:rPr>
            <m:t>+</m:t>
          </m:r>
          <m:sSub>
            <m:e>
              <m:r>
                <m:t>β</m:t>
              </m:r>
            </m:e>
            <m:sub>
              <m:r>
                <m:t>3</m:t>
              </m:r>
            </m:sub>
          </m:sSub>
          <m:r>
            <m:t> </m:t>
          </m:r>
          <m:sSub>
            <m:e>
              <m:r>
                <m:rPr>
                  <m:nor/>
                  <m:sty m:val="p"/>
                </m:rPr>
                <m:t>coupling</m:t>
              </m:r>
            </m:e>
            <m:sub>
              <m:r>
                <m:t>i</m:t>
              </m:r>
            </m:sub>
          </m:sSub>
          <m:r>
            <m:rPr>
              <m:sty m:val="p"/>
            </m:rPr>
            <m:t>+</m:t>
          </m:r>
          <m:sSub>
            <m:e>
              <m:r>
                <m:t>β</m:t>
              </m:r>
            </m:e>
            <m:sub>
              <m:r>
                <m:t>4</m:t>
              </m:r>
            </m:sub>
          </m:sSub>
          <m:r>
            <m:t> </m:t>
          </m:r>
          <m:sSub>
            <m:e>
              <m:r>
                <m:rPr>
                  <m:nor/>
                  <m:sty m:val="p"/>
                </m:rPr>
                <m:t>years</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25.9613</w:t>
            </w:r>
          </w:p>
        </w:tc>
        <w:tc>
          <w:tcPr>
            <w:tcW w:w="0" w:type="auto"/>
          </w:tcPr>
          <w:p>
            <w:pPr>
              <w:spacing w:line="240" w:lineRule="auto" w:before="0" w:after="0"/>
              <w:pStyle w:val="Compact"/>
            </w:pPr>
            <w:r>
              <w:rPr>
                <w:sz w:val="20"/>
                <w:szCs w:val="20"/>
              </w:rPr>
              <w:t xml:space="preserve">29.2878</w:t>
            </w:r>
          </w:p>
        </w:tc>
        <w:tc>
          <w:tcPr>
            <w:tcW w:w="0" w:type="auto"/>
          </w:tcPr>
          <w:p>
            <w:pPr>
              <w:spacing w:line="240" w:lineRule="auto" w:before="0" w:after="0"/>
              <w:pStyle w:val="Compact"/>
            </w:pPr>
            <w:r>
              <w:rPr>
                <w:sz w:val="20"/>
                <w:szCs w:val="20"/>
              </w:rPr>
              <w:t xml:space="preserve">0.8864</w:t>
            </w:r>
          </w:p>
        </w:tc>
        <w:tc>
          <w:tcPr>
            <w:tcW w:w="0" w:type="auto"/>
          </w:tcPr>
          <w:p>
            <w:pPr>
              <w:spacing w:line="240" w:lineRule="auto" w:before="0" w:after="0"/>
              <w:pStyle w:val="Compact"/>
            </w:pPr>
            <w:r>
              <w:rPr>
                <w:sz w:val="20"/>
                <w:szCs w:val="20"/>
              </w:rPr>
              <w:t xml:space="preserve">0.3754</w:t>
            </w:r>
          </w:p>
        </w:tc>
        <w:tc>
          <w:tcPr>
            <w:tcW w:w="0" w:type="auto"/>
          </w:tcPr>
          <w:p>
            <w:pPr>
              <w:spacing w:line="240" w:lineRule="auto" w:before="0" w:after="0"/>
              <w:pStyle w:val="Compact"/>
            </w:pPr>
            <w:r>
              <w:rPr>
                <w:sz w:val="20"/>
                <w:szCs w:val="20"/>
              </w:rPr>
              <w:t xml:space="preserve">[-31.4418, 83.3644]</w:t>
            </w:r>
          </w:p>
        </w:tc>
      </w:tr>
      <w:tr>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-10.8606</w:t>
            </w:r>
          </w:p>
        </w:tc>
        <w:tc>
          <w:tcPr>
            <w:tcW w:w="0" w:type="auto"/>
          </w:tcPr>
          <w:p>
            <w:pPr>
              <w:spacing w:line="240" w:lineRule="auto" w:before="0" w:after="0"/>
              <w:pStyle w:val="Compact"/>
            </w:pPr>
            <w:r>
              <w:rPr>
                <w:sz w:val="20"/>
                <w:szCs w:val="20"/>
              </w:rPr>
              <w:t xml:space="preserve">6.7554</w:t>
            </w:r>
          </w:p>
        </w:tc>
        <w:tc>
          <w:tcPr>
            <w:tcW w:w="0" w:type="auto"/>
          </w:tcPr>
          <w:p>
            <w:pPr>
              <w:spacing w:line="240" w:lineRule="auto" w:before="0" w:after="0"/>
              <w:pStyle w:val="Compact"/>
            </w:pPr>
            <w:r>
              <w:rPr>
                <w:sz w:val="20"/>
                <w:szCs w:val="20"/>
              </w:rPr>
              <w:t xml:space="preserve">-1.6077</w:t>
            </w:r>
          </w:p>
        </w:tc>
        <w:tc>
          <w:tcPr>
            <w:tcW w:w="0" w:type="auto"/>
          </w:tcPr>
          <w:p>
            <w:pPr>
              <w:spacing w:line="240" w:lineRule="auto" w:before="0" w:after="0"/>
              <w:pStyle w:val="Compact"/>
            </w:pPr>
            <w:r>
              <w:rPr>
                <w:sz w:val="20"/>
                <w:szCs w:val="20"/>
              </w:rPr>
              <w:t xml:space="preserve">0.1079</w:t>
            </w:r>
          </w:p>
        </w:tc>
        <w:tc>
          <w:tcPr>
            <w:tcW w:w="0" w:type="auto"/>
          </w:tcPr>
          <w:p>
            <w:pPr>
              <w:spacing w:line="240" w:lineRule="auto" w:before="0" w:after="0"/>
              <w:pStyle w:val="Compact"/>
            </w:pPr>
            <w:r>
              <w:rPr>
                <w:sz w:val="20"/>
                <w:szCs w:val="20"/>
              </w:rPr>
              <w:t xml:space="preserve">[-24.101, 2.3797]</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12.8303</w:t>
            </w:r>
          </w:p>
        </w:tc>
        <w:tc>
          <w:tcPr>
            <w:tcW w:w="0" w:type="auto"/>
          </w:tcPr>
          <w:p>
            <w:pPr>
              <w:spacing w:line="240" w:lineRule="auto" w:before="0" w:after="0"/>
              <w:pStyle w:val="Compact"/>
            </w:pPr>
            <w:r>
              <w:rPr>
                <w:sz w:val="20"/>
                <w:szCs w:val="20"/>
              </w:rPr>
              <w:t xml:space="preserve">13.9098</w:t>
            </w:r>
          </w:p>
        </w:tc>
        <w:tc>
          <w:tcPr>
            <w:tcW w:w="0" w:type="auto"/>
          </w:tcPr>
          <w:p>
            <w:pPr>
              <w:spacing w:line="240" w:lineRule="auto" w:before="0" w:after="0"/>
              <w:pStyle w:val="Compact"/>
            </w:pPr>
            <w:r>
              <w:rPr>
                <w:sz w:val="20"/>
                <w:szCs w:val="20"/>
              </w:rPr>
              <w:t xml:space="preserve">0.9224</w:t>
            </w:r>
          </w:p>
        </w:tc>
        <w:tc>
          <w:tcPr>
            <w:tcW w:w="0" w:type="auto"/>
          </w:tcPr>
          <w:p>
            <w:pPr>
              <w:spacing w:line="240" w:lineRule="auto" w:before="0" w:after="0"/>
              <w:pStyle w:val="Compact"/>
            </w:pPr>
            <w:r>
              <w:rPr>
                <w:sz w:val="20"/>
                <w:szCs w:val="20"/>
              </w:rPr>
              <w:t xml:space="preserve">0.3563</w:t>
            </w:r>
          </w:p>
        </w:tc>
        <w:tc>
          <w:tcPr>
            <w:tcW w:w="0" w:type="auto"/>
          </w:tcPr>
          <w:p>
            <w:pPr>
              <w:spacing w:line="240" w:lineRule="auto" w:before="0" w:after="0"/>
              <w:pStyle w:val="Compact"/>
            </w:pPr>
            <w:r>
              <w:rPr>
                <w:sz w:val="20"/>
                <w:szCs w:val="20"/>
              </w:rPr>
              <w:t xml:space="preserve">[-14.4324, 40.0929]</w:t>
            </w:r>
          </w:p>
        </w:tc>
      </w:tr>
      <w:tr>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-13.131</w:t>
            </w:r>
          </w:p>
        </w:tc>
        <w:tc>
          <w:tcPr>
            <w:tcW w:w="0" w:type="auto"/>
          </w:tcPr>
          <w:p>
            <w:pPr>
              <w:spacing w:line="240" w:lineRule="auto" w:before="0" w:after="0"/>
              <w:pStyle w:val="Compact"/>
            </w:pPr>
            <w:r>
              <w:rPr>
                <w:sz w:val="20"/>
                <w:szCs w:val="20"/>
              </w:rPr>
              <w:t xml:space="preserve">15.543</w:t>
            </w:r>
          </w:p>
        </w:tc>
        <w:tc>
          <w:tcPr>
            <w:tcW w:w="0" w:type="auto"/>
          </w:tcPr>
          <w:p>
            <w:pPr>
              <w:spacing w:line="240" w:lineRule="auto" w:before="0" w:after="0"/>
              <w:pStyle w:val="Compact"/>
            </w:pPr>
            <w:r>
              <w:rPr>
                <w:sz w:val="20"/>
                <w:szCs w:val="20"/>
              </w:rPr>
              <w:t xml:space="preserve">-0.8448</w:t>
            </w:r>
          </w:p>
        </w:tc>
        <w:tc>
          <w:tcPr>
            <w:tcW w:w="0" w:type="auto"/>
          </w:tcPr>
          <w:p>
            <w:pPr>
              <w:spacing w:line="240" w:lineRule="auto" w:before="0" w:after="0"/>
              <w:pStyle w:val="Compact"/>
            </w:pPr>
            <w:r>
              <w:rPr>
                <w:sz w:val="20"/>
                <w:szCs w:val="20"/>
              </w:rPr>
              <w:t xml:space="preserve">0.3982</w:t>
            </w:r>
          </w:p>
        </w:tc>
        <w:tc>
          <w:tcPr>
            <w:tcW w:w="0" w:type="auto"/>
          </w:tcPr>
          <w:p>
            <w:pPr>
              <w:spacing w:line="240" w:lineRule="auto" w:before="0" w:after="0"/>
              <w:pStyle w:val="Compact"/>
            </w:pPr>
            <w:r>
              <w:rPr>
                <w:sz w:val="20"/>
                <w:szCs w:val="20"/>
              </w:rPr>
              <w:t xml:space="preserve">[-43.5948, 17.3328]</w:t>
            </w:r>
          </w:p>
        </w:tc>
      </w:tr>
      <w:tr>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11.0333</w:t>
            </w:r>
          </w:p>
        </w:tc>
        <w:tc>
          <w:tcPr>
            <w:tcW w:w="0" w:type="auto"/>
          </w:tcPr>
          <w:p>
            <w:pPr>
              <w:spacing w:line="240" w:lineRule="auto" w:before="0" w:after="0"/>
              <w:pStyle w:val="Compact"/>
            </w:pPr>
            <w:r>
              <w:rPr>
                <w:sz w:val="20"/>
                <w:szCs w:val="20"/>
              </w:rPr>
              <w:t xml:space="preserve">2.5042</w:t>
            </w:r>
          </w:p>
        </w:tc>
        <w:tc>
          <w:tcPr>
            <w:tcW w:w="0" w:type="auto"/>
          </w:tcPr>
          <w:p>
            <w:pPr>
              <w:spacing w:line="240" w:lineRule="auto" w:before="0" w:after="0"/>
              <w:pStyle w:val="Compact"/>
            </w:pPr>
            <w:r>
              <w:rPr>
                <w:sz w:val="20"/>
                <w:szCs w:val="20"/>
              </w:rPr>
              <w:t xml:space="preserve">4.4059</w:t>
            </w:r>
          </w:p>
        </w:tc>
        <w:tc>
          <w:tcPr>
            <w:tcW w:w="0" w:type="auto"/>
          </w:tcPr>
          <w:p>
            <w:pPr>
              <w:spacing w:line="240" w:lineRule="auto" w:before="0" w:after="0"/>
              <w:pStyle w:val="Compact"/>
            </w:pPr>
            <w:r>
              <w:rPr>
                <w:sz w:val="20"/>
                <w:szCs w:val="20"/>
              </w:rPr>
              <w:t xml:space="preserve">1.053e-05</w:t>
            </w:r>
          </w:p>
        </w:tc>
        <w:tc>
          <w:tcPr>
            <w:tcW w:w="0" w:type="auto"/>
          </w:tcPr>
          <w:p>
            <w:pPr>
              <w:spacing w:line="240" w:lineRule="auto" w:before="0" w:after="0"/>
              <w:pStyle w:val="Compact"/>
            </w:pPr>
            <w:r>
              <w:rPr>
                <w:sz w:val="20"/>
                <w:szCs w:val="20"/>
              </w:rPr>
              <w:t xml:space="preserve">[6.1251, 15.9414]</w:t>
            </w:r>
          </w:p>
        </w:tc>
      </w:tr>
    </w:tbl>
    <w:p>
      <w:pPr>
        <w:pStyle w:val="BodyText"/>
        <w:spacing w:line="480" w:lineRule="auto"/>
        <w:ind w:firstLine="720"/>
      </w:pPr>
      <w:r>
        <w:t xml:space="preserve">Fit: N = 35 R2 = 0.5788 R2_adj = 0.538 F = 12.1052 F_p = 4.856e-06</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cost growth on NASA major space projects against TRL at confirmation. Each point is one mission in the GAO Major Project Assessment series 2011 to 2025; the downward slope is consistent with the value-of-information account in which lower entering technology maturity prices the unresolved precursor uncertainty as later realized cost." title="" id="181" name="Picture"/>
            <a:graphic>
              <a:graphicData uri="http://schemas.openxmlformats.org/drawingml/2006/picture">
                <pic:pic>
                  <pic:nvPicPr>
                    <pic:cNvPr descr="D:/Claude_Code/brain/collegium/candidates/dissertations/JPL_MGMT_SMA_TECH_07/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cost growth on NASA major space projects against TRL at confirmation. Each point is one mission in the GAO Major Project Assessment series 2011 to 2025; the downward slope is consistent with the value-of-information account in which lower entering technology maturity prices the unresolved precursor uncertainty as later realized cost.</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prime_center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NPP Suomi NPP</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SDO Solar Dynamics Observatory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LRO Lunar Reconnaissance Orbiter</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GAO-11-239SP NASA Major Projects 2011 https://www.gao.gov/products/gao-11-239sp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GAO-14-338SP NASA Major Projects 2014 https://www.gao.gov/products/gao-14-338sp</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GAO-16-309SP NASA Major Projects 2016 https://www.gao.gov/products/gao-16-309sp</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GAO-19-262SP NASA Major Projects 2019 https://www.gao.gov/products/gao-19-262sp</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GAO-20-405 NASA Major Projects 2020 https://www.gao.gov/products/gao-20-405</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GAO-16-309SP NASA Major Projects 2016 https://www.gao.gov/products/gao-16-309sp</w:t>
            </w:r>
          </w:p>
        </w:tc>
      </w:tr>
      <w:tr>
        <w:tc>
          <w:tcPr>
            <w:tcW w:w="0" w:type="auto"/>
          </w:tcPr>
          <w:p>
            <w:pPr>
              <w:spacing w:line="240" w:lineRule="auto" w:before="0" w:after="0"/>
              <w:pStyle w:val="Compact"/>
            </w:pPr>
            <w:r>
              <w:rPr>
                <w:sz w:val="20"/>
                <w:szCs w:val="20"/>
              </w:rPr>
              <w:t xml:space="preserve">GPM Global Precipitation Measurement</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GAO-14-338SP NASA Major Projects 2014 https://www.gao.gov/products/gao-14-338sp</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ARC</w:t>
            </w:r>
          </w:p>
        </w:tc>
        <w:tc>
          <w:tcPr>
            <w:tcW w:w="0" w:type="auto"/>
          </w:tcPr>
          <w:p>
            <w:pPr>
              <w:spacing w:line="240" w:lineRule="auto" w:before="0" w:after="0"/>
              <w:pStyle w:val="Compact"/>
            </w:pPr>
            <w:r>
              <w:rPr>
                <w:sz w:val="20"/>
                <w:szCs w:val="20"/>
              </w:rPr>
              <w:t xml:space="preserve">GAO-13-276SP NASA Major Projects 2013 https://www.gao.gov/products/gao-13-276sp</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ARC</w:t>
            </w:r>
          </w:p>
        </w:tc>
        <w:tc>
          <w:tcPr>
            <w:tcW w:w="0" w:type="auto"/>
          </w:tcPr>
          <w:p>
            <w:pPr>
              <w:spacing w:line="240" w:lineRule="auto" w:before="0" w:after="0"/>
              <w:pStyle w:val="Compact"/>
            </w:pPr>
            <w:r>
              <w:rPr>
                <w:sz w:val="20"/>
                <w:szCs w:val="20"/>
              </w:rPr>
              <w:t xml:space="preserve">GAO-12-207SP NASA Major Projects 2012 https://www.gao.gov/products/gao-12-207sp</w:t>
            </w:r>
          </w:p>
        </w:tc>
      </w:tr>
      <w:tr>
        <w:tc>
          <w:tcPr>
            <w:tcW w:w="0" w:type="auto"/>
          </w:tcPr>
          <w:p>
            <w:pPr>
              <w:spacing w:line="240" w:lineRule="auto" w:before="0" w:after="0"/>
              <w:pStyle w:val="Compact"/>
            </w:pPr>
            <w:r>
              <w:rPr>
                <w:sz w:val="20"/>
                <w:szCs w:val="20"/>
              </w:rPr>
              <w:t xml:space="preserve">Magnetospheric Multiscale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GAO-13-276SP NASA Major Projects 2013 https://www.gao.gov/products/gao-13-276sp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GAO-18-280SP NASA Major Projects 2018 https://www.gao.gov/products/gao-18-280sp</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GAO-18-280SP NASA Major Projects 2018 https://www.gao.gov/products/gao-18-280sp</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GAO-23-106021 NASA Assessments of Major Projects 2023 https://www.gao.gov/products/gao-23-106021</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GAO-23-106021 NASA Assessments of Major Projects 2023 https://www.gao.gov/products/gao-23-106021</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GAO-21-306 NASA Major Projects 2021 https://www.gao.gov/products/gao-21-306</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GAO-22-105212 NASA Major Projects 2022 https://www.gao.gov/products/gao-22-105212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GAO-24-106767 NASA Assessments of Major Projects 2024 https://www.gao.gov/products/gao-24-106767</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GAO-22-105212 NASA Major Projects 2022 https://www.gao.gov/products/gao-22-105212</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4320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GAO-25-107591 NASA Assessments of Major Projects 2025 https://www.gao.gov/products/gao-25-107591</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GAO-24-106767 NASA Assessments of Major Projects 2024 https://www.gao.gov/products/gao-24-106767</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GAO-25-107591 NASA Assessments of Major Projects 2025 https://www.gao.gov/products/gao-25-107591</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GAO-25-107591 NASA Assessments of Major Projects 2025 https://www.gao.gov/products/gao-25-107591</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GAO-23-106021 NASA Assessments of Major Projects 2023 https://www.gao.gov/products/gao-23-106021</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GAO-24-106767 NASA Assessments of Major Projects 2024 https://www.gao.gov/products/gao-24-106767</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MSFC</w:t>
            </w:r>
          </w:p>
        </w:tc>
        <w:tc>
          <w:tcPr>
            <w:tcW w:w="0" w:type="auto"/>
          </w:tcPr>
          <w:p>
            <w:pPr>
              <w:spacing w:line="240" w:lineRule="auto" w:before="0" w:after="0"/>
              <w:pStyle w:val="Compact"/>
            </w:pPr>
            <w:r>
              <w:rPr>
                <w:sz w:val="20"/>
                <w:szCs w:val="20"/>
              </w:rPr>
              <w:t xml:space="preserve">GAO-22-105212 NASA Major Projects 2022 https://www.gao.gov/products/gao-22-105212</w:t>
            </w:r>
          </w:p>
        </w:tc>
      </w:tr>
      <w:tr>
        <w:tc>
          <w:tcPr>
            <w:tcW w:w="0" w:type="auto"/>
          </w:tcPr>
          <w:p>
            <w:pPr>
              <w:spacing w:line="240" w:lineRule="auto" w:before="0" w:after="0"/>
              <w:pStyle w:val="Compact"/>
            </w:pPr>
            <w:r>
              <w:rPr>
                <w:sz w:val="20"/>
                <w:szCs w:val="20"/>
              </w:rPr>
              <w:t xml:space="preserve">GOES-R series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11400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GAO-17-262SP NASA Major Projects 2017 https://www.gao.gov/products/gao-17-262sp</w:t>
            </w:r>
          </w:p>
        </w:tc>
      </w:tr>
      <w:tr>
        <w:tc>
          <w:tcPr>
            <w:tcW w:w="0" w:type="auto"/>
          </w:tcPr>
          <w:p>
            <w:pPr>
              <w:spacing w:line="240" w:lineRule="auto" w:before="0" w:after="0"/>
              <w:pStyle w:val="Compact"/>
            </w:pPr>
            <w:r>
              <w:rPr>
                <w:sz w:val="20"/>
                <w:szCs w:val="20"/>
              </w:rPr>
              <w:t xml:space="preserve">JPSS-1 NOAA-20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GAO-17-262SP NASA Major Projects 2017 https://www.gao.gov/products/gao-17-262sp</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GAO-21-306 NASA Major Projects 2021 https://www.gao.gov/products/gao-21-306</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in life-cycle cost between the KDP-C baseline and the most recent reported estimate</w:t>
            </w:r>
          </w:p>
        </w:tc>
        <w:tc>
          <w:tcPr>
            <w:tcW w:w="0" w:type="auto"/>
          </w:tcPr>
          <w:p>
            <w:pPr>
              <w:spacing w:line="240" w:lineRule="auto" w:before="0" w:after="0"/>
              <w:pStyle w:val="Compact"/>
            </w:pPr>
            <w:r>
              <w:rPr>
                <w:sz w:val="20"/>
                <w:szCs w:val="20"/>
              </w:rPr>
              <w:t xml:space="preserve">NASA GAO Major Project Assessments annual series, computed as ((current - baseline) / baseline) * 100</w:t>
            </w:r>
          </w:p>
        </w:tc>
      </w:tr>
      <w:tr>
        <w:tc>
          <w:tcPr>
            <w:tcW w:w="0" w:type="auto"/>
          </w:tcPr>
          <w:p>
            <w:pPr>
              <w:spacing w:line="240" w:lineRule="auto" w:before="0" w:after="0"/>
              <w:pStyle w:val="Compact"/>
            </w:pPr>
            <w:r>
              <w:rPr>
                <w:sz w:val="20"/>
                <w:szCs w:val="20"/>
              </w:rPr>
              <w:t xml:space="preserve">trl_at_kdp_c</w:t>
            </w:r>
          </w:p>
        </w:tc>
        <w:tc>
          <w:tcPr>
            <w:tcW w:w="0" w:type="auto"/>
          </w:tcPr>
          <w:p>
            <w:pPr>
              <w:spacing w:line="240" w:lineRule="auto" w:before="0" w:after="0"/>
              <w:pStyle w:val="Compact"/>
            </w:pPr>
            <w:r>
              <w:rPr>
                <w:sz w:val="20"/>
                <w:szCs w:val="20"/>
              </w:rPr>
              <w:t xml:space="preserve">Lowest technology readiness level among critical technologies at Key Decision Point C (mission confirmation)</w:t>
            </w:r>
          </w:p>
        </w:tc>
        <w:tc>
          <w:tcPr>
            <w:tcW w:w="0" w:type="auto"/>
          </w:tcPr>
          <w:p>
            <w:pPr>
              <w:spacing w:line="240" w:lineRule="auto" w:before="0" w:after="0"/>
              <w:pStyle w:val="Compact"/>
            </w:pPr>
            <w:r>
              <w:rPr>
                <w:sz w:val="20"/>
                <w:szCs w:val="20"/>
              </w:rPr>
              <w:t xml:space="preserve">GAO assessment narrative per project; corroborated against NASA TechPort taxonomy entries</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Ordinal complexity score 1-5 derived from instrument count, destination class, and propulsion regime</w:t>
            </w:r>
          </w:p>
        </w:tc>
        <w:tc>
          <w:tcPr>
            <w:tcW w:w="0" w:type="auto"/>
          </w:tcPr>
          <w:p>
            <w:pPr>
              <w:spacing w:line="240" w:lineRule="auto" w:before="0" w:after="0"/>
              <w:pStyle w:val="Compact"/>
            </w:pPr>
            <w:r>
              <w:rPr>
                <w:sz w:val="20"/>
                <w:szCs w:val="20"/>
              </w:rPr>
              <w:t xml:space="preserve">Coded from GAO project profile (cooperative-program flag, payload list, mission class)</w:t>
            </w:r>
          </w:p>
        </w:tc>
      </w:tr>
      <w:tr>
        <w:tc>
          <w:tcPr>
            <w:tcW w:w="0" w:type="auto"/>
          </w:tcPr>
          <w:p>
            <w:pPr>
              <w:spacing w:line="240" w:lineRule="auto" w:before="0" w:after="0"/>
              <w:pStyle w:val="Compact"/>
            </w:pPr>
            <w:r>
              <w:rPr>
                <w:sz w:val="20"/>
                <w:szCs w:val="20"/>
              </w:rPr>
              <w:t xml:space="preserve">coupling_index</w:t>
            </w:r>
          </w:p>
        </w:tc>
        <w:tc>
          <w:tcPr>
            <w:tcW w:w="0" w:type="auto"/>
          </w:tcPr>
          <w:p>
            <w:pPr>
              <w:spacing w:line="240" w:lineRule="auto" w:before="0" w:after="0"/>
              <w:pStyle w:val="Compact"/>
            </w:pPr>
            <w:r>
              <w:rPr>
                <w:sz w:val="20"/>
                <w:szCs w:val="20"/>
              </w:rPr>
              <w:t xml:space="preserve">Ordinal informational-coupling score 1-4 capturing how strongly project outcome depends on a precursor demonstration</w:t>
            </w:r>
          </w:p>
        </w:tc>
        <w:tc>
          <w:tcPr>
            <w:tcW w:w="0" w:type="auto"/>
          </w:tcPr>
          <w:p>
            <w:pPr>
              <w:spacing w:line="240" w:lineRule="auto" w:before="0" w:after="0"/>
              <w:pStyle w:val="Compact"/>
            </w:pPr>
            <w:r>
              <w:rPr>
                <w:sz w:val="20"/>
                <w:szCs w:val="20"/>
              </w:rPr>
              <w:t xml:space="preserve">Coded from GAO</w:t>
            </w:r>
            <w:r>
              <w:rPr>
                <w:sz w:val="20"/>
                <w:szCs w:val="20"/>
              </w:rPr>
              <w:t xml:space="preserve"> </w:t>
            </w:r>
            <w:r>
              <w:rPr>
                <w:sz w:val="20"/>
                <w:szCs w:val="20"/>
              </w:rPr>
              <w:t xml:space="preserve">‘critical technologies’</w:t>
            </w:r>
            <w:r>
              <w:rPr>
                <w:sz w:val="20"/>
                <w:szCs w:val="20"/>
              </w:rPr>
              <w:t xml:space="preserve"> </w:t>
            </w:r>
            <w:r>
              <w:rPr>
                <w:sz w:val="20"/>
                <w:szCs w:val="20"/>
              </w:rPr>
              <w:t xml:space="preserve">narrative and program lineage in the NASA Technology Taxonomy</w:t>
            </w:r>
          </w:p>
        </w:tc>
      </w:tr>
      <w:tr>
        <w:tc>
          <w:tcPr>
            <w:tcW w:w="0" w:type="auto"/>
          </w:tcPr>
          <w:p>
            <w:pPr>
              <w:spacing w:line="240" w:lineRule="auto" w:before="0" w:after="0"/>
              <w:pStyle w:val="Compact"/>
            </w:pPr>
            <w:r>
              <w:rPr>
                <w:sz w:val="20"/>
                <w:szCs w:val="20"/>
              </w:rPr>
              <w:t xml:space="preserve">years_since_kdp_c</w:t>
            </w:r>
          </w:p>
        </w:tc>
        <w:tc>
          <w:tcPr>
            <w:tcW w:w="0" w:type="auto"/>
          </w:tcPr>
          <w:p>
            <w:pPr>
              <w:spacing w:line="240" w:lineRule="auto" w:before="0" w:after="0"/>
              <w:pStyle w:val="Compact"/>
            </w:pPr>
            <w:r>
              <w:rPr>
                <w:sz w:val="20"/>
                <w:szCs w:val="20"/>
              </w:rPr>
              <w:t xml:space="preserve">Years elapsed between mission confirmation and the cost snapshot used for growth calculation</w:t>
            </w:r>
          </w:p>
        </w:tc>
        <w:tc>
          <w:tcPr>
            <w:tcW w:w="0" w:type="auto"/>
          </w:tcPr>
          <w:p>
            <w:pPr>
              <w:spacing w:line="240" w:lineRule="auto" w:before="0" w:after="0"/>
              <w:pStyle w:val="Compact"/>
            </w:pPr>
            <w:r>
              <w:rPr>
                <w:sz w:val="20"/>
                <w:szCs w:val="20"/>
              </w:rPr>
              <w:t xml:space="preserve">GAO assessment date minus KDP-C date</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KDP-C baseline life-cycle cost in millions of nominal dollars (context only, not in regression)</w:t>
            </w:r>
          </w:p>
        </w:tc>
        <w:tc>
          <w:tcPr>
            <w:tcW w:w="0" w:type="auto"/>
          </w:tcPr>
          <w:p>
            <w:pPr>
              <w:spacing w:line="240" w:lineRule="auto" w:before="0" w:after="0"/>
              <w:pStyle w:val="Compact"/>
            </w:pPr>
            <w:r>
              <w:rPr>
                <w:sz w:val="20"/>
                <w:szCs w:val="20"/>
              </w:rPr>
              <w:t xml:space="preserve">NASA GAO Major Project Assessment baseline column</w:t>
            </w:r>
          </w:p>
        </w:tc>
      </w:tr>
      <w:tr>
        <w:tc>
          <w:tcPr>
            <w:tcW w:w="0" w:type="auto"/>
          </w:tcPr>
          <w:p>
            <w:pPr>
              <w:spacing w:line="240" w:lineRule="auto" w:before="0" w:after="0"/>
              <w:pStyle w:val="Compact"/>
            </w:pPr>
            <w:r>
              <w:rPr>
                <w:sz w:val="20"/>
                <w:szCs w:val="20"/>
              </w:rPr>
              <w:t xml:space="preserve">prime_center</w:t>
            </w:r>
          </w:p>
        </w:tc>
        <w:tc>
          <w:tcPr>
            <w:tcW w:w="0" w:type="auto"/>
          </w:tcPr>
          <w:p>
            <w:pPr>
              <w:spacing w:line="240" w:lineRule="auto" w:before="0" w:after="0"/>
              <w:pStyle w:val="Compact"/>
            </w:pPr>
            <w:r>
              <w:rPr>
                <w:sz w:val="20"/>
                <w:szCs w:val="20"/>
              </w:rPr>
              <w:t xml:space="preserve">NASA center holding project management responsibility</w:t>
            </w:r>
          </w:p>
        </w:tc>
        <w:tc>
          <w:tcPr>
            <w:tcW w:w="0" w:type="auto"/>
          </w:tcPr>
          <w:p>
            <w:pPr>
              <w:spacing w:line="240" w:lineRule="auto" w:before="0" w:after="0"/>
              <w:pStyle w:val="Compact"/>
            </w:pPr>
            <w:r>
              <w:rPr>
                <w:sz w:val="20"/>
                <w:szCs w:val="20"/>
              </w:rPr>
              <w:t xml:space="preserve">GAO assessment cover sheet per project</w:t>
            </w:r>
          </w:p>
        </w:tc>
      </w:tr>
    </w:tbl>
    <w:bookmarkEnd w:id="185"/>
    <w:bookmarkEnd w:id="186"/>
    <w:bookmarkStart w:id="194" w:name="X4279cbaef543a7e8122c000018c219ed5f76e68"/>
    <w:p>
      <w:pPr>
        <w:pStyle w:val="Heading2"/>
        <w:spacing w:line="480" w:lineRule="auto"/>
      </w:pPr>
      <w:r>
        <w:t xml:space="preserve">A.2 Pricing the Information Deficit: Entry Technology Readiness, Design Maturity, and Realized Cost Growth in NASA Major Projects</w:t>
      </w:r>
    </w:p>
    <w:p>
      <w:pPr>
        <w:pStyle w:val="FirstParagraph"/>
        <w:spacing w:line="480" w:lineRule="auto"/>
      </w:pPr>
      <m:oMathPara>
        <m:oMathParaPr>
          <m:jc m:val="center"/>
        </m:oMathParaPr>
        <m:oMath>
          <m:sSub>
            <m:e>
              <m:r>
                <m:rPr>
                  <m:sty m:val="p"/>
                </m:rPr>
                <m:t>C</m:t>
              </m:r>
              <m:r>
                <m:rPr>
                  <m:sty m:val="p"/>
                </m:rPr>
                <m:t>o</m:t>
              </m:r>
              <m:r>
                <m:rPr>
                  <m:sty m:val="p"/>
                </m:rPr>
                <m:t>s</m:t>
              </m:r>
              <m:r>
                <m:rPr>
                  <m:sty m:val="p"/>
                </m:rPr>
                <m:t>t</m:t>
              </m:r>
              <m:r>
                <m:rPr>
                  <m:sty m:val="p"/>
                </m:rPr>
                <m:t>G</m:t>
              </m:r>
              <m:r>
                <m:rPr>
                  <m:sty m:val="p"/>
                </m:rPr>
                <m:t>r</m:t>
              </m:r>
              <m:r>
                <m:rPr>
                  <m:sty m:val="p"/>
                </m:rPr>
                <m:t>o</m:t>
              </m:r>
              <m:r>
                <m:rPr>
                  <m:sty m:val="p"/>
                </m:rPr>
                <m:t>w</m:t>
              </m:r>
              <m:r>
                <m:rPr>
                  <m:sty m:val="p"/>
                </m:rPr>
                <m:t>t</m:t>
              </m:r>
              <m:r>
                <m:rPr>
                  <m:sty m:val="p"/>
                </m:rPr>
                <m:t>h</m:t>
              </m:r>
            </m:e>
            <m:sub>
              <m:r>
                <m:t>i</m:t>
              </m:r>
            </m:sub>
          </m:sSub>
          <m:r>
            <m:rPr>
              <m:sty m:val="p"/>
            </m:rPr>
            <m:t>=</m:t>
          </m:r>
          <m:sSub>
            <m:e>
              <m:r>
                <m:t>β</m:t>
              </m:r>
            </m:e>
            <m:sub>
              <m:r>
                <m:t>0</m:t>
              </m:r>
            </m:sub>
          </m:sSub>
          <m:r>
            <m:rPr>
              <m:sty m:val="p"/>
            </m:rPr>
            <m:t>+</m:t>
          </m:r>
          <m:sSub>
            <m:e>
              <m:r>
                <m:t>β</m:t>
              </m:r>
            </m:e>
            <m:sub>
              <m:r>
                <m:t>1</m:t>
              </m:r>
            </m:sub>
          </m:sSub>
          <m:r>
            <m:t> </m:t>
          </m:r>
          <m:sSub>
            <m:e>
              <m:r>
                <m:rPr>
                  <m:sty m:val="p"/>
                </m:rPr>
                <m:t>E</m:t>
              </m:r>
              <m:r>
                <m:rPr>
                  <m:sty m:val="p"/>
                </m:rPr>
                <m:t>n</m:t>
              </m:r>
              <m:r>
                <m:rPr>
                  <m:sty m:val="p"/>
                </m:rPr>
                <m:t>t</m:t>
              </m:r>
              <m:r>
                <m:rPr>
                  <m:sty m:val="p"/>
                </m:rPr>
                <m:t>r</m:t>
              </m:r>
              <m:r>
                <m:rPr>
                  <m:sty m:val="p"/>
                </m:rPr>
                <m:t>y</m:t>
              </m:r>
              <m:r>
                <m:rPr>
                  <m:sty m:val="p"/>
                </m:rPr>
                <m:t>T</m:t>
              </m:r>
              <m:r>
                <m:rPr>
                  <m:sty m:val="p"/>
                </m:rPr>
                <m:t>R</m:t>
              </m:r>
              <m:r>
                <m:rPr>
                  <m:sty m:val="p"/>
                </m:rPr>
                <m:t>L</m:t>
              </m:r>
            </m:e>
            <m:sub>
              <m:r>
                <m:t>i</m:t>
              </m:r>
            </m:sub>
          </m:sSub>
          <m:r>
            <m:rPr>
              <m:sty m:val="p"/>
            </m:rPr>
            <m:t>+</m:t>
          </m:r>
          <m:sSub>
            <m:e>
              <m:r>
                <m:t>β</m:t>
              </m:r>
            </m:e>
            <m:sub>
              <m:r>
                <m:t>2</m:t>
              </m:r>
            </m:sub>
          </m:sSub>
          <m:r>
            <m:t> </m:t>
          </m:r>
          <m:sSub>
            <m:e>
              <m:r>
                <m:rPr>
                  <m:sty m:val="p"/>
                </m:rPr>
                <m:t>D</m:t>
              </m:r>
              <m:r>
                <m:rPr>
                  <m:sty m:val="p"/>
                </m:rPr>
                <m:t>e</m:t>
              </m:r>
              <m:r>
                <m:rPr>
                  <m:sty m:val="p"/>
                </m:rPr>
                <m:t>s</m:t>
              </m:r>
              <m:r>
                <m:rPr>
                  <m:sty m:val="p"/>
                </m:rPr>
                <m:t>i</m:t>
              </m:r>
              <m:r>
                <m:rPr>
                  <m:sty m:val="p"/>
                </m:rPr>
                <m:t>g</m:t>
              </m:r>
              <m:r>
                <m:rPr>
                  <m:sty m:val="p"/>
                </m:rPr>
                <m:t>n</m:t>
              </m:r>
              <m:r>
                <m:rPr>
                  <m:sty m:val="p"/>
                </m:rPr>
                <m:t>P</m:t>
              </m:r>
              <m:r>
                <m:rPr>
                  <m:sty m:val="p"/>
                </m:rPr>
                <m:t>c</m:t>
              </m:r>
              <m:r>
                <m:rPr>
                  <m:sty m:val="p"/>
                </m:rPr>
                <m:t>t</m:t>
              </m:r>
            </m:e>
            <m:sub>
              <m:r>
                <m:t>i</m:t>
              </m:r>
            </m:sub>
          </m:sSub>
          <m:r>
            <m:rPr>
              <m:sty m:val="p"/>
            </m:rPr>
            <m:t>+</m:t>
          </m:r>
          <m:sSub>
            <m:e>
              <m:r>
                <m:t>β</m:t>
              </m:r>
            </m:e>
            <m:sub>
              <m:r>
                <m:t>3</m:t>
              </m:r>
            </m:sub>
          </m:sSub>
          <m:r>
            <m:t> </m:t>
          </m:r>
          <m:sSub>
            <m:e>
              <m:r>
                <m:rPr>
                  <m:sty m:val="p"/>
                </m:rPr>
                <m:t>L</m:t>
              </m:r>
              <m:r>
                <m:rPr>
                  <m:sty m:val="p"/>
                </m:rPr>
                <m:t>i</m:t>
              </m:r>
              <m:r>
                <m:rPr>
                  <m:sty m:val="p"/>
                </m:rPr>
                <m:t>f</m:t>
              </m:r>
              <m:r>
                <m:rPr>
                  <m:sty m:val="p"/>
                </m:rPr>
                <m:t>e</m:t>
              </m:r>
              <m:r>
                <m:rPr>
                  <m:sty m:val="p"/>
                </m:rPr>
                <m:t>c</m:t>
              </m:r>
              <m:r>
                <m:rPr>
                  <m:sty m:val="p"/>
                </m:rPr>
                <m:t>y</m:t>
              </m:r>
              <m:r>
                <m:rPr>
                  <m:sty m:val="p"/>
                </m:rPr>
                <m:t>c</m:t>
              </m:r>
              <m:r>
                <m:rPr>
                  <m:sty m:val="p"/>
                </m:rPr>
                <m:t>l</m:t>
              </m:r>
              <m:r>
                <m:rPr>
                  <m:sty m:val="p"/>
                </m:rPr>
                <m:t>e</m:t>
              </m:r>
              <m:r>
                <m:rPr>
                  <m:sty m:val="p"/>
                </m:rPr>
                <m:t>C</m:t>
              </m:r>
              <m:r>
                <m:rPr>
                  <m:sty m:val="p"/>
                </m:rPr>
                <m:t>o</m:t>
              </m:r>
              <m:r>
                <m:rPr>
                  <m:sty m:val="p"/>
                </m:rPr>
                <m:t>s</m:t>
              </m:r>
              <m:r>
                <m:rPr>
                  <m:sty m:val="p"/>
                </m:rPr>
                <m:t>t</m:t>
              </m:r>
            </m:e>
            <m:sub>
              <m:r>
                <m:t>i</m:t>
              </m:r>
            </m:sub>
          </m:sSub>
          <m:r>
            <m:rPr>
              <m:sty m:val="p"/>
            </m:rPr>
            <m:t>+</m:t>
          </m:r>
          <m:sSub>
            <m:e>
              <m:r>
                <m:t>β</m:t>
              </m:r>
            </m:e>
            <m:sub>
              <m:r>
                <m:t>4</m:t>
              </m:r>
            </m:sub>
          </m:sSub>
          <m:r>
            <m:t> </m:t>
          </m:r>
          <m:sSub>
            <m:e>
              <m:r>
                <m:rPr>
                  <m:sty m:val="p"/>
                </m:rPr>
                <m:t>C</m:t>
              </m:r>
              <m:r>
                <m:rPr>
                  <m:sty m:val="p"/>
                </m:rPr>
                <m:t>r</m:t>
              </m:r>
              <m:r>
                <m:rPr>
                  <m:sty m:val="p"/>
                </m:rPr>
                <m:t>i</m:t>
              </m:r>
              <m:r>
                <m:rPr>
                  <m:sty m:val="p"/>
                </m:rPr>
                <m:t>t</m:t>
              </m:r>
              <m:r>
                <m:rPr>
                  <m:sty m:val="p"/>
                </m:rPr>
                <m:t>i</m:t>
              </m:r>
              <m:r>
                <m:rPr>
                  <m:sty m:val="p"/>
                </m:rPr>
                <m:t>c</m:t>
              </m:r>
              <m:r>
                <m:rPr>
                  <m:sty m:val="p"/>
                </m:rPr>
                <m:t>a</m:t>
              </m:r>
              <m:r>
                <m:rPr>
                  <m:sty m:val="p"/>
                </m:rPr>
                <m:t>l</m:t>
              </m:r>
              <m:r>
                <m:rPr>
                  <m:sty m:val="p"/>
                </m:rPr>
                <m:t>T</m:t>
              </m:r>
              <m:r>
                <m:rPr>
                  <m:sty m:val="p"/>
                </m:rPr>
                <m:t>e</m:t>
              </m:r>
              <m:r>
                <m:rPr>
                  <m:sty m:val="p"/>
                </m:rPr>
                <m:t>c</m:t>
              </m:r>
              <m:r>
                <m:rPr>
                  <m:sty m:val="p"/>
                </m:rPr>
                <m:t>h</m:t>
              </m:r>
              <m:r>
                <m:rPr>
                  <m:sty m:val="p"/>
                </m:rPr>
                <m:t>B</m:t>
              </m:r>
              <m:r>
                <m:rPr>
                  <m:sty m:val="p"/>
                </m:rPr>
                <m:t>e</m:t>
              </m:r>
              <m:r>
                <m:rPr>
                  <m:sty m:val="p"/>
                </m:rPr>
                <m:t>l</m:t>
              </m:r>
              <m:r>
                <m:rPr>
                  <m:sty m:val="p"/>
                </m:rPr>
                <m:t>o</m:t>
              </m:r>
              <m:r>
                <m:rPr>
                  <m:sty m:val="p"/>
                </m:rPr>
                <m:t>w</m:t>
              </m:r>
              <m:r>
                <m:rPr>
                  <m:sty m:val="p"/>
                </m:rPr>
                <m:t>T</m:t>
              </m:r>
              <m:r>
                <m:rPr>
                  <m:sty m:val="p"/>
                </m:rPr>
                <m:t>R</m:t>
              </m:r>
              <m:r>
                <m:rPr>
                  <m:sty m:val="p"/>
                </m:rPr>
                <m:t>L</m:t>
              </m:r>
              <m:r>
                <m:rPr>
                  <m:sty m:val="p"/>
                </m:rPr>
                <m:t>6</m:t>
              </m:r>
            </m:e>
            <m:sub>
              <m:r>
                <m:t>i</m:t>
              </m:r>
            </m:sub>
          </m:sSub>
          <m:r>
            <m:rPr>
              <m:sty m:val="p"/>
            </m:rPr>
            <m:t>+</m:t>
          </m:r>
          <m:sSub>
            <m:e>
              <m:r>
                <m:t>ε</m:t>
              </m:r>
            </m:e>
            <m:sub>
              <m:r>
                <m:t>i</m:t>
              </m:r>
            </m:sub>
          </m:sSub>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86.0845</w:t>
            </w:r>
          </w:p>
        </w:tc>
        <w:tc>
          <w:tcPr>
            <w:tcW w:w="0" w:type="auto"/>
          </w:tcPr>
          <w:p>
            <w:pPr>
              <w:spacing w:line="240" w:lineRule="auto" w:before="0" w:after="0"/>
              <w:pStyle w:val="Compact"/>
            </w:pPr>
            <w:r>
              <w:rPr>
                <w:sz w:val="20"/>
                <w:szCs w:val="20"/>
              </w:rPr>
              <w:t xml:space="preserve">47.5049</w:t>
            </w:r>
          </w:p>
        </w:tc>
        <w:tc>
          <w:tcPr>
            <w:tcW w:w="0" w:type="auto"/>
          </w:tcPr>
          <w:p>
            <w:pPr>
              <w:spacing w:line="240" w:lineRule="auto" w:before="0" w:after="0"/>
              <w:pStyle w:val="Compact"/>
            </w:pPr>
            <w:r>
              <w:rPr>
                <w:sz w:val="20"/>
                <w:szCs w:val="20"/>
              </w:rPr>
              <w:t xml:space="preserve">1.8121</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[-7.0234, 179.1925]</w:t>
            </w:r>
          </w:p>
        </w:tc>
      </w:tr>
      <w:tr>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-8.8798</w:t>
            </w:r>
          </w:p>
        </w:tc>
        <w:tc>
          <w:tcPr>
            <w:tcW w:w="0" w:type="auto"/>
          </w:tcPr>
          <w:p>
            <w:pPr>
              <w:spacing w:line="240" w:lineRule="auto" w:before="0" w:after="0"/>
              <w:pStyle w:val="Compact"/>
            </w:pPr>
            <w:r>
              <w:rPr>
                <w:sz w:val="20"/>
                <w:szCs w:val="20"/>
              </w:rPr>
              <w:t xml:space="preserve">4.3986</w:t>
            </w:r>
          </w:p>
        </w:tc>
        <w:tc>
          <w:tcPr>
            <w:tcW w:w="0" w:type="auto"/>
          </w:tcPr>
          <w:p>
            <w:pPr>
              <w:spacing w:line="240" w:lineRule="auto" w:before="0" w:after="0"/>
              <w:pStyle w:val="Compact"/>
            </w:pPr>
            <w:r>
              <w:rPr>
                <w:sz w:val="20"/>
                <w:szCs w:val="20"/>
              </w:rPr>
              <w:t xml:space="preserve">-2.0188</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[-17.5008, -0.2588]</w:t>
            </w:r>
          </w:p>
        </w:tc>
      </w:tr>
      <w:tr>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0.6717</w:t>
            </w:r>
          </w:p>
        </w:tc>
        <w:tc>
          <w:tcPr>
            <w:tcW w:w="0" w:type="auto"/>
          </w:tcPr>
          <w:p>
            <w:pPr>
              <w:spacing w:line="240" w:lineRule="auto" w:before="0" w:after="0"/>
              <w:pStyle w:val="Compact"/>
            </w:pPr>
            <w:r>
              <w:rPr>
                <w:sz w:val="20"/>
                <w:szCs w:val="20"/>
              </w:rPr>
              <w:t xml:space="preserve">-0.4446</w:t>
            </w:r>
          </w:p>
        </w:tc>
        <w:tc>
          <w:tcPr>
            <w:tcW w:w="0" w:type="auto"/>
          </w:tcPr>
          <w:p>
            <w:pPr>
              <w:spacing w:line="240" w:lineRule="auto" w:before="0" w:after="0"/>
              <w:pStyle w:val="Compact"/>
            </w:pPr>
            <w:r>
              <w:rPr>
                <w:sz w:val="20"/>
                <w:szCs w:val="20"/>
              </w:rPr>
              <w:t xml:space="preserve">0.6566</w:t>
            </w:r>
          </w:p>
        </w:tc>
        <w:tc>
          <w:tcPr>
            <w:tcW w:w="0" w:type="auto"/>
          </w:tcPr>
          <w:p>
            <w:pPr>
              <w:spacing w:line="240" w:lineRule="auto" w:before="0" w:after="0"/>
              <w:pStyle w:val="Compact"/>
            </w:pPr>
            <w:r>
              <w:rPr>
                <w:sz w:val="20"/>
                <w:szCs w:val="20"/>
              </w:rPr>
              <w:t xml:space="preserve">[-1.6151, 1.0179]</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2.0689</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[0.0001395, 0.0052]</w:t>
            </w:r>
          </w:p>
        </w:tc>
      </w:tr>
      <w:tr>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0.5996</w:t>
            </w:r>
          </w:p>
        </w:tc>
        <w:tc>
          <w:tcPr>
            <w:tcW w:w="0" w:type="auto"/>
          </w:tcPr>
          <w:p>
            <w:pPr>
              <w:spacing w:line="240" w:lineRule="auto" w:before="0" w:after="0"/>
              <w:pStyle w:val="Compact"/>
            </w:pPr>
            <w:r>
              <w:rPr>
                <w:sz w:val="20"/>
                <w:szCs w:val="20"/>
              </w:rPr>
              <w:t xml:space="preserve">7.6404</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0.9374</w:t>
            </w:r>
          </w:p>
        </w:tc>
        <w:tc>
          <w:tcPr>
            <w:tcW w:w="0" w:type="auto"/>
          </w:tcPr>
          <w:p>
            <w:pPr>
              <w:spacing w:line="240" w:lineRule="auto" w:before="0" w:after="0"/>
              <w:pStyle w:val="Compact"/>
            </w:pPr>
            <w:r>
              <w:rPr>
                <w:sz w:val="20"/>
                <w:szCs w:val="20"/>
              </w:rPr>
              <w:t xml:space="preserve">[-14.3753, 15.5746]</w:t>
            </w:r>
          </w:p>
        </w:tc>
      </w:tr>
    </w:tbl>
    <w:p>
      <w:pPr>
        <w:pStyle w:val="BodyText"/>
        <w:spacing w:line="480" w:lineRule="auto"/>
        <w:ind w:firstLine="720"/>
      </w:pPr>
      <w:r>
        <w:t xml:space="preserve">Fit: N = 35 R2 = 0.6369 R2_adj = 0.5885 F = 12.4757 F_p = 4.306e-06</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Realized cost growth versus entry TRL across NASA major projects (GAO 2020 to 2025 assessments)." title="" id="189" name="Picture"/>
            <a:graphic>
              <a:graphicData uri="http://schemas.openxmlformats.org/drawingml/2006/picture">
                <pic:pic>
                  <pic:nvPicPr>
                    <pic:cNvPr descr="D:/Claude_Code/brain/collegium/candidates/dissertations/JPL_MGMT_SMA_TECH_07/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Realized cost growth versus entry TRL across NASA major projects (GAO 2020 to 2025 assessments).</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year_assessed</w:t>
            </w:r>
          </w:p>
        </w:tc>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710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1160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Gateway PPE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Commercial Crew (Boeing)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Commercial Crew (SpaceX)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CLPS-VIPER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MSR SRL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MSR ERO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Artemis HLS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xEMU spacesuit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Geospace Dynamics Constellation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Plankton Aerosol Cloud Ocean Ecosystem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GAO-24-106767 NASA Assessments of Major Projects</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in development cost from KDP-C baseline to most recent assessment</w:t>
            </w:r>
          </w:p>
        </w:tc>
        <w:tc>
          <w:tcPr>
            <w:tcW w:w="0" w:type="auto"/>
          </w:tcPr>
          <w:p>
            <w:pPr>
              <w:spacing w:line="240" w:lineRule="auto" w:before="0" w:after="0"/>
              <w:pStyle w:val="Compact"/>
            </w:pPr>
            <w:r>
              <w:rPr>
                <w:sz w:val="20"/>
                <w:szCs w:val="20"/>
              </w:rPr>
              <w:t xml:space="preserve">NASA GAO Major Project Assessment annual report tables (GAO-20-405 through GAO-25-107591)</w:t>
            </w:r>
          </w:p>
        </w:tc>
      </w:tr>
      <w:tr>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Technology readiness level of the lowest-TRL critical technology at preliminary design review (PDR)</w:t>
            </w:r>
          </w:p>
        </w:tc>
        <w:tc>
          <w:tcPr>
            <w:tcW w:w="0" w:type="auto"/>
          </w:tcPr>
          <w:p>
            <w:pPr>
              <w:spacing w:line="240" w:lineRule="auto" w:before="0" w:after="0"/>
              <w:pStyle w:val="Compact"/>
            </w:pPr>
            <w:r>
              <w:rPr>
                <w:sz w:val="20"/>
                <w:szCs w:val="20"/>
              </w:rPr>
              <w:t xml:space="preserve">Critical technology TRL tables in NASA GAO Major Project Assessments</w:t>
            </w:r>
          </w:p>
        </w:tc>
      </w:tr>
      <w:tr>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Percent of engineering design drawings released at PDR (design maturity proxy)</w:t>
            </w:r>
          </w:p>
        </w:tc>
        <w:tc>
          <w:tcPr>
            <w:tcW w:w="0" w:type="auto"/>
          </w:tcPr>
          <w:p>
            <w:pPr>
              <w:spacing w:line="240" w:lineRule="auto" w:before="0" w:after="0"/>
              <w:pStyle w:val="Compact"/>
            </w:pPr>
            <w:r>
              <w:rPr>
                <w:sz w:val="20"/>
                <w:szCs w:val="20"/>
              </w:rPr>
              <w:t xml:space="preserve">Design maturity disclosures in NASA GAO Major Project Assessments</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Most recent life-cycle cost estimate in millions of US dollars</w:t>
            </w:r>
          </w:p>
        </w:tc>
        <w:tc>
          <w:tcPr>
            <w:tcW w:w="0" w:type="auto"/>
          </w:tcPr>
          <w:p>
            <w:pPr>
              <w:spacing w:line="240" w:lineRule="auto" w:before="0" w:after="0"/>
              <w:pStyle w:val="Compact"/>
            </w:pPr>
            <w:r>
              <w:rPr>
                <w:sz w:val="20"/>
                <w:szCs w:val="20"/>
              </w:rPr>
              <w:t xml:space="preserve">NASA GAO Major Project Assessment life-cycle cost columns</w:t>
            </w:r>
          </w:p>
        </w:tc>
      </w:tr>
      <w:tr>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Binary indicator equal to 1 if at least one critical technology was below TRL 6 at PDR</w:t>
            </w:r>
          </w:p>
        </w:tc>
        <w:tc>
          <w:tcPr>
            <w:tcW w:w="0" w:type="auto"/>
          </w:tcPr>
          <w:p>
            <w:pPr>
              <w:spacing w:line="240" w:lineRule="auto" w:before="0" w:after="0"/>
              <w:pStyle w:val="Compact"/>
            </w:pPr>
            <w:r>
              <w:rPr>
                <w:sz w:val="20"/>
                <w:szCs w:val="20"/>
              </w:rPr>
              <w:t xml:space="preserve">Derived from critical technology disclosures in NASA GAO Major Project Assessments</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68" Type="http://schemas.openxmlformats.org/officeDocument/2006/relationships/hyperlink" Target="https://doi.org/10.1016/j.actaastro.2017.01.018" TargetMode="External"/><Relationship Id="rId175" Type="http://schemas.openxmlformats.org/officeDocument/2006/relationships/hyperlink" Target="https://doi.org/10.1016/j.actaastro.2020.05.013" TargetMode="External"/><Relationship Id="rId164" Type="http://schemas.openxmlformats.org/officeDocument/2006/relationships/hyperlink" Target="https://doi.org/10.1016/j.actaastro.2020.09.019" TargetMode="External"/><Relationship Id="rId173" Type="http://schemas.openxmlformats.org/officeDocument/2006/relationships/hyperlink" Target="https://doi.org/10.1016/j.actaastro.2022.05.022" TargetMode="External"/><Relationship Id="rId162" Type="http://schemas.openxmlformats.org/officeDocument/2006/relationships/hyperlink" Target="https://doi.org/10.1016/j.actaastro.2024.11.060" TargetMode="External"/><Relationship Id="rId166" Type="http://schemas.openxmlformats.org/officeDocument/2006/relationships/hyperlink" Target="https://doi.org/10.1016/j.actaastro.2024.12.060" TargetMode="External"/><Relationship Id="rId136" Type="http://schemas.openxmlformats.org/officeDocument/2006/relationships/hyperlink" Target="https://doi.org/10.1016/j.actaastro.2025.07.014" TargetMode="External"/><Relationship Id="rId170" Type="http://schemas.openxmlformats.org/officeDocument/2006/relationships/hyperlink" Target="https://doi.org/10.1016/j.actaastro.2025.10.010" TargetMode="External"/><Relationship Id="rId140" Type="http://schemas.openxmlformats.org/officeDocument/2006/relationships/hyperlink" Target="https://doi.org/10.1016/j.actaastro.2026.04.012" TargetMode="External"/><Relationship Id="rId159" Type="http://schemas.openxmlformats.org/officeDocument/2006/relationships/hyperlink" Target="https://doi.org/10.64861/GBKE2290" TargetMode="External"/><Relationship Id="rId138" Type="http://schemas.openxmlformats.org/officeDocument/2006/relationships/hyperlink" Target="https://doi.org/10.64861/PEUU1014" TargetMode="External"/><Relationship Id="rId157" Type="http://schemas.openxmlformats.org/officeDocument/2006/relationships/hyperlink" Target="https://doi.org/10.64861/SUOW9680" TargetMode="External"/><Relationship Id="rId147" Type="http://schemas.openxmlformats.org/officeDocument/2006/relationships/hyperlink" Target="https://www.gao.gov/products/gao-12-207sp" TargetMode="External"/><Relationship Id="rId145" Type="http://schemas.openxmlformats.org/officeDocument/2006/relationships/hyperlink" Target="https://www.gao.gov/products/gao-25-107591" TargetMode="External"/><Relationship Id="rId149" Type="http://schemas.openxmlformats.org/officeDocument/2006/relationships/hyperlink" Target="https://www.nasa.gov/wp-content/uploads/2020/03/2020_nasa_technology_taxonomy.pdf" TargetMode="External"/></Relationships>
</file>

<file path=word/_rels/footnotes.xml.rels><?xml version='1.0' encoding='UTF-8' standalone='yes'?>
<Relationships xmlns="http://schemas.openxmlformats.org/package/2006/relationships"><Relationship Id="rId168" Type="http://schemas.openxmlformats.org/officeDocument/2006/relationships/hyperlink" Target="https://doi.org/10.1016/j.actaastro.2017.01.018" TargetMode="External"/><Relationship Id="rId175" Type="http://schemas.openxmlformats.org/officeDocument/2006/relationships/hyperlink" Target="https://doi.org/10.1016/j.actaastro.2020.05.013" TargetMode="External"/><Relationship Id="rId164" Type="http://schemas.openxmlformats.org/officeDocument/2006/relationships/hyperlink" Target="https://doi.org/10.1016/j.actaastro.2020.09.019" TargetMode="External"/><Relationship Id="rId173" Type="http://schemas.openxmlformats.org/officeDocument/2006/relationships/hyperlink" Target="https://doi.org/10.1016/j.actaastro.2022.05.022" TargetMode="External"/><Relationship Id="rId162" Type="http://schemas.openxmlformats.org/officeDocument/2006/relationships/hyperlink" Target="https://doi.org/10.1016/j.actaastro.2024.11.060" TargetMode="External"/><Relationship Id="rId166" Type="http://schemas.openxmlformats.org/officeDocument/2006/relationships/hyperlink" Target="https://doi.org/10.1016/j.actaastro.2024.12.060" TargetMode="External"/><Relationship Id="rId136" Type="http://schemas.openxmlformats.org/officeDocument/2006/relationships/hyperlink" Target="https://doi.org/10.1016/j.actaastro.2025.07.014" TargetMode="External"/><Relationship Id="rId170" Type="http://schemas.openxmlformats.org/officeDocument/2006/relationships/hyperlink" Target="https://doi.org/10.1016/j.actaastro.2025.10.010" TargetMode="External"/><Relationship Id="rId140" Type="http://schemas.openxmlformats.org/officeDocument/2006/relationships/hyperlink" Target="https://doi.org/10.1016/j.actaastro.2026.04.012" TargetMode="External"/><Relationship Id="rId159" Type="http://schemas.openxmlformats.org/officeDocument/2006/relationships/hyperlink" Target="https://doi.org/10.64861/GBKE2290" TargetMode="External"/><Relationship Id="rId138" Type="http://schemas.openxmlformats.org/officeDocument/2006/relationships/hyperlink" Target="https://doi.org/10.64861/PEUU1014" TargetMode="External"/><Relationship Id="rId157" Type="http://schemas.openxmlformats.org/officeDocument/2006/relationships/hyperlink" Target="https://doi.org/10.64861/SUOW9680" TargetMode="External"/><Relationship Id="rId147" Type="http://schemas.openxmlformats.org/officeDocument/2006/relationships/hyperlink" Target="https://www.gao.gov/products/gao-12-207sp" TargetMode="External"/><Relationship Id="rId145" Type="http://schemas.openxmlformats.org/officeDocument/2006/relationships/hyperlink" Target="https://www.gao.gov/products/gao-25-107591" TargetMode="External"/><Relationship Id="rId149" Type="http://schemas.openxmlformats.org/officeDocument/2006/relationships/hyperlink" Target="https://www.nasa.gov/wp-content/uploads/2020/03/2020_nasa_technology_taxonom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Allocation Under Uncertainty: A Value-of-Information Model for Sequencing Space Technology Investments</dc:title>
  <dc:creator>Bruno Reyes (1B-RIM-084)</dc:creator>
  <cp:keywords/>
  <dcterms:created xsi:type="dcterms:W3CDTF">2026-07-02T16:31:29Z</dcterms:created>
  <dcterms:modified xsi:type="dcterms:W3CDTF">2026-07-02T16:31:29Z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