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1" w:name="Xd8545a6c098361def942076ffe1c80f0a8113a1"/>
    <w:p>
      <w:pPr>
        <w:pStyle w:val="Heading1"/>
      </w:pPr>
      <w:r>
        <w:t xml:space="preserve">Decadal Concordance and the Pace of Mission Realization: A Cox Hazard Model of NASA Authorization-to-Launch Intervals</w:t>
      </w:r>
    </w:p>
    <w:bookmarkStart w:id="61" w:name="introduction"/>
    <w:p>
      <w:pPr>
        <w:pStyle w:val="Heading2"/>
      </w:pPr>
      <w:r>
        <w:t xml:space="preserve">1. Introduction</w:t>
      </w:r>
    </w:p>
    <w:p>
      <w:pPr>
        <w:pStyle w:val="FirstParagraph"/>
      </w:pPr>
      <w:r>
        <w:t xml:space="preserve">A mission that the science community ranks as a priority is not, by that fact alone, a mission that reaches the launch pad quickly. The interval between the moment a project is authorized as a new start and the moment it leaves the ground is one of the most consequential and least examined quantities in civil space program management. It governs when science returns, how long a workforce is held on a single project, and how exposed a program is to budget cycles and political turnover. This paper asks a focused question: does a mission whose theme is concordant with decadal-survey priorities move from authorization to launch at a different pace than a mission selected through an open, principal-investigator-led competition that is not tied to decadal themes?</w:t>
      </w:r>
    </w:p>
    <w:p>
      <w:pPr>
        <w:pStyle w:val="BodyText"/>
      </w:pPr>
      <w:r>
        <w:t xml:space="preserve">The question matters because the two dominant selection logics in NASA planetary science embody different theories of how to allocate scarce development capacity. The decadal survey process evaluates the field, identifies the most important scientific questions, and prioritizes missions on scientific merit, technical feasibility, and anticipated cost</w:t>
      </w:r>
      <w:r>
        <w:t xml:space="preserve"> </w:t>
      </w:r>
      <w:hyperlink w:anchor="ref-1">
        <m:oMathPara>
          <m:oMathParaPr>
            <m:jc m:val="center"/>
          </m:oMathParaPr>
          <m:oMath>
            <m:r>
              <m:t>1</m:t>
            </m:r>
          </m:oMath>
        </m:oMathPara>
      </w:hyperlink>
      <w:r>
        <w:t xml:space="preserve">. The New Frontiers line draws its candidate themes directly from that prioritized list, and flagship missions are recommended by name</w:t>
      </w:r>
      <w:r>
        <w:t xml:space="preserve"> </w:t>
      </w:r>
      <w:hyperlink w:anchor="ref-2">
        <m:oMathPara>
          <m:oMathParaPr>
            <m:jc m:val="center"/>
          </m:oMathParaPr>
          <m:oMath>
            <m:r>
              <m:t>2</m:t>
            </m:r>
          </m:oMath>
        </m:oMathPara>
      </w:hyperlink>
      <w:r>
        <w:t xml:space="preserve">. The Discovery line, by contrast, is an open competition in which the agency selects from principal-investigator proposals across a wide thematic space. If decadal concordance carries an organizational advantage, the channeling of effort toward pre-endorsed themes, then concordant missions should reach launch faster, all else equal. If concordance instead correlates with larger scope and tighter coupling to flagship complexity, the advantage may vanish or reverse.</w:t>
      </w:r>
    </w:p>
    <w:p>
      <w:pPr>
        <w:pStyle w:val="FirstParagraph"/>
      </w:pPr>
      <w:r>
        <w:t xml:space="preserve">I treat the authorization-to-launch interval as a survival time and estimate a Cox proportional-hazards model on a hand-compiled panel of twenty-one NASA planetary and astrophysics missions spanning 1990 to 2024. The hazard framing is appropriate because the outcome is a time-to-event with a censored observation (a mission selected but not yet launched), and because it lets decadal concordance, cost, and flagship status compete as covariates without imposing a parametric form on the baseline schedule.</w:t>
      </w:r>
    </w:p>
    <w:bookmarkEnd w:id="61"/>
    <w:bookmarkStart w:id="62" w:name="theory-and-hypotheses"/>
    <w:p>
      <w:pPr>
        <w:pStyle w:val="Heading2"/>
      </w:pPr>
      <w:r>
        <w:t xml:space="preserve">2. Theory and Hypotheses</w:t>
      </w:r>
    </w:p>
    <w:p>
      <w:pPr>
        <w:pStyle w:val="FirstParagraph"/>
      </w:pPr>
      <w:r>
        <w:t xml:space="preserve">Two literatures motivate the design. The first concerns how space programs are prioritized and governed. The decadal survey is the consensus instrument through which the planetary and astrophysics communities convert scientific judgment into a ranked program of record, and the New Frontiers and flagship lines are its principal implementation channels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 Governance scholarship on the sector describes a transition from legacy, agency-directed program structures toward more distributed models, and notes that the institutional pathway a mission travels shapes its schedule exposure and its management overhead</w:t>
      </w:r>
      <w:r>
        <w:t xml:space="preserve"> </w:t>
      </w:r>
      <w:hyperlink w:anchor="ref-3">
        <m:oMathPara>
          <m:oMathParaPr>
            <m:jc m:val="center"/>
          </m:oMathParaPr>
          <m:oMath>
            <m:r>
              <m:t>3</m:t>
            </m:r>
          </m:oMath>
        </m:oMathPara>
      </w:hyperlink>
      <w:r>
        <w:t xml:space="preserve">. Public-private and partnership arrangements have further diversified the routes by which a concept becomes a flight project, with implications for how quickly authorization translates into hardware</w:t>
      </w:r>
      <w:r>
        <w:t xml:space="preserve"> </w:t>
      </w:r>
      <w:hyperlink w:anchor="ref-4">
        <m:oMathPara>
          <m:oMathParaPr>
            <m:jc m:val="center"/>
          </m:oMathParaPr>
          <m:oMath>
            <m:r>
              <m:t>4</m:t>
            </m:r>
          </m:oMath>
        </m:oMathPara>
      </w:hyperlink>
      <w:r>
        <w:t xml:space="preserve">.</w:t>
      </w:r>
    </w:p>
    <w:p>
      <w:pPr>
        <w:pStyle w:val="FirstParagraph"/>
      </w:pPr>
      <w:r>
        <w:t xml:space="preserve">The second literature concerns the lifecycle of complex missions and the science-planning machinery that accompanies them. Detailed reconstructions of individual programs, the Rosetta science-planning process and the Dawn mission to Ceres and Vesta among them, show that development duration is driven less by thematic endorsement than by instrument maturity, trajectory constraints, and the coordination load of a large science team</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Concept-generation studies argue that the complexity of a mission concept is itself a structural predictor of how long realization takes</w:t>
      </w:r>
      <w:r>
        <w:t xml:space="preserve"> </w:t>
      </w:r>
      <w:hyperlink w:anchor="ref-7">
        <m:oMathPara>
          <m:oMathParaPr>
            <m:jc m:val="center"/>
          </m:oMathParaPr>
          <m:oMath>
            <m:r>
              <m:t>7</m:t>
            </m:r>
          </m:oMath>
        </m:oMathPara>
      </w:hyperlink>
      <w:r>
        <w:t xml:space="preserve">. Sample-return and outer-planet campaigns, which sit at the high-cost, high-complexity end of the distribution, illustrate how scope inflation lengthens the path to launch independently of where the theme originated</w:t>
      </w:r>
      <w:r>
        <w:t xml:space="preserve"> </w:t>
      </w:r>
      <w:hyperlink w:anchor="ref-8">
        <m:oMathPara>
          <m:oMathParaPr>
            <m:jc m:val="center"/>
          </m:oMathParaPr>
          <m:oMath>
            <m:r>
              <m:t>8</m:t>
            </m:r>
          </m:oMath>
        </m:oMathPara>
      </w:hyperlink>
      <w:r>
        <w:t xml:space="preserve">.</w:t>
      </w:r>
    </w:p>
    <w:p>
      <w:pPr>
        <w:pStyle w:val="FirstParagraph"/>
      </w:pPr>
      <w:r>
        <w:t xml:space="preserve">These strands yield a testable structure. Concordance with decadal priorities may shorten the path to launch by reducing the time spent contesting whether a mission should proceed. But concordance is confounded with scope, because the decadal-endorsed lines (New Frontiers and flagships) are systematically larger and more complex than the open Discovery competition. The model therefore conditions on mission lifecycle cost as a scope proxy and on a flagship indicator for the most directorate-directed projects.</w:t>
      </w:r>
    </w:p>
    <w:p>
      <w:pPr>
        <w:pStyle w:val="Compact"/>
        <w:numPr>
          <w:ilvl w:val="0"/>
          <w:numId w:val="1001"/>
        </w:numPr>
      </w:pPr>
      <w:r>
        <w:rPr>
          <w:b/>
          <w:bCs/>
        </w:rPr>
        <w:t xml:space="preserve">H1.</w:t>
      </w:r>
      <w:r>
        <w:t xml:space="preserve"> </w:t>
      </w:r>
      <w:r>
        <w:t xml:space="preserve">Net of cost and flagship status, the hazard of reaching launch differs for decadally concordant missions; the concordance coefficient is tested against zero, with the directional expectation that concordance raises the hazard (shortens time-to-launch).</w:t>
      </w:r>
    </w:p>
    <w:p>
      <w:pPr>
        <w:pStyle w:val="Compact"/>
        <w:numPr>
          <w:ilvl w:val="0"/>
          <w:numId w:val="1001"/>
        </w:numPr>
      </w:pPr>
      <w:r>
        <w:rPr>
          <w:b/>
          <w:bCs/>
        </w:rPr>
        <w:t xml:space="preserve">H2.</w:t>
      </w:r>
      <w:r>
        <w:t xml:space="preserve"> </w:t>
      </w:r>
      <w:r>
        <w:t xml:space="preserve">Mission lifecycle cost, as a scope proxy, lowers the hazard of reaching launch: costlier missions take longer.</w:t>
      </w:r>
    </w:p>
    <w:bookmarkEnd w:id="62"/>
    <w:bookmarkStart w:id="63" w:name="data"/>
    <w:p>
      <w:pPr>
        <w:pStyle w:val="Heading2"/>
      </w:pPr>
      <w:r>
        <w:t xml:space="preserve">3. Data</w:t>
      </w:r>
    </w:p>
    <w:p>
      <w:pPr>
        <w:pStyle w:val="FirstParagraph"/>
      </w:pPr>
      <w:r>
        <w:t xml:space="preserve">The unit of observation is a NASA planetary or astrophysics mission with a documented new-start authorization year and a documented launch year. The panel contains twenty-one missions: thirteen from the Discovery Program, four from New Frontiers, and four flagships, drawn from program records for the Discovery and New Frontiers lines and from individual mission histories for the flagships. Selection and launch years for the Discovery and New Frontiers missions come from the program rosters; flagship authorization dates come from each mission’s funding history (Cassini first funded in fiscal year 1990, Mars Science Laboratory and Mars 2020 entering implementation in 2006 and 2016, Europa Clipper authorized for formulation in 2013). Lifecycle cost figures come from NASA factsheets, Government Accountability Office reports, and The Planetary Society’s cost reconstructions. Every row in the dataset carries its source in the final column.</w:t>
      </w:r>
    </w:p>
    <w:p>
      <w:pPr>
        <w:pStyle w:val="BodyText"/>
      </w:pPr>
      <w:r>
        <w:t xml:space="preserve">The survival time is the authorization-to-launch interval in years. The event indicator is one for the twenty missions that had launched by observation and zero for Dragonfly, which was selected in 2019 and is not yet flown; that observation is right-censored. Decadal concordance is coded one for New Frontiers and flagship missions, whose themes are drawn from or named in decadal surveys, and zero for the open Discovery competition. Cost enters in billions of dollars, and a flagship indicator captures the largest, directorate-directed class. No values are illustrative; all are sourced.</w:t>
      </w:r>
    </w:p>
    <w:bookmarkEnd w:id="63"/>
    <w:bookmarkStart w:id="64" w:name="method"/>
    <w:p>
      <w:pPr>
        <w:pStyle w:val="Heading2"/>
      </w:pPr>
      <w:r>
        <w:t xml:space="preserve">4. Method</w:t>
      </w:r>
    </w:p>
    <w:p>
      <w:pPr>
        <w:pStyle w:val="FirstParagraph"/>
      </w:pPr>
      <w:r>
        <w:t xml:space="preserve">I estimate a Cox proportional-hazards model in which the hazard of reaching launch at interval length t is the product of an unspecified baseline hazard and an exponential function of three covariates: decadal concordance, lifecycle cost, and flagship status. The Specification section states the model. Coefficients are reported on the log-hazard scale with their standard errors, Wald z statistics, p-values, and ninety-five percent confidence intervals; each is also exponentiated to a hazard ratio. A hazard ratio above one means the covariate is associated with reaching launch sooner; a ratio below one means a longer path to launch. The estimator is statsmodels PHReg with Breslow handling of ties. The model uses twenty-one observations and twenty events, with one censored observation. Because the sample is small, I read the coefficients as descriptive of this population of modern competed and flagship missions rather than as estimates generalizable to a wider universe, and I interpret significance accordingly.</w:t>
      </w:r>
    </w:p>
    <w:bookmarkEnd w:id="64"/>
    <w:bookmarkStart w:id="65" w:name="findings"/>
    <w:p>
      <w:pPr>
        <w:pStyle w:val="Heading2"/>
      </w:pPr>
      <w:r>
        <w:t xml:space="preserve">5. Findings</w:t>
      </w:r>
    </w:p>
    <w:p>
      <w:pPr>
        <w:pStyle w:val="FirstParagraph"/>
      </w:pPr>
      <w:r>
        <w:t xml:space="preserve">The estimated model recovers a clear scope effect and a strong flagship effect, while the decadal-concordance coefficient is positive but imprecise.</w:t>
      </w:r>
    </w:p>
    <w:p>
      <w:pPr>
        <w:pStyle w:val="BodyText"/>
      </w:pPr>
      <w:r>
        <w:t xml:space="preserve">Decadal concordance carries a log-hazard coefficient of 0.7026 with a standard error of 0.7743 (z = 0.91, p = 0.3642), which exponentiates to a hazard ratio of 2.019 with a ninety-five percent confidence interval that spans roughly 0.44 to 9.21 on the ratio scale. The point estimate points in the hypothesized direction: concordant missions are associated with about twice the hazard of reaching launch, that is, a shorter authorization-to-launch interval, holding cost and flagship status fixed. But the standard error is large relative to the coefficient and the interval comfortably includes one, so H1 is not supported at conventional levels. The data are consistent with a real concordance advantage and equally consistent with none. With twenty-one missions and concordance confounded by scope, this is the honest reading.</w:t>
      </w:r>
    </w:p>
    <w:p>
      <w:pPr>
        <w:pStyle w:val="BodyText"/>
      </w:pPr>
      <w:r>
        <w:t xml:space="preserve">Mission lifecycle cost shows the most precisely estimated relationship. Its coefficient is -1.5721 with a standard error of 0.6480 (z = -2.43, p = 0.0153), giving a hazard ratio of 0.2076. Each additional billion dollars of lifecycle cost is associated with roughly a four-fifths reduction in the hazard of reaching launch at any given interval, which is to say that costlier, larger-scope missions take substantially longer to fly. This supports H2 and matches the lifecycle-management literature, which attributes long realization times to instrument maturity and coordination load rather than to thematic standing</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w:t>
      </w:r>
      <w:r>
        <w:t xml:space="preserve"> </w:t>
      </w:r>
      <w:hyperlink w:anchor="ref-7">
        <m:oMathPara>
          <m:oMathParaPr>
            <m:jc m:val="center"/>
          </m:oMathParaPr>
          <m:oMath>
            <m:r>
              <m:t>7</m:t>
            </m:r>
          </m:oMath>
        </m:oMathPara>
      </w:hyperlink>
      <w:r>
        <w:t xml:space="preserve">.</w:t>
      </w:r>
    </w:p>
    <w:p>
      <w:pPr>
        <w:pStyle w:val="FirstParagraph"/>
      </w:pPr>
      <w:r>
        <w:t xml:space="preserve">The flagship indicator is large and statistically distinguishable from zero, with a coefficient of 3.2212, a standard error of 1.4747 (z = 2.18, p = 0.0289), and a hazard ratio of 25.06. Read alongside the cost coefficient, this captures a conditional pattern: once a mission’s dollar scope is held constant, the flagship-class missions in this panel reached launch faster than their cost alone would predict, consistent with the protected funding lines and directorate attention that flagships receive even as their gross cost lengthens the unconditional schedule. The wide confidence interval on this term reflects the small number of flagship observations and counsels caution; the sign and the conditioning structure, not the precise magnitude, are the durable findings.</w:t>
      </w:r>
    </w:p>
    <w:p>
      <w:pPr>
        <w:pStyle w:val="BodyText"/>
      </w:pPr>
      <w:r>
        <w:t xml:space="preserve">The figure plots the raw authorization-to-launch interval against lifecycle cost across all three program lines and shows the positive scope-duration association that the cost coefficient formalizes once concordance and flagship status are partialled out.</w:t>
      </w:r>
    </w:p>
    <w:bookmarkEnd w:id="65"/>
    <w:bookmarkStart w:id="66" w:name="discussion"/>
    <w:p>
      <w:pPr>
        <w:pStyle w:val="Heading2"/>
      </w:pPr>
      <w:r>
        <w:t xml:space="preserve">6. Discussion</w:t>
      </w:r>
    </w:p>
    <w:p>
      <w:pPr>
        <w:pStyle w:val="FirstParagraph"/>
      </w:pPr>
      <w:r>
        <w:t xml:space="preserve">The central result is a refinement of the intuition that decadal priority should accelerate delivery. In this panel, the apparent acceleration associated with concordance is real in sign but not statistically separable from zero once scope is controlled, and the dominant, well-estimated driver of the authorization-to-launch interval is mission cost. The policy reading is that endorsement by the decadal process is not, on this evidence, a substitute for scope discipline. A concordant mission that grows in cost and complexity surrenders whatever schedule advantage its priority status might confer. The flagship result sharpens this: directorate-directed missions appear to recover schedule once their scope is accounted for, which suggests that the institutional protection a mission receives, not merely its thematic pedigree, is what moves the pace of realization. This aligns with governance accounts in which the institutional pathway shapes schedule exposure</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Three limitations bound these claims. First, the sample is small and the flagship and New Frontiers cells are thin, so the imprecise concordance estimate may reflect power rather than the absence of an effect. Second, concordance and scope are entangled by construction, because the decadal-endorsed lines are the larger ones; an instrument or a within-line comparison would isolate concordance more cleanly. Third, the authorization date for flagships is harder to fix than the competitive selection date for Discovery and New Frontiers, and modest coding differences in the new-start year would move the flagship intervals. Future work should widen the panel to Earth-science and heliophysics missions, add a measure of instrument technology-readiness at authorization, and test the proportional-hazards assumption directly. For program managers, the operative finding is unglamorous and robust: control scope, because cost growth, not priority standing, is what lengthens the road to the pad.</w:t>
      </w:r>
    </w:p>
    <w:bookmarkEnd w:id="66"/>
    <w:bookmarkStart w:id="81" w:name="references"/>
    <w:p>
      <w:pPr>
        <w:pStyle w:val="Heading2"/>
      </w:pPr>
      <w:r>
        <w:t xml:space="preserve">References</w:t>
      </w:r>
    </w:p>
    <w:p>
      <w:pPr>
        <w:pStyle w:val="FirstParagraph"/>
      </w:pPr>
      <w:bookmarkStart w:id="67" w:name="ref-1"/>
      <w:bookmarkEnd w:id="67"/>
      <w:r>
        <w:t xml:space="preserve">1. Planetary Science Decadal Survey, National Academies of Sciences, Engineering, and Medicine. Available: https://en.wikipedia.org/wiki/Planetary_Science_Decadal_Survey</w:t>
      </w:r>
    </w:p>
    <w:p>
      <w:pPr>
        <w:pStyle w:val="BodyText"/>
      </w:pPr>
      <w:bookmarkStart w:id="68" w:name="ref-2"/>
      <w:bookmarkEnd w:id="68"/>
      <w:r>
        <w:t xml:space="preserve">2. New Frontiers Program candidate-theme list, Committee on Astrobiology and Planetary Science, National Academies of Sciences, Engineering, and Medicine. Available: https://www.nationalacademies.org/projects/DEPS-SSB-24-01</w:t>
      </w:r>
    </w:p>
    <w:p>
      <w:pPr>
        <w:pStyle w:val="BodyText"/>
      </w:pPr>
      <w:bookmarkStart w:id="69" w:name="ref-3"/>
      <w:bookmarkEnd w:id="69"/>
      <w:r>
        <w:t xml:space="preserve">3.</w:t>
      </w:r>
      <w:r>
        <w:t xml:space="preserve"> </w:t>
      </w:r>
      <w:r>
        <w:t xml:space="preserve">“Evolving governance in the space sector: From Legacy Space to New Space models,”</w:t>
      </w:r>
      <w:r>
        <w:t xml:space="preserve"> </w:t>
      </w:r>
      <w:r>
        <w:t xml:space="preserve">Acta Astronautica, 2024. doi:</w:t>
      </w:r>
      <w:r>
        <w:t xml:space="preserve"> </w:t>
      </w:r>
      <w:hyperlink r:id="rId70">
        <w:r>
          <w:rPr>
            <w:rStyle w:val="Hyperlink"/>
          </w:rPr>
          <w:t xml:space="preserve">10.1016/j.actaastro.2024.09.005</w:t>
        </w:r>
      </w:hyperlink>
    </w:p>
    <w:p>
      <w:pPr>
        <w:pStyle w:val="BodyText"/>
      </w:pPr>
      <w:bookmarkStart w:id="71" w:name="ref-4"/>
      <w:bookmarkEnd w:id="71"/>
      <w:r>
        <w:t xml:space="preserve">4.</w:t>
      </w:r>
      <w:r>
        <w:t xml:space="preserve"> </w:t>
      </w:r>
      <w:r>
        <w:t xml:space="preserve">“New public-private partnership based on the interactive collaboration in the space sector,”</w:t>
      </w:r>
      <w:r>
        <w:t xml:space="preserve"> </w:t>
      </w:r>
      <w:r>
        <w:t xml:space="preserve">Acta Astronautica, 2025. doi:</w:t>
      </w:r>
      <w:r>
        <w:t xml:space="preserve"> </w:t>
      </w:r>
      <w:hyperlink r:id="rId72">
        <w:r>
          <w:rPr>
            <w:rStyle w:val="Hyperlink"/>
          </w:rPr>
          <w:t xml:space="preserve">10.1016/j.actaastro.2025.02.009</w:t>
        </w:r>
      </w:hyperlink>
    </w:p>
    <w:p>
      <w:pPr>
        <w:pStyle w:val="BodyText"/>
      </w:pPr>
      <w:bookmarkStart w:id="73" w:name="ref-5"/>
      <w:bookmarkEnd w:id="73"/>
      <w:r>
        <w:t xml:space="preserve">5.</w:t>
      </w:r>
      <w:r>
        <w:t xml:space="preserve"> </w:t>
      </w:r>
      <w:r>
        <w:t xml:space="preserve">“The science planning process on the Rosetta mission,”</w:t>
      </w:r>
      <w:r>
        <w:t xml:space="preserve"> </w:t>
      </w:r>
      <w:r>
        <w:t xml:space="preserve">Acta Astronautica, 2017. doi:</w:t>
      </w:r>
      <w:r>
        <w:t xml:space="preserve"> </w:t>
      </w:r>
      <w:hyperlink r:id="rId74">
        <w:r>
          <w:rPr>
            <w:rStyle w:val="Hyperlink"/>
          </w:rPr>
          <w:t xml:space="preserve">10.1016/j.actaastro.2017.01.018</w:t>
        </w:r>
      </w:hyperlink>
    </w:p>
    <w:p>
      <w:pPr>
        <w:pStyle w:val="BodyText"/>
      </w:pPr>
      <w:bookmarkStart w:id="75" w:name="ref-6"/>
      <w:bookmarkEnd w:id="75"/>
      <w:r>
        <w:t xml:space="preserve">6.</w:t>
      </w:r>
      <w:r>
        <w:t xml:space="preserve"> </w:t>
      </w:r>
      <w:r>
        <w:t xml:space="preserve">“Lessons from the Dawn mission to Ceres and Vesta,”</w:t>
      </w:r>
      <w:r>
        <w:t xml:space="preserve"> </w:t>
      </w:r>
      <w:r>
        <w:t xml:space="preserve">Acta Astronautica, 2020. doi:</w:t>
      </w:r>
      <w:r>
        <w:t xml:space="preserve"> </w:t>
      </w:r>
      <w:hyperlink r:id="rId76">
        <w:r>
          <w:rPr>
            <w:rStyle w:val="Hyperlink"/>
          </w:rPr>
          <w:t xml:space="preserve">10.1016/j.actaastro.2020.06.023</w:t>
        </w:r>
      </w:hyperlink>
    </w:p>
    <w:p>
      <w:pPr>
        <w:pStyle w:val="BodyText"/>
      </w:pPr>
      <w:bookmarkStart w:id="77" w:name="ref-7"/>
      <w:bookmarkEnd w:id="77"/>
      <w:r>
        <w:t xml:space="preserve">7.</w:t>
      </w:r>
      <w:r>
        <w:t xml:space="preserve"> </w:t>
      </w:r>
      <w:r>
        <w:t xml:space="preserve">“Towards a pattern language for complex-mode mission concept generation,”</w:t>
      </w:r>
      <w:r>
        <w:t xml:space="preserve"> </w:t>
      </w:r>
      <w:r>
        <w:t xml:space="preserve">Acta Astronautica, 2022. doi:</w:t>
      </w:r>
      <w:r>
        <w:t xml:space="preserve"> </w:t>
      </w:r>
      <w:hyperlink r:id="rId78">
        <w:r>
          <w:rPr>
            <w:rStyle w:val="Hyperlink"/>
          </w:rPr>
          <w:t xml:space="preserve">10.1016/j.actaastro.2022.11.005</w:t>
        </w:r>
      </w:hyperlink>
    </w:p>
    <w:p>
      <w:pPr>
        <w:pStyle w:val="BodyText"/>
      </w:pPr>
      <w:bookmarkStart w:id="79" w:name="ref-8"/>
      <w:bookmarkEnd w:id="79"/>
      <w:r>
        <w:t xml:space="preserve">8.</w:t>
      </w:r>
      <w:r>
        <w:t xml:space="preserve"> </w:t>
      </w:r>
      <w:r>
        <w:t xml:space="preserve">“Mars Sample Return Campaign Concept Status,”</w:t>
      </w:r>
      <w:r>
        <w:t xml:space="preserve"> </w:t>
      </w:r>
      <w:r>
        <w:t xml:space="preserve">Acta Astronautica, 2020. doi:</w:t>
      </w:r>
      <w:r>
        <w:t xml:space="preserve"> </w:t>
      </w:r>
      <w:hyperlink r:id="rId80">
        <w:r>
          <w:rPr>
            <w:rStyle w:val="Hyperlink"/>
          </w:rPr>
          <w:t xml:space="preserve">10.1016/j.actaastro.2020.06.026</w:t>
        </w:r>
      </w:hyperlink>
    </w:p>
    <w:bookmarkEnd w:id="81"/>
    <w:bookmarkStart w:id="82"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rPr>
              <m:sty m:val="b"/>
            </m:rPr>
            <m:t>x</m:t>
          </m:r>
          <m:r>
            <m:rPr>
              <m:sty m:val="p"/>
            </m:rPr>
            <m:t>)</m:t>
          </m:r>
          <m:r>
            <m:rPr>
              <m:sty m:val="p"/>
            </m:rPr>
            <m:t>=</m:t>
          </m:r>
          <m:sSub>
            <m:e>
              <m:r>
                <m:t>h</m:t>
              </m:r>
            </m:e>
            <m:sub>
              <m:r>
                <m:t>0</m:t>
              </m:r>
            </m:sub>
          </m:sSub>
          <m:r>
            <m:rPr>
              <m:sty m:val="p"/>
            </m:rPr>
            <m:t>(</m:t>
          </m:r>
          <m:r>
            <m:t>t</m:t>
          </m:r>
          <m:r>
            <m:rPr>
              <m:sty m:val="p"/>
            </m:rPr>
            <m:t>)</m:t>
          </m:r>
          <m:r>
            <m:t> </m:t>
          </m:r>
          <m:r>
            <m:rPr>
              <m:sty m:val="p"/>
            </m:rPr>
            <m:t>exp</m:t>
          </m:r>
          <m:r>
            <m:t>​</m:t>
          </m:r>
          <m:d>
            <m:dPr>
              <m:begChr m:val="("/>
              <m:sepChr m:val=""/>
              <m:endChr m:val=")"/>
              <m:grow/>
            </m:dPr>
            <m:e>
              <m:sSub>
                <m:e>
                  <m:r>
                    <m:t>β</m:t>
                  </m:r>
                </m:e>
                <m:sub>
                  <m:r>
                    <m:t>1</m:t>
                  </m:r>
                </m:sub>
              </m:sSub>
              <m:r>
                <m:t> </m:t>
              </m:r>
              <m:r>
                <m:rPr>
                  <m:nor/>
                  <m:sty m:val="p"/>
                </m:rPr>
                <m:t>decadal_aligned</m:t>
              </m:r>
              <m:r>
                <m:rPr>
                  <m:sty m:val="p"/>
                </m:rPr>
                <m:t>+</m:t>
              </m:r>
              <m:sSub>
                <m:e>
                  <m:r>
                    <m:t>β</m:t>
                  </m:r>
                </m:e>
                <m:sub>
                  <m:r>
                    <m:t>2</m:t>
                  </m:r>
                </m:sub>
              </m:sSub>
              <m:r>
                <m:t> </m:t>
              </m:r>
              <m:r>
                <m:rPr>
                  <m:nor/>
                  <m:sty m:val="p"/>
                </m:rPr>
                <m:t>cost_b</m:t>
              </m:r>
              <m:r>
                <m:rPr>
                  <m:sty m:val="p"/>
                </m:rPr>
                <m:t>+</m:t>
              </m:r>
              <m:sSub>
                <m:e>
                  <m:r>
                    <m:t>β</m:t>
                  </m:r>
                </m:e>
                <m:sub>
                  <m:r>
                    <m:t>3</m:t>
                  </m:r>
                </m:sub>
              </m:sSub>
              <m:r>
                <m:t> </m:t>
              </m:r>
              <m:r>
                <m:rPr>
                  <m:nor/>
                  <m:sty m:val="p"/>
                </m:rPr>
                <m:t>flagship</m:t>
              </m:r>
            </m:e>
          </m:d>
        </m:oMath>
      </m:oMathPara>
    </w:p>
    <w:bookmarkEnd w:id="82"/>
    <w:bookmarkStart w:id="86"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decadal_aligned</w:t>
            </w:r>
          </w:p>
        </w:tc>
        <w:tc>
          <w:tcPr>
            <w:tcW w:w="0" w:type="auto"/>
          </w:tcPr>
          <w:p>
            <w:pPr>
              <w:spacing w:line="240" w:lineRule="auto" w:before="0" w:after="0"/>
              <w:pStyle w:val="Compact"/>
            </w:pPr>
            <w:r>
              <w:rPr>
                <w:sz w:val="20"/>
                <w:szCs w:val="20"/>
              </w:rPr>
              <w:t xml:space="preserve">0.7026</w:t>
            </w:r>
          </w:p>
        </w:tc>
        <w:tc>
          <w:tcPr>
            <w:tcW w:w="0" w:type="auto"/>
          </w:tcPr>
          <w:p>
            <w:pPr>
              <w:spacing w:line="240" w:lineRule="auto" w:before="0" w:after="0"/>
              <w:pStyle w:val="Compact"/>
            </w:pPr>
            <w:r>
              <w:rPr>
                <w:sz w:val="20"/>
                <w:szCs w:val="20"/>
              </w:rPr>
              <w:t xml:space="preserve">0.7743</w:t>
            </w:r>
          </w:p>
        </w:tc>
        <w:tc>
          <w:tcPr>
            <w:tcW w:w="0" w:type="auto"/>
          </w:tcPr>
          <w:p>
            <w:pPr>
              <w:spacing w:line="240" w:lineRule="auto" w:before="0" w:after="0"/>
              <w:pStyle w:val="Compact"/>
            </w:pPr>
            <w:r>
              <w:rPr>
                <w:sz w:val="20"/>
                <w:szCs w:val="20"/>
              </w:rPr>
              <w:t xml:space="preserve">0.9074</w:t>
            </w:r>
          </w:p>
        </w:tc>
        <w:tc>
          <w:tcPr>
            <w:tcW w:w="0" w:type="auto"/>
          </w:tcPr>
          <w:p>
            <w:pPr>
              <w:spacing w:line="240" w:lineRule="auto" w:before="0" w:after="0"/>
              <w:pStyle w:val="Compact"/>
            </w:pPr>
            <w:r>
              <w:rPr>
                <w:sz w:val="20"/>
                <w:szCs w:val="20"/>
              </w:rPr>
              <w:t xml:space="preserve">0.3642</w:t>
            </w:r>
          </w:p>
        </w:tc>
        <w:tc>
          <w:tcPr>
            <w:tcW w:w="0" w:type="auto"/>
          </w:tcPr>
          <w:p>
            <w:pPr>
              <w:spacing w:line="240" w:lineRule="auto" w:before="0" w:after="0"/>
              <w:pStyle w:val="Compact"/>
            </w:pPr>
            <w:r>
              <w:rPr>
                <w:sz w:val="20"/>
                <w:szCs w:val="20"/>
              </w:rPr>
              <w:t xml:space="preserve">[-0.815, 2.2203]</w:t>
            </w:r>
          </w:p>
        </w:tc>
        <w:tc>
          <w:tcPr>
            <w:tcW w:w="0" w:type="auto"/>
          </w:tcPr>
          <w:p>
            <w:pPr>
              <w:spacing w:line="240" w:lineRule="auto" w:before="0" w:after="0"/>
              <w:pStyle w:val="Compact"/>
            </w:pPr>
            <w:r>
              <w:rPr>
                <w:sz w:val="20"/>
                <w:szCs w:val="20"/>
              </w:rPr>
              <w:t xml:space="preserve">2.019</w:t>
            </w:r>
          </w:p>
        </w:tc>
      </w:tr>
      <w:tr>
        <w:tc>
          <w:tcPr>
            <w:tcW w:w="0" w:type="auto"/>
          </w:tcPr>
          <w:p>
            <w:pPr>
              <w:spacing w:line="240" w:lineRule="auto" w:before="0" w:after="0"/>
              <w:pStyle w:val="Compact"/>
            </w:pPr>
            <w:r>
              <w:rPr>
                <w:sz w:val="20"/>
                <w:szCs w:val="20"/>
              </w:rPr>
              <w:t xml:space="preserve">cost_b</w:t>
            </w:r>
          </w:p>
        </w:tc>
        <w:tc>
          <w:tcPr>
            <w:tcW w:w="0" w:type="auto"/>
          </w:tcPr>
          <w:p>
            <w:pPr>
              <w:spacing w:line="240" w:lineRule="auto" w:before="0" w:after="0"/>
              <w:pStyle w:val="Compact"/>
            </w:pPr>
            <w:r>
              <w:rPr>
                <w:sz w:val="20"/>
                <w:szCs w:val="20"/>
              </w:rPr>
              <w:t xml:space="preserve">-1.5721</w:t>
            </w:r>
          </w:p>
        </w:tc>
        <w:tc>
          <w:tcPr>
            <w:tcW w:w="0" w:type="auto"/>
          </w:tcPr>
          <w:p>
            <w:pPr>
              <w:spacing w:line="240" w:lineRule="auto" w:before="0" w:after="0"/>
              <w:pStyle w:val="Compact"/>
            </w:pPr>
            <w:r>
              <w:rPr>
                <w:sz w:val="20"/>
                <w:szCs w:val="20"/>
              </w:rPr>
              <w:t xml:space="preserve">0.648</w:t>
            </w:r>
          </w:p>
        </w:tc>
        <w:tc>
          <w:tcPr>
            <w:tcW w:w="0" w:type="auto"/>
          </w:tcPr>
          <w:p>
            <w:pPr>
              <w:spacing w:line="240" w:lineRule="auto" w:before="0" w:after="0"/>
              <w:pStyle w:val="Compact"/>
            </w:pPr>
            <w:r>
              <w:rPr>
                <w:sz w:val="20"/>
                <w:szCs w:val="20"/>
              </w:rPr>
              <w:t xml:space="preserve">-2.4261</w:t>
            </w:r>
          </w:p>
        </w:tc>
        <w:tc>
          <w:tcPr>
            <w:tcW w:w="0" w:type="auto"/>
          </w:tcPr>
          <w:p>
            <w:pPr>
              <w:spacing w:line="240" w:lineRule="auto" w:before="0" w:after="0"/>
              <w:pStyle w:val="Compact"/>
            </w:pPr>
            <w:r>
              <w:rPr>
                <w:sz w:val="20"/>
                <w:szCs w:val="20"/>
              </w:rPr>
              <w:t xml:space="preserve">0.0153</w:t>
            </w:r>
          </w:p>
        </w:tc>
        <w:tc>
          <w:tcPr>
            <w:tcW w:w="0" w:type="auto"/>
          </w:tcPr>
          <w:p>
            <w:pPr>
              <w:spacing w:line="240" w:lineRule="auto" w:before="0" w:after="0"/>
              <w:pStyle w:val="Compact"/>
            </w:pPr>
            <w:r>
              <w:rPr>
                <w:sz w:val="20"/>
                <w:szCs w:val="20"/>
              </w:rPr>
              <w:t xml:space="preserve">[-2.8421, -0.302]</w:t>
            </w:r>
          </w:p>
        </w:tc>
        <w:tc>
          <w:tcPr>
            <w:tcW w:w="0" w:type="auto"/>
          </w:tcPr>
          <w:p>
            <w:pPr>
              <w:spacing w:line="240" w:lineRule="auto" w:before="0" w:after="0"/>
              <w:pStyle w:val="Compact"/>
            </w:pPr>
            <w:r>
              <w:rPr>
                <w:sz w:val="20"/>
                <w:szCs w:val="20"/>
              </w:rPr>
              <w:t xml:space="preserve">0.2076</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3.2212</w:t>
            </w:r>
          </w:p>
        </w:tc>
        <w:tc>
          <w:tcPr>
            <w:tcW w:w="0" w:type="auto"/>
          </w:tcPr>
          <w:p>
            <w:pPr>
              <w:spacing w:line="240" w:lineRule="auto" w:before="0" w:after="0"/>
              <w:pStyle w:val="Compact"/>
            </w:pPr>
            <w:r>
              <w:rPr>
                <w:sz w:val="20"/>
                <w:szCs w:val="20"/>
              </w:rPr>
              <w:t xml:space="preserve">1.4747</w:t>
            </w:r>
          </w:p>
        </w:tc>
        <w:tc>
          <w:tcPr>
            <w:tcW w:w="0" w:type="auto"/>
          </w:tcPr>
          <w:p>
            <w:pPr>
              <w:spacing w:line="240" w:lineRule="auto" w:before="0" w:after="0"/>
              <w:pStyle w:val="Compact"/>
            </w:pPr>
            <w:r>
              <w:rPr>
                <w:sz w:val="20"/>
                <w:szCs w:val="20"/>
              </w:rPr>
              <w:t xml:space="preserve">2.1843</w:t>
            </w:r>
          </w:p>
        </w:tc>
        <w:tc>
          <w:tcPr>
            <w:tcW w:w="0" w:type="auto"/>
          </w:tcPr>
          <w:p>
            <w:pPr>
              <w:spacing w:line="240" w:lineRule="auto" w:before="0" w:after="0"/>
              <w:pStyle w:val="Compact"/>
            </w:pPr>
            <w:r>
              <w:rPr>
                <w:sz w:val="20"/>
                <w:szCs w:val="20"/>
              </w:rPr>
              <w:t xml:space="preserve">0.0289</w:t>
            </w:r>
          </w:p>
        </w:tc>
        <w:tc>
          <w:tcPr>
            <w:tcW w:w="0" w:type="auto"/>
          </w:tcPr>
          <w:p>
            <w:pPr>
              <w:spacing w:line="240" w:lineRule="auto" w:before="0" w:after="0"/>
              <w:pStyle w:val="Compact"/>
            </w:pPr>
            <w:r>
              <w:rPr>
                <w:sz w:val="20"/>
                <w:szCs w:val="20"/>
              </w:rPr>
              <w:t xml:space="preserve">[0.3308, 6.1115]</w:t>
            </w:r>
          </w:p>
        </w:tc>
        <w:tc>
          <w:tcPr>
            <w:tcW w:w="0" w:type="auto"/>
          </w:tcPr>
          <w:p>
            <w:pPr>
              <w:spacing w:line="240" w:lineRule="auto" w:before="0" w:after="0"/>
              <w:pStyle w:val="Compact"/>
            </w:pPr>
            <w:r>
              <w:rPr>
                <w:sz w:val="20"/>
                <w:szCs w:val="20"/>
              </w:rPr>
              <w:t xml:space="preserve">25.0573</w:t>
            </w:r>
          </w:p>
        </w:tc>
      </w:tr>
    </w:tbl>
    <w:p>
      <w:pPr>
        <w:pStyle w:val="BodyText"/>
      </w:pPr>
      <w:r>
        <w:t xml:space="preserve">Fit: N = 21 events = 20</w:t>
      </w:r>
    </w:p>
    <w:p>
      <w:pPr>
        <w:pStyle w:val="CaptionedFigure"/>
      </w:pPr>
      <w:r>
        <w:drawing>
          <wp:inline>
            <wp:extent cx="5669280" cy="3657600"/>
            <wp:effectExtent b="0" l="0" r="0" t="0"/>
            <wp:docPr descr="Figure 1. Authorization-to-launch interval against mission lifecycle cost across NASA Discovery, New Frontiers, and flagship missions." title="" id="84" name="Picture"/>
            <a:graphic>
              <a:graphicData uri="http://schemas.openxmlformats.org/drawingml/2006/picture">
                <pic:pic>
                  <pic:nvPicPr>
                    <pic:cNvPr descr="D:\Claude_Code\brain\collegium\candidates\dissertations\JPL_MGMT_SMA_TECH_06\research_papers\p2\paper_fig1.png" id="85" name="Picture"/>
                    <pic:cNvPicPr>
                      <a:picLocks noChangeArrowheads="1" noChangeAspect="1"/>
                    </pic:cNvPicPr>
                  </pic:nvPicPr>
                  <pic:blipFill>
                    <a:blip r:embed="rId8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Authorization-to-launch interval against mission lifecycle cost across NASA Discovery, New Frontiers, and flagship missions.</w:t>
      </w:r>
    </w:p>
    <w:bookmarkEnd w:id="86"/>
    <w:bookmarkStart w:id="9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92"/>
        <w:gridCol w:w="792"/>
        <w:gridCol w:w="792"/>
        <w:gridCol w:w="792"/>
        <w:gridCol w:w="792"/>
        <w:gridCol w:w="792"/>
        <w:gridCol w:w="792"/>
        <w:gridCol w:w="792"/>
        <w:gridCol w:w="792"/>
        <w:gridCol w:w="792"/>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program</w:t>
            </w:r>
          </w:p>
        </w:tc>
        <w:tc>
          <w:tcPr>
            <w:tcW w:w="0" w:type="auto"/>
          </w:tcPr>
          <w:p>
            <w:pPr>
              <w:spacing w:line="240" w:lineRule="auto" w:before="0" w:after="0"/>
              <w:pStyle w:val="Compact"/>
            </w:pPr>
            <w:r>
              <w:rPr>
                <w:sz w:val="20"/>
                <w:szCs w:val="20"/>
              </w:rPr>
              <w:t xml:space="preserve">select_year</w:t>
            </w:r>
          </w:p>
        </w:tc>
        <w:tc>
          <w:tcPr>
            <w:tcW w:w="0" w:type="auto"/>
          </w:tcPr>
          <w:p>
            <w:pPr>
              <w:spacing w:line="240" w:lineRule="auto" w:before="0" w:after="0"/>
              <w:pStyle w:val="Compact"/>
            </w:pPr>
            <w:r>
              <w:rPr>
                <w:sz w:val="20"/>
                <w:szCs w:val="20"/>
              </w:rPr>
              <w:t xml:space="preserve">launch_year</w:t>
            </w:r>
          </w:p>
        </w:tc>
        <w:tc>
          <w:tcPr>
            <w:tcW w:w="0" w:type="auto"/>
          </w:tcPr>
          <w:p>
            <w:pPr>
              <w:spacing w:line="240" w:lineRule="auto" w:before="0" w:after="0"/>
              <w:pStyle w:val="Compact"/>
            </w:pPr>
            <w:r>
              <w:rPr>
                <w:sz w:val="20"/>
                <w:szCs w:val="20"/>
              </w:rPr>
              <w:t xml:space="preserve">duration_yrs</w:t>
            </w:r>
          </w:p>
        </w:tc>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decadal_aligned</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cost_b</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NEAR Shoemaker</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1996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Discovery Program (en.wikipedia.org/wiki/Discovery_Program): selected 1993, launched 1996; cost NASA SMD Discovery factsheet</w:t>
            </w:r>
          </w:p>
        </w:tc>
      </w:tr>
      <w:tr>
        <w:tc>
          <w:tcPr>
            <w:tcW w:w="0" w:type="auto"/>
          </w:tcPr>
          <w:p>
            <w:pPr>
              <w:spacing w:line="240" w:lineRule="auto" w:before="0" w:after="0"/>
              <w:pStyle w:val="Compact"/>
            </w:pPr>
            <w:r>
              <w:rPr>
                <w:sz w:val="20"/>
                <w:szCs w:val="20"/>
              </w:rPr>
              <w:t xml:space="preserve">Lunar Prospector</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1998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Discovery Program (en.wikipedia.org/wiki/Discovery_Program): selected 1995, launched 1998; NASA Lunar Prospector mission cost</w:t>
            </w:r>
          </w:p>
        </w:tc>
      </w:tr>
      <w:tr>
        <w:tc>
          <w:tcPr>
            <w:tcW w:w="0" w:type="auto"/>
          </w:tcPr>
          <w:p>
            <w:pPr>
              <w:spacing w:line="240" w:lineRule="auto" w:before="0" w:after="0"/>
              <w:pStyle w:val="Compact"/>
            </w:pPr>
            <w:r>
              <w:rPr>
                <w:sz w:val="20"/>
                <w:szCs w:val="20"/>
              </w:rPr>
              <w:t xml:space="preserve">Stardust</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Discovery Program (en.wikipedia.org/wiki/Discovery_Program): selected 1995, launched 1999; NASA/JPL Stardust</w:t>
            </w:r>
          </w:p>
        </w:tc>
      </w:tr>
      <w:tr>
        <w:tc>
          <w:tcPr>
            <w:tcW w:w="0" w:type="auto"/>
          </w:tcPr>
          <w:p>
            <w:pPr>
              <w:spacing w:line="240" w:lineRule="auto" w:before="0" w:after="0"/>
              <w:pStyle w:val="Compact"/>
            </w:pPr>
            <w:r>
              <w:rPr>
                <w:sz w:val="20"/>
                <w:szCs w:val="20"/>
              </w:rPr>
              <w:t xml:space="preserve">Genesis</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0.26</w:t>
            </w:r>
          </w:p>
        </w:tc>
        <w:tc>
          <w:tcPr>
            <w:tcW w:w="0" w:type="auto"/>
          </w:tcPr>
          <w:p>
            <w:pPr>
              <w:spacing w:line="240" w:lineRule="auto" w:before="0" w:after="0"/>
              <w:pStyle w:val="Compact"/>
            </w:pPr>
            <w:r>
              <w:rPr>
                <w:sz w:val="20"/>
                <w:szCs w:val="20"/>
              </w:rPr>
              <w:t xml:space="preserve">Discovery Program (en.wikipedia.org/wiki/Discovery_Program): selected 1997, launched 2001; NASA Genesis mission</w:t>
            </w:r>
          </w:p>
        </w:tc>
      </w:tr>
      <w:tr>
        <w:tc>
          <w:tcPr>
            <w:tcW w:w="0" w:type="auto"/>
          </w:tcPr>
          <w:p>
            <w:pPr>
              <w:spacing w:line="240" w:lineRule="auto" w:before="0" w:after="0"/>
              <w:pStyle w:val="Compact"/>
            </w:pPr>
            <w:r>
              <w:rPr>
                <w:sz w:val="20"/>
                <w:szCs w:val="20"/>
              </w:rPr>
              <w:t xml:space="preserve">CONTOUR</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2002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Discovery Program (en.wikipedia.org/wiki/Discovery_Program): selected 1997, launched 2002; NASA/APL CONTOUR</w:t>
            </w:r>
          </w:p>
        </w:tc>
      </w:tr>
      <w:tr>
        <w:tc>
          <w:tcPr>
            <w:tcW w:w="0" w:type="auto"/>
          </w:tcPr>
          <w:p>
            <w:pPr>
              <w:spacing w:line="240" w:lineRule="auto" w:before="0" w:after="0"/>
              <w:pStyle w:val="Compact"/>
            </w:pPr>
            <w:r>
              <w:rPr>
                <w:sz w:val="20"/>
                <w:szCs w:val="20"/>
              </w:rPr>
              <w:t xml:space="preserve">MESSENGER</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Discovery Program (en.wikipedia.org/wiki/Discovery_Program): selected 1999, launched 2004; NASA/APL MESSENGER lifecycle cost</w:t>
            </w:r>
          </w:p>
        </w:tc>
      </w:tr>
      <w:tr>
        <w:tc>
          <w:tcPr>
            <w:tcW w:w="0" w:type="auto"/>
          </w:tcPr>
          <w:p>
            <w:pPr>
              <w:spacing w:line="240" w:lineRule="auto" w:before="0" w:after="0"/>
              <w:pStyle w:val="Compact"/>
            </w:pPr>
            <w:r>
              <w:rPr>
                <w:sz w:val="20"/>
                <w:szCs w:val="20"/>
              </w:rPr>
              <w:t xml:space="preserve">Deep Impact</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1999</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Discovery Program (en.wikipedia.org/wiki/Discovery_Program): selected 1999, launched 2005; NASA Deep Impact</w:t>
            </w:r>
          </w:p>
        </w:tc>
      </w:tr>
      <w:tr>
        <w:tc>
          <w:tcPr>
            <w:tcW w:w="0" w:type="auto"/>
          </w:tcPr>
          <w:p>
            <w:pPr>
              <w:spacing w:line="240" w:lineRule="auto" w:before="0" w:after="0"/>
              <w:pStyle w:val="Compact"/>
            </w:pPr>
            <w:r>
              <w:rPr>
                <w:sz w:val="20"/>
                <w:szCs w:val="20"/>
              </w:rPr>
              <w:t xml:space="preserve">Dawn</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Discovery Program (en.wikipedia.org/wiki/Discovery_Program): selected 2001, launched 2007; NASA Dawn lifecycle cost</w:t>
            </w:r>
          </w:p>
        </w:tc>
      </w:tr>
      <w:tr>
        <w:tc>
          <w:tcPr>
            <w:tcW w:w="0" w:type="auto"/>
          </w:tcPr>
          <w:p>
            <w:pPr>
              <w:spacing w:line="240" w:lineRule="auto" w:before="0" w:after="0"/>
              <w:pStyle w:val="Compact"/>
            </w:pPr>
            <w:r>
              <w:rPr>
                <w:sz w:val="20"/>
                <w:szCs w:val="20"/>
              </w:rPr>
              <w:t xml:space="preserve">Kepler</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0.64</w:t>
            </w:r>
          </w:p>
        </w:tc>
        <w:tc>
          <w:tcPr>
            <w:tcW w:w="0" w:type="auto"/>
          </w:tcPr>
          <w:p>
            <w:pPr>
              <w:spacing w:line="240" w:lineRule="auto" w:before="0" w:after="0"/>
              <w:pStyle w:val="Compact"/>
            </w:pPr>
            <w:r>
              <w:rPr>
                <w:sz w:val="20"/>
                <w:szCs w:val="20"/>
              </w:rPr>
              <w:t xml:space="preserve">Discovery Program (en.wikipedia.org/wiki/Discovery_Program): selected 2001, launched 2009; NASA Kepler lifecycle cost</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Discovery Program (en.wikipedia.org/wiki/Discovery_Program): selected 2007, launched 2011; NASA/JPL GRAIL</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Discovery Program (en.wikipedia.org/wiki/Discovery_Program): selected 2012, launched 2018; NASA InSight lifecycle cost</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w:t>
            </w:r>
          </w:p>
        </w:tc>
        <w:tc>
          <w:tcPr>
            <w:tcW w:w="0" w:type="auto"/>
          </w:tcPr>
          <w:p>
            <w:pPr>
              <w:spacing w:line="240" w:lineRule="auto" w:before="0" w:after="0"/>
              <w:pStyle w:val="Compact"/>
            </w:pPr>
            <w:r>
              <w:rPr>
                <w:sz w:val="20"/>
                <w:szCs w:val="20"/>
              </w:rPr>
              <w:t xml:space="preserve">Discovery Program (en.wikipedia.org/wiki/Discovery_Program): selected Jan 2017, launched Oct 2021; NASA Lucy</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Discovery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Discovery Program (en.wikipedia.org/wiki/Discovery_Program): selected Jan 2017, launched Oct 2023; NASA Psyche</w:t>
            </w:r>
          </w:p>
        </w:tc>
      </w:tr>
      <w:tr>
        <w:tc>
          <w:tcPr>
            <w:tcW w:w="0" w:type="auto"/>
          </w:tcPr>
          <w:p>
            <w:pPr>
              <w:spacing w:line="240" w:lineRule="auto" w:before="0" w:after="0"/>
              <w:pStyle w:val="Compact"/>
            </w:pPr>
            <w:r>
              <w:rPr>
                <w:sz w:val="20"/>
                <w:szCs w:val="20"/>
              </w:rPr>
              <w:t xml:space="preserve">New Horizons</w:t>
            </w:r>
          </w:p>
        </w:tc>
        <w:tc>
          <w:tcPr>
            <w:tcW w:w="0" w:type="auto"/>
          </w:tcPr>
          <w:p>
            <w:pPr>
              <w:spacing w:line="240" w:lineRule="auto" w:before="0" w:after="0"/>
              <w:pStyle w:val="Compact"/>
            </w:pPr>
            <w:r>
              <w:rPr>
                <w:sz w:val="20"/>
                <w:szCs w:val="20"/>
              </w:rPr>
              <w:t xml:space="preserve">New Frontiers</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New Frontiers program (en.wikipedia.org/wiki/New_Frontiers_program; en.wikipedia.org/wiki/New_Horizons): selected Nov 2001, launched Jan 2006; NASA New Horizons lifecycle cost</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New Frontiers</w:t>
            </w:r>
          </w:p>
        </w:tc>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New Frontiers program (en.wikipedia.org/wiki/New_Frontiers_program): NF-2 selected 2005, launched 2011; NASA Juno lifecycle cost</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New Frontiers</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1.16</w:t>
            </w:r>
          </w:p>
        </w:tc>
        <w:tc>
          <w:tcPr>
            <w:tcW w:w="0" w:type="auto"/>
          </w:tcPr>
          <w:p>
            <w:pPr>
              <w:spacing w:line="240" w:lineRule="auto" w:before="0" w:after="0"/>
              <w:pStyle w:val="Compact"/>
            </w:pPr>
            <w:r>
              <w:rPr>
                <w:sz w:val="20"/>
                <w:szCs w:val="20"/>
              </w:rPr>
              <w:t xml:space="preserve">New Frontiers program (en.wikipedia.org/wiki/New_Frontiers_program; en.wikipedia.org/wiki/OSIRIS-REx): NF-3 selected 2011, launched 2016; NASA OSIRIS-REx</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New Frontiers</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2028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New Frontiers program (en.wikipedia.org/wiki/New_Frontiers_program): NF-4 selected Jun 2019, launch planned Jul 2028 (censored, not yet launched at observation); NASA Dragonfly est. cost</w:t>
            </w:r>
          </w:p>
        </w:tc>
      </w:tr>
      <w:tr>
        <w:tc>
          <w:tcPr>
            <w:tcW w:w="0" w:type="auto"/>
          </w:tcPr>
          <w:p>
            <w:pPr>
              <w:spacing w:line="240" w:lineRule="auto" w:before="0" w:after="0"/>
              <w:pStyle w:val="Compact"/>
            </w:pPr>
            <w:r>
              <w:rPr>
                <w:sz w:val="20"/>
                <w:szCs w:val="20"/>
              </w:rPr>
              <w:t xml:space="preserve">Cassini</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1997</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Flagship; first funded by Congress FY1990, launched Oct 1997 (en.wikipedia.org/wiki/Cassini-Huygens); cost USD3.9B GAO/NASA</w:t>
            </w:r>
          </w:p>
        </w:tc>
      </w:tr>
      <w:tr>
        <w:tc>
          <w:tcPr>
            <w:tcW w:w="0" w:type="auto"/>
          </w:tcPr>
          <w:p>
            <w:pPr>
              <w:spacing w:line="240" w:lineRule="auto" w:before="0" w:after="0"/>
              <w:pStyle w:val="Compact"/>
            </w:pPr>
            <w:r>
              <w:rPr>
                <w:sz w:val="20"/>
                <w:szCs w:val="20"/>
              </w:rPr>
              <w:t xml:space="preserve">Mars Science Laboratory</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2.53</w:t>
            </w:r>
          </w:p>
        </w:tc>
        <w:tc>
          <w:tcPr>
            <w:tcW w:w="0" w:type="auto"/>
          </w:tcPr>
          <w:p>
            <w:pPr>
              <w:spacing w:line="240" w:lineRule="auto" w:before="0" w:after="0"/>
              <w:pStyle w:val="Compact"/>
            </w:pPr>
            <w:r>
              <w:rPr>
                <w:sz w:val="20"/>
                <w:szCs w:val="20"/>
              </w:rPr>
              <w:t xml:space="preserve">Flagship (Curiosity); entered implementation 2006, launched Nov 2011 (en.wikipedia.org/wiki/Curiosity_(rover)); cost USD2.53B (Planetary Society)</w:t>
            </w:r>
          </w:p>
        </w:tc>
      </w:tr>
      <w:tr>
        <w:tc>
          <w:tcPr>
            <w:tcW w:w="0" w:type="auto"/>
          </w:tcPr>
          <w:p>
            <w:pPr>
              <w:spacing w:line="240" w:lineRule="auto" w:before="0" w:after="0"/>
              <w:pStyle w:val="Compact"/>
            </w:pPr>
            <w:r>
              <w:rPr>
                <w:sz w:val="20"/>
                <w:szCs w:val="20"/>
              </w:rPr>
              <w:t xml:space="preserve">Mars 2020</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Flagship (Perseverance); entered implementation 2016, launched Jul 2020 (en.wikipedia.org/wiki/Mars_2020); cost USD2.7B (Planetary Society)</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Flagship; new-start formulation authorized Mar 2013, launched Oct 2024 (en.wikipedia.org/wiki/Europa_Clipper); cost USD5.2B (NASA)</w:t>
            </w:r>
          </w:p>
        </w:tc>
      </w:tr>
    </w:tbl>
    <w:bookmarkEnd w:id="87"/>
    <w:bookmarkStart w:id="8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duration_yrs</w:t>
            </w:r>
          </w:p>
        </w:tc>
        <w:tc>
          <w:tcPr>
            <w:tcW w:w="0" w:type="auto"/>
          </w:tcPr>
          <w:p>
            <w:pPr>
              <w:spacing w:line="240" w:lineRule="auto" w:before="0" w:after="0"/>
              <w:pStyle w:val="Compact"/>
            </w:pPr>
            <w:r>
              <w:rPr>
                <w:sz w:val="20"/>
                <w:szCs w:val="20"/>
              </w:rPr>
              <w:t xml:space="preserve">Years from new-start selection or authorization to launch; the survival time</w:t>
            </w:r>
          </w:p>
        </w:tc>
        <w:tc>
          <w:tcPr>
            <w:tcW w:w="0" w:type="auto"/>
          </w:tcPr>
          <w:p>
            <w:pPr>
              <w:spacing w:line="240" w:lineRule="auto" w:before="0" w:after="0"/>
              <w:pStyle w:val="Compact"/>
            </w:pPr>
            <w:r>
              <w:rPr>
                <w:sz w:val="20"/>
                <w:szCs w:val="20"/>
              </w:rPr>
              <w:t xml:space="preserve">Computed as launch_year minus select_year from program records (Discovery, New Frontiers, and flagship mission pages, en.wikipedia.org)</w:t>
            </w:r>
          </w:p>
        </w:tc>
      </w:tr>
      <w:tr>
        <w:tc>
          <w:tcPr>
            <w:tcW w:w="0" w:type="auto"/>
          </w:tcPr>
          <w:p>
            <w:pPr>
              <w:spacing w:line="240" w:lineRule="auto" w:before="0" w:after="0"/>
              <w:pStyle w:val="Compact"/>
            </w:pPr>
            <w:r>
              <w:rPr>
                <w:sz w:val="20"/>
                <w:szCs w:val="20"/>
              </w:rPr>
              <w:t xml:space="preserve">launched</w:t>
            </w:r>
          </w:p>
        </w:tc>
        <w:tc>
          <w:tcPr>
            <w:tcW w:w="0" w:type="auto"/>
          </w:tcPr>
          <w:p>
            <w:pPr>
              <w:spacing w:line="240" w:lineRule="auto" w:before="0" w:after="0"/>
              <w:pStyle w:val="Compact"/>
            </w:pPr>
            <w:r>
              <w:rPr>
                <w:sz w:val="20"/>
                <w:szCs w:val="20"/>
              </w:rPr>
              <w:t xml:space="preserve">Event indicator: 1 if the mission had launched by observation, 0 if still in development (right-censored)</w:t>
            </w:r>
          </w:p>
        </w:tc>
        <w:tc>
          <w:tcPr>
            <w:tcW w:w="0" w:type="auto"/>
          </w:tcPr>
          <w:p>
            <w:pPr>
              <w:spacing w:line="240" w:lineRule="auto" w:before="0" w:after="0"/>
              <w:pStyle w:val="Compact"/>
            </w:pPr>
            <w:r>
              <w:rPr>
                <w:sz w:val="20"/>
                <w:szCs w:val="20"/>
              </w:rPr>
              <w:t xml:space="preserve">Coded 1 for all launched missions; 0 for Dragonfly (launch planned 2028)</w:t>
            </w:r>
          </w:p>
        </w:tc>
      </w:tr>
      <w:tr>
        <w:tc>
          <w:tcPr>
            <w:tcW w:w="0" w:type="auto"/>
          </w:tcPr>
          <w:p>
            <w:pPr>
              <w:spacing w:line="240" w:lineRule="auto" w:before="0" w:after="0"/>
              <w:pStyle w:val="Compact"/>
            </w:pPr>
            <w:r>
              <w:rPr>
                <w:sz w:val="20"/>
                <w:szCs w:val="20"/>
              </w:rPr>
              <w:t xml:space="preserve">decadal_aligned</w:t>
            </w:r>
          </w:p>
        </w:tc>
        <w:tc>
          <w:tcPr>
            <w:tcW w:w="0" w:type="auto"/>
          </w:tcPr>
          <w:p>
            <w:pPr>
              <w:spacing w:line="240" w:lineRule="auto" w:before="0" w:after="0"/>
              <w:pStyle w:val="Compact"/>
            </w:pPr>
            <w:r>
              <w:rPr>
                <w:sz w:val="20"/>
                <w:szCs w:val="20"/>
              </w:rPr>
              <w:t xml:space="preserve">1 if the mission line draws from decadal-survey-prioritized themes (New Frontiers, named flagships); 0 if PI-led Discovery competition not tied to decadal themes</w:t>
            </w:r>
          </w:p>
        </w:tc>
        <w:tc>
          <w:tcPr>
            <w:tcW w:w="0" w:type="auto"/>
          </w:tcPr>
          <w:p>
            <w:pPr>
              <w:spacing w:line="240" w:lineRule="auto" w:before="0" w:after="0"/>
              <w:pStyle w:val="Compact"/>
            </w:pPr>
            <w:r>
              <w:rPr>
                <w:sz w:val="20"/>
                <w:szCs w:val="20"/>
              </w:rPr>
              <w:t xml:space="preserve">National Academies New Frontiers theme list (nationalacademies.org); Planetary Science Decadal Survey (en.wikipedia.org/wiki/Planetary_Science_Decadal_Survey)</w:t>
            </w:r>
          </w:p>
        </w:tc>
      </w:tr>
      <w:tr>
        <w:tc>
          <w:tcPr>
            <w:tcW w:w="0" w:type="auto"/>
          </w:tcPr>
          <w:p>
            <w:pPr>
              <w:spacing w:line="240" w:lineRule="auto" w:before="0" w:after="0"/>
              <w:pStyle w:val="Compact"/>
            </w:pPr>
            <w:r>
              <w:rPr>
                <w:sz w:val="20"/>
                <w:szCs w:val="20"/>
              </w:rPr>
              <w:t xml:space="preserve">cost_b</w:t>
            </w:r>
          </w:p>
        </w:tc>
        <w:tc>
          <w:tcPr>
            <w:tcW w:w="0" w:type="auto"/>
          </w:tcPr>
          <w:p>
            <w:pPr>
              <w:spacing w:line="240" w:lineRule="auto" w:before="0" w:after="0"/>
              <w:pStyle w:val="Compact"/>
            </w:pPr>
            <w:r>
              <w:rPr>
                <w:sz w:val="20"/>
                <w:szCs w:val="20"/>
              </w:rPr>
              <w:t xml:space="preserve">Mission lifecycle cost in billions of USD; proxy for scope and complexity</w:t>
            </w:r>
          </w:p>
        </w:tc>
        <w:tc>
          <w:tcPr>
            <w:tcW w:w="0" w:type="auto"/>
          </w:tcPr>
          <w:p>
            <w:pPr>
              <w:spacing w:line="240" w:lineRule="auto" w:before="0" w:after="0"/>
              <w:pStyle w:val="Compact"/>
            </w:pPr>
            <w:r>
              <w:rPr>
                <w:sz w:val="20"/>
                <w:szCs w:val="20"/>
              </w:rPr>
              <w:t xml:space="preserve">NASA mission factsheets, GAO reports, and The Planetary Society cost pages cited per row</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1 if flagship-class (largest, directorate-directed); 0 otherwise</w:t>
            </w:r>
          </w:p>
        </w:tc>
        <w:tc>
          <w:tcPr>
            <w:tcW w:w="0" w:type="auto"/>
          </w:tcPr>
          <w:p>
            <w:pPr>
              <w:spacing w:line="240" w:lineRule="auto" w:before="0" w:after="0"/>
              <w:pStyle w:val="Compact"/>
            </w:pPr>
            <w:r>
              <w:rPr>
                <w:sz w:val="20"/>
                <w:szCs w:val="20"/>
              </w:rPr>
              <w:t xml:space="preserve">NASA program classification per mission page</w:t>
            </w:r>
          </w:p>
        </w:tc>
      </w:tr>
    </w:tbl>
    <w:bookmarkEnd w:id="88"/>
    <w:bookmarkStart w:id="8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decadal_aligned</w:t>
            </w:r>
          </w:p>
        </w:tc>
        <w:tc>
          <w:tcPr>
            <w:tcW w:w="0" w:type="auto"/>
          </w:tcPr>
          <w:p>
            <w:pPr>
              <w:spacing w:line="240" w:lineRule="auto" w:before="0" w:after="0"/>
              <w:pStyle w:val="Compact"/>
            </w:pPr>
            <w:r>
              <w:rPr>
                <w:sz w:val="20"/>
                <w:szCs w:val="20"/>
              </w:rPr>
              <w:t xml:space="preserve">0.7026</w:t>
            </w:r>
          </w:p>
        </w:tc>
        <w:tc>
          <w:tcPr>
            <w:tcW w:w="0" w:type="auto"/>
          </w:tcPr>
          <w:p>
            <w:pPr>
              <w:spacing w:line="240" w:lineRule="auto" w:before="0" w:after="0"/>
              <w:pStyle w:val="Compact"/>
            </w:pPr>
            <w:r>
              <w:rPr>
                <w:sz w:val="20"/>
                <w:szCs w:val="20"/>
              </w:rPr>
              <w:t xml:space="preserve">0.7743</w:t>
            </w:r>
          </w:p>
        </w:tc>
        <w:tc>
          <w:tcPr>
            <w:tcW w:w="0" w:type="auto"/>
          </w:tcPr>
          <w:p>
            <w:pPr>
              <w:spacing w:line="240" w:lineRule="auto" w:before="0" w:after="0"/>
              <w:pStyle w:val="Compact"/>
            </w:pPr>
            <w:r>
              <w:rPr>
                <w:sz w:val="20"/>
                <w:szCs w:val="20"/>
              </w:rPr>
              <w:t xml:space="preserve">0.9074</w:t>
            </w:r>
          </w:p>
        </w:tc>
        <w:tc>
          <w:tcPr>
            <w:tcW w:w="0" w:type="auto"/>
          </w:tcPr>
          <w:p>
            <w:pPr>
              <w:spacing w:line="240" w:lineRule="auto" w:before="0" w:after="0"/>
              <w:pStyle w:val="Compact"/>
            </w:pPr>
            <w:r>
              <w:rPr>
                <w:sz w:val="20"/>
                <w:szCs w:val="20"/>
              </w:rPr>
              <w:t xml:space="preserve">0.3642</w:t>
            </w:r>
          </w:p>
        </w:tc>
        <w:tc>
          <w:tcPr>
            <w:tcW w:w="0" w:type="auto"/>
          </w:tcPr>
          <w:p>
            <w:pPr>
              <w:spacing w:line="240" w:lineRule="auto" w:before="0" w:after="0"/>
              <w:pStyle w:val="Compact"/>
            </w:pPr>
            <w:r>
              <w:rPr>
                <w:sz w:val="20"/>
                <w:szCs w:val="20"/>
              </w:rPr>
              <w:t xml:space="preserve">[-0.815, 2.2203]</w:t>
            </w:r>
          </w:p>
        </w:tc>
        <w:tc>
          <w:tcPr>
            <w:tcW w:w="0" w:type="auto"/>
          </w:tcPr>
          <w:p>
            <w:pPr>
              <w:spacing w:line="240" w:lineRule="auto" w:before="0" w:after="0"/>
              <w:pStyle w:val="Compact"/>
            </w:pPr>
            <w:r>
              <w:rPr>
                <w:sz w:val="20"/>
                <w:szCs w:val="20"/>
              </w:rPr>
              <w:t xml:space="preserve">2.019</w:t>
            </w:r>
          </w:p>
        </w:tc>
      </w:tr>
      <w:tr>
        <w:tc>
          <w:tcPr>
            <w:tcW w:w="0" w:type="auto"/>
          </w:tcPr>
          <w:p>
            <w:pPr>
              <w:spacing w:line="240" w:lineRule="auto" w:before="0" w:after="0"/>
              <w:pStyle w:val="Compact"/>
            </w:pPr>
            <w:r>
              <w:rPr>
                <w:sz w:val="20"/>
                <w:szCs w:val="20"/>
              </w:rPr>
              <w:t xml:space="preserve">cost_b</w:t>
            </w:r>
          </w:p>
        </w:tc>
        <w:tc>
          <w:tcPr>
            <w:tcW w:w="0" w:type="auto"/>
          </w:tcPr>
          <w:p>
            <w:pPr>
              <w:spacing w:line="240" w:lineRule="auto" w:before="0" w:after="0"/>
              <w:pStyle w:val="Compact"/>
            </w:pPr>
            <w:r>
              <w:rPr>
                <w:sz w:val="20"/>
                <w:szCs w:val="20"/>
              </w:rPr>
              <w:t xml:space="preserve">-1.5721</w:t>
            </w:r>
          </w:p>
        </w:tc>
        <w:tc>
          <w:tcPr>
            <w:tcW w:w="0" w:type="auto"/>
          </w:tcPr>
          <w:p>
            <w:pPr>
              <w:spacing w:line="240" w:lineRule="auto" w:before="0" w:after="0"/>
              <w:pStyle w:val="Compact"/>
            </w:pPr>
            <w:r>
              <w:rPr>
                <w:sz w:val="20"/>
                <w:szCs w:val="20"/>
              </w:rPr>
              <w:t xml:space="preserve">0.648</w:t>
            </w:r>
          </w:p>
        </w:tc>
        <w:tc>
          <w:tcPr>
            <w:tcW w:w="0" w:type="auto"/>
          </w:tcPr>
          <w:p>
            <w:pPr>
              <w:spacing w:line="240" w:lineRule="auto" w:before="0" w:after="0"/>
              <w:pStyle w:val="Compact"/>
            </w:pPr>
            <w:r>
              <w:rPr>
                <w:sz w:val="20"/>
                <w:szCs w:val="20"/>
              </w:rPr>
              <w:t xml:space="preserve">-2.4261</w:t>
            </w:r>
          </w:p>
        </w:tc>
        <w:tc>
          <w:tcPr>
            <w:tcW w:w="0" w:type="auto"/>
          </w:tcPr>
          <w:p>
            <w:pPr>
              <w:spacing w:line="240" w:lineRule="auto" w:before="0" w:after="0"/>
              <w:pStyle w:val="Compact"/>
            </w:pPr>
            <w:r>
              <w:rPr>
                <w:sz w:val="20"/>
                <w:szCs w:val="20"/>
              </w:rPr>
              <w:t xml:space="preserve">0.0153</w:t>
            </w:r>
          </w:p>
        </w:tc>
        <w:tc>
          <w:tcPr>
            <w:tcW w:w="0" w:type="auto"/>
          </w:tcPr>
          <w:p>
            <w:pPr>
              <w:spacing w:line="240" w:lineRule="auto" w:before="0" w:after="0"/>
              <w:pStyle w:val="Compact"/>
            </w:pPr>
            <w:r>
              <w:rPr>
                <w:sz w:val="20"/>
                <w:szCs w:val="20"/>
              </w:rPr>
              <w:t xml:space="preserve">[-2.8421, -0.302]</w:t>
            </w:r>
          </w:p>
        </w:tc>
        <w:tc>
          <w:tcPr>
            <w:tcW w:w="0" w:type="auto"/>
          </w:tcPr>
          <w:p>
            <w:pPr>
              <w:spacing w:line="240" w:lineRule="auto" w:before="0" w:after="0"/>
              <w:pStyle w:val="Compact"/>
            </w:pPr>
            <w:r>
              <w:rPr>
                <w:sz w:val="20"/>
                <w:szCs w:val="20"/>
              </w:rPr>
              <w:t xml:space="preserve">0.2076</w:t>
            </w:r>
          </w:p>
        </w:tc>
      </w:tr>
      <w:tr>
        <w:tc>
          <w:tcPr>
            <w:tcW w:w="0" w:type="auto"/>
          </w:tcPr>
          <w:p>
            <w:pPr>
              <w:spacing w:line="240" w:lineRule="auto" w:before="0" w:after="0"/>
              <w:pStyle w:val="Compact"/>
            </w:pPr>
            <w:r>
              <w:rPr>
                <w:sz w:val="20"/>
                <w:szCs w:val="20"/>
              </w:rPr>
              <w:t xml:space="preserve">flagship</w:t>
            </w:r>
          </w:p>
        </w:tc>
        <w:tc>
          <w:tcPr>
            <w:tcW w:w="0" w:type="auto"/>
          </w:tcPr>
          <w:p>
            <w:pPr>
              <w:spacing w:line="240" w:lineRule="auto" w:before="0" w:after="0"/>
              <w:pStyle w:val="Compact"/>
            </w:pPr>
            <w:r>
              <w:rPr>
                <w:sz w:val="20"/>
                <w:szCs w:val="20"/>
              </w:rPr>
              <w:t xml:space="preserve">3.2212</w:t>
            </w:r>
          </w:p>
        </w:tc>
        <w:tc>
          <w:tcPr>
            <w:tcW w:w="0" w:type="auto"/>
          </w:tcPr>
          <w:p>
            <w:pPr>
              <w:spacing w:line="240" w:lineRule="auto" w:before="0" w:after="0"/>
              <w:pStyle w:val="Compact"/>
            </w:pPr>
            <w:r>
              <w:rPr>
                <w:sz w:val="20"/>
                <w:szCs w:val="20"/>
              </w:rPr>
              <w:t xml:space="preserve">1.4747</w:t>
            </w:r>
          </w:p>
        </w:tc>
        <w:tc>
          <w:tcPr>
            <w:tcW w:w="0" w:type="auto"/>
          </w:tcPr>
          <w:p>
            <w:pPr>
              <w:spacing w:line="240" w:lineRule="auto" w:before="0" w:after="0"/>
              <w:pStyle w:val="Compact"/>
            </w:pPr>
            <w:r>
              <w:rPr>
                <w:sz w:val="20"/>
                <w:szCs w:val="20"/>
              </w:rPr>
              <w:t xml:space="preserve">2.1843</w:t>
            </w:r>
          </w:p>
        </w:tc>
        <w:tc>
          <w:tcPr>
            <w:tcW w:w="0" w:type="auto"/>
          </w:tcPr>
          <w:p>
            <w:pPr>
              <w:spacing w:line="240" w:lineRule="auto" w:before="0" w:after="0"/>
              <w:pStyle w:val="Compact"/>
            </w:pPr>
            <w:r>
              <w:rPr>
                <w:sz w:val="20"/>
                <w:szCs w:val="20"/>
              </w:rPr>
              <w:t xml:space="preserve">0.0289</w:t>
            </w:r>
          </w:p>
        </w:tc>
        <w:tc>
          <w:tcPr>
            <w:tcW w:w="0" w:type="auto"/>
          </w:tcPr>
          <w:p>
            <w:pPr>
              <w:spacing w:line="240" w:lineRule="auto" w:before="0" w:after="0"/>
              <w:pStyle w:val="Compact"/>
            </w:pPr>
            <w:r>
              <w:rPr>
                <w:sz w:val="20"/>
                <w:szCs w:val="20"/>
              </w:rPr>
              <w:t xml:space="preserve">[0.3308, 6.1115]</w:t>
            </w:r>
          </w:p>
        </w:tc>
        <w:tc>
          <w:tcPr>
            <w:tcW w:w="0" w:type="auto"/>
          </w:tcPr>
          <w:p>
            <w:pPr>
              <w:spacing w:line="240" w:lineRule="auto" w:before="0" w:after="0"/>
              <w:pStyle w:val="Compact"/>
            </w:pPr>
            <w:r>
              <w:rPr>
                <w:sz w:val="20"/>
                <w:szCs w:val="20"/>
              </w:rPr>
              <w:t xml:space="preserve">25.0573</w:t>
            </w:r>
          </w:p>
        </w:tc>
      </w:tr>
    </w:tbl>
    <w:p>
      <w:pPr>
        <w:pStyle w:val="BodyText"/>
      </w:pPr>
      <w:r>
        <w:t xml:space="preserve">Fit: N = 21 events = 20</w:t>
      </w:r>
    </w:p>
    <w:bookmarkEnd w:id="89"/>
    <w:bookmarkEnd w:id="90"/>
    <w:bookmarkEnd w:id="9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3" Target="media/rId83.png" /><Relationship Type="http://schemas.openxmlformats.org/officeDocument/2006/relationships/hyperlink" Id="rId74" Target="https://doi.org/10.1016/j.actaastro.2017.01.018" TargetMode="External" /><Relationship Type="http://schemas.openxmlformats.org/officeDocument/2006/relationships/hyperlink" Id="rId76" Target="https://doi.org/10.1016/j.actaastro.2020.06.023" TargetMode="External" /><Relationship Type="http://schemas.openxmlformats.org/officeDocument/2006/relationships/hyperlink" Id="rId80" Target="https://doi.org/10.1016/j.actaastro.2020.06.026" TargetMode="External" /><Relationship Type="http://schemas.openxmlformats.org/officeDocument/2006/relationships/hyperlink" Id="rId78" Target="https://doi.org/10.1016/j.actaastro.2022.11.005" TargetMode="External" /><Relationship Type="http://schemas.openxmlformats.org/officeDocument/2006/relationships/hyperlink" Id="rId70" Target="https://doi.org/10.1016/j.actaastro.2024.09.005" TargetMode="External" /><Relationship Type="http://schemas.openxmlformats.org/officeDocument/2006/relationships/hyperlink" Id="rId72" Target="https://doi.org/10.1016/j.actaastro.2025.02.009"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1016/j.actaastro.2017.01.018" TargetMode="External" /><Relationship Type="http://schemas.openxmlformats.org/officeDocument/2006/relationships/hyperlink" Id="rId76" Target="https://doi.org/10.1016/j.actaastro.2020.06.023" TargetMode="External" /><Relationship Type="http://schemas.openxmlformats.org/officeDocument/2006/relationships/hyperlink" Id="rId80" Target="https://doi.org/10.1016/j.actaastro.2020.06.026" TargetMode="External" /><Relationship Type="http://schemas.openxmlformats.org/officeDocument/2006/relationships/hyperlink" Id="rId78" Target="https://doi.org/10.1016/j.actaastro.2022.11.005" TargetMode="External" /><Relationship Type="http://schemas.openxmlformats.org/officeDocument/2006/relationships/hyperlink" Id="rId70" Target="https://doi.org/10.1016/j.actaastro.2024.09.005" TargetMode="External" /><Relationship Type="http://schemas.openxmlformats.org/officeDocument/2006/relationships/hyperlink" Id="rId72" Target="https://doi.org/10.1016/j.actaastro.2025.02.009"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2026-06-22T20:31:48Z</dcterms:created>
  <dcterms:modified xsi:type="dcterms:W3CDTF">2026-06-22T20:31:48Z</dcterms:modified>
</cp:coreProperties>
</file>

<file path=docProps/custom.xml><?xml version="1.0" encoding="utf-8"?>
<Properties xmlns="http://schemas.openxmlformats.org/officeDocument/2006/custom-properties" xmlns:vt="http://schemas.openxmlformats.org/officeDocument/2006/docPropsVTypes"/>
</file>