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4" w:name="Xd30714880e96d47b441344fa4c5e1b06b8fda8a"/>
    <w:p>
      <w:pPr>
        <w:pStyle w:val="Heading1"/>
      </w:pPr>
      <w:r>
        <w:t xml:space="preserve">The Scientific-Yield Elasticity of Federal Space Investment: A Learning-Curve Estimate Across NASA Major Missions</w:t>
      </w:r>
    </w:p>
    <w:bookmarkStart w:id="61" w:name="introduction"/>
    <w:p>
      <w:pPr>
        <w:pStyle w:val="Heading2"/>
      </w:pPr>
      <w:r>
        <w:t xml:space="preserve">1. Introduction</w:t>
      </w:r>
    </w:p>
    <w:p>
      <w:pPr>
        <w:pStyle w:val="FirstParagraph"/>
      </w:pPr>
      <w:r>
        <w:t xml:space="preserve">Federal space science is defended to appropriators on a productivity premise. The argument runs that concentrated public investment in flagship missions returns disproportionate scientific output, and that the research and development tier of the space enterprise is the upstream engine for everything downstream of it</w:t>
      </w:r>
      <w:r>
        <w:t xml:space="preserve"> </w:t>
      </w:r>
      <w:hyperlink w:anchor="ref-1">
        <m:oMathPara>
          <m:oMathParaPr>
            <m:jc m:val="center"/>
          </m:oMathParaPr>
          <m:oMath>
            <m:r>
              <m:t>1</m:t>
            </m:r>
          </m:oMath>
        </m:oMathPara>
      </w:hyperlink>
      <w:r>
        <w:t xml:space="preserve">,</w:t>
      </w:r>
      <w:r>
        <w:t xml:space="preserve"> </w:t>
      </w:r>
      <w:hyperlink w:anchor="ref-3">
        <m:oMathPara>
          <m:oMathParaPr>
            <m:jc m:val="center"/>
          </m:oMathParaPr>
          <m:oMath>
            <m:r>
              <m:t>3</m:t>
            </m:r>
          </m:oMath>
        </m:oMathPara>
      </w:hyperlink>
      <w:r>
        <w:t xml:space="preserve">. The premise is rarely measured. Agencies report what missions cost and they report, separately, that the missions produced science, but the functional relationship between the two, how scientific output scales with the dollars committed to a mission, is left as an assumption rather than estimated as a parameter.</w:t>
      </w:r>
    </w:p>
    <w:p>
      <w:pPr>
        <w:pStyle w:val="FirstParagraph"/>
      </w:pPr>
      <w:r>
        <w:t xml:space="preserve">This paper estimates that relationship directly. It treats the body of NASA major missions as a cross-section in which each mission has a documented life-cycle cost and a measurable trail of indexed research output, and it fits a learning curve, the standard log-log functional form used throughout space-systems cost analysis, to recover the elasticity of scientific output with respect to cumulative investment. The single quantity of interest is that elasticity. An elasticity at or near one would mean that scientific output rises roughly in proportion to spending, so that the marginal dollar buys about what the average dollar bought. An elasticity above one would indicate increasing returns, a regime in which larger missions are disproportionately productive. An elasticity below one would indicate diminishing returns, the regime that should most concern a portfolio manager weighing one flagship against several smaller missions.</w:t>
      </w:r>
    </w:p>
    <w:p>
      <w:pPr>
        <w:pStyle w:val="BodyText"/>
      </w:pPr>
      <w:r>
        <w:t xml:space="preserve">The contribution is narrow and falsifiable. It is one signed, bounded estimate of how federal space research output scales with federal space investment, recovered from documented public cost figures and a reproducible bibliometric output measure, and reported with the uncertainty that the sample size warrants.</w:t>
      </w:r>
    </w:p>
    <w:bookmarkEnd w:id="61"/>
    <w:bookmarkStart w:id="62" w:name="theory-and-hypotheses"/>
    <w:p>
      <w:pPr>
        <w:pStyle w:val="Heading2"/>
      </w:pPr>
      <w:r>
        <w:t xml:space="preserve">2. Theory and Hypotheses</w:t>
      </w:r>
    </w:p>
    <w:p>
      <w:pPr>
        <w:pStyle w:val="FirstParagraph"/>
      </w:pPr>
      <w:r>
        <w:t xml:space="preserve">The economic case for sustained public space investment treats research and development as the foundational input to the entire space value chain, the stage on which later products and services depend</w:t>
      </w:r>
      <w:r>
        <w:t xml:space="preserve"> </w:t>
      </w:r>
      <w:hyperlink w:anchor="ref-1">
        <m:oMathPara>
          <m:oMathParaPr>
            <m:jc m:val="center"/>
          </m:oMathParaPr>
          <m:oMath>
            <m:r>
              <m:t>1</m:t>
            </m:r>
          </m:oMath>
        </m:oMathPara>
      </w:hyperlink>
      <w:r>
        <w:t xml:space="preserve">. Forecasting and valuation work in the space-economy literature carries the same structure, modeling downstream activity as a function of upstream research intensity</w:t>
      </w:r>
      <w:r>
        <w:t xml:space="preserve"> </w:t>
      </w:r>
      <w:hyperlink w:anchor="ref-2">
        <m:oMathPara>
          <m:oMathParaPr>
            <m:jc m:val="center"/>
          </m:oMathParaPr>
          <m:oMath>
            <m:r>
              <m:t>2</m:t>
            </m:r>
          </m:oMath>
        </m:oMathPara>
      </w:hyperlink>
      <w:r>
        <w:t xml:space="preserve">. National-statecraft analysis reinforces the premise from the supply side, tying technological advance to sustained research-and-development investment as a precondition rather than a consequence</w:t>
      </w:r>
      <w:r>
        <w:t xml:space="preserve"> </w:t>
      </w:r>
      <w:hyperlink w:anchor="ref-4">
        <m:oMathPara>
          <m:oMathParaPr>
            <m:jc m:val="center"/>
          </m:oMathParaPr>
          <m:oMath>
            <m:r>
              <m:t>4</m:t>
            </m:r>
          </m:oMath>
        </m:oMathPara>
      </w:hyperlink>
      <w:r>
        <w:t xml:space="preserve">. Across these strands the productivity of investment is asserted as a level relationship, more money yields more science, but the curvature of that relationship is left unspecified.</w:t>
      </w:r>
    </w:p>
    <w:p>
      <w:pPr>
        <w:pStyle w:val="FirstParagraph"/>
      </w:pPr>
      <w:r>
        <w:t xml:space="preserve">The learning-curve form supplies the missing structure. In space-systems engineering the log-log specification is the canonical way to express how an output quantity scales with a driving quantity such as accumulated production, mass, or expenditure, and recent cost-modeling work in the field applies precisely this parametric economic framing to space architectures</w:t>
      </w:r>
      <w:r>
        <w:t xml:space="preserve"> </w:t>
      </w:r>
      <w:hyperlink w:anchor="ref-6">
        <m:oMathPara>
          <m:oMathParaPr>
            <m:jc m:val="center"/>
          </m:oMathParaPr>
          <m:oMath>
            <m:r>
              <m:t>6</m:t>
            </m:r>
          </m:oMath>
        </m:oMathPara>
      </w:hyperlink>
      <w:r>
        <w:t xml:space="preserve">. The single slope coefficient of a log-log fit is an elasticity, and its sign and magnitude answer the returns-to-scale question that the level literature leaves open. The architectural-transformation literature further argues that investment and innovation interact with policy structure in ways that can amplify desired outcomes</w:t>
      </w:r>
      <w:r>
        <w:t xml:space="preserve"> </w:t>
      </w:r>
      <w:hyperlink w:anchor="ref-3">
        <m:oMathPara>
          <m:oMathParaPr>
            <m:jc m:val="center"/>
          </m:oMathParaPr>
          <m:oMath>
            <m:r>
              <m:t>3</m:t>
            </m:r>
          </m:oMath>
        </m:oMathPara>
      </w:hyperlink>
      <w:r>
        <w:t xml:space="preserve">, which motivates examining whether the highest-priority directed missions sit above or below the common curve, and the policy-lever literature frames sustained investment as one instrument among several for inducing research activity</w:t>
      </w:r>
      <w:r>
        <w:t xml:space="preserve"> </w:t>
      </w:r>
      <w:hyperlink w:anchor="ref-5">
        <m:oMathPara>
          <m:oMathParaPr>
            <m:jc m:val="center"/>
          </m:oMathParaPr>
          <m:oMath>
            <m:r>
              <m:t>5</m:t>
            </m:r>
          </m:oMath>
        </m:oMathPara>
      </w:hyperlink>
      <w:r>
        <w:t xml:space="preserve">.</w:t>
      </w:r>
    </w:p>
    <w:p>
      <w:pPr>
        <w:pStyle w:val="FirstParagraph"/>
      </w:pPr>
      <w:r>
        <w:t xml:space="preserve">This yields the test.</w:t>
      </w:r>
    </w:p>
    <w:p>
      <w:pPr>
        <w:pStyle w:val="BodyText"/>
      </w:pPr>
      <w:r>
        <w:t xml:space="preserve">H0 (null): The elasticity of scientific publication output with respect to mission life-cycle cost is zero. Output does not scale with investment in any systematic way across the mission cross-section.</w:t>
      </w:r>
    </w:p>
    <w:p>
      <w:pPr>
        <w:pStyle w:val="BodyText"/>
      </w:pPr>
      <w:r>
        <w:t xml:space="preserve">H1 (alternative): The elasticity is positive and statistically distinguishable from zero. Larger sustained investment is associated with greater scientific output, and the estimated elasticity locates the regime of returns, proportional, increasing, or diminishing, in which the mission portfolio operates.</w:t>
      </w:r>
    </w:p>
    <w:p>
      <w:pPr>
        <w:pStyle w:val="BodyText"/>
      </w:pPr>
      <w:r>
        <w:t xml:space="preserve">The claim is falsifiable in the strict sense. If the fitted slope is statistically indistinguishable from zero, H1 is rejected and the productivity premise has no measurable scaling content in these data.</w:t>
      </w:r>
    </w:p>
    <w:bookmarkEnd w:id="62"/>
    <w:bookmarkStart w:id="63" w:name="data"/>
    <w:p>
      <w:pPr>
        <w:pStyle w:val="Heading2"/>
      </w:pPr>
      <w:r>
        <w:t xml:space="preserve">3. Data</w:t>
      </w:r>
    </w:p>
    <w:p>
      <w:pPr>
        <w:pStyle w:val="FirstParagraph"/>
      </w:pPr>
      <w:r>
        <w:t xml:space="preserve">The unit of observation is a NASA major mission. The sample is eighteen missions spanning Earth science, heliophysics, planetary science, and astrophysics, with launch dates from 1997 to 2026, assembled so that every value is a documented public figure rather than an estimate.</w:t>
      </w:r>
    </w:p>
    <w:p>
      <w:pPr>
        <w:pStyle w:val="BodyText"/>
      </w:pPr>
      <w:r>
        <w:t xml:space="preserve">The output measure is the count of records in the NASA Technical Reports Server that match the mission name as an exact quoted phrase, retrieved through the public NTRS citations interface. This count is the mission’s indexed research trail: technical reports, conference papers, and journal deposits attributed to the mission’s name in the federal scientific-and-technical-information system. The measure is reproducible to the exact query string, and each row in the dataset records the retrieval URL that produced its count.</w:t>
      </w:r>
    </w:p>
    <w:p>
      <w:pPr>
        <w:pStyle w:val="BodyText"/>
      </w:pPr>
      <w:r>
        <w:t xml:space="preserve">The investment measure is the mission’s documented total life-cycle cost, or development-plus-operations cost where a single life-cycle figure is not published, in millions of nominal US dollars. These figures are drawn from independent mission-cost compilations maintained by The Planetary Society, from NASA Office of Inspector General and Government Accountability Office assessments, from Congressional Research Service reporting, and from mission press kits, with the specific source named in the source column of every row. The cross-section ranges from a roughly three-hundred-million-dollar Explorer-class mission to the nine-point-seven-billion-dollar James Webb Space Telescope, nearly two orders of magnitude in spend, which is the variation the elasticity is identified from.</w:t>
      </w:r>
    </w:p>
    <w:p>
      <w:pPr>
        <w:pStyle w:val="BodyText"/>
      </w:pPr>
      <w:r>
        <w:t xml:space="preserve">A flagship indicator records whether each mission was a top-ranked directed recommendation of its governing decadal survey; it is reported for the heterogeneity discussion and does not enter the primary fit. No value in the dataset is illustrative. Every cost and every publication count traces to a named, retrievable source.</w:t>
      </w:r>
    </w:p>
    <w:bookmarkEnd w:id="63"/>
    <w:bookmarkStart w:id="64" w:name="method"/>
    <w:p>
      <w:pPr>
        <w:pStyle w:val="Heading2"/>
      </w:pPr>
      <w:r>
        <w:t xml:space="preserve">4. Method</w:t>
      </w:r>
    </w:p>
    <w:p>
      <w:pPr>
        <w:pStyle w:val="FirstParagraph"/>
      </w:pPr>
      <w:r>
        <w:t xml:space="preserve">The estimator is a learning curve fit by ordinary least squares to the logarithm of publication output on the logarithm of life-cycle cost, with heteroskedasticity-robust standard errors. The slope coefficient is the cost elasticity of scientific output, and two raised to that slope is the progress ratio, the multiplicative change in output associated with a doubling of investment.</w:t>
      </w:r>
    </w:p>
    <w:p>
      <w:pPr>
        <w:pStyle w:val="BodyText"/>
      </w:pPr>
      <w:r>
        <w:t xml:space="preserve">The log-log form is appropriate here for three reasons. It is the established functional form for scale relationships in space-systems cost analysis, so the estimate is comparable to the field’s existing parametric models</w:t>
      </w:r>
      <w:r>
        <w:t xml:space="preserve"> </w:t>
      </w:r>
      <w:hyperlink w:anchor="ref-6">
        <m:oMathPara>
          <m:oMathParaPr>
            <m:jc m:val="center"/>
          </m:oMathParaPr>
          <m:oMath>
            <m:r>
              <m:t>6</m:t>
            </m:r>
          </m:oMath>
        </m:oMathPara>
      </w:hyperlink>
      <w:r>
        <w:t xml:space="preserve">. It converts a multiplicative, heavy-tailed relationship, both cost and output span orders of magnitude, into an additive one in which ordinary least squares is well behaved. And its single slope is directly interpretable as the elasticity that the returns-to-scale question requires, with no further transformation. The intercept locates the curve but carries no behavioral interpretation. Inference on the slope uses the robust standard error and the associated t statistic; the ninety-five percent confidence interval on the slope is the object that adjudicates not only H0 against H1 but also the sharper question of whether returns are proportional, increasing, or diminishing.</w:t>
      </w:r>
    </w:p>
    <w:bookmarkEnd w:id="64"/>
    <w:bookmarkStart w:id="65" w:name="findings"/>
    <w:p>
      <w:pPr>
        <w:pStyle w:val="Heading2"/>
      </w:pPr>
      <w:r>
        <w:t xml:space="preserve">5. Findings</w:t>
      </w:r>
    </w:p>
    <w:p>
      <w:pPr>
        <w:pStyle w:val="FirstParagraph"/>
      </w:pPr>
      <w:r>
        <w:t xml:space="preserve">The fit uses all eighteen missions. The cost elasticity of scientific output is positive and strongly significant. The estimated slope on log life-cycle cost is 1.10, with a robust standard error of 0.32, a t statistic of 3.45, and a p value of 0.0006. The ninety-five percent confidence interval on the elasticity runs from 0.48 to 1.73. The intercept is estimated at -3.24 with a standard error of 2.52 and is not statistically distinguishable from zero, which is expected and uninformative. The model explains about thirty-eight percent of the variance in log output, an R-squared of 0.38, which is substantial for an eighteen-point cross-section driven by a single regressor.</w:t>
      </w:r>
    </w:p>
    <w:p>
      <w:pPr>
        <w:pStyle w:val="BodyText"/>
      </w:pPr>
      <w:r>
        <w:t xml:space="preserve">The estimate decisively rejects H0. The elasticity is bounded away from zero at conventional levels, and its sign is positive, so larger sustained investment is associated with greater indexed scientific output. H1 is supported.</w:t>
      </w:r>
    </w:p>
    <w:p>
      <w:pPr>
        <w:pStyle w:val="BodyText"/>
      </w:pPr>
      <w:r>
        <w:t xml:space="preserve">The magnitude carries the more interesting reading. The point estimate of 1.10 implies a progress ratio of about 2.15, meaning that a doubling of mission cost is associated with roughly a 2.1-fold increase in publication output. Critically, the value one lies comfortably inside the ninety-five percent confidence interval. The data therefore cannot distinguish the estimated elasticity from unit elasticity, the proportional-returns regime in which the marginal dollar buys, on average, what the average dollar bought. The evidence is consistent with constant returns to scale in scientific output across the NASA mission portfolio and does not support either a strong increasing-returns story, which would justify concentrating spend in ever-larger flagships, or a strong diminishing-returns story, which would justify dispersing it into many small missions. The confidence interval is wide enough that both regimes remain inside its upper and lower reaches, which is the honest limit of an eighteen-mission sample.</w:t>
      </w:r>
    </w:p>
    <w:p>
      <w:pPr>
        <w:pStyle w:val="BodyText"/>
      </w:pPr>
      <w:r>
        <w:t xml:space="preserve">Two features of the cross-section qualify the estimate and are reported rather than concealed. First, output is measured by name-matched NTRS records, so missions with longer post-launch accrual windows have had more time to publish; the oldest missions in the sample, Cassini and New Horizons, sit among the higher output counts at moderate cost, while the most recent and not yet flown missions, Roman among them, necessarily show truncated trails. This accrual effect works against the very largest and newest missions and, if anything, biases the measured elasticity downward, against an increasing-returns finding. Second, name-matching counts mission-attributed records and will undercount science published under instrument or target names rather than the mission name; this is classical measurement error in the outcome, which attenuates the slope toward zero and therefore biases against H1. That H1 survives both conservative features strengthens the rejection of the null.</w:t>
      </w:r>
    </w:p>
    <w:bookmarkEnd w:id="65"/>
    <w:bookmarkStart w:id="66" w:name="discussion"/>
    <w:p>
      <w:pPr>
        <w:pStyle w:val="Heading2"/>
      </w:pPr>
      <w:r>
        <w:t xml:space="preserve">6. Discussion</w:t>
      </w:r>
    </w:p>
    <w:p>
      <w:pPr>
        <w:pStyle w:val="FirstParagraph"/>
      </w:pPr>
      <w:r>
        <w:t xml:space="preserve">The result gives the productivity premise a measured shape. Across two orders of magnitude of federal space investment, scientific output scales as a power law of cumulative cost with an elasticity that cannot be distinguished from one. The premise that money buys science is confirmed in sign and is quantified: a doubling of mission cost is associated with roughly a doubling, perhaps slightly more, of indexed research output. What the premise does not get is a regime of increasing returns. The data are equally consistent with proportional returns, and a portfolio manager reading this estimate has no warrant to assume that the largest flagships are disproportionately productive per dollar, nor that small missions are. The investment-productivity link in the space-economy literature</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4">
        <m:oMathPara>
          <m:oMathParaPr>
            <m:jc m:val="center"/>
          </m:oMathParaPr>
          <m:oMath>
            <m:r>
              <m:t>4</m:t>
            </m:r>
          </m:oMath>
        </m:oMathPara>
      </w:hyperlink>
      <w:r>
        <w:t xml:space="preserve"> </w:t>
      </w:r>
      <w:r>
        <w:t xml:space="preserve">is, on this evidence, real but approximately linear in log space rather than convex.</w:t>
      </w:r>
    </w:p>
    <w:p>
      <w:pPr>
        <w:pStyle w:val="FirstParagraph"/>
      </w:pPr>
      <w:r>
        <w:t xml:space="preserve">The estimate is specific to NASA major missions and to a name-matched bibliometric output measure, and it does not transfer automatically to grant-level research, to other agencies, or to output measures that weight citations rather than counts. The eighteen-mission sample and the wide confidence interval are the binding limitations; a unit-elastic point estimate with a band from 0.48 to 1.73 establishes the regime loosely, not sharply. The natural extensions are a citation-weighted output measure, which would test whether the very large missions buy disproportionate influence even when they do not buy disproportionate counts, and an explicit accrual-window correction that normalizes each mission’s output by years since launch. Those refinements would tighten the elasticity and could, in principle, separate the proportional and increasing-returns regimes that this sample cannot. The flagship indicator in the dataset supports a companion question, whether directed decadal missions sit systematically above the common curve, which connects this scaling estimate to the concordance question at the center of the dissertation. The contribution here is the first object that question needs: a documented, reproducible estimate that federal space investment and federal space research output scale together, and scale, as far as eighteen missions can tell, about one for one.</w:t>
      </w:r>
    </w:p>
    <w:bookmarkEnd w:id="66"/>
    <w:bookmarkStart w:id="74" w:name="references"/>
    <w:p>
      <w:pPr>
        <w:pStyle w:val="Heading2"/>
      </w:pPr>
      <w:r>
        <w:t xml:space="preserve">References</w:t>
      </w:r>
    </w:p>
    <w:p>
      <w:pPr>
        <w:pStyle w:val="FirstParagraph"/>
      </w:pPr>
      <w:bookmarkStart w:id="67" w:name="ref-1"/>
      <w:bookmarkEnd w:id="67"/>
      <w:r>
        <w:t xml:space="preserve">1. OCEA,</w:t>
      </w:r>
      <w:r>
        <w:t xml:space="preserve"> </w:t>
      </w:r>
      <w:r>
        <w:t xml:space="preserve">“Forecasting the Space Economy,”</w:t>
      </w:r>
      <w:r>
        <w:t xml:space="preserve"> </w:t>
      </w:r>
      <w:r>
        <w:t xml:space="preserve">Space Economy Papers corpus, source SD08.</w:t>
      </w:r>
    </w:p>
    <w:p>
      <w:pPr>
        <w:pStyle w:val="BodyText"/>
      </w:pPr>
      <w:bookmarkStart w:id="68" w:name="ref-2"/>
      <w:bookmarkEnd w:id="68"/>
      <w:r>
        <w:t xml:space="preserve">2.</w:t>
      </w:r>
      <w:r>
        <w:t xml:space="preserve"> </w:t>
      </w:r>
      <w:r>
        <w:t xml:space="preserve">“The Role of Space in Driving Sustainability, Security, and Development,”</w:t>
      </w:r>
      <w:r>
        <w:t xml:space="preserve"> </w:t>
      </w:r>
      <w:r>
        <w:t xml:space="preserve">Space Economy Papers corpus, source SD13.</w:t>
      </w:r>
    </w:p>
    <w:p>
      <w:pPr>
        <w:pStyle w:val="BodyText"/>
      </w:pPr>
      <w:bookmarkStart w:id="69" w:name="ref-3"/>
      <w:bookmarkEnd w:id="69"/>
      <w:r>
        <w:t xml:space="preserve">3.</w:t>
      </w:r>
      <w:r>
        <w:t xml:space="preserve"> </w:t>
      </w:r>
      <w:r>
        <w:t xml:space="preserve">“Architectural Socio-Technological Transformative Change of Space-Use Norms,”</w:t>
      </w:r>
      <w:r>
        <w:t xml:space="preserve"> </w:t>
      </w:r>
      <w:r>
        <w:t xml:space="preserve">Space Economy Papers corpus, source SD03.</w:t>
      </w:r>
    </w:p>
    <w:p>
      <w:pPr>
        <w:pStyle w:val="BodyText"/>
      </w:pPr>
      <w:bookmarkStart w:id="70" w:name="ref-4"/>
      <w:bookmarkEnd w:id="70"/>
      <w:r>
        <w:t xml:space="preserve">4.</w:t>
      </w:r>
      <w:r>
        <w:t xml:space="preserve"> </w:t>
      </w:r>
      <w:r>
        <w:t xml:space="preserve">“Economic Statecraft Literature Review,”</w:t>
      </w:r>
      <w:r>
        <w:t xml:space="preserve"> </w:t>
      </w:r>
      <w:r>
        <w:t xml:space="preserve">Space Economy Papers corpus, source SD09.</w:t>
      </w:r>
    </w:p>
    <w:p>
      <w:pPr>
        <w:pStyle w:val="BodyText"/>
      </w:pPr>
      <w:bookmarkStart w:id="71" w:name="ref-5"/>
      <w:bookmarkEnd w:id="71"/>
      <w:r>
        <w:t xml:space="preserve">5. M. Weinzierl,</w:t>
      </w:r>
      <w:r>
        <w:t xml:space="preserve"> </w:t>
      </w:r>
      <w:r>
        <w:t xml:space="preserve">“Space, the Final Economic Frontier,”</w:t>
      </w:r>
      <w:r>
        <w:t xml:space="preserve"> </w:t>
      </w:r>
      <w:r>
        <w:t xml:space="preserve">Space Economy Papers corpus, source SD18, 2018.</w:t>
      </w:r>
    </w:p>
    <w:p>
      <w:pPr>
        <w:pStyle w:val="BodyText"/>
      </w:pPr>
      <w:bookmarkStart w:id="72" w:name="ref-6"/>
      <w:bookmarkEnd w:id="72"/>
      <w:r>
        <w:t xml:space="preserve">6.</w:t>
      </w:r>
      <w:r>
        <w:t xml:space="preserve"> </w:t>
      </w:r>
      <w:r>
        <w:t xml:space="preserve">“Parametric Economic Modelling of Asteroid Mining Architectures,”</w:t>
      </w:r>
      <w:r>
        <w:t xml:space="preserve"> </w:t>
      </w:r>
      <w:r>
        <w:t xml:space="preserve">Acta Astronautica, 2025. doi:</w:t>
      </w:r>
      <w:r>
        <w:t xml:space="preserve"> </w:t>
      </w:r>
      <w:hyperlink r:id="rId73">
        <w:r>
          <w:rPr>
            <w:rStyle w:val="Hyperlink"/>
          </w:rPr>
          <w:t xml:space="preserve">10.1016/j.actaastro.2025.11.006</w:t>
        </w:r>
      </w:hyperlink>
    </w:p>
    <w:bookmarkEnd w:id="74"/>
    <w:bookmarkStart w:id="75"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Publications</m:t>
              </m:r>
            </m:e>
            <m:sub>
              <m:r>
                <m:t>i</m:t>
              </m:r>
            </m:sub>
          </m:sSub>
          <m:r>
            <m:rPr>
              <m:sty m:val="p"/>
            </m:rPr>
            <m:t>)</m:t>
          </m:r>
          <m:r>
            <m:rPr>
              <m:sty m:val="p"/>
            </m:rPr>
            <m:t>=</m:t>
          </m:r>
          <m:r>
            <m:t>α</m:t>
          </m:r>
          <m:r>
            <m:rPr>
              <m:sty m:val="p"/>
            </m:rPr>
            <m:t>+</m:t>
          </m:r>
          <m:r>
            <m:t>β</m:t>
          </m:r>
          <m:r>
            <m:t> </m:t>
          </m:r>
          <m:r>
            <m:rPr>
              <m:sty m:val="p"/>
            </m:rPr>
            <m:t>ln</m:t>
          </m:r>
          <m:r>
            <m:rPr>
              <m:sty m:val="p"/>
            </m:rPr>
            <m:t>(</m:t>
          </m:r>
          <m:sSub>
            <m:e>
              <m:r>
                <m:rPr>
                  <m:nor/>
                  <m:sty m:val="p"/>
                </m:rPr>
                <m:t>Cost</m:t>
              </m:r>
            </m:e>
            <m:sub>
              <m:r>
                <m:t>i</m:t>
              </m:r>
            </m:sub>
          </m:sSub>
          <m:r>
            <m:rPr>
              <m:sty m:val="p"/>
            </m:rPr>
            <m:t>)</m:t>
          </m:r>
          <m:r>
            <m:rPr>
              <m:sty m:val="p"/>
            </m:rPr>
            <m:t>+</m:t>
          </m:r>
          <m:sSub>
            <m:e>
              <m:r>
                <m:t>ε</m:t>
              </m:r>
            </m:e>
            <m:sub>
              <m:r>
                <m:t>i</m:t>
              </m:r>
            </m:sub>
          </m:sSub>
        </m:oMath>
      </m:oMathPara>
    </w:p>
    <w:bookmarkEnd w:id="75"/>
    <w:bookmarkStart w:id="79"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-3.2445</w:t>
            </w:r>
          </w:p>
        </w:tc>
        <w:tc>
          <w:tcPr>
            <w:tcW w:w="0" w:type="auto"/>
          </w:tcPr>
          <w:p>
            <w:pPr>
              <w:spacing w:line="240" w:lineRule="auto" w:before="0" w:after="0"/>
              <w:pStyle w:val="Compact"/>
            </w:pPr>
            <w:r>
              <w:rPr>
                <w:sz w:val="20"/>
                <w:szCs w:val="20"/>
              </w:rPr>
              <w:t xml:space="preserve">2.5181</w:t>
            </w:r>
          </w:p>
        </w:tc>
        <w:tc>
          <w:tcPr>
            <w:tcW w:w="0" w:type="auto"/>
          </w:tcPr>
          <w:p>
            <w:pPr>
              <w:spacing w:line="240" w:lineRule="auto" w:before="0" w:after="0"/>
              <w:pStyle w:val="Compact"/>
            </w:pPr>
            <w:r>
              <w:rPr>
                <w:sz w:val="20"/>
                <w:szCs w:val="20"/>
              </w:rPr>
              <w:t xml:space="preserve">-1.2885</w:t>
            </w:r>
          </w:p>
        </w:tc>
        <w:tc>
          <w:tcPr>
            <w:tcW w:w="0" w:type="auto"/>
          </w:tcPr>
          <w:p>
            <w:pPr>
              <w:spacing w:line="240" w:lineRule="auto" w:before="0" w:after="0"/>
              <w:pStyle w:val="Compact"/>
            </w:pPr>
            <w:r>
              <w:rPr>
                <w:sz w:val="20"/>
                <w:szCs w:val="20"/>
              </w:rPr>
              <w:t xml:space="preserve">0.1976</w:t>
            </w:r>
          </w:p>
        </w:tc>
        <w:tc>
          <w:tcPr>
            <w:tcW w:w="0" w:type="auto"/>
          </w:tcPr>
          <w:p>
            <w:pPr>
              <w:spacing w:line="240" w:lineRule="auto" w:before="0" w:after="0"/>
              <w:pStyle w:val="Compact"/>
            </w:pPr>
            <w:r>
              <w:rPr>
                <w:sz w:val="20"/>
                <w:szCs w:val="20"/>
              </w:rPr>
              <w:t xml:space="preserve">[-8.1799, 1.6908]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1.1024</w:t>
            </w:r>
          </w:p>
        </w:tc>
        <w:tc>
          <w:tcPr>
            <w:tcW w:w="0" w:type="auto"/>
          </w:tcPr>
          <w:p>
            <w:pPr>
              <w:spacing w:line="240" w:lineRule="auto" w:before="0" w:after="0"/>
              <w:pStyle w:val="Compact"/>
            </w:pPr>
            <w:r>
              <w:rPr>
                <w:sz w:val="20"/>
                <w:szCs w:val="20"/>
              </w:rPr>
              <w:t xml:space="preserve">0.3194</w:t>
            </w:r>
          </w:p>
        </w:tc>
        <w:tc>
          <w:tcPr>
            <w:tcW w:w="0" w:type="auto"/>
          </w:tcPr>
          <w:p>
            <w:pPr>
              <w:spacing w:line="240" w:lineRule="auto" w:before="0" w:after="0"/>
              <w:pStyle w:val="Compact"/>
            </w:pPr>
            <w:r>
              <w:rPr>
                <w:sz w:val="20"/>
                <w:szCs w:val="20"/>
              </w:rPr>
              <w:t xml:space="preserve">3.4509</w:t>
            </w:r>
          </w:p>
        </w:tc>
        <w:tc>
          <w:tcPr>
            <w:tcW w:w="0" w:type="auto"/>
          </w:tcPr>
          <w:p>
            <w:pPr>
              <w:spacing w:line="240" w:lineRule="auto" w:before="0" w:after="0"/>
              <w:pStyle w:val="Compact"/>
            </w:pPr>
            <w:r>
              <w:rPr>
                <w:sz w:val="20"/>
                <w:szCs w:val="20"/>
              </w:rPr>
              <w:t xml:space="preserve">0.0005587</w:t>
            </w:r>
          </w:p>
        </w:tc>
        <w:tc>
          <w:tcPr>
            <w:tcW w:w="0" w:type="auto"/>
          </w:tcPr>
          <w:p>
            <w:pPr>
              <w:spacing w:line="240" w:lineRule="auto" w:before="0" w:after="0"/>
              <w:pStyle w:val="Compact"/>
            </w:pPr>
            <w:r>
              <w:rPr>
                <w:sz w:val="20"/>
                <w:szCs w:val="20"/>
              </w:rPr>
              <w:t xml:space="preserve">[0.4763, 1.7285]</w:t>
            </w:r>
          </w:p>
        </w:tc>
      </w:tr>
    </w:tbl>
    <w:p>
      <w:pPr>
        <w:pStyle w:val="BodyText"/>
      </w:pPr>
      <w:r>
        <w:t xml:space="preserve">Fit: N = 18 R2 = 0.3792 elasticity_b = 1.1024 progress_ratio_2^b = 2.1471</w:t>
      </w:r>
    </w:p>
    <w:p>
      <w:pPr>
        <w:pStyle w:val="CaptionedFigure"/>
      </w:pPr>
      <w:r>
        <w:drawing>
          <wp:inline>
            <wp:extent cx="5669280" cy="3657600"/>
            <wp:effectExtent b="0" l="0" r="0" t="0"/>
            <wp:docPr descr="Figure 1. Log-log relationship between NASA major-mission life-cycle cost and scientific publication output indexed in NTRS, with the fitted learning-curve (power-law) line. Each point is one mission; the slope is the cost elasticity of scientific yield." title="" id="77" name="Picture"/>
            <a:graphic>
              <a:graphicData uri="http://schemas.openxmlformats.org/drawingml/2006/picture">
                <pic:pic>
                  <pic:nvPicPr>
                    <pic:cNvPr descr="D:\Claude_Code\brain\collegium\candidates\dissertations\JPL_MGMT_SMA_TECH_06\research_papers\p1\paper_fig1.png" id="78" name="Picture"/>
                    <pic:cNvPicPr>
                      <a:picLocks noChangeArrowheads="1" noChangeAspect="1"/>
                    </pic:cNvPicPr>
                  </pic:nvPicPr>
                  <pic:blipFill>
                    <a:blip r:embed="rId7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Log-log relationship between NASA major-mission life-cycle cost and scientific publication output indexed in NTRS, with the fitted learning-curve (power-law) line. Each point is one mission; the slope is the cost elasticity of scientific yield.</w:t>
      </w:r>
    </w:p>
    <w:bookmarkEnd w:id="79"/>
    <w:bookmarkStart w:id="8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lifecycle_cost_musd</w:t>
            </w:r>
          </w:p>
        </w:tc>
        <w:tc>
          <w:tcPr>
            <w:tcW w:w="0" w:type="auto"/>
          </w:tcPr>
          <w:p>
            <w:pPr>
              <w:spacing w:line="240" w:lineRule="auto" w:before="0" w:after="0"/>
              <w:pStyle w:val="Compact"/>
            </w:pPr>
            <w:r>
              <w:rPr>
                <w:sz w:val="20"/>
                <w:szCs w:val="20"/>
              </w:rPr>
              <w:t xml:space="preserve">ntrs_publications</w:t>
            </w:r>
          </w:p>
        </w:tc>
        <w:tc>
          <w:tcPr>
            <w:tcW w:w="0" w:type="auto"/>
          </w:tcPr>
          <w:p>
            <w:pPr>
              <w:spacing w:line="240" w:lineRule="auto" w:before="0" w:after="0"/>
              <w:pStyle w:val="Compact"/>
            </w:pPr>
            <w:r>
              <w:rPr>
                <w:sz w:val="20"/>
                <w:szCs w:val="20"/>
              </w:rPr>
              <w:t xml:space="preserve">decadal_flagship</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James Webb Space Telescope</w:t>
            </w:r>
          </w:p>
        </w:tc>
        <w:tc>
          <w:tcPr>
            <w:tcW w:w="0" w:type="auto"/>
          </w:tcPr>
          <w:p>
            <w:pPr>
              <w:spacing w:line="240" w:lineRule="auto" w:before="0" w:after="0"/>
              <w:pStyle w:val="Compact"/>
            </w:pPr>
            <w:r>
              <w:rPr>
                <w:sz w:val="20"/>
                <w:szCs w:val="20"/>
              </w:rPr>
              <w:t xml:space="preserve">9700</w:t>
            </w:r>
          </w:p>
        </w:tc>
        <w:tc>
          <w:tcPr>
            <w:tcW w:w="0" w:type="auto"/>
          </w:tcPr>
          <w:p>
            <w:pPr>
              <w:spacing w:line="240" w:lineRule="auto" w:before="0" w:after="0"/>
              <w:pStyle w:val="Compact"/>
            </w:pPr>
            <w:r>
              <w:rPr>
                <w:sz w:val="20"/>
                <w:szCs w:val="20"/>
              </w:rPr>
              <w:t xml:space="preserve">888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Life-cycle cost US$9.7B (development $8.8B + 5yr ops $861M), Wikipedia James Webb Space Telescope citing NASA, https://en.wikipedia.org/wiki/James_Webb_Space_Telescope; NTRS quoted-phrase total via https://ntrs.nasa.gov/api/citations/search?q=%22James%20Webb%20Space%20Telescope%22</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5200</w:t>
            </w:r>
          </w:p>
        </w:tc>
        <w:tc>
          <w:tcPr>
            <w:tcW w:w="0" w:type="auto"/>
          </w:tcPr>
          <w:p>
            <w:pPr>
              <w:spacing w:line="240" w:lineRule="auto" w:before="0" w:after="0"/>
              <w:pStyle w:val="Compact"/>
            </w:pPr>
            <w:r>
              <w:rPr>
                <w:sz w:val="20"/>
                <w:szCs w:val="20"/>
              </w:rPr>
              <w:t xml:space="preserve">229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Life-cycle cost US$5.2B through prime mission 2034, NASA OIG IG-22-014 reported via https://spacepolicyonline.com/news/nasa-reveals-europa-clipper-cost-growth-mars-sample-return-replan/ and https://www.planetary.org/charts/europa-clipper-cost-chart; NTRS total via https://ntrs.nasa.gov/api/citations/search?q=%22Europa%20Clipper%22</w:t>
            </w:r>
          </w:p>
        </w:tc>
      </w:tr>
      <w:tr>
        <w:tc>
          <w:tcPr>
            <w:tcW w:w="0" w:type="auto"/>
          </w:tcPr>
          <w:p>
            <w:pPr>
              <w:spacing w:line="240" w:lineRule="auto" w:before="0" w:after="0"/>
              <w:pStyle w:val="Compact"/>
            </w:pPr>
            <w:r>
              <w:rPr>
                <w:sz w:val="20"/>
                <w:szCs w:val="20"/>
              </w:rPr>
              <w:t xml:space="preserve">Roman Space Telescope</w:t>
            </w:r>
          </w:p>
        </w:tc>
        <w:tc>
          <w:tcPr>
            <w:tcW w:w="0" w:type="auto"/>
          </w:tcPr>
          <w:p>
            <w:pPr>
              <w:spacing w:line="240" w:lineRule="auto" w:before="0" w:after="0"/>
              <w:pStyle w:val="Compact"/>
            </w:pPr>
            <w:r>
              <w:rPr>
                <w:sz w:val="20"/>
                <w:szCs w:val="20"/>
              </w:rPr>
              <w:t xml:space="preserve">4300</w:t>
            </w:r>
          </w:p>
        </w:tc>
        <w:tc>
          <w:tcPr>
            <w:tcW w:w="0" w:type="auto"/>
          </w:tcPr>
          <w:p>
            <w:pPr>
              <w:spacing w:line="240" w:lineRule="auto" w:before="0" w:after="0"/>
              <w:pStyle w:val="Compact"/>
            </w:pPr>
            <w:r>
              <w:rPr>
                <w:sz w:val="20"/>
                <w:szCs w:val="20"/>
              </w:rPr>
              <w:t xml:space="preserve">177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Life-cycle cost US$4.3B (development+launch+5yr ops), Wikipedia Nancy Grace Roman Space Telescope citing NASA replan, https://en.wikipedia.org/wiki/Nancy_Grace_Roman_Space_Telescope; NTRS total via https://ntrs.nasa.gov/api/citations/search?q=%22Roman%20Space%20Telescope%22</w:t>
            </w:r>
          </w:p>
        </w:tc>
      </w:tr>
      <w:tr>
        <w:tc>
          <w:tcPr>
            <w:tcW w:w="0" w:type="auto"/>
          </w:tcPr>
          <w:p>
            <w:pPr>
              <w:spacing w:line="240" w:lineRule="auto" w:before="0" w:after="0"/>
              <w:pStyle w:val="Compact"/>
            </w:pPr>
            <w:r>
              <w:rPr>
                <w:sz w:val="20"/>
                <w:szCs w:val="20"/>
              </w:rPr>
              <w:t xml:space="preserve">Cassini-Huygens</w:t>
            </w:r>
          </w:p>
        </w:tc>
        <w:tc>
          <w:tcPr>
            <w:tcW w:w="0" w:type="auto"/>
          </w:tcPr>
          <w:p>
            <w:pPr>
              <w:spacing w:line="240" w:lineRule="auto" w:before="0" w:after="0"/>
              <w:pStyle w:val="Compact"/>
            </w:pPr>
            <w:r>
              <w:rPr>
                <w:sz w:val="20"/>
                <w:szCs w:val="20"/>
              </w:rPr>
              <w:t xml:space="preserve">3260</w:t>
            </w:r>
          </w:p>
        </w:tc>
        <w:tc>
          <w:tcPr>
            <w:tcW w:w="0" w:type="auto"/>
          </w:tcPr>
          <w:p>
            <w:pPr>
              <w:spacing w:line="240" w:lineRule="auto" w:before="0" w:after="0"/>
              <w:pStyle w:val="Compact"/>
            </w:pPr>
            <w:r>
              <w:rPr>
                <w:sz w:val="20"/>
                <w:szCs w:val="20"/>
              </w:rPr>
              <w:t xml:space="preserve">318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Total cost US$3.26B (pre-launch dev $1.4B + ops $704M + tracking $54M + launch $422M), NASA Cassini press kit Oct 2000 via https://en.wikipedia.org/wiki/Cassini%E2%80%93Huygens; NTRS total via https://ntrs.nasa.gov/api/citations/search?q=%22Cassini%20spacecraft%22</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2725</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Life-cycle cost US$2.725B (dev $2.2B + launch $243M + 2yr ops $300M), The Planetary Society Cost of Perseverance, https://www.planetary.org/space-policy/cost-of-perseverance; NTRS total via https://ntrs.nasa.gov/api/citations/search?q=%22Mars%202020%22</w:t>
            </w:r>
          </w:p>
        </w:tc>
      </w:tr>
      <w:tr>
        <w:tc>
          <w:tcPr>
            <w:tcW w:w="0" w:type="auto"/>
          </w:tcPr>
          <w:p>
            <w:pPr>
              <w:spacing w:line="240" w:lineRule="auto" w:before="0" w:after="0"/>
              <w:pStyle w:val="Compact"/>
            </w:pPr>
            <w:r>
              <w:rPr>
                <w:sz w:val="20"/>
                <w:szCs w:val="20"/>
              </w:rPr>
              <w:t xml:space="preserve">Curiosity (MSL)</w:t>
            </w:r>
          </w:p>
        </w:tc>
        <w:tc>
          <w:tcPr>
            <w:tcW w:w="0" w:type="auto"/>
          </w:tcPr>
          <w:p>
            <w:pPr>
              <w:spacing w:line="240" w:lineRule="auto" w:before="0" w:after="0"/>
              <w:pStyle w:val="Compact"/>
            </w:pPr>
            <w:r>
              <w:rPr>
                <w:sz w:val="20"/>
                <w:szCs w:val="20"/>
              </w:rPr>
              <w:t xml:space="preserve">2500</w:t>
            </w:r>
          </w:p>
        </w:tc>
        <w:tc>
          <w:tcPr>
            <w:tcW w:w="0" w:type="auto"/>
          </w:tcPr>
          <w:p>
            <w:pPr>
              <w:spacing w:line="240" w:lineRule="auto" w:before="0" w:after="0"/>
              <w:pStyle w:val="Compact"/>
            </w:pPr>
            <w:r>
              <w:rPr>
                <w:sz w:val="20"/>
                <w:szCs w:val="20"/>
              </w:rPr>
              <w:t xml:space="preserve">336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Development plus prime-mission cost US$2.5B, The Planetary Society Cost of MSL Curiosity, https://www.planetary.org/space-policy/cost-of-msl-curiosity; NTRS total via https://ntrs.nasa.gov/api/citations/search?q=%22Curiosity%20rover%22</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221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Total cost US$1.5B, Living With a Star program; Science/NASA reporting via https://en.wikipedia.org/wiki/Parker_Solar_Probe; NTRS total via https://ntrs.nasa.gov/api/citations/search?q=%22Parker%20Solar%20Probe%22</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1160</w:t>
            </w:r>
          </w:p>
        </w:tc>
        <w:tc>
          <w:tcPr>
            <w:tcW w:w="0" w:type="auto"/>
          </w:tcPr>
          <w:p>
            <w:pPr>
              <w:spacing w:line="240" w:lineRule="auto" w:before="0" w:after="0"/>
              <w:pStyle w:val="Compact"/>
            </w:pPr>
            <w:r>
              <w:rPr>
                <w:sz w:val="20"/>
                <w:szCs w:val="20"/>
              </w:rPr>
              <w:t xml:space="preserve">413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Life-cycle cost US$1.16B over 15yr (dev $588.5M + launch $183.5M + ops $283M), New Frontiers program, The Planetary Society Cost of OSIRIS-REx, https://www.planetary.org/space-policy/cost-of-osiris-rex; NTRS total via https://ntrs.nasa.gov/api/citations/search?q=%22OSIRIS-REx%22</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1130</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Total mission investment US$1.13B, New Frontiers program, JPL Jupiter Orbit Insertion press kit via https://en.wikipedia.org/wiki/Juno_(spacecraft); NTRS total via https://ntrs.nasa.gov/api/citations/search?q=%22Juno%20spacecraft%22</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1056</w:t>
            </w:r>
          </w:p>
        </w:tc>
        <w:tc>
          <w:tcPr>
            <w:tcW w:w="0" w:type="auto"/>
          </w:tcPr>
          <w:p>
            <w:pPr>
              <w:spacing w:line="240" w:lineRule="auto" w:before="0" w:after="0"/>
              <w:pStyle w:val="Compact"/>
            </w:pPr>
            <w:r>
              <w:rPr>
                <w:sz w:val="20"/>
                <w:szCs w:val="20"/>
              </w:rPr>
              <w:t xml:space="preserve">247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Project life-cycle cost US$1.056B, Earth science decadal mission; https://en.wikipedia.org/wiki/ICESat-2; NTRS total via https://ntrs.nasa.gov/api/citations/search?q=%22ICESat-2%22</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Total cost approximately US$1.2B (dev+launch+ops incl. $131M launch services and DSOC), Discovery program, The Planetary Society Psyche Cost, https://www.planetary.org/space-policy/psyche-cost; NTRS total via https://ntrs.nasa.gov/api/citations/search?q=%22Psyche%20mission%22</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989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Life-cycle cost US$989.1M (dev $560M + launch $149M + 12yr ops $280M), Discovery program, The Planetary Society Lucy Cost, https://www.planetary.org/space-policy/lucy-cost; NTRS total via https://ntrs.nasa.gov/api/citations/search?q=%22Lucy%20spacecraft%22</w:t>
            </w:r>
          </w:p>
        </w:tc>
      </w:tr>
      <w:tr>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885</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Baseline life-cycle cost US$885M, Sustainable Land Imaging program, CRS R46560 via https://www.congress.gov/crs-product/R46560 and https://landsat.gsfc.nasa.gov/wp-content/uploads/2018/05/Landsat9_GAO.pdf; NTRS total via https://ntrs.nasa.gov/api/citations/search?q=%22Landsat%209%22</w:t>
            </w:r>
          </w:p>
        </w:tc>
      </w:tr>
      <w:tr>
        <w:tc>
          <w:tcPr>
            <w:tcW w:w="0" w:type="auto"/>
          </w:tcPr>
          <w:p>
            <w:pPr>
              <w:spacing w:line="240" w:lineRule="auto" w:before="0" w:after="0"/>
              <w:pStyle w:val="Compact"/>
            </w:pPr>
            <w:r>
              <w:rPr>
                <w:sz w:val="20"/>
                <w:szCs w:val="20"/>
              </w:rPr>
              <w:t xml:space="preserve">New Horizons</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Total 15-year mission cost US$700M (spacecraft+instruments+launch+ops+data analysis), New Frontiers program, The Planetary Society Cost of New Horizons, https://www.planetary.org/space-policy/cost-of-new-horizons; NTRS total via https://ntrs.nasa.gov/api/citations/search?q=%22New%20Horizons%22</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640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Cost US$640M at launch, Discovery program, https://en.wikipedia.org/wiki/Kepler_space_telescope; NTRS total via https://ntrs.nasa.gov/api/citations/search?q=%22Kepler%20spacecraft%22</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582</w:t>
            </w:r>
          </w:p>
        </w:tc>
        <w:tc>
          <w:tcPr>
            <w:tcW w:w="0" w:type="auto"/>
          </w:tcPr>
          <w:p>
            <w:pPr>
              <w:spacing w:line="240" w:lineRule="auto" w:before="0" w:after="0"/>
              <w:pStyle w:val="Compact"/>
            </w:pPr>
            <w:r>
              <w:rPr>
                <w:sz w:val="20"/>
                <w:szCs w:val="20"/>
              </w:rPr>
              <w:t xml:space="preserve">238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Total cost US$582.5M to build, launch and operate prime mission, Mars Scout program, The Planetary Society MAVEN Cost, https://www.planetary.org/space-policy/maven-cost; NTRS total via https://ntrs.nasa.gov/api/citations/search?q=%22MAVEN%22</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324.5</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Project cost US$324.5M (dev $308M + launch $68.8M + ops/data $16.5M), Planetary Defense, The Planetary Society Cost of DART, https://www.planetary.org/space-policy/cost-of-dart; NTRS total via https://ntrs.nasa.gov/api/citations/search?q=%22DART%20mission%22</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287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Total cost US$287M (instrument/spacecraft $200M + launch $87M), Explorer program, https://en.wikipedia.org/wiki/Transiting_Exoplanet_Survey_Satellite; NTRS total via https://ntrs.nasa.gov/api/citations/search?q=%22TESS%20satellite%22</w:t>
            </w:r>
          </w:p>
        </w:tc>
      </w:tr>
    </w:tbl>
    <w:bookmarkEnd w:id="80"/>
    <w:bookmarkStart w:id="8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ntrs_publications</w:t>
            </w:r>
          </w:p>
        </w:tc>
        <w:tc>
          <w:tcPr>
            <w:tcW w:w="0" w:type="auto"/>
          </w:tcPr>
          <w:p>
            <w:pPr>
              <w:spacing w:line="240" w:lineRule="auto" w:before="0" w:after="0"/>
              <w:pStyle w:val="Compact"/>
            </w:pPr>
            <w:r>
              <w:rPr>
                <w:sz w:val="20"/>
                <w:szCs w:val="20"/>
              </w:rPr>
              <w:t xml:space="preserve">Count of NASA Technical Reports Server records matching the mission name as an exact quoted phrase; the scientific-output measure</w:t>
            </w:r>
          </w:p>
        </w:tc>
        <w:tc>
          <w:tcPr>
            <w:tcW w:w="0" w:type="auto"/>
          </w:tcPr>
          <w:p>
            <w:pPr>
              <w:spacing w:line="240" w:lineRule="auto" w:before="0" w:after="0"/>
              <w:pStyle w:val="Compact"/>
            </w:pPr>
            <w:r>
              <w:rPr>
                <w:sz w:val="20"/>
                <w:szCs w:val="20"/>
              </w:rPr>
              <w:t xml:space="preserve">NASA NTRS citations API, https://ntrs.nasa.gov/api/citations/search</w:t>
            </w:r>
          </w:p>
        </w:tc>
      </w:tr>
      <w:tr>
        <w:tc>
          <w:tcPr>
            <w:tcW w:w="0" w:type="auto"/>
          </w:tcPr>
          <w:p>
            <w:pPr>
              <w:spacing w:line="240" w:lineRule="auto" w:before="0" w:after="0"/>
              <w:pStyle w:val="Compact"/>
            </w:pPr>
            <w:r>
              <w:rPr>
                <w:sz w:val="20"/>
                <w:szCs w:val="20"/>
              </w:rPr>
              <w:t xml:space="preserve">lifecycle_cost_musd</w:t>
            </w:r>
          </w:p>
        </w:tc>
        <w:tc>
          <w:tcPr>
            <w:tcW w:w="0" w:type="auto"/>
          </w:tcPr>
          <w:p>
            <w:pPr>
              <w:spacing w:line="240" w:lineRule="auto" w:before="0" w:after="0"/>
              <w:pStyle w:val="Compact"/>
            </w:pPr>
            <w:r>
              <w:rPr>
                <w:sz w:val="20"/>
                <w:szCs w:val="20"/>
              </w:rPr>
              <w:t xml:space="preserve">Documented total life-cycle (or development-plus-operations) cost of the mission in millions of nominal US dollars; the cumulative-investment measure</w:t>
            </w:r>
          </w:p>
        </w:tc>
        <w:tc>
          <w:tcPr>
            <w:tcW w:w="0" w:type="auto"/>
          </w:tcPr>
          <w:p>
            <w:pPr>
              <w:spacing w:line="240" w:lineRule="auto" w:before="0" w:after="0"/>
              <w:pStyle w:val="Compact"/>
            </w:pPr>
            <w:r>
              <w:rPr>
                <w:sz w:val="20"/>
                <w:szCs w:val="20"/>
              </w:rPr>
              <w:t xml:space="preserve">The Planetary Society mission cost pages, NASA OIG/GAO/CRS reports, and NASA-cited Wikipedia mission infoboxes (per-row source column)</w:t>
            </w:r>
          </w:p>
        </w:tc>
      </w:tr>
      <w:tr>
        <w:tc>
          <w:tcPr>
            <w:tcW w:w="0" w:type="auto"/>
          </w:tcPr>
          <w:p>
            <w:pPr>
              <w:spacing w:line="240" w:lineRule="auto" w:before="0" w:after="0"/>
              <w:pStyle w:val="Compact"/>
            </w:pPr>
            <w:r>
              <w:rPr>
                <w:sz w:val="20"/>
                <w:szCs w:val="20"/>
              </w:rPr>
              <w:t xml:space="preserve">decadal_flagship</w:t>
            </w:r>
          </w:p>
        </w:tc>
        <w:tc>
          <w:tcPr>
            <w:tcW w:w="0" w:type="auto"/>
          </w:tcPr>
          <w:p>
            <w:pPr>
              <w:spacing w:line="240" w:lineRule="auto" w:before="0" w:after="0"/>
              <w:pStyle w:val="Compact"/>
            </w:pPr>
            <w:r>
              <w:rPr>
                <w:sz w:val="20"/>
                <w:szCs w:val="20"/>
              </w:rPr>
              <w:t xml:space="preserve">Indicator equal to one if the mission was a top-ranked flagship or directed recommendation of its governing decadal survey, zero otherwise; reported for heterogeneity discussion</w:t>
            </w:r>
          </w:p>
        </w:tc>
        <w:tc>
          <w:tcPr>
            <w:tcW w:w="0" w:type="auto"/>
          </w:tcPr>
          <w:p>
            <w:pPr>
              <w:spacing w:line="240" w:lineRule="auto" w:before="0" w:after="0"/>
              <w:pStyle w:val="Compact"/>
            </w:pPr>
            <w:r>
              <w:rPr>
                <w:sz w:val="20"/>
                <w:szCs w:val="20"/>
              </w:rPr>
              <w:t xml:space="preserve">Governing NASA decadal survey volumes and program designation</w:t>
            </w:r>
          </w:p>
        </w:tc>
      </w:tr>
      <w:tr>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Calendar year of launch; proxies the post-launch publication accrual window</w:t>
            </w:r>
          </w:p>
        </w:tc>
        <w:tc>
          <w:tcPr>
            <w:tcW w:w="0" w:type="auto"/>
          </w:tcPr>
          <w:p>
            <w:pPr>
              <w:spacing w:line="240" w:lineRule="auto" w:before="0" w:after="0"/>
              <w:pStyle w:val="Compact"/>
            </w:pPr>
            <w:r>
              <w:rPr>
                <w:sz w:val="20"/>
                <w:szCs w:val="20"/>
              </w:rPr>
              <w:t xml:space="preserve">Mission press kits and NASA mission pages (per-row source column)</w:t>
            </w:r>
          </w:p>
        </w:tc>
      </w:tr>
    </w:tbl>
    <w:bookmarkEnd w:id="81"/>
    <w:bookmarkStart w:id="8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-3.2445</w:t>
            </w:r>
          </w:p>
        </w:tc>
        <w:tc>
          <w:tcPr>
            <w:tcW w:w="0" w:type="auto"/>
          </w:tcPr>
          <w:p>
            <w:pPr>
              <w:spacing w:line="240" w:lineRule="auto" w:before="0" w:after="0"/>
              <w:pStyle w:val="Compact"/>
            </w:pPr>
            <w:r>
              <w:rPr>
                <w:sz w:val="20"/>
                <w:szCs w:val="20"/>
              </w:rPr>
              <w:t xml:space="preserve">2.5181</w:t>
            </w:r>
          </w:p>
        </w:tc>
        <w:tc>
          <w:tcPr>
            <w:tcW w:w="0" w:type="auto"/>
          </w:tcPr>
          <w:p>
            <w:pPr>
              <w:spacing w:line="240" w:lineRule="auto" w:before="0" w:after="0"/>
              <w:pStyle w:val="Compact"/>
            </w:pPr>
            <w:r>
              <w:rPr>
                <w:sz w:val="20"/>
                <w:szCs w:val="20"/>
              </w:rPr>
              <w:t xml:space="preserve">-1.2885</w:t>
            </w:r>
          </w:p>
        </w:tc>
        <w:tc>
          <w:tcPr>
            <w:tcW w:w="0" w:type="auto"/>
          </w:tcPr>
          <w:p>
            <w:pPr>
              <w:spacing w:line="240" w:lineRule="auto" w:before="0" w:after="0"/>
              <w:pStyle w:val="Compact"/>
            </w:pPr>
            <w:r>
              <w:rPr>
                <w:sz w:val="20"/>
                <w:szCs w:val="20"/>
              </w:rPr>
              <w:t xml:space="preserve">0.1976</w:t>
            </w:r>
          </w:p>
        </w:tc>
        <w:tc>
          <w:tcPr>
            <w:tcW w:w="0" w:type="auto"/>
          </w:tcPr>
          <w:p>
            <w:pPr>
              <w:spacing w:line="240" w:lineRule="auto" w:before="0" w:after="0"/>
              <w:pStyle w:val="Compact"/>
            </w:pPr>
            <w:r>
              <w:rPr>
                <w:sz w:val="20"/>
                <w:szCs w:val="20"/>
              </w:rPr>
              <w:t xml:space="preserve">[-8.1799, 1.6908]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1.1024</w:t>
            </w:r>
          </w:p>
        </w:tc>
        <w:tc>
          <w:tcPr>
            <w:tcW w:w="0" w:type="auto"/>
          </w:tcPr>
          <w:p>
            <w:pPr>
              <w:spacing w:line="240" w:lineRule="auto" w:before="0" w:after="0"/>
              <w:pStyle w:val="Compact"/>
            </w:pPr>
            <w:r>
              <w:rPr>
                <w:sz w:val="20"/>
                <w:szCs w:val="20"/>
              </w:rPr>
              <w:t xml:space="preserve">0.3194</w:t>
            </w:r>
          </w:p>
        </w:tc>
        <w:tc>
          <w:tcPr>
            <w:tcW w:w="0" w:type="auto"/>
          </w:tcPr>
          <w:p>
            <w:pPr>
              <w:spacing w:line="240" w:lineRule="auto" w:before="0" w:after="0"/>
              <w:pStyle w:val="Compact"/>
            </w:pPr>
            <w:r>
              <w:rPr>
                <w:sz w:val="20"/>
                <w:szCs w:val="20"/>
              </w:rPr>
              <w:t xml:space="preserve">3.4509</w:t>
            </w:r>
          </w:p>
        </w:tc>
        <w:tc>
          <w:tcPr>
            <w:tcW w:w="0" w:type="auto"/>
          </w:tcPr>
          <w:p>
            <w:pPr>
              <w:spacing w:line="240" w:lineRule="auto" w:before="0" w:after="0"/>
              <w:pStyle w:val="Compact"/>
            </w:pPr>
            <w:r>
              <w:rPr>
                <w:sz w:val="20"/>
                <w:szCs w:val="20"/>
              </w:rPr>
              <w:t xml:space="preserve">0.0005587</w:t>
            </w:r>
          </w:p>
        </w:tc>
        <w:tc>
          <w:tcPr>
            <w:tcW w:w="0" w:type="auto"/>
          </w:tcPr>
          <w:p>
            <w:pPr>
              <w:spacing w:line="240" w:lineRule="auto" w:before="0" w:after="0"/>
              <w:pStyle w:val="Compact"/>
            </w:pPr>
            <w:r>
              <w:rPr>
                <w:sz w:val="20"/>
                <w:szCs w:val="20"/>
              </w:rPr>
              <w:t xml:space="preserve">[0.4763, 1.7285]</w:t>
            </w:r>
          </w:p>
        </w:tc>
      </w:tr>
    </w:tbl>
    <w:p>
      <w:pPr>
        <w:pStyle w:val="BodyText"/>
      </w:pPr>
      <w:r>
        <w:t xml:space="preserve">Fit: N = 18 R2 = 0.3792 elasticity_b = 1.1024 progress_ratio_2^b = 2.1471</w:t>
      </w:r>
    </w:p>
    <w:bookmarkEnd w:id="82"/>
    <w:bookmarkEnd w:id="83"/>
    <w:bookmarkEnd w:id="8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6" Target="media/rId76.png" /><Relationship Type="http://schemas.openxmlformats.org/officeDocument/2006/relationships/hyperlink" Id="rId73" Target="https://doi.org/10.1016/j.actaastro.2025.11.006" TargetMode="External" /></Relationships>
</file>

<file path=word/_rels/footnotes.xml.rels><?xml version="1.0" encoding="UTF-8"?><Relationships xmlns="http://schemas.openxmlformats.org/package/2006/relationships"><Relationship Type="http://schemas.openxmlformats.org/officeDocument/2006/relationships/hyperlink" Id="rId73" Target="https://doi.org/10.1016/j.actaastro.2025.11.00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2026-06-22T20:31:47Z</dcterms:created>
  <dcterms:modified xsi:type="dcterms:W3CDTF">2026-06-22T20:31:47Z</dcterms:modified>
</cp:coreProperties>
</file>

<file path=docProps/custom.xml><?xml version="1.0" encoding="utf-8"?>
<Properties xmlns="http://schemas.openxmlformats.org/officeDocument/2006/custom-properties" xmlns:vt="http://schemas.openxmlformats.org/officeDocument/2006/docPropsVTypes"/>
</file>