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DECADAL ALIGNMENT AND RESEARCH PRODUCTIVITY: DOES MISSION CONCORDANCE WITH DECADAL SURVEY PRIORITIES RAISE THE SCIENTIFIC YIELD OF FEDERALLY FUNDED SPACE RESEARCH?</w:t>
      </w:r>
    </w:p>
    <w:p>
      <w:pPr>
        <w:jc w:val="center"/>
      </w:pPr>
    </w:p>
    <w:p>
      <w:pPr>
        <w:jc w:val="center"/>
      </w:pPr>
      <w:r>
        <w:rPr>
          <w:rFonts w:ascii="Times New Roman" w:hAnsi="Times New Roman"/>
          <w:sz w:val="24"/>
        </w:rPr>
        <w:t>by</w:t>
      </w:r>
    </w:p>
    <w:p>
      <w:pPr>
        <w:jc w:val="center"/>
      </w:pPr>
      <w:r>
        <w:rPr>
          <w:rFonts w:ascii="Times New Roman" w:hAnsi="Times New Roman"/>
          <w:b/>
          <w:sz w:val="28"/>
        </w:rPr>
        <w:t>Vera Reinholt</w:t>
      </w:r>
    </w:p>
    <w:p>
      <w:pPr>
        <w:jc w:val="center"/>
      </w:pPr>
      <w:r>
        <w:rPr>
          <w:rFonts w:ascii="Times New Roman" w:hAnsi="Times New Roman"/>
          <w:sz w:val="24"/>
        </w:rPr>
        <w:t>1B-RIM-025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The decadal survey is the central priority-setting instrument of United States civil space science. Produced through a consensus process of the National Academies, it ranks missions, technologies, and research themes for a ten-year horizon, and the agencies that fund space science treat the resulting rankings as a binding map for program formulation. In planetary science the survey identifies the most important scientific questions and prioritizes missions on scientific merit, technical feasibility, and anticipated cost</w:t>
      </w:r>
      <w:r>
        <w:t xml:space="preserve"> </w:t>
      </w:r>
      <w:hyperlink w:anchor="ref-10">
        <w:r>
          <w:rPr>
            <w:rStyle w:val="Hyperlink"/>
          </w:rPr>
          <w:t xml:space="preserve">[10]</w:t>
        </w:r>
      </w:hyperlink>
      <w:r>
        <w:t xml:space="preserve">. Its implementation channels are explicit: the New Frontiers line draws its candidate themes directly from the prioritized list</w:t>
      </w:r>
      <w:r>
        <w:t xml:space="preserve"> </w:t>
      </w:r>
      <w:hyperlink w:anchor="ref-11">
        <w:r>
          <w:rPr>
            <w:rStyle w:val="Hyperlink"/>
          </w:rPr>
          <w:t xml:space="preserve">[11]</w:t>
        </w:r>
      </w:hyperlink>
      <w:r>
        <w:t xml:space="preserve">, and flagship missions are recommended by name. Few federal research enterprises announce their priorities so publicly, revise them so deliberately, or bind themselves to them so visibly. The decadal architecture is a national experiment in directed science, conducted in the open.</w:t>
      </w:r>
    </w:p>
    <w:p>
      <w:pPr>
        <w:pStyle w:val="BodyText"/>
        <w:spacing w:line="480" w:lineRule="auto"/>
        <w:ind w:firstLine="720"/>
      </w:pPr>
      <w:r>
        <w:t xml:space="preserve">One institutional theory animates this architecture: concordance produces yield. A project whose science traces back to a top-ranked decadal recommendation is presumed to be more fundable, to recruit stronger collaborations, and ultimately to generate more and more-influential research than an otherwise comparable project that does not. This presumption is not a marginal administrative convenience. It carries the budgetary weight of the entire civil space science portfolio. Public investment in space research and development is defended to appropriators on precisely this expectation, that prioritized, coordinated spending returns disproportionate scientific and economic output</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forecasting and valuation literature on the space economy treats research and development as the upstream engine of the whole downstream products-and-services sector, the stage on which later activity depends</w:t>
      </w:r>
      <w:r>
        <w:t xml:space="preserve"> </w:t>
      </w:r>
      <w:hyperlink w:anchor="ref-5">
        <w:r>
          <w:rPr>
            <w:rStyle w:val="Hyperlink"/>
          </w:rPr>
          <w:t xml:space="preserve">[5]</w:t>
        </w:r>
      </w:hyperlink>
      <w:r>
        <w:t xml:space="preserve">. National-statecraft analysis reinforces the premise from the supply side, tying sustained research-and-development investment to technological advance as a precondition rather than a consequence</w:t>
      </w:r>
      <w:r>
        <w:t xml:space="preserve"> </w:t>
      </w:r>
      <w:hyperlink w:anchor="ref-6">
        <w:r>
          <w:rPr>
            <w:rStyle w:val="Hyperlink"/>
          </w:rPr>
          <w:t xml:space="preserve">[6]</w:t>
        </w:r>
      </w:hyperlink>
      <w:r>
        <w:t xml:space="preserve">. Across these strands the productivity of directed, prioritized investment is asserted as settled. It is the working assumption of the people who write the budgets.</w:t>
      </w:r>
    </w:p>
    <w:p>
      <w:pPr>
        <w:pStyle w:val="BodyText"/>
        <w:spacing w:line="480" w:lineRule="auto"/>
        <w:ind w:firstLine="720"/>
      </w:pPr>
      <w:r>
        <w:t xml:space="preserve">For NASA and for the Jet Propulsion Laboratory the stakes are direct rather than abstract. If concordance with priorities genuinely raises per-dollar scientific output, then the decadal process is not merely a coordination ritual but a productivity lever, and its disciplined application is a fiscal good in its own right: aligning a program with the ranked recommendations would buy science that the program would not otherwise produce. A laboratory that builds its portfolio around top-ranked themes would, on this reading, be doing more than satisfying a procedural expectation. It would be maximizing the scientific return on the public dollars it commands. If, on the other hand, concordance is a label that strong projects acquire because they were already strong, then a large share of the system’s faith in priority-setting rests on a selection artifact. Reallocating effort toward nominal alignment would not buy the output the institution expects, and the considerable managerial energy spent demonstrating concordance would be energy spent on a coordination convenience misread as a causal mechanism. For an institution like JPL, which formulates flagship-class missions whose lifecycle costs span the better part of a decade and the better part of a billion dollars, the difference between these two worlds is the difference between an investment thesis and a compliance exercise.</w:t>
      </w:r>
    </w:p>
    <w:p>
      <w:pPr>
        <w:pStyle w:val="BodyText"/>
        <w:spacing w:line="480" w:lineRule="auto"/>
        <w:ind w:firstLine="720"/>
      </w:pPr>
      <w:r>
        <w:t xml:space="preserve">The motivation, then, is not that anyone doubts whether space science is valuable. It is that program managers, the agencies that fund them, and the analysts who advise on portfolio balance all act as if alignment is causal, while the evidence base underneath that action is thin. Existing space-research scholarship documents that concentrated national investment programs reorganize who collaborates with whom</w:t>
      </w:r>
      <w:r>
        <w:t xml:space="preserve"> </w:t>
      </w:r>
      <w:hyperlink w:anchor="ref-1">
        <w:r>
          <w:rPr>
            <w:rStyle w:val="Hyperlink"/>
          </w:rPr>
          <w:t xml:space="preserve">[1]</w:t>
        </w:r>
      </w:hyperlink>
      <w:r>
        <w:t xml:space="preserve">, and that consensus research-council assessments are proximate drivers of how space surveillance and astrodynamics research is organized</w:t>
      </w:r>
      <w:r>
        <w:t xml:space="preserve"> </w:t>
      </w:r>
      <w:hyperlink w:anchor="ref-4">
        <w:r>
          <w:rPr>
            <w:rStyle w:val="Hyperlink"/>
          </w:rPr>
          <w:t xml:space="preserve">[4]</w:t>
        </w:r>
      </w:hyperlink>
      <w:r>
        <w:t xml:space="preserve">. The flight-and-experiment program literature describes how affordable mission lines are stood up to serve research objectives</w:t>
      </w:r>
      <w:r>
        <w:t xml:space="preserve"> </w:t>
      </w:r>
      <w:hyperlink w:anchor="ref-2">
        <w:r>
          <w:rPr>
            <w:rStyle w:val="Hyperlink"/>
          </w:rPr>
          <w:t xml:space="preserve">[2]</w:t>
        </w:r>
      </w:hyperlink>
      <w:r>
        <w:t xml:space="preserve">. None of this isolates what concordance is worth at the margin. The estimate is missing. That gap is the problem this dissertation addresses.</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The difficulty here is not a shortage of relevant scholarship. Two bodies of work, each indispensable, simply do not meet. One is the domain literature on how space science is prioritized, funded, and produced. The other is the econometric method literature on how to recover an identified causal effect from observational data. The domain literature establishes that the alignment-productivity question is real and consequential; it does not equip itself to answer it cleanly. The method literature supplies the identification machinery; it has not been brought to bear on this question with this data. The gap between them is where this work sits.</w:t>
      </w:r>
    </w:p>
    <w:p>
      <w:pPr>
        <w:pStyle w:val="BodyText"/>
        <w:spacing w:line="480" w:lineRule="auto"/>
        <w:ind w:firstLine="720"/>
      </w:pPr>
      <w:r>
        <w:t xml:space="preserve">Consider first what the domain literature does establish. Three strands converge on the alignment-productivity question without closing it. The space-research-policy strand shows that integrated national investment programs and consensus assessments shape the organization and the collaboration structure of research</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that mission lines are deliberately configured to serve research objectives</w:t>
      </w:r>
      <w:r>
        <w:t xml:space="preserve"> </w:t>
      </w:r>
      <w:hyperlink w:anchor="ref-2">
        <w:r>
          <w:rPr>
            <w:rStyle w:val="Hyperlink"/>
          </w:rPr>
          <w:t xml:space="preserve">[2]</w:t>
        </w:r>
      </w:hyperlink>
      <w:r>
        <w:t xml:space="preserve">. The space-economy and innovation-investment strand justifies the productivity expectation, modeling downstream activity as a function of upstream research intensity</w:t>
      </w:r>
      <w:r>
        <w:t xml:space="preserve"> </w:t>
      </w:r>
      <w:hyperlink w:anchor="ref-5">
        <w:r>
          <w:rPr>
            <w:rStyle w:val="Hyperlink"/>
          </w:rPr>
          <w:t xml:space="preserve">[5]</w:t>
        </w:r>
      </w:hyperlink>
      <w:r>
        <w:t xml:space="preserve">, tying national innovation to sustained investment</w:t>
      </w:r>
      <w:r>
        <w:t xml:space="preserve"> </w:t>
      </w:r>
      <w:hyperlink w:anchor="ref-6">
        <w:r>
          <w:rPr>
            <w:rStyle w:val="Hyperlink"/>
          </w:rPr>
          <w:t xml:space="preserve">[6]</w:t>
        </w:r>
      </w:hyperlink>
      <w:r>
        <w:t xml:space="preserve">, arguing that technology innovation enjoys synergy with policy in ways that amplify desired outcomes</w:t>
      </w:r>
      <w:r>
        <w:t xml:space="preserve"> </w:t>
      </w:r>
      <w:hyperlink w:anchor="ref-3">
        <w:r>
          <w:rPr>
            <w:rStyle w:val="Hyperlink"/>
          </w:rPr>
          <w:t xml:space="preserve">[3]</w:t>
        </w:r>
      </w:hyperlink>
      <w:r>
        <w:t xml:space="preserve">, and noting the increasing involvement of research and investment actors on the space frontier</w:t>
      </w:r>
      <w:r>
        <w:t xml:space="preserve"> </w:t>
      </w:r>
      <w:hyperlink w:anchor="ref-8">
        <w:r>
          <w:rPr>
            <w:rStyle w:val="Hyperlink"/>
          </w:rPr>
          <w:t xml:space="preserve">[8]</w:t>
        </w:r>
      </w:hyperlink>
      <w:r>
        <w:t xml:space="preserve">. The policy-mechanism strand observes that policy instruments can encourage actors to invest in space technologies and pursue innovation</w:t>
      </w:r>
      <w:r>
        <w:t xml:space="preserve"> </w:t>
      </w:r>
      <w:hyperlink w:anchor="ref-7">
        <w:r>
          <w:rPr>
            <w:rStyle w:val="Hyperlink"/>
          </w:rPr>
          <w:t xml:space="preserve">[7]</w:t>
        </w:r>
      </w:hyperlink>
      <w:r>
        <w:t xml:space="preserve">, framing alignment as one such lever. Each strand treats the productivity of concordance as a premise. None specifies it as an estimand, and none identifies it.</w:t>
      </w:r>
    </w:p>
    <w:p>
      <w:pPr>
        <w:pStyle w:val="BodyText"/>
        <w:spacing w:line="480" w:lineRule="auto"/>
        <w:ind w:firstLine="720"/>
      </w:pPr>
      <w:r>
        <w:t xml:space="preserve">Why does the domain literature stop short? It confronts the same obstacle any observational study of alignment must face: selection. Capable teams gravitate toward priority topics. The decadal-endorsed program lines are systematically larger and more complex than the open competitions against which they would be compared. A cross-sectional regression of output on concordance therefore confounds the alignment effect with team quality and with scope. The domain literature is aware of this entanglement in substance, observing that the institutional pathway a mission travels shapes its schedule exposure and its management overhead</w:t>
      </w:r>
      <w:r>
        <w:t xml:space="preserve"> </w:t>
      </w:r>
      <w:hyperlink w:anchor="ref-12">
        <w:r>
          <w:rPr>
            <w:rStyle w:val="Hyperlink"/>
          </w:rPr>
          <w:t xml:space="preserve">[12]</w:t>
        </w:r>
      </w:hyperlink>
      <w:r>
        <w:t xml:space="preserve"> </w:t>
      </w:r>
      <w:r>
        <w:t xml:space="preserve">and that the routes by which a concept becomes a flight project have diversified</w:t>
      </w:r>
      <w:r>
        <w:t xml:space="preserve"> </w:t>
      </w:r>
      <w:hyperlink w:anchor="ref-13">
        <w:r>
          <w:rPr>
            <w:rStyle w:val="Hyperlink"/>
          </w:rPr>
          <w:t xml:space="preserve">[13]</w:t>
        </w:r>
      </w:hyperlink>
      <w:r>
        <w:t xml:space="preserve">, but it does not deploy the design machinery that would partial the confound out. Detailed program reconstructions make the same point from the inside. The Rosetta science-planning record</w:t>
      </w:r>
      <w:r>
        <w:t xml:space="preserve"> </w:t>
      </w:r>
      <w:hyperlink w:anchor="ref-14">
        <w:r>
          <w:rPr>
            <w:rStyle w:val="Hyperlink"/>
          </w:rPr>
          <w:t xml:space="preserve">[14]</w:t>
        </w:r>
      </w:hyperlink>
      <w:r>
        <w:t xml:space="preserve"> </w:t>
      </w:r>
      <w:r>
        <w:t xml:space="preserve">and the lessons of the Dawn mission to Ceres and Vesta</w:t>
      </w:r>
      <w:r>
        <w:t xml:space="preserve"> </w:t>
      </w:r>
      <w:hyperlink w:anchor="ref-15">
        <w:r>
          <w:rPr>
            <w:rStyle w:val="Hyperlink"/>
          </w:rPr>
          <w:t xml:space="preserve">[15]</w:t>
        </w:r>
      </w:hyperlink>
      <w:r>
        <w:t xml:space="preserve"> </w:t>
      </w:r>
      <w:r>
        <w:t xml:space="preserve">show that realization is driven less by thematic endorsement than by instrument maturity, trajectory constraints, and the coordination load of a large science team. Concept-generation studies argue that the complexity of a concept is itself a structural predictor of how long realization takes</w:t>
      </w:r>
      <w:r>
        <w:t xml:space="preserve"> </w:t>
      </w:r>
      <w:hyperlink w:anchor="ref-16">
        <w:r>
          <w:rPr>
            <w:rStyle w:val="Hyperlink"/>
          </w:rPr>
          <w:t xml:space="preserve">[16]</w:t>
        </w:r>
      </w:hyperlink>
      <w:r>
        <w:t xml:space="preserve">, and sample-return campaigns illustrate how scope inflation lengthens the path to launch independently of where the theme originated</w:t>
      </w:r>
      <w:r>
        <w:t xml:space="preserve"> </w:t>
      </w:r>
      <w:hyperlink w:anchor="ref-17">
        <w:r>
          <w:rPr>
            <w:rStyle w:val="Hyperlink"/>
          </w:rPr>
          <w:t xml:space="preserve">[17]</w:t>
        </w:r>
      </w:hyperlink>
      <w:r>
        <w:t xml:space="preserve">. These are precisely the unobservables that a credible estimate of the concordance effect must neutralize, and the domain literature names them without removing them.</w:t>
      </w:r>
    </w:p>
    <w:p>
      <w:pPr>
        <w:pStyle w:val="BodyText"/>
        <w:spacing w:line="480" w:lineRule="auto"/>
        <w:ind w:firstLine="720"/>
      </w:pPr>
      <w:r>
        <w:t xml:space="preserve">The method literature, for its part, has long since solved the abstract version of this problem. Difference-in-differences designs that exploit a discrete, externally timed change in treatment status can recover an identified effect by absorbing time-invariant unit heterogeneity in fixed effects and sector-wide shocks in period effects. Hazard models can accommodate censored time-to-event outcomes while letting covariates compete without imposing a parametric baseline. Learning-curve and elasticity estimators can characterize how an output scales with a driving quantity across orders of magnitude of variation. These tools are mature. What they have lacked here is application: a research design that maps the decadal architecture’s own features onto the assumptions these estimators require, and a dataset assembled from public federal award and bibliometric records capable of supporting the mapping.</w:t>
      </w:r>
    </w:p>
    <w:p>
      <w:pPr>
        <w:pStyle w:val="BodyText"/>
        <w:spacing w:line="480" w:lineRule="auto"/>
        <w:ind w:firstLine="720"/>
      </w:pPr>
      <w:r>
        <w:t xml:space="preserve">So the gap is precise, and it is bridgeable. The substantive question, whether concordance with decadal priorities raises scientific yield, is posed by the domain literature and left as an assumption that is load-bearing for budget justification. The identification machinery capable of answering it exists in the method literature and has not been pointed at the question. This dissertation builds the bridge. The move is direct. It treats the discrete revision of priorities at each decadal boundary as a source of identifying variation, and it joins that variation to public award and publication data through designs the method literature already validates. The contribution is to convert a premise into an estimand and an estimand into an estimate.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is one identified causal estimate: the effect of a federally funded space research project’s concordance with the prevailing decadal survey priorities on that project’s scientific output per dollar of award.</w:t>
      </w:r>
    </w:p>
    <w:p>
      <w:pPr>
        <w:pStyle w:val="BodyText"/>
        <w:spacing w:line="480" w:lineRule="auto"/>
        <w:ind w:firstLine="720"/>
      </w:pPr>
      <w:r>
        <w:t xml:space="preserve">The two quantities are defined as measured properties of an award. Let concordance be the topical match between an award’s funded science and the ranked recommendations of the decadal survey governing the award at its start date, constructed by text-matching award abstracts and funded-science descriptions to the ranked recommendation text of the governing survey. This yields a continuous topical-alignment score and, at each decadal boundary, a discrete classification of each topic as promoted into, demoted out of, or stable within the ranked priority set. Let scientific output per dollar be field-normalized weighted publication output divided by inflation-adjusted obligated dollars over a fixed post-award window. Both are recovered from public sources: NASA award obligations from the federal award transparency system, and the resulting publication trails from the NASA Technical Reports Server and the OpenAlex open bibliographic database.</w:t>
      </w:r>
    </w:p>
    <w:p>
      <w:pPr>
        <w:pStyle w:val="BodyText"/>
        <w:spacing w:line="480" w:lineRule="auto"/>
        <w:ind w:firstLine="720"/>
      </w:pPr>
      <w:r>
        <w:t xml:space="preserve">The hypotheses are stated so that the data can refuse them.</w:t>
      </w:r>
    </w:p>
    <w:p>
      <w:pPr>
        <w:pStyle w:val="BodyText"/>
        <w:spacing w:line="480" w:lineRule="auto"/>
        <w:ind w:firstLine="720"/>
      </w:pPr>
      <w:r>
        <w:rPr>
          <w:b/>
          <w:bCs/>
        </w:rPr>
        <w:t xml:space="preserve">H0 (null).</w:t>
      </w:r>
      <w:r>
        <w:t xml:space="preserve"> </w:t>
      </w:r>
      <w:r>
        <w:t xml:space="preserve">Conditional on field, agency, program, award size, and team characteristics, the causal effect of decadal concordance on scientific output per dollar is zero. Any observed cross-sectional association between concordance and output is attributable to the selection of stronger projects onto priority topics, not to alignment itself.</w:t>
      </w:r>
    </w:p>
    <w:p>
      <w:pPr>
        <w:pStyle w:val="BodyText"/>
        <w:spacing w:line="480" w:lineRule="auto"/>
        <w:ind w:firstLine="720"/>
      </w:pPr>
      <w:r>
        <w:rPr>
          <w:b/>
          <w:bCs/>
        </w:rPr>
        <w:t xml:space="preserve">H1 (alternative).</w:t>
      </w:r>
      <w:r>
        <w:t xml:space="preserve"> </w:t>
      </w:r>
      <w:r>
        <w:t xml:space="preserve">Conditional on the same controls, decadal concordance has a positive and statistically distinguishable causal effect on scientific output per dollar.</w:t>
      </w:r>
    </w:p>
    <w:p>
      <w:pPr>
        <w:pStyle w:val="BodyText"/>
        <w:spacing w:line="480" w:lineRule="auto"/>
        <w:ind w:firstLine="720"/>
      </w:pPr>
      <w:r>
        <w:t xml:space="preserve">The claim is falsifiable in the strict sense. The identification strategy exploits the fact that decadal priorities are revised at discrete, pre-announced boundaries roughly every ten years, and that at each revision some research topics are promoted into the ranked set while others are demoted out of it. A project pursuing a topic that is promoted at a boundary experiences a step increase in concordance driven by the consensus process, not by any change in its own team or science; the reverse holds for demoted topics. A difference-in-differences specification with award fixed effects, which absorb time-invariant team quality, and period fixed effects, which absorb sector-wide shocks, returns a single coefficient on the post-boundary interaction with promotion. That coefficient is the concordance effect. If it is statistically indistinguishable from zero, or negative, H1 is rejected and the institutional productivity premise is unsupported by these data. One signed, bounded estimate decides the contribution.</w:t>
      </w:r>
    </w:p>
    <w:p>
      <w:pPr>
        <w:pStyle w:val="BodyText"/>
        <w:spacing w:line="480" w:lineRule="auto"/>
        <w:ind w:firstLine="720"/>
      </w:pPr>
      <w:r>
        <w:t xml:space="preserve">Two prior empirical studies in this program establish that the surrounding terrain is measurable and that the concordance question is the live one. The first fits a learning curve to eighteen NASA major missions and recovers the elasticity of indexed scientific output with respect to mission lifecycle cost. The estimated elasticity is 1.10, with a ninety-five percent confidence interval from 0.48 to 1.73, decisively bounded away from zero but statistically indistinguishable from unit elasticity. Federal space investment and federal space research output scale together, and scale, as far as eighteen missions can tell, about one for one. That finding confirms in sign the premise that money buys science and quantifies it, but it deliberately holds concordance aside as a heterogeneity indicator that does not enter the primary fit, leaving the marginal value of alignment unaddressed. The second study estimates a Cox proportional-hazards model of the authorization-to-launch interval across twenty-one planetary and astrophysics missions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drawing on lifecycle reconstructions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It finds that decadal concordance carries a positive hazard coefficient pointing toward faster realization, but one too imprecise to separate from zero once mission scope is controlled, while cost is the dominant and well-estimated driver of delay. Concordance, in that panel, is real in sign and confounded with scope in fact. Both studies arrive at the same threshold: concordance appears to matter, its apparent effect is entangled with selection and scale, and no design yet deployed has isolated it. This dissertation crosses that threshold by exploiting the decadal-boundary variation that neither prior study used.</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in the order that the argument requires.</w:t>
      </w:r>
    </w:p>
    <w:p>
      <w:pPr>
        <w:pStyle w:val="BodyText"/>
        <w:spacing w:line="480" w:lineRule="auto"/>
        <w:ind w:firstLine="720"/>
      </w:pPr>
      <w:r>
        <w:rPr>
          <w:b/>
          <w:bCs/>
        </w:rPr>
        <w:t xml:space="preserve">Chapter 2</w:t>
      </w:r>
      <w:r>
        <w:t xml:space="preserve"> </w:t>
      </w:r>
      <w:r>
        <w:t xml:space="preserve">reviews the literature in depth, developing the three strands sketched above. It treats the space-research-policy work on prioritization and collaboration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space-economy and innovation-investment work that supplies the productivity premise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and the policy-mechanism work on levers and incentives</w:t>
      </w:r>
      <w:r>
        <w:t xml:space="preserve"> </w:t>
      </w:r>
      <w:hyperlink w:anchor="ref-7">
        <w:r>
          <w:rPr>
            <w:rStyle w:val="Hyperlink"/>
          </w:rPr>
          <w:t xml:space="preserve">[7]</w:t>
        </w:r>
      </w:hyperlink>
      <w:r>
        <w:t xml:space="preserve">, and it shows in detail how the domain literature poses the alignment-productivity question while leaving it unidentified. It then surveys the governance and lifecycle scholarship</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w:t>
      </w:r>
      <w:r>
        <w:t xml:space="preserve">that documents the confounds, selection and scope, that any credible estimate must neutralize, and it situates the econometric method literature on difference-in-differences, hazard, and elasticity estimation as the bridge to an answer.</w:t>
      </w:r>
    </w:p>
    <w:p>
      <w:pPr>
        <w:pStyle w:val="BodyText"/>
        <w:spacing w:line="480" w:lineRule="auto"/>
        <w:ind w:firstLine="720"/>
      </w:pPr>
      <w:r>
        <w:rPr>
          <w:b/>
          <w:bCs/>
        </w:rPr>
        <w:t xml:space="preserve">Chapter 3</w:t>
      </w:r>
      <w:r>
        <w:t xml:space="preserve"> </w:t>
      </w:r>
      <w:r>
        <w:t xml:space="preserve">specifies the research design and the data. It states the difference-in-differences estimator and its assumptions, defines the concordance measure and the per-dollar output measure operationally, and documents the provenance of the panel: NASA award obligations from the federal award transparency system, publication trails from NTRS and OpenAlex, and the ranked recommendations of the governing decadal surveys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t>
      </w:r>
      <w:r>
        <w:t xml:space="preserve">encoded as machine-readable priority lists. The chapter pre-registers the matching procedure and its thresholds to foreclose specification search, and it details the award-to-publication linkage and its hand-audited error bound.</w:t>
      </w:r>
    </w:p>
    <w:p>
      <w:pPr>
        <w:pStyle w:val="BodyText"/>
        <w:spacing w:line="480" w:lineRule="auto"/>
        <w:ind w:firstLine="720"/>
      </w:pPr>
      <w:r>
        <w:rPr>
          <w:b/>
          <w:bCs/>
        </w:rPr>
        <w:t xml:space="preserve">Chapter 4</w:t>
      </w:r>
      <w:r>
        <w:t xml:space="preserve"> </w:t>
      </w:r>
      <w:r>
        <w:t xml:space="preserve">reports the two completed empirical studies as standalone results: the learning-curve elasticity of scientific output with respect to investment, and the Cox hazard model of the authorization-to-launch interval. These establish that the cost-output and the concordance-schedule relationships are measurable from public data and motivate the central concordance estimate.</w:t>
      </w:r>
    </w:p>
    <w:p>
      <w:pPr>
        <w:pStyle w:val="BodyText"/>
        <w:spacing w:line="480" w:lineRule="auto"/>
        <w:ind w:firstLine="720"/>
      </w:pPr>
      <w:r>
        <w:rPr>
          <w:b/>
          <w:bCs/>
        </w:rPr>
        <w:t xml:space="preserve">Chapter 5</w:t>
      </w:r>
      <w:r>
        <w:t xml:space="preserve"> </w:t>
      </w:r>
      <w:r>
        <w:t xml:space="preserve">presents the primary difference-in-differences estimate of the concordance effect on output per dollar, with the parallel-trends and anticipation tests that the identification requires, an event-study specification that traces the effect period by period, and the robustness and heterogeneity analyses that probe its stability without displacing the single pooled coefficient as the test of H0 against H1.</w:t>
      </w:r>
    </w:p>
    <w:p>
      <w:pPr>
        <w:pStyle w:val="BodyText"/>
        <w:spacing w:line="480" w:lineRule="auto"/>
        <w:ind w:firstLine="720"/>
      </w:pPr>
      <w:r>
        <w:rPr>
          <w:b/>
          <w:bCs/>
        </w:rPr>
        <w:t xml:space="preserve">Chapter 6</w:t>
      </w:r>
      <w:r>
        <w:t xml:space="preserve"> </w:t>
      </w:r>
      <w:r>
        <w:t xml:space="preserve">interprets the results, confronts the threats to validity, selection on unobservables, concordance measurement error, outcome and linkage error, confounded co-treatment, external validity, and multiple comparisons, and draws the implications for NASA portfolio balance and for JPL’s formulation of priority-aligned missions. It states plainly what the estimate licenses and what it does not, and it closes with the question the bounded estimate leaves open for subsequent work.</w:t>
      </w:r>
    </w:p>
    <w:bookmarkEnd w:id="64"/>
    <w:bookmarkEnd w:id="65"/>
    <w:bookmarkStart w:id="76" w:name="chapter-2.-literature-review"/>
    <w:p>
      <w:pPr>
        <w:pStyle w:val="Heading1"/>
        <w:spacing w:line="480" w:lineRule="auto"/>
      </w:pPr>
      <w:r>
        <w:t xml:space="preserve">Chapter 2. Literature Review</w:t>
      </w:r>
    </w:p>
    <w:bookmarkStart w:id="66" w:name="purpose-and-organization-of-the-review"/>
    <w:p>
      <w:pPr>
        <w:pStyle w:val="Heading2"/>
        <w:spacing w:line="480" w:lineRule="auto"/>
      </w:pPr>
      <w:r>
        <w:t xml:space="preserve">2.1 Purpose and Organization of the Review</w:t>
      </w:r>
    </w:p>
    <w:p>
      <w:pPr>
        <w:pStyle w:val="FirstParagraph"/>
        <w:spacing w:line="480" w:lineRule="auto"/>
      </w:pPr>
      <w:r>
        <w:t xml:space="preserve">This chapter reviews the two bodies of scholarship on which the dissertation depends and demonstrates that they have never been joined. The first body is the domain technical literature of civil space science: the priority-setting machinery of the decadal survey, the mission lines that implement it, the lifecycle and science-planning scholarship that documents how missions are realized, and the economic literature that defends public space investment on a productivity premise. The second body is the cliometric and econometric methodology literature: the family of identification strategies, panel estimators, survival models, and bibliometric measurement practices through which causal and quantitative claims about research productivity are constructed and defended. Each literature is mature in isolation. The domain literature asserts that concordance with priorities raises scientific yield but treats that assertion as a premise. The methodology literature supplies the tools to convert such a premise into an identified estimand but has not been brought to bear on the concordance question in space science. The chapter closes by locating the gap precisely at their unjoined seam and by showing that the dissertation’s two completed companion studies stand as the first deliberate joining of the two.</w:t>
      </w:r>
    </w:p>
    <w:p>
      <w:pPr>
        <w:pStyle w:val="BodyText"/>
        <w:spacing w:line="480" w:lineRule="auto"/>
        <w:ind w:firstLine="720"/>
      </w:pPr>
      <w:r>
        <w:t xml:space="preserve">The review proceeds in five movements. Section 2.2 develops the domain technical literature on priority-setting and the institutional theory of concordance. Section 2.3 reviews the lifecycle and science-planning literature that competes with the concordance story by attributing realization outcomes to scope and complexity. Section 2.4 reviews the economic literature that supplies the productivity premise and the parametric scaling forms native to space-systems analysis. Section 2.5 turns to the methodological literature, treating in turn the difference-in-differences and panel fixed-effects tradition, the survival-analysis tradition, the learning-curve and elasticity tradition, and the bibliometric and provenance practices that make any output measure credible. Section 2.6 synthesizes the two literatures, names the gap, and states why neither literature on its own can close it.</w:t>
      </w:r>
    </w:p>
    <w:bookmarkEnd w:id="66"/>
    <w:bookmarkStart w:id="67" w:name="X58d2d85bdc19b87a33617f7a85b1878776314e4"/>
    <w:p>
      <w:pPr>
        <w:pStyle w:val="Heading2"/>
        <w:spacing w:line="480" w:lineRule="auto"/>
      </w:pPr>
      <w:r>
        <w:t xml:space="preserve">2.2 The Domain Technical Literature: Priority-Setting and the Institutional Theory of Concordance</w:t>
      </w:r>
    </w:p>
    <w:p>
      <w:pPr>
        <w:pStyle w:val="FirstParagraph"/>
        <w:spacing w:line="480" w:lineRule="auto"/>
      </w:pPr>
      <w:r>
        <w:t xml:space="preserve">The organizing instrument of United States civil space science is the decadal survey, a consensus National Academies study that evaluates a field, identifies its most important open questions, and ranks missions, technologies, and research themes on scientific merit, technical feasibility, and anticipated cost for a ten-year horizon</w:t>
      </w:r>
      <w:r>
        <w:t xml:space="preserve"> </w:t>
      </w:r>
      <w:hyperlink w:anchor="ref-10">
        <w:r>
          <w:rPr>
            <w:rStyle w:val="Hyperlink"/>
          </w:rPr>
          <w:t xml:space="preserve">[10]</w:t>
        </w:r>
      </w:hyperlink>
      <w:r>
        <w:t xml:space="preserve">. The survey is not advisory in the ordinary sense; agencies treat its rankings as a binding map for program formulation, and the mission lines that implement it inherit their candidate themes directly from its prioritized list</w:t>
      </w:r>
      <w:r>
        <w:t xml:space="preserve"> </w:t>
      </w:r>
      <w:hyperlink w:anchor="ref-11">
        <w:r>
          <w:rPr>
            <w:rStyle w:val="Hyperlink"/>
          </w:rPr>
          <w:t xml:space="preserve">[11]</w:t>
        </w:r>
      </w:hyperlink>
      <w:r>
        <w:t xml:space="preserve">. The New Frontiers line draws its competition themes from the survey’s medium-class recommendations, and flagship missions are recommended by name</w:t>
      </w:r>
      <w:r>
        <w:t xml:space="preserve"> </w:t>
      </w:r>
      <w:hyperlink w:anchor="ref-11">
        <w:r>
          <w:rPr>
            <w:rStyle w:val="Hyperlink"/>
          </w:rPr>
          <w:t xml:space="preserve">[11]</w:t>
        </w:r>
      </w:hyperlink>
      <w:r>
        <w:t xml:space="preserve">. This architecture is unusually explicit by the standards of federal research funding, and it is precisely that explicitness that makes the alignment-productivity question both answerable and consequential.</w:t>
      </w:r>
    </w:p>
    <w:p>
      <w:pPr>
        <w:pStyle w:val="BodyText"/>
        <w:spacing w:line="480" w:lineRule="auto"/>
        <w:ind w:firstLine="720"/>
      </w:pPr>
      <w:r>
        <w:t xml:space="preserve">One institutional theory underwrites this architecture: concordance produces yield. A project whose science traces to a top-ranked decadal recommendation is presumed more fundable, more collaborative, and ultimately more productive than an otherwise comparable project that does not. The domain technical literature supplies abundant indirect support for the antecedents of that presumption while stopping short of its consequent. The space-surveillance and astrodynamics record demonstrates that integrated national investment programs and consensus research-council assessments are the proximate drivers of how research is organized, including the structure of multinational collaboration. The summary of Five-Eyes research collaboration into space situational awareness documents that concentrated, nationally coordinated investment reorganizes who collaborates with whom across allied institutions</w:t>
      </w:r>
      <w:r>
        <w:t xml:space="preserve"> </w:t>
      </w:r>
      <w:hyperlink w:anchor="ref-1">
        <w:r>
          <w:rPr>
            <w:rStyle w:val="Hyperlink"/>
          </w:rPr>
          <w:t xml:space="preserve">[1]</w:t>
        </w:r>
      </w:hyperlink>
      <w:r>
        <w:t xml:space="preserve">, and high-resolution radar programs for NASA and space situational awareness illustrate how agency priorities and consensus assessments channel instrument development and observing campaigns toward endorsed objectives</w:t>
      </w:r>
      <w:r>
        <w:t xml:space="preserve"> </w:t>
      </w:r>
      <w:hyperlink w:anchor="ref-4">
        <w:r>
          <w:rPr>
            <w:rStyle w:val="Hyperlink"/>
          </w:rPr>
          <w:t xml:space="preserve">[4]</w:t>
        </w:r>
      </w:hyperlink>
      <w:r>
        <w:t xml:space="preserve">. The flight-and-experiment program literature describes how affordable mission lines are stood up to serve articulated research objectives, coupling simulation, ground-based experiment, and flight experiment under a single program structure</w:t>
      </w:r>
      <w:r>
        <w:t xml:space="preserve"> </w:t>
      </w:r>
      <w:hyperlink w:anchor="ref-2">
        <w:r>
          <w:rPr>
            <w:rStyle w:val="Hyperlink"/>
          </w:rPr>
          <w:t xml:space="preserve">[2]</w:t>
        </w:r>
      </w:hyperlink>
      <w:r>
        <w:t xml:space="preserve">. Together these establish that priority-setting and concentrated funding shape the production of research. None of them estimates whether a project’s degree of concordance with those priorities changes its output conditional on the funding it receives.</w:t>
      </w:r>
    </w:p>
    <w:p>
      <w:pPr>
        <w:pStyle w:val="BodyText"/>
        <w:spacing w:line="480" w:lineRule="auto"/>
        <w:ind w:firstLine="720"/>
      </w:pPr>
      <w:r>
        <w:t xml:space="preserve">A parallel strand within the domain literature documents the governance context in which concordance operates and complicates any simple reading of it. Governance scholarship describes a transition from legacy, agency-directed program structures toward more distributed and partnership-based models, and it notes that the institutional pathway a mission travels shapes its schedule exposure and its management overhead</w:t>
      </w:r>
      <w:r>
        <w:t xml:space="preserve"> </w:t>
      </w:r>
      <w:hyperlink w:anchor="ref-12">
        <w:r>
          <w:rPr>
            <w:rStyle w:val="Hyperlink"/>
          </w:rPr>
          <w:t xml:space="preserve">[12]</w:t>
        </w:r>
      </w:hyperlink>
      <w:r>
        <w:t xml:space="preserve">. The emergence of interactive public-private partnership arrangements has further diversified the routes by which a concept becomes a flight project, with direct implications for how authorization translates into hardware</w:t>
      </w:r>
      <w:r>
        <w:t xml:space="preserve"> </w:t>
      </w:r>
      <w:hyperlink w:anchor="ref-13">
        <w:r>
          <w:rPr>
            <w:rStyle w:val="Hyperlink"/>
          </w:rPr>
          <w:t xml:space="preserve">[13]</w:t>
        </w:r>
      </w:hyperlink>
      <w:r>
        <w:t xml:space="preserve">. Architectural and socio-technological analyses of changing space-use norms argue that technological innovation enjoys synergy with policy structure in ways that can amplify desired outcomes, which frames concordance as one institutional lever among several rather than as a self-evident cause of productivity</w:t>
      </w:r>
      <w:r>
        <w:t xml:space="preserve"> </w:t>
      </w:r>
      <w:hyperlink w:anchor="ref-3">
        <w:r>
          <w:rPr>
            <w:rStyle w:val="Hyperlink"/>
          </w:rPr>
          <w:t xml:space="preserve">[3]</w:t>
        </w:r>
      </w:hyperlink>
      <w:r>
        <w:t xml:space="preserve">. This governance strand matters for the dissertation because it warns that any observed association between concordance and an outcome may be carried by the institutional protection that endorsed missions receive rather than by thematic pedigree itself, a confound the methodology literature is equipped to address but the domain literature does not resolve.</w:t>
      </w:r>
    </w:p>
    <w:p>
      <w:pPr>
        <w:pStyle w:val="BodyText"/>
        <w:spacing w:line="480" w:lineRule="auto"/>
        <w:ind w:firstLine="720"/>
      </w:pPr>
      <w:r>
        <w:t xml:space="preserve">The domain literature also supplies a rich inventory of the specific missions, instruments, and survey lines that populate the empirical panels of this research program. The candidate-theme machinery of New Frontiers, the named flagship recommendations of the planetary survey, and the open principal-investigator competition of the Discovery line constitute the two dominant selection logics whose comparison is the natural experiment the dissertation exploits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Individual mission and survey-line records, from outer-planet orbiter concepts</w:t>
      </w:r>
      <w:r>
        <w:t xml:space="preserve"> </w:t>
      </w:r>
      <w:hyperlink w:anchor="ref-32">
        <w:r>
          <w:rPr>
            <w:rStyle w:val="Hyperlink"/>
          </w:rPr>
          <w:t xml:space="preserve">[32]</w:t>
        </w:r>
      </w:hyperlink>
      <w:r>
        <w:t xml:space="preserve"> </w:t>
      </w:r>
      <w:r>
        <w:t xml:space="preserve">to interstellar-probe formulations</w:t>
      </w:r>
      <w:r>
        <w:t xml:space="preserve"> </w:t>
      </w:r>
      <w:hyperlink w:anchor="ref-30">
        <w:r>
          <w:rPr>
            <w:rStyle w:val="Hyperlink"/>
          </w:rPr>
          <w:t xml:space="preserve">[30]</w:t>
        </w:r>
      </w:hyperlink>
      <w:r>
        <w:t xml:space="preserve"> </w:t>
      </w:r>
      <w:r>
        <w:t xml:space="preserve">to sample-return campaigns</w:t>
      </w:r>
      <w:r>
        <w:t xml:space="preserve"> </w:t>
      </w:r>
      <w:hyperlink w:anchor="ref-17">
        <w:r>
          <w:rPr>
            <w:rStyle w:val="Hyperlink"/>
          </w:rPr>
          <w:t xml:space="preserve">[17]</w:t>
        </w:r>
      </w:hyperlink>
      <w:r>
        <w:t xml:space="preserve">, document the heterogeneity of scope and complexity across which any concordance effect must be estimated. This inventory is descriptively indispensable, but it is an inventory, not an estimate. The domain literature catalogues what was prioritized and what was built; it does not isolate what concordance was worth at the margin.</w:t>
      </w:r>
    </w:p>
    <w:bookmarkEnd w:id="67"/>
    <w:bookmarkStart w:id="68" w:name="X1ca0fdb8cda899c692fb158e4868bbc0c1b32c3"/>
    <w:p>
      <w:pPr>
        <w:pStyle w:val="Heading2"/>
        <w:spacing w:line="480" w:lineRule="auto"/>
      </w:pPr>
      <w:r>
        <w:t xml:space="preserve">2.3 The Lifecycle and Science-Planning Literature: The Competing Scope Account</w:t>
      </w:r>
    </w:p>
    <w:p>
      <w:pPr>
        <w:pStyle w:val="FirstParagraph"/>
        <w:spacing w:line="480" w:lineRule="auto"/>
      </w:pPr>
      <w:r>
        <w:t xml:space="preserve">A distinct and methodologically important strand of the domain literature offers a competing explanation for the outcomes that the concordance story claims. This is the lifecycle and science-planning literature, composed largely of detailed reconstructions of individual missions, and its consistent message is that realization outcomes are driven by scope, instrument maturity, trajectory constraints, and coordination load rather than by thematic endorsement. The science-planning reconstruction of the Rosetta mission shows how the machinery of coordinating a large, multi-instrument science team governs the rhythm of the mission far more than its standing in any priority ranking</w:t>
      </w:r>
      <w:r>
        <w:t xml:space="preserve"> </w:t>
      </w:r>
      <w:hyperlink w:anchor="ref-14">
        <w:r>
          <w:rPr>
            <w:rStyle w:val="Hyperlink"/>
          </w:rPr>
          <w:t xml:space="preserve">[14]</w:t>
        </w:r>
      </w:hyperlink>
      <w:r>
        <w:t xml:space="preserve">. The lessons drawn from the Dawn mission to Ceres and Vesta similarly attribute the program’s duration and complications to the demands of an ambitious dual-target trajectory and a heterogeneous instrument suite</w:t>
      </w:r>
      <w:r>
        <w:t xml:space="preserve"> </w:t>
      </w:r>
      <w:hyperlink w:anchor="ref-15">
        <w:r>
          <w:rPr>
            <w:rStyle w:val="Hyperlink"/>
          </w:rPr>
          <w:t xml:space="preserve">[15]</w:t>
        </w:r>
      </w:hyperlink>
      <w:r>
        <w:t xml:space="preserve">. Concept-generation scholarship advances this point to a structural claim: the complexity of a mission concept is itself a predictor of how long realization takes, and a pattern language for complex-mode mission concept generation formalizes the regularities that link conceptual complexity to development duration</w:t>
      </w:r>
      <w:r>
        <w:t xml:space="preserve"> </w:t>
      </w:r>
      <w:hyperlink w:anchor="ref-16">
        <w:r>
          <w:rPr>
            <w:rStyle w:val="Hyperlink"/>
          </w:rPr>
          <w:t xml:space="preserve">[16]</w:t>
        </w:r>
      </w:hyperlink>
      <w:r>
        <w:t xml:space="preserve">. Sample-return and outer-planet campaigns, which occupy the high-cost, high-complexity tail of the distribution, illustrate how scope inflation lengthens the path to launch independently of where a mission’s theme originated</w:t>
      </w:r>
      <w:r>
        <w:t xml:space="preserve"> </w:t>
      </w:r>
      <w:hyperlink w:anchor="ref-17">
        <w:r>
          <w:rPr>
            <w:rStyle w:val="Hyperlink"/>
          </w:rPr>
          <w:t xml:space="preserve">[17]</w:t>
        </w:r>
      </w:hyperlink>
      <w:r>
        <w:t xml:space="preserve">.</w:t>
      </w:r>
    </w:p>
    <w:p>
      <w:pPr>
        <w:pStyle w:val="BodyText"/>
        <w:spacing w:line="480" w:lineRule="auto"/>
        <w:ind w:firstLine="720"/>
      </w:pPr>
      <w:r>
        <w:t xml:space="preserve">Here lies the principal source of the confound that any credible concordance estimate must defeat. Because the decadal-endorsed lines, New Frontiers and the flagships, are systematically larger and more complex than the open Discovery competition, concordance is entangled with scope by construction. A naive comparison of concordant and non-concordant missions therefore risks attributing to thematic priority an effect that belongs to mission size and complexity. The lifecycle literature makes this confound vivid and concrete, but it does not supply the statistical apparatus to separate the two channels. It establishes that scope matters; it leaves to the methodology literature the task of conditioning on scope so that the residual concordance effect, if any, can be read cleanly. The dissertation’s companion hazard study takes up exactly this task, conditioning the authorization-to-launch interval on lifecycle cost and a flagship indicator precisely so that the lifecycle literature’s scope account and the priority-setting literature’s concordance account can be adjudicated against one another rather than confounded.</w:t>
      </w:r>
    </w:p>
    <w:bookmarkEnd w:id="68"/>
    <w:bookmarkStart w:id="69" w:name="X4e3bc0a865e77362166bf0564e7d50aae2a5fd1"/>
    <w:p>
      <w:pPr>
        <w:pStyle w:val="Heading2"/>
        <w:spacing w:line="480" w:lineRule="auto"/>
      </w:pPr>
      <w:r>
        <w:t xml:space="preserve">2.4 The Economic Literature: The Productivity Premise and Its Parametric Forms</w:t>
      </w:r>
    </w:p>
    <w:p>
      <w:pPr>
        <w:pStyle w:val="FirstParagraph"/>
        <w:spacing w:line="480" w:lineRule="auto"/>
      </w:pPr>
      <w:r>
        <w:t xml:space="preserve">The economic literature on the space enterprise supplies the productivity premise that the entire concordance question interrogates, and it does so in a characteristic form: as an asserted level relationship whose curvature is left unspecified. Forecasting and valuation work treats research and development as the foundational input to the space economy’s value chain, the upstream stage on which all downstream products and services depend</w:t>
      </w:r>
      <w:r>
        <w:t xml:space="preserve"> </w:t>
      </w:r>
      <w:hyperlink w:anchor="ref-5">
        <w:r>
          <w:rPr>
            <w:rStyle w:val="Hyperlink"/>
          </w:rPr>
          <w:t xml:space="preserve">[5]</w:t>
        </w:r>
      </w:hyperlink>
      <w:r>
        <w:t xml:space="preserve">. The same structure recurs in analyses of the role of space in driving sustainability, security, and development, which model downstream activity as a function of upstream research intensity</w:t>
      </w:r>
      <w:r>
        <w:t xml:space="preserve"> </w:t>
      </w:r>
      <w:hyperlink w:anchor="ref-7">
        <w:r>
          <w:rPr>
            <w:rStyle w:val="Hyperlink"/>
          </w:rPr>
          <w:t xml:space="preserve">[7]</w:t>
        </w:r>
      </w:hyperlink>
      <w:r>
        <w:t xml:space="preserve">. National-statecraft analysis reinforces the premise from the supply side, tying technological advance to sustained research-and-development investment as a precondition rather than a consequence</w:t>
      </w:r>
      <w:r>
        <w:t xml:space="preserve"> </w:t>
      </w:r>
      <w:hyperlink w:anchor="ref-6">
        <w:r>
          <w:rPr>
            <w:rStyle w:val="Hyperlink"/>
          </w:rPr>
          <w:t xml:space="preserve">[6]</w:t>
        </w:r>
      </w:hyperlink>
      <w:r>
        <w:t xml:space="preserve">. Foundational treatments of the space economy as an economic frontier note the increasing involvement of research and investment actors and the centrality of public investment to the field’s formation</w:t>
      </w:r>
      <w:r>
        <w:t xml:space="preserve"> </w:t>
      </w:r>
      <w:hyperlink w:anchor="ref-8">
        <w:r>
          <w:rPr>
            <w:rStyle w:val="Hyperlink"/>
          </w:rPr>
          <w:t xml:space="preserve">[8]</w:t>
        </w:r>
      </w:hyperlink>
      <w:r>
        <w:t xml:space="preserve">. Across these works the proposition that investment yields science, and that prioritized investment yields it disproportionately, is asserted as a premise and defended in qualitative or forecasting terms. It is rarely estimated as a parameter, and where curvature is invoked, it is asserted rather than recovered from data.</w:t>
      </w:r>
    </w:p>
    <w:p>
      <w:pPr>
        <w:pStyle w:val="BodyText"/>
        <w:spacing w:line="480" w:lineRule="auto"/>
        <w:ind w:firstLine="720"/>
      </w:pPr>
      <w:r>
        <w:t xml:space="preserve">Within the same domain there exists a parametric tradition capable of giving that premise a measurable shape, drawn from space-systems cost analysis. The log-log learning curve is the canonical functional form in this tradition for expressing how an output quantity scales with a driving quantity such as accumulated production, mass, or expenditure, and recent cost-modeling work applies precisely this parametric economic framing to space architectures, including the parametric economic modelling of asteroid-mining architectures</w:t>
      </w:r>
      <w:r>
        <w:t xml:space="preserve"> </w:t>
      </w:r>
      <w:hyperlink w:anchor="ref-9">
        <w:r>
          <w:rPr>
            <w:rStyle w:val="Hyperlink"/>
          </w:rPr>
          <w:t xml:space="preserve">[9]</w:t>
        </w:r>
      </w:hyperlink>
      <w:r>
        <w:t xml:space="preserve">. The single slope coefficient of a log-log fit is an elasticity, and its sign and magnitude answer the returns-to-scale question that the level literature leaves open. This is the bridge the dissertation’s first companion study crosses: it takes the qualitative productivity premise of</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and</w:t>
      </w:r>
      <w:r>
        <w:t xml:space="preserve"> </w:t>
      </w:r>
      <w:hyperlink w:anchor="ref-8">
        <w:r>
          <w:rPr>
            <w:rStyle w:val="Hyperlink"/>
          </w:rPr>
          <w:t xml:space="preserve">[8]</w:t>
        </w:r>
      </w:hyperlink>
      <w:r>
        <w:t xml:space="preserve"> </w:t>
      </w:r>
      <w:r>
        <w:t xml:space="preserve">and the parametric scaling form of</w:t>
      </w:r>
      <w:r>
        <w:t xml:space="preserve"> </w:t>
      </w:r>
      <w:hyperlink w:anchor="ref-9">
        <w:r>
          <w:rPr>
            <w:rStyle w:val="Hyperlink"/>
          </w:rPr>
          <w:t xml:space="preserve">[9]</w:t>
        </w:r>
      </w:hyperlink>
      <w:r>
        <w:t xml:space="preserve"> </w:t>
      </w:r>
      <w:r>
        <w:t xml:space="preserve">and fits the elasticity of indexed scientific output with respect to mission life-cycle cost directly, recovering a signed, bounded number where the prior literature offered only an asserted direction. The economic literature thus supplies both the premise to be tested and, in its parametric corner, the functional form through which to test it, yet it has never closed the loop by fitting that form to a productivity outcome. It justifies the expectation and even names the appropriate curve without ever estimating the curve against research yield.</w:t>
      </w:r>
    </w:p>
    <w:bookmarkEnd w:id="69"/>
    <w:bookmarkStart w:id="74"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second body of scholarship is methodological rather than substantive, and it is reviewed here for the identification logic, estimators, and measurement practices it contributes rather than for findings about space science, of which it contains none. The argument of this section is that the methodology literature is fully adequate to the concordance question and that its non-application to that question is an omission of opportunity rather than a limitation of method.</w:t>
      </w:r>
    </w:p>
    <w:bookmarkStart w:id="70" w:name="X6963c9749264a0eef2a12a2a94a151e45e47a71"/>
    <w:p>
      <w:pPr>
        <w:pStyle w:val="Heading3"/>
        <w:spacing w:line="480" w:lineRule="auto"/>
      </w:pPr>
      <w:r>
        <w:t xml:space="preserve">2.5.1 Difference-in-Differences and Panel Fixed-Effects Identification</w:t>
      </w:r>
    </w:p>
    <w:p>
      <w:pPr>
        <w:pStyle w:val="FirstParagraph"/>
        <w:spacing w:line="480" w:lineRule="auto"/>
      </w:pPr>
      <w:r>
        <w:t xml:space="preserve">The central identification problem in the concordance question is selection: capable teams gravitate toward priority topics, so a cross-sectional regression of output on concordance confounds the alignment effect with team quality. The cliometric and applied-microeconometric tradition resolves problems of exactly this shape through difference-in-differences and two-way fixed-effects designs that exploit discrete, plausibly exogenous changes in treatment status. The logic is to find a moment at which treatment status changes for reasons unrelated to the unit’s own latent quality, to absorb time-invariant unit heterogeneity with unit fixed effects, to absorb common shocks with period fixed effects, and to read the treatment effect from the interaction of post-treatment timing with treated status. The decadal survey supplies a natural instance of the required discrete shift: priorities are revised at pre-announced boundaries roughly every ten years, and at each revision some topics are promoted into the ranked set while others are demoted, generating a step change in a project’s concordance that is driven by the consensus process rather than by any change in the project’s own team or science. The domain literature documents that such revisions occur and that they reorganize program formulation</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but it has never been paired with the difference-in-differences apparatus that would convert the revision into identifying variation. The auxiliary tests that discipline this design, placebo estimation in pre-boundary periods to examine parallel trends, anticipation tests to address pre-circulated survey drafts, and event-study specifications that trace the effect period by period, are standard in the methodology literature and are precisely the tests that a credible concordance estimate requires.</w:t>
      </w:r>
    </w:p>
    <w:bookmarkEnd w:id="70"/>
    <w:bookmarkStart w:id="71" w:name="X3de5691e9fa1d5677b79fe15dbf2d267aef637f"/>
    <w:p>
      <w:pPr>
        <w:pStyle w:val="Heading3"/>
        <w:spacing w:line="480" w:lineRule="auto"/>
      </w:pPr>
      <w:r>
        <w:t xml:space="preserve">2.5.2 Survival and Hazard Models for Time-to-Event Outcomes</w:t>
      </w:r>
    </w:p>
    <w:p>
      <w:pPr>
        <w:pStyle w:val="FirstParagraph"/>
        <w:spacing w:line="480" w:lineRule="auto"/>
      </w:pPr>
      <w:r>
        <w:t xml:space="preserve">A second methodological tradition addresses outcomes that are durations rather than levels. The pace at which a mission moves from authorization to launch is a time-to-event quantity, and it carries the two features that make ordinary regression inappropriate: censoring, because some authorized missions have not yet flown, and a baseline schedule whose shape should not be imposed a priori. The Cox proportional-hazards model is the canonical estimator for such data, expressing the hazard of the event at any interval length as the product of an unspecified baseline hazard and an exponential function of covariates, and yielding hazard ratios that are directly interpretable as multiplicative accelerations or decelerations of the path to the event. This estimator allows decadal concordance, lifecycle cost, and flagship status to compete as covariates without forcing a parametric form on the baseline, which is exactly what is needed to adjudicate the priority-setting account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t>
      </w:r>
      <w:r>
        <w:t xml:space="preserve">against the scope account</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The lifecycle literature supplies the substantive covariates and the confounding structure; the survival-analysis tradition supplies the estimator that can hold scope fixed while reading the residual concordance effect. The dissertation’s second companion study applies this estimator to a hand-compiled panel of NASA planetary and astrophysics missions, treating the authorization-to-launch interval as the survival time and Dragonfly’s not-yet-flown status as a right-censored observation, and thereby joins the two literatures at the level of a single fitted model.</w:t>
      </w:r>
    </w:p>
    <w:bookmarkEnd w:id="71"/>
    <w:bookmarkStart w:id="72" w:name="Xff6fa62fc077d0112ffc5d5996916e3071a0750"/>
    <w:p>
      <w:pPr>
        <w:pStyle w:val="Heading3"/>
        <w:spacing w:line="480" w:lineRule="auto"/>
      </w:pPr>
      <w:r>
        <w:t xml:space="preserve">2.5.3 Learning Curves, Elasticities, and Returns to Scale</w:t>
      </w:r>
    </w:p>
    <w:p>
      <w:pPr>
        <w:pStyle w:val="FirstParagraph"/>
        <w:spacing w:line="480" w:lineRule="auto"/>
      </w:pPr>
      <w:r>
        <w:t xml:space="preserve">A third methodological tradition concerns the recovery of scaling parameters from cross-sections that span orders of magnitude. The learning-curve literature, native to space-systems cost analysis</w:t>
      </w:r>
      <w:r>
        <w:t xml:space="preserve"> </w:t>
      </w:r>
      <w:hyperlink w:anchor="ref-9">
        <w:r>
          <w:rPr>
            <w:rStyle w:val="Hyperlink"/>
          </w:rPr>
          <w:t xml:space="preserve">[9]</w:t>
        </w:r>
      </w:hyperlink>
      <w:r>
        <w:t xml:space="preserve">, provides the log-log estimator whose slope is an elasticity and whose progress ratio, two raised to that slope, expresses the multiplicative change in output associated with a doubling of the driver. This tradition contributes three properties that the dissertation’s scaling study relies upon. First, the log-log form is the established functional form for scale relationships in space-systems analysis, so an elasticity estimate is directly comparable to the field’s existing parametric models</w:t>
      </w:r>
      <w:r>
        <w:t xml:space="preserve"> </w:t>
      </w:r>
      <w:hyperlink w:anchor="ref-9">
        <w:r>
          <w:rPr>
            <w:rStyle w:val="Hyperlink"/>
          </w:rPr>
          <w:t xml:space="preserve">[9]</w:t>
        </w:r>
      </w:hyperlink>
      <w:r>
        <w:t xml:space="preserve">. Second, the form converts a multiplicative, heavy-tailed relationship, in which both cost and output span orders of magnitude, into an additive one in which ordinary least squares is well behaved. Third, its single slope is interpretable without further transformation as the elasticity that the returns-to-scale question requires, and its confidence interval adjudicates not only whether output scales with investment but whether returns are proportional, increasing, or diminishing. The methodology supplies the estimator and its interpretive apparatus; the economic literature supplies the premise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the parametric cost literature supplies the precedent for the functional form</w:t>
      </w:r>
      <w:r>
        <w:t xml:space="preserve"> </w:t>
      </w:r>
      <w:hyperlink w:anchor="ref-9">
        <w:r>
          <w:rPr>
            <w:rStyle w:val="Hyperlink"/>
          </w:rPr>
          <w:t xml:space="preserve">[9]</w:t>
        </w:r>
      </w:hyperlink>
      <w:r>
        <w:t xml:space="preserve">. What no prior work does is fit that form to a research-productivity outcome across federal space missions, which is the specific joining the first companion study performs.</w:t>
      </w:r>
    </w:p>
    <w:bookmarkEnd w:id="72"/>
    <w:bookmarkStart w:id="73" w:name="Xe54a26823b028cd00f6d8a0711ae1944b59110c"/>
    <w:p>
      <w:pPr>
        <w:pStyle w:val="Heading3"/>
        <w:spacing w:line="480" w:lineRule="auto"/>
      </w:pPr>
      <w:r>
        <w:t xml:space="preserve">2.5.4 Bibliometric Measurement, Field Normalization, and Provenance</w:t>
      </w:r>
    </w:p>
    <w:p>
      <w:pPr>
        <w:pStyle w:val="FirstParagraph"/>
        <w:spacing w:line="480" w:lineRule="auto"/>
      </w:pPr>
      <w:r>
        <w:t xml:space="preserve">A fourth methodological tradition concerns the construction of credible research-output measures, without which any productivity estimate is hollow. The bibliometric literature establishes that raw publication counts are an inadequate outcome because they vary with field, with citation conventions, and with the accrual window over which output is observed, and it develops field-normalization, citation-weighting, and provenance-auditing practices to address these problems. The dissertation inherits this tradition directly. Its scaling study measures output as name-matched records in the NASA Technical Reports Server, reproducible to the exact query string, and reports openly that this measure undercounts science published under instrument or target names rather than mission names, a classical measurement error in the outcome that attenuates an elasticity toward zero and therefore biases against the alternative hypothesis. The prospectus design extends the measure to field-normalized, citation-weighted output recovered through funder-acknowledgement and grant-number linkage in open bibliographic data, with a hand-audited linkage sample to quantify error. The bibliometric methodology literature is what makes these choices defensible: it supplies the normalization logic, the weighting alternatives, and the audit practices, and it establishes that reporting both count-based and citation-weighted outcomes is the discipline that prevents conclusions from hinging on a single weighting. A neighboring bibliometric-network tradition, exemplified by multi-analytic reviews of how research fields evolve over decades, demonstrates that bibliometric structure can itself be mapped quantitatively and that the trajectory of a research domain is a legitimate empirical object</w:t>
      </w:r>
      <w:r>
        <w:t xml:space="preserve"> </w:t>
      </w:r>
      <w:hyperlink w:anchor="ref-26">
        <w:r>
          <w:rPr>
            <w:rStyle w:val="Hyperlink"/>
          </w:rPr>
          <w:t xml:space="preserve">[26]</w:t>
        </w:r>
      </w:hyperlink>
      <w:r>
        <w:t xml:space="preserve">. This neighboring work establishes the credibility of bibliometric outcomes as data while underscoring, by its own thematic distance from the concordance question, that the measurement machinery has not previously been turned on the alignment-productivity link.</w:t>
      </w:r>
    </w:p>
    <w:bookmarkEnd w:id="73"/>
    <w:bookmarkEnd w:id="74"/>
    <w:bookmarkStart w:id="75" w:name="synthesis-the-unjoined-seam-and-the-gap"/>
    <w:p>
      <w:pPr>
        <w:pStyle w:val="Heading2"/>
        <w:spacing w:line="480" w:lineRule="auto"/>
      </w:pPr>
      <w:r>
        <w:t xml:space="preserve">2.6 Synthesis: The Unjoined Seam and the Gap</w:t>
      </w:r>
    </w:p>
    <w:p>
      <w:pPr>
        <w:pStyle w:val="FirstParagraph"/>
        <w:spacing w:line="480" w:lineRule="auto"/>
      </w:pPr>
      <w:r>
        <w:t xml:space="preserve">Two literatures. Both mature, both unconnected. The gap this dissertation addresses lies precisely at the seam where they fail to meet.</w:t>
      </w:r>
    </w:p>
    <w:p>
      <w:pPr>
        <w:pStyle w:val="BodyText"/>
        <w:spacing w:line="480" w:lineRule="auto"/>
        <w:ind w:firstLine="720"/>
      </w:pPr>
      <w:r>
        <w:t xml:space="preserve">The domain technical literature establishes, with evidence, that priority-setting and concentrated investment shape the organization of space research</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that affordable mission lines are stood up to serve research objectives</w:t>
      </w:r>
      <w:r>
        <w:t xml:space="preserve"> </w:t>
      </w:r>
      <w:hyperlink w:anchor="ref-2">
        <w:r>
          <w:rPr>
            <w:rStyle w:val="Hyperlink"/>
          </w:rPr>
          <w:t xml:space="preserve">[2]</w:t>
        </w:r>
      </w:hyperlink>
      <w:r>
        <w:t xml:space="preserve">, that governance pathways and partnership structures condition how missions are realized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that architectural and policy synergies can amplify outcomes</w:t>
      </w:r>
      <w:r>
        <w:t xml:space="preserve"> </w:t>
      </w:r>
      <w:hyperlink w:anchor="ref-3">
        <w:r>
          <w:rPr>
            <w:rStyle w:val="Hyperlink"/>
          </w:rPr>
          <w:t xml:space="preserve">[3]</w:t>
        </w:r>
      </w:hyperlink>
      <w:r>
        <w:t xml:space="preserve">. The lifecycle and science-planning literature establishes, with detailed program reconstructions, that scope, instrument maturity, and coordination load are the proximate drivers of realization outcomes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The economic literature establishes, as a premise and a forecast, that public space investment returns disproportionate scientific and economic output and that research and development is the upstream engine of the value chain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its parametric corner names the log-log learning curve as the appropriate scaling form</w:t>
      </w:r>
      <w:r>
        <w:t xml:space="preserve"> </w:t>
      </w:r>
      <w:hyperlink w:anchor="ref-9">
        <w:r>
          <w:rPr>
            <w:rStyle w:val="Hyperlink"/>
          </w:rPr>
          <w:t xml:space="preserve">[9]</w:t>
        </w:r>
      </w:hyperlink>
      <w:r>
        <w:t xml:space="preserve">. What unites these strands is a shared, load-bearing assumption: that concordance with priorities raises research yield. What unites them equally is that none of them estimates this. The domain literature catalogues and describes; the economic literature asserts and forecasts; the lifecycle literature attributes outcomes to a competing cause without isolating concordance from it. Concordance is everywhere assumed and nowhere measured at the margin.</w:t>
      </w:r>
    </w:p>
    <w:p>
      <w:pPr>
        <w:pStyle w:val="BodyText"/>
        <w:spacing w:line="480" w:lineRule="auto"/>
        <w:ind w:firstLine="720"/>
      </w:pPr>
      <w:r>
        <w:t xml:space="preserve">The methodology literature, for its part, supplies every tool the question requires and has never been pointed at it. The difference-in-differences and two-way fixed-effects tradition supplies the identification strategy that exploits discrete decadal revisions to separate the concordance effect from the selection that sorts capable teams onto priority topics. The survival-analysis tradition supplies the Cox estimator that holds scope fixed while reading the residual concordance effect on the pace of realization. The learning-curve and elasticity tradition supplies the log-log estimator and the returns-to-scale interpretation that convert the asserted productivity premise into a signed, bounded number. The bibliometric and provenance tradition supplies the field-normalized, citation-weighted, audited output measures without which any productivity estimate is uninterpretable, and the bibliometric-network literature confirms that such measures are legitimate empirical objects</w:t>
      </w:r>
      <w:r>
        <w:t xml:space="preserve"> </w:t>
      </w:r>
      <w:hyperlink w:anchor="ref-26">
        <w:r>
          <w:rPr>
            <w:rStyle w:val="Hyperlink"/>
          </w:rPr>
          <w:t xml:space="preserve">[26]</w:t>
        </w:r>
      </w:hyperlink>
      <w:r>
        <w:t xml:space="preserve">. Each tool is standard, validated, and ready. None has met the question. None has been applied to whether concordance with decadal priorities raises the scientific yield of federally funded space research.</w:t>
      </w:r>
    </w:p>
    <w:p>
      <w:pPr>
        <w:pStyle w:val="BodyText"/>
        <w:spacing w:line="480" w:lineRule="auto"/>
        <w:ind w:firstLine="720"/>
      </w:pPr>
      <w:r>
        <w:t xml:space="preserve">This gap is not one of theory, and not one of method. It is a gap of joining. The domain literature has the question and the institutional stakes but lacks the estimand; the methodology literature has the estimand and the apparatus but has not been brought to the question. The result is a load-bearing institutional belief, that alignment is causally productive, that supports real budgetary and portfolio decisions while resting on an evidentiary base composed entirely of premises, descriptions, and forecasts. Program managers, funding agencies, and portfolio analysts act as if alignment is causal; the literature underneath that action contains no identified causal estimate of the concordance effect, separated from the selection and scope confounds that the methodology literature is specifically designed to defeat.</w:t>
      </w:r>
    </w:p>
    <w:p>
      <w:pPr>
        <w:pStyle w:val="BodyText"/>
        <w:spacing w:line="480" w:lineRule="auto"/>
        <w:ind w:firstLine="720"/>
      </w:pPr>
      <w:r>
        <w:t xml:space="preserve">This dissertation closes the seam by deliberately joining the two literatures across three coordinated studies. The first companion study fits the space-systems learning curve</w:t>
      </w:r>
      <w:r>
        <w:t xml:space="preserve"> </w:t>
      </w:r>
      <w:hyperlink w:anchor="ref-9">
        <w:r>
          <w:rPr>
            <w:rStyle w:val="Hyperlink"/>
          </w:rPr>
          <w:t xml:space="preserve">[9]</w:t>
        </w:r>
      </w:hyperlink>
      <w:r>
        <w:t xml:space="preserve"> </w:t>
      </w:r>
      <w:r>
        <w:t xml:space="preserve">to the economic productivity premise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recovers the elasticity of indexed scientific output with respect to mission life-cycle cost, establishing that federal space investment and federal space research output scale together, and scale, across the available cross-section, at an elasticity that cannot be statistically distinguished from one. That estimate confirms the premise in sign while denying it any regime of increasing returns, and it furnishes the first object the concordance question needs: a documented, reproducible scaling relationship between federal space spending and federal space science. The second companion study applies the survival-analysis tradition to the priority-setting and lifecycle literatures, conditioning the authorization-to-launch interval on scope so that the concordance account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t>
      </w:r>
      <w:r>
        <w:t xml:space="preserve">and the scope account</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w:t>
      </w:r>
      <w:r>
        <w:t xml:space="preserve">are adjudicated rather than confounded, and finds that scope, not priority standing, is the dominant and well-estimated driver of the pace of realization, with the concordance effect real in sign but not separable from zero once scope is controlled. The third and culminating study, framed in the prospectus, brings the difference-in-differences identification strategy to bear on the productivity outcome itself, exploiting the discrete promotion and demotion of topics at decadal boundaries to recover an identified estimate of the marginal causal contribution of concordance, separated at last from the selection that sorts strong teams onto priority topics. Taken together, the three studies convert a question the domain literature could only assume and the methodology literature had never been asked into a single falsifiable estimand, and they place the institutional faith in alignment-productivity for the first time on identified, reproducible footing. The remainder of the dissertation develops the data construction, identification, and estimation through which that joining is accomplished.</w:t>
      </w:r>
    </w:p>
    <w:bookmarkEnd w:id="75"/>
    <w:bookmarkEnd w:id="76"/>
    <w:bookmarkStart w:id="85" w:name="Xcfcc00a3ded59aed0c781c16bfc121f2a509603"/>
    <w:p>
      <w:pPr>
        <w:pStyle w:val="Heading1"/>
        <w:spacing w:line="480" w:lineRule="auto"/>
      </w:pPr>
      <w:r>
        <w:t xml:space="preserve">Chapter 3. Theoretical Framework and Hypotheses</w:t>
      </w:r>
    </w:p>
    <w:bookmarkStart w:id="77" w:name="purpose-and-scope-of-the-chapter"/>
    <w:p>
      <w:pPr>
        <w:pStyle w:val="Heading2"/>
        <w:spacing w:line="480" w:lineRule="auto"/>
      </w:pPr>
      <w:r>
        <w:t xml:space="preserve">3.1 Purpose and Scope of the Chapter</w:t>
      </w:r>
    </w:p>
    <w:p>
      <w:pPr>
        <w:pStyle w:val="FirstParagraph"/>
        <w:spacing w:line="480" w:lineRule="auto"/>
      </w:pPr>
      <w:r>
        <w:t xml:space="preserve">The two preceding empirical chapters established the boundary conditions within which the central question of this dissertation must be posed. The scaling chapter recovered an identified parameter, the elasticity of indexed scientific output with respect to mission life-cycle cost, and found it positive, statistically distinguishable from zero, and indistinguishable from unity across the NASA major-mission cross-section. Money buys science, and on the available evidence it buys science at approximately constant returns to scale. The schedule chapter then asked whether decadal concordance accelerates the realization of a mission, and found a concordance coefficient that pointed in the hypothesized direction but could not be separated from zero once scope was controlled, while mission cost emerged as the dominant and well-estimated driver of the authorization-to-launch interval. Together these results frame a residual that the present chapter must theorize. If output scales with spend at roughly constant returns, and if the schedule advantage attributed to priority standing dissolves once scope is partialled out, then the question of whether concordance with decadal priorities adds anything to scientific yield, conditional on the dollars committed, remains open and unresolved. This chapter supplies the theoretical mechanism through which concordance could raise per-dollar yield, articulates the causal logic that must hold for that mechanism to operate, identifies the competing logic under which the observed association is an artifact, and formalizes the two hypotheses, H0 and H1, that the empirical design of the dissertation is built to adjudicate.</w:t>
      </w:r>
    </w:p>
    <w:p>
      <w:pPr>
        <w:pStyle w:val="BodyText"/>
        <w:spacing w:line="480" w:lineRule="auto"/>
        <w:ind w:firstLine="720"/>
      </w:pPr>
      <w:r>
        <w:t xml:space="preserve">The chapter is theoretical in register and does not present estimates. Its task is to specify the object that the difference-in-differences design recovers and to state, with enough precision to be falsifiable, what the world must look like under each hypothesis. The institutional setting is the United States civil space science enterprise, in which the decadal survey is the consensus priority-setting instrument and the agency treats its rankings as a binding map for program formulation</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unit of theoretical interest is the federally funded research award and the per-dollar scientific output it generates, not the flagship mission as a whole. This shift in unit from mission to award is deliberate and consequential, because the mechanisms that plausibly link concordance to yield operate at the level of the funded research project and its team, not only at the level of the directed mission line.</w:t>
      </w:r>
    </w:p>
    <w:bookmarkEnd w:id="77"/>
    <w:bookmarkStart w:id="78" w:name="Xa2f7d8b0e06b54ea1b08c56b74e62b476b6289e"/>
    <w:p>
      <w:pPr>
        <w:pStyle w:val="Heading2"/>
        <w:spacing w:line="480" w:lineRule="auto"/>
      </w:pPr>
      <w:r>
        <w:t xml:space="preserve">3.2 The Institutional Premise to Be Theorized</w:t>
      </w:r>
    </w:p>
    <w:p>
      <w:pPr>
        <w:pStyle w:val="FirstParagraph"/>
        <w:spacing w:line="480" w:lineRule="auto"/>
      </w:pPr>
      <w:r>
        <w:t xml:space="preserve">The institution behaves as if alignment is productive. A project whose science traces to a top-ranked decadal recommendation is presumed more fundable, more able to recruit collaborators, and ultimately more productive than an otherwise comparable project that does not track consensus priorities. No single program office invented this presumption; it is the load-bearing assumption beneath the budgetary defense of the entire priority architecture. Public investment in space research and development is justified to appropriators on the expectation that prioritized, coordinated spending returns disproportionate scientific and economic output</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forecasting and valuation literature on the space economy treats research and development as the upstream engine of the downstream products-and-services sector, so that the productivity of the research tier is the premise on which the whole value chain is modeled</w:t>
      </w:r>
      <w:r>
        <w:t xml:space="preserve"> </w:t>
      </w:r>
      <w:hyperlink w:anchor="ref-5">
        <w:r>
          <w:rPr>
            <w:rStyle w:val="Hyperlink"/>
          </w:rPr>
          <w:t xml:space="preserve">[5]</w:t>
        </w:r>
      </w:hyperlink>
      <w:r>
        <w:t xml:space="preserve">. The statecraft literature ties national technological advance to sustained, directed research investment as a precondition rather than a byproduct</w:t>
      </w:r>
      <w:r>
        <w:t xml:space="preserve"> </w:t>
      </w:r>
      <w:hyperlink w:anchor="ref-6">
        <w:r>
          <w:rPr>
            <w:rStyle w:val="Hyperlink"/>
          </w:rPr>
          <w:t xml:space="preserve">[6]</w:t>
        </w:r>
      </w:hyperlink>
      <w:r>
        <w:t xml:space="preserve">. And the architectural-transformation literature argues that technology innovation enjoys synergy with policy structure in ways that can amplify desired outcomes, which is precisely the claim that aligning a project with an endorsed priority should raise its return</w:t>
      </w:r>
      <w:r>
        <w:t xml:space="preserve"> </w:t>
      </w:r>
      <w:hyperlink w:anchor="ref-3">
        <w:r>
          <w:rPr>
            <w:rStyle w:val="Hyperlink"/>
          </w:rPr>
          <w:t xml:space="preserve">[3]</w:t>
        </w:r>
      </w:hyperlink>
      <w:r>
        <w:t xml:space="preserve">.</w:t>
      </w:r>
    </w:p>
    <w:p>
      <w:pPr>
        <w:pStyle w:val="BodyText"/>
        <w:spacing w:line="480" w:lineRule="auto"/>
        <w:ind w:firstLine="720"/>
      </w:pPr>
      <w:r>
        <w:t xml:space="preserve">The premise, however, is asserted at the level of the level relationship. The literature establishes that priority-setting and concentrated funding reorganize who collaborates and what gets produced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it establishes that investment and output move together</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What it does not supply is the marginal object: the contribution of concordance itself to output, conditional on the funding the project received. The scaling chapter of this dissertation closed the level question for the investment channel and found constant returns. The schedule chapter probed one candidate mechanism, faster realization, and found it confounded with scope and statistically silent once scope was controlled. The residual that remains, and that this chapter theorizes, is whether concordance does work beyond the dollars, beyond the schedule, in the per-dollar productivity of the research the dollars buy. That residual is the estimand. The theoretical task is to say through what mechanism a positive residual would arise, and through what alternative process a positive cross-sectional association could appear with no residual at all.</w:t>
      </w:r>
    </w:p>
    <w:bookmarkEnd w:id="78"/>
    <w:bookmarkStart w:id="79" w:name="the-productive-alignment-mechanism"/>
    <w:p>
      <w:pPr>
        <w:pStyle w:val="Heading2"/>
        <w:spacing w:line="480" w:lineRule="auto"/>
      </w:pPr>
      <w:r>
        <w:t xml:space="preserve">3.3 The Productive-Alignment Mechanism</w:t>
      </w:r>
    </w:p>
    <w:p>
      <w:pPr>
        <w:pStyle w:val="FirstParagraph"/>
        <w:spacing w:line="480" w:lineRule="auto"/>
      </w:pPr>
      <w:r>
        <w:t xml:space="preserve">Under the productive-alignment account, concordance with a ranked decadal priority raises a project’s scientific yield per dollar through a chain of organizational and epistemic channels that operate after the funding decision and are therefore not reducible to the size of the award. The mechanism has four linked components.</w:t>
      </w:r>
    </w:p>
    <w:p>
      <w:pPr>
        <w:pStyle w:val="BodyText"/>
        <w:spacing w:line="480" w:lineRule="auto"/>
        <w:ind w:firstLine="720"/>
      </w:pPr>
      <w:r>
        <w:t xml:space="preserve">Begin with sustained legitimacy. A project whose science is concordant with a top-ranked consensus recommendation occupies a protected position in the agency’s program logic. Its continuation does not have to be re-argued at each budget cycle, because its standing is underwritten by a process the agency treats as binding</w:t>
      </w:r>
      <w:r>
        <w:t xml:space="preserve"> </w:t>
      </w:r>
      <w:hyperlink w:anchor="ref-10">
        <w:r>
          <w:rPr>
            <w:rStyle w:val="Hyperlink"/>
          </w:rPr>
          <w:t xml:space="preserve">[10]</w:t>
        </w:r>
      </w:hyperlink>
      <w:r>
        <w:t xml:space="preserve">. Protection from recurrent justification is not a funding effect in the level sense; two projects of identical award size can differ in how much of their effort is consumed defending their own existence. The concordant project converts a larger share of its budget into research effort rather than into the overhead of perennial self-justification. The schedule chapter found an analog of this protection at the mission level, where directorate-directed flagships recovered schedule once their scope was held constant, consistent with the institutional protection a priority pathway confers being distinct from the project’s gross scale. The productive-alignment mechanism asserts that the same protection raises per-dollar research output at the award level.</w:t>
      </w:r>
    </w:p>
    <w:p>
      <w:pPr>
        <w:pStyle w:val="BodyText"/>
        <w:spacing w:line="480" w:lineRule="auto"/>
        <w:ind w:firstLine="720"/>
      </w:pPr>
      <w:r>
        <w:t xml:space="preserve">The second component is collaborative gravity. Consensus priorities act as coordination points around which the research community organizes. When a topic is ranked, it becomes a focal point that draws stronger collaborators, shared instruments, and complementary expertise toward it, because the ranking signals where the field intends to concentrate its effort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 concordant project therefore sits inside a denser collaborative field than a non-concordant project of the same award size, and the density of that field raises the marginal scientific return of each dollar through co-authorship, shared infrastructure, and the faster circulation of intermediate results. This channel is epistemic as much as organizational: alignment places a project where the field’s attention and complementary inputs already are, and proximity to those inputs raises yield.</w:t>
      </w:r>
    </w:p>
    <w:p>
      <w:pPr>
        <w:pStyle w:val="BodyText"/>
        <w:spacing w:line="480" w:lineRule="auto"/>
        <w:ind w:firstLine="720"/>
      </w:pPr>
      <w:r>
        <w:t xml:space="preserve">The third component is downstream salience. Output produced under a ranked priority is more visible to the community that produced the ranking, because that community is primed to attend to results on the topics it has elevated. Field-normalized, citation-weighted output, the outcome this dissertation measures, is sensitive to this salience: a result on a promoted topic enters a conversation that the priority-setting process has already convened, and it accrues attention faster than an equivalent result on a topic the field has demoted. The salience channel is why the outcome is specified in citation-weighted as well as count terms, so that the mechanism’s effect on the influence of output, not only its volume, is captured.</w:t>
      </w:r>
    </w:p>
    <w:p>
      <w:pPr>
        <w:pStyle w:val="BodyText"/>
        <w:spacing w:line="480" w:lineRule="auto"/>
        <w:ind w:firstLine="720"/>
      </w:pPr>
      <w:r>
        <w:t xml:space="preserve">The fourth component is selection-into-effort by the team. A team whose project is concordant has a sharper incentive to publish into the priority conversation, because the returns to visible output are higher when the field is attending to the topic. This is a behavioral channel internal to the funded team and operates conditional on the award, raising the rate at which committed dollars are converted into indexed, cited output.</w:t>
      </w:r>
    </w:p>
    <w:p>
      <w:pPr>
        <w:pStyle w:val="BodyText"/>
        <w:spacing w:line="480" w:lineRule="auto"/>
        <w:ind w:firstLine="720"/>
      </w:pPr>
      <w:r>
        <w:t xml:space="preserve">These four components share a defining property: each operates after the funding decision and conditional on the dollars committed. That property is what makes the productive-alignment mechanism a per-dollar yield mechanism rather than a restatement of the investment-output scaling already estimated. If the mechanism is real, two awards of identical size, identical field, identical agency and program, and identical team strength will diverge in field-normalized output per dollar according to whether their science is concordant with the governing decadal priority. The mechanism predicts a positive concordance residual after the funding channel is partialled out.</w:t>
      </w:r>
    </w:p>
    <w:bookmarkEnd w:id="79"/>
    <w:bookmarkStart w:id="80" w:name="the-competing-selection-account"/>
    <w:p>
      <w:pPr>
        <w:pStyle w:val="Heading2"/>
        <w:spacing w:line="480" w:lineRule="auto"/>
      </w:pPr>
      <w:r>
        <w:t xml:space="preserve">3.4 The Competing Selection Account</w:t>
      </w:r>
    </w:p>
    <w:p>
      <w:pPr>
        <w:pStyle w:val="FirstParagraph"/>
        <w:spacing w:line="480" w:lineRule="auto"/>
      </w:pPr>
      <w:r>
        <w:t xml:space="preserve">The productive-alignment mechanism is not the only process that would generate a positive cross-sectional association between concordance and output. The competing account holds that the association is spurious, manufactured by selection rather than produced by alignment. Under this account the causal arrow runs from team strength to concordance, not from concordance to yield.</w:t>
      </w:r>
    </w:p>
    <w:p>
      <w:pPr>
        <w:pStyle w:val="BodyText"/>
        <w:spacing w:line="480" w:lineRule="auto"/>
        <w:ind w:firstLine="720"/>
      </w:pPr>
      <w:r>
        <w:t xml:space="preserve">The selection logic is straightforward and institutionally grounded. Capable teams are not randomly distributed across topics. Strong teams, those with deeper expertise, better instruments, and established collaborative networks, gravitate toward the topics the field has ranked, because those are the topics with the richest scientific opportunity and the surest funding. The decadal process itself elevates topics partly on the basis of their anticipated productivity, so the ranked set is, by construction, enriched in topics where strong work is expected and where strong teams already cluster</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 naive cross-sectional regression of output on concordance therefore confounds two distinct quantities: the alignment effect the institution believes in, and the team-quality differential that sorted capable groups onto priority topics in the first place. The observed concordance coefficient would be positive even if alignment contributed nothing, because the concordant set is populated by teams that would have been productive on any topic.</w:t>
      </w:r>
    </w:p>
    <w:p>
      <w:pPr>
        <w:pStyle w:val="BodyText"/>
        <w:spacing w:line="480" w:lineRule="auto"/>
        <w:ind w:firstLine="720"/>
      </w:pPr>
      <w:r>
        <w:t xml:space="preserve">This account is not a nuisance to be dismissed; it is a coherent alternative theory of the same data, and it carries a sharp policy implication that opposes the institutional premise. If concordance is a label that strong projects acquire because they were already strong, then reallocating effort toward nominal alignment buys none of the output the institution expects, because the productivity travels with the team, not with the topic ranking. The scaling chapter is silent on this question, because it estimated the investment channel and not the concordance channel. The schedule chapter is consistent with the selection account, because a concordance coefficient that vanishes once scope is controlled is exactly what selection predicts when scope and team strength are entangled with priority standing. The selection account is therefore the live competitor, and the design of this dissertation exists to separate it from productive alignment.</w:t>
      </w:r>
    </w:p>
    <w:bookmarkEnd w:id="80"/>
    <w:bookmarkStart w:id="81" w:name="X1c64a542092cd80040fbe6e8125d9dad7de6921"/>
    <w:p>
      <w:pPr>
        <w:pStyle w:val="Heading2"/>
        <w:spacing w:line="480" w:lineRule="auto"/>
      </w:pPr>
      <w:r>
        <w:t xml:space="preserve">3.5 The Identifying Logic That Separates the Mechanisms</w:t>
      </w:r>
    </w:p>
    <w:p>
      <w:pPr>
        <w:pStyle w:val="FirstParagraph"/>
        <w:spacing w:line="480" w:lineRule="auto"/>
      </w:pPr>
      <w:r>
        <w:t xml:space="preserve">In a cross-section the two mechanisms are observationally equivalent. Both predict a positive raw association between concordance and output. They diverge only in what happens to a project’s output when its concordance changes for reasons unrelated to its own team or science. That divergence is the lever the dissertation pulls.</w:t>
      </w:r>
    </w:p>
    <w:p>
      <w:pPr>
        <w:pStyle w:val="BodyText"/>
        <w:spacing w:line="480" w:lineRule="auto"/>
        <w:ind w:firstLine="720"/>
      </w:pPr>
      <w:r>
        <w:t xml:space="preserve">Decadal priorities are revised at discrete, pre-announced boundaries roughly every ten years. At each revision, the consensus process promotes some topics into the ranked priority set and demotes others out of it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promotion or demotion of a topic is driven by the field-level consensus exercise, not by any change in the team pursuing that topic or in the science the team is doing. A project that has been pursuing a topic which is promoted at a decadal boundary experiences a step increase in concordance that is exogenous to its own team strength, because the team and its science were fixed across the boundary while the priority label moved. The reverse holds for a project on a demoted topic.</w:t>
      </w:r>
    </w:p>
    <w:p>
      <w:pPr>
        <w:pStyle w:val="BodyText"/>
        <w:spacing w:line="480" w:lineRule="auto"/>
        <w:ind w:firstLine="720"/>
      </w:pPr>
      <w:r>
        <w:t xml:space="preserve">Here is the crux of the causal logic. Under the productive-alignment mechanism, the four post-funding channels, sustained legitimacy, collaborative gravity, downstream salience, and selection-into-effort, switch on for a promoted project after the boundary and switch off for a demoted project, so the project’s field-normalized output per dollar should move in the direction of its concordance change after the boundary and not before. Under the pure selection account, nothing causal happens at the boundary, because the project’s productivity is a property of its team, which did not change; the priority label changed, but the label is, on the selection theory, a consequence of team strength rather than a cause of output. A demoted project on the selection account keeps producing at its team-determined rate, because its productivity never depended on the ranking. The two mechanisms therefore make opposite predictions about the within-project change in output across a concordance-changing boundary, and that contrast is identifiable where the cross-sectional contrast is not.</w:t>
      </w:r>
    </w:p>
    <w:p>
      <w:pPr>
        <w:pStyle w:val="BodyText"/>
        <w:spacing w:line="480" w:lineRule="auto"/>
        <w:ind w:firstLine="720"/>
      </w:pPr>
      <w:r>
        <w:t xml:space="preserve">The estimator that operationalizes this logic is a difference-in-differences specification with award-level and period-level fixed effects. The award fixed effect absorbs time-invariant team quality, the very quantity the selection account relies upon, so that the team-strength differential which contaminates the cross-section is differenced away. The period fixed effect absorbs sector-wide shocks common to all projects at a boundary, such as budget cycles and instrument cohorts. The coefficient of interest is on the interaction of the post-boundary indicator with the promotion of the project’s topic, and it recovers the change in per-dollar output attributable to the change in concordance, net of fixed team quality and net of common shocks. That coefficient is the concordance effect, and it is the single object that adjudicates the two mechanisms.</w:t>
      </w:r>
    </w:p>
    <w:p>
      <w:pPr>
        <w:pStyle w:val="BodyText"/>
        <w:spacing w:line="480" w:lineRule="auto"/>
        <w:ind w:firstLine="720"/>
      </w:pPr>
      <w:r>
        <w:t xml:space="preserve">The validity of this logic rests on assumptions that the design makes testable rather than assumed. The parallel-trends assumption requires that, absent the boundary, promoted and stable topics would have followed the same output trajectory; a non-zero placebo effect estimated in pre-boundary periods would falsify it and would indicate that promoted topics were already diverging, which is the selection account reasserting itself through anticipation. The anticipation assumption requires that output not shift in advance of the boundary; because survey drafts circulate before the formal boundary, a pre-boundary shift would signal that teams anticipated promotion and adjusted effort early, which the event-study specification is built to detect. These tests are the empirical guarantors that the within-project change identified at the boundary reflects the concordance mechanism rather than the selection process operating with a lead.</w:t>
      </w:r>
    </w:p>
    <w:bookmarkEnd w:id="81"/>
    <w:bookmarkStart w:id="82" w:name="Xe8b42ee4e5ee2e0e9a5248b702c862120ec8f5e"/>
    <w:p>
      <w:pPr>
        <w:pStyle w:val="Heading2"/>
        <w:spacing w:line="480" w:lineRule="auto"/>
      </w:pPr>
      <w:r>
        <w:t xml:space="preserve">3.6 Concordance and Output as Theoretical Constructs</w:t>
      </w:r>
    </w:p>
    <w:p>
      <w:pPr>
        <w:pStyle w:val="FirstParagraph"/>
        <w:spacing w:line="480" w:lineRule="auto"/>
      </w:pPr>
      <w:r>
        <w:t xml:space="preserve">The hypotheses require that concordance and output be defined as measured properties of the award, and the construct definitions carry theoretical commitments that the chapter must make explicit.</w:t>
      </w:r>
    </w:p>
    <w:p>
      <w:pPr>
        <w:pStyle w:val="BodyText"/>
        <w:spacing w:line="480" w:lineRule="auto"/>
        <w:ind w:firstLine="720"/>
      </w:pPr>
      <w:r>
        <w:t xml:space="preserve">Concordance is the topical match between an award’s funded science and the ranked recommendation text of the decadal survey governing the award at its start date. The construct is continuous in its underlying form, a degree of topical alignment, and discrete in the boundary classification that drives identification, where a topic is promoted, demoted, or stable across a revision. The theoretical commitment embedded in this definition is that alignment is a property of the match between science and ranked priority, not a property of the program line through which the award flowed. This commitment distinguishes the award-level concordance construct of the dissertation from the binary program-line proxy used in the schedule chapter, where concordance was coded by membership in the decadal-endorsed lines. The richer text-based construct is what allows promotion and demotion to be observed within a topic across a boundary, which the program-line proxy cannot capture, and it is therefore the construct that makes the difference-in-differences design feasible.</w:t>
      </w:r>
    </w:p>
    <w:p>
      <w:pPr>
        <w:pStyle w:val="BodyText"/>
        <w:spacing w:line="480" w:lineRule="auto"/>
        <w:ind w:firstLine="720"/>
      </w:pPr>
      <w:r>
        <w:t xml:space="preserve">Scientific output per dollar is field-normalized, weighted publication output divided by inflation-adjusted obligated dollars over a fixed post-award window. The per-dollar form is not incidental; it is the theoretical device that strips out the investment-scaling channel already estimated. By dividing output by deflated obligated dollars, the outcome partials out the mechanical funding relationship, so that what remains is yield conditional on spend, which is precisely the quantity the productive-alignment mechanism claims concordance moves. Field normalization removes cross-field differences in baseline citation and publication rates, so that a concordance effect is not confused with a project happening to sit in a high-citation field. The outcome is reported in both citation-weighted and count-based forms, because the four-channel mechanism predicts effects on the influence of output through the salience channel as well as on its volume, and conclusions that hold under both weightings are more robust than conclusions that depend on one.</w:t>
      </w:r>
    </w:p>
    <w:p>
      <w:pPr>
        <w:pStyle w:val="BodyText"/>
        <w:spacing w:line="480" w:lineRule="auto"/>
        <w:ind w:firstLine="720"/>
      </w:pPr>
      <w:r>
        <w:t xml:space="preserve">The constructs interact with the threats to validity in ways the theory must acknowledge. Concordance measured by text-matching can misclassify alignment; misclassification that is random attenuates the estimate toward zero and therefore biases against the alternative hypothesis, while misclassification correlated with output would bias the estimate and is the reason a hand-coded, inter-rater-validated subsample is required. Output measured through funder-acknowledgement linkage under-attributes some awards; this is classical measurement error in the outcome, which also attenuates toward zero. The net direction of the two principal construct errors is conservative with respect to the alternative hypothesis, so a positive concordance effect that survives them is the more credible for having been estimated against the grain of its own measurement noise.</w:t>
      </w:r>
    </w:p>
    <w:bookmarkEnd w:id="82"/>
    <w:bookmarkStart w:id="83" w:name="formal-hypotheses"/>
    <w:p>
      <w:pPr>
        <w:pStyle w:val="Heading2"/>
        <w:spacing w:line="480" w:lineRule="auto"/>
      </w:pPr>
      <w:r>
        <w:t xml:space="preserve">3.7 Formal Hypotheses</w:t>
      </w:r>
    </w:p>
    <w:p>
      <w:pPr>
        <w:pStyle w:val="FirstParagraph"/>
        <w:spacing w:line="480" w:lineRule="auto"/>
      </w:pPr>
      <w:r>
        <w:t xml:space="preserve">The theoretical apparatus reduces to a single signed, bounded estimate that decides between the productive-alignment mechanism and the selection account. Let concordance be the measured topical match defined in Section 3.6, let scientific output per dollar be the field-normalized weighted output per deflated dollar defined in the same section, and let the controls comprise field, agency, program, award size, and team characteristics, with award and period fixed effects carrying the identifying structure of Section 3.5.</w:t>
      </w:r>
    </w:p>
    <w:p>
      <w:pPr>
        <w:pStyle w:val="BodyText"/>
        <w:spacing w:line="480" w:lineRule="auto"/>
        <w:ind w:firstLine="720"/>
      </w:pPr>
      <w:r>
        <w:rPr>
          <w:b/>
          <w:bCs/>
        </w:rPr>
        <w:t xml:space="preserve">H0 (null).</w:t>
      </w:r>
      <w:r>
        <w:t xml:space="preserve"> </w:t>
      </w:r>
      <w:r>
        <w:t xml:space="preserve">Conditional on field, agency, program, award size, and team characteristics, and net of award and period fixed effects, the causal effect of decadal concordance on scientific output per dollar is zero. Any observed cross-sectional association between concordance and output is attributable to the selection of stronger projects onto priority topics rather than to alignment itself. Under H0 the difference-in-differences coefficient on the post-boundary interaction with topic promotion is statistically indistinguishable from zero: a project’s per-dollar output does not move when its concordance changes for reasons exogenous to its team.</w:t>
      </w:r>
    </w:p>
    <w:p>
      <w:pPr>
        <w:pStyle w:val="BodyText"/>
        <w:spacing w:line="480" w:lineRule="auto"/>
        <w:ind w:firstLine="720"/>
      </w:pPr>
      <w:r>
        <w:rPr>
          <w:b/>
          <w:bCs/>
        </w:rPr>
        <w:t xml:space="preserve">H1 (alternative).</w:t>
      </w:r>
      <w:r>
        <w:t xml:space="preserve"> </w:t>
      </w:r>
      <w:r>
        <w:t xml:space="preserve">Conditional on the same controls and net of the same fixed effects, decadal concordance has a positive and statistically distinguishable causal effect on scientific output per dollar. Under H1 the difference-in-differences coefficient on the post-boundary interaction with topic promotion is positive and bounded away from zero: a project’s per-dollar output rises after its topic is promoted and falls after its topic is demoted, in the direction predicted by the four-channel productive-alignment mechanism, after fixed team quality and common shocks are removed.</w:t>
      </w:r>
    </w:p>
    <w:p>
      <w:pPr>
        <w:pStyle w:val="BodyText"/>
        <w:spacing w:line="480" w:lineRule="auto"/>
        <w:ind w:firstLine="720"/>
      </w:pPr>
      <w:r>
        <w:t xml:space="preserve">The hypotheses are falsifiable in the strict sense. If the identification strategy returns a coefficient that is statistically indistinguishable from zero, or negative, H1 is rejected and the institutional productivity premise, that aligning research with consensus priorities raises its per-dollar yield, is unsupported by these data; the selection account then carries the cross-sectional association, and the decadal process is a coordination ritual with respect to per-dollar productivity rather than a productivity lever. If the coefficient is positive and bounded away from zero, with a clean pre-period and no anticipation, H1 is supported and the premise is vindicated as a causal claim about yield, not merely as a correlate of team strength. A single coefficient, with its sign, its bound, and its placebo-validated pre-period, decides the contribution.</w:t>
      </w:r>
    </w:p>
    <w:bookmarkEnd w:id="83"/>
    <w:bookmarkStart w:id="84" w:name="Xab70e879cbdf4b068cad4d8e2a90fe5f8e07652"/>
    <w:p>
      <w:pPr>
        <w:pStyle w:val="Heading2"/>
        <w:spacing w:line="480" w:lineRule="auto"/>
      </w:pPr>
      <w:r>
        <w:t xml:space="preserve">3.8 Relationship to the Prior Empirical Chapters and the Boundary of the Claim</w:t>
      </w:r>
    </w:p>
    <w:p>
      <w:pPr>
        <w:pStyle w:val="FirstParagraph"/>
        <w:spacing w:line="480" w:lineRule="auto"/>
      </w:pPr>
      <w:r>
        <w:t xml:space="preserve">The three empirical objects of the dissertation form a logical sequence, and stating their relationship clarifies what H0 and H1 do and do not claim. The scaling chapter established that output scales with investment at approximately constant returns, which fixes the investment channel and tells the present chapter what the per-dollar outcome has already netted out. The schedule chapter established that the schedule channel, the candidate mechanism by which concordance might accelerate delivery, is confounded with scope and statistically silent once scope is controlled, which removes one route by which concordance could matter and sharpens the residual that this chapter theorizes. The present chapter isolates the remaining route, the per-dollar productivity of the research the dollars buy, and asks whether concordance moves it once the funding channel and the schedule channel have been accounted for. H1 is a claim about that residual and nothing wider. It does not assert that concordance raises total output, which the scaling chapter shows is governed chiefly by spend; it does not assert that concordance accelerates realization, which the schedule chapter could not establish; it asserts only that, conditional on the dollars, alignment converts those dollars into more field-normalized, more-cited output through the four post-funding channels the mechanism specifies.</w:t>
      </w:r>
    </w:p>
    <w:p>
      <w:pPr>
        <w:pStyle w:val="BodyText"/>
        <w:spacing w:line="480" w:lineRule="auto"/>
        <w:ind w:firstLine="720"/>
      </w:pPr>
      <w:r>
        <w:t xml:space="preserve">The boundary of the claim is equally important. The estimand is specific to NASA-funded space science across the panel’s decadal boundaries and fields, and it does not transfer automatically to other agencies or to non-space research</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heterogeneity analysis the design supports will indicate where any effect concentrates, by field, by agency, and by award size, but generalization beyond the estimated population is a limitation rather than a finding. The single pooled difference-in-differences coefficient is the pre-registered primary test that adjudicates H0 against H1; the heterogeneity and robustness specifications are explicitly secondary and are reported to characterize the effect, not to multiply opportunities to find one. The theoretical framework is thus matched precisely to the empirical design: a mechanism with four conditional-on-funding channels, a competing selection account, an identifying boundary that switches the channels on and off without touching team quality, and two hypotheses whose adjudication turns on a single signed coefficient. The remaining chapters operationalize this framework on the linked award-and-publication panel and return the estimate that decides it.</w:t>
      </w:r>
    </w:p>
    <w:bookmarkEnd w:id="84"/>
    <w:bookmarkEnd w:id="85"/>
    <w:bookmarkStart w:id="92" w:name="chapter-4.-data-and-measurement"/>
    <w:p>
      <w:pPr>
        <w:pStyle w:val="Heading1"/>
        <w:spacing w:line="480" w:lineRule="auto"/>
      </w:pPr>
      <w:r>
        <w:t xml:space="preserve">Chapter 4. Data and Measurement</w:t>
      </w:r>
    </w:p>
    <w:bookmarkStart w:id="86" w:name="purpose-and-scope-of-the-chapter-1"/>
    <w:p>
      <w:pPr>
        <w:pStyle w:val="Heading2"/>
        <w:spacing w:line="480" w:lineRule="auto"/>
      </w:pPr>
      <w:r>
        <w:t xml:space="preserve">4.1 Purpose and Scope of the Chapter</w:t>
      </w:r>
    </w:p>
    <w:p>
      <w:pPr>
        <w:pStyle w:val="FirstParagraph"/>
        <w:spacing w:line="480" w:lineRule="auto"/>
      </w:pPr>
      <w:r>
        <w:t xml:space="preserve">This chapter specifies the empirical materials on which the dissertation’s two completed studies rest. It is deliberately separated from the analytic chapters that follow because the credibility of every estimate reported later depends on whether the underlying records are real, public, and constructed by transparent rules. The dissertation’s governing claim, that concordance with decadal-survey priorities can be tested as a causal property of federally funded space research rather than assumed as an institutional article of faith, requires that the data be assembled from primary federal and bibliographic sources rather than from secondary summaries or illustrative figures. Accordingly, this chapter does four things. It names the authoritative source of each dataset. It states the unit of analysis for each study and explains why that unit is the correct one. It describes, variable by variable, how each measured quantity is constructed from primary records. And it documents the measurement limitations that bound the inferences drawn in Chapters 5 and 6.</w:t>
      </w:r>
    </w:p>
    <w:p>
      <w:pPr>
        <w:pStyle w:val="BodyText"/>
        <w:spacing w:line="480" w:lineRule="auto"/>
        <w:ind w:firstLine="720"/>
      </w:pPr>
      <w:r>
        <w:t xml:space="preserve">Two distinct datasets are documented here, corresponding to the two research papers that anchor the dissertation. The first dataset supports the scientific-yield elasticity study, which fits a learning curve to the relationship between mission life-cycle cost and indexed research output across the body of NASA major missions. The second dataset supports the mission-realization study, which estimates a Cox proportional-hazards model of the authorization-to-launch interval across NASA planetary and astrophysics missions. The two datasets share a common ancestry in public NASA program records and a common methodological commitment, that no value is illustrative and every cost and every output figure traces to a named, retrievable source. They differ in unit of analysis, in outcome construction, and in the temporal window each spans, and those differences are made explicit below.</w:t>
      </w:r>
    </w:p>
    <w:p>
      <w:pPr>
        <w:pStyle w:val="BodyText"/>
        <w:spacing w:line="480" w:lineRule="auto"/>
        <w:ind w:firstLine="720"/>
      </w:pPr>
      <w:r>
        <w:t xml:space="preserve">Measurement is a first-order scientific concern here, not a clerical one. The institutional theory under examination holds that prioritized, coordinated public spending returns disproportionate scientific and economic output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and that the research-and-development tier is the upstream engine of the downstream space economy</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To adjudicate whether that premise has measurable scaling content, the constructs of investment, scientific output, mission concordance, and realization pace must each be operationalized from records that an independent analyst could retrieve and reproduce. The measurement choices made here are therefore reported in enough detail to be replicated and, where they introduce bias, the direction of that bias is identified so that the reader can judge whether a surviving result is conservative or fragile.</w:t>
      </w:r>
    </w:p>
    <w:bookmarkEnd w:id="86"/>
    <w:bookmarkStart w:id="87" w:name="authoritative-sources"/>
    <w:p>
      <w:pPr>
        <w:pStyle w:val="Heading2"/>
        <w:spacing w:line="480" w:lineRule="auto"/>
      </w:pPr>
      <w:r>
        <w:t xml:space="preserve">4.2 Authoritative Sources</w:t>
      </w:r>
    </w:p>
    <w:p>
      <w:pPr>
        <w:pStyle w:val="FirstParagraph"/>
        <w:spacing w:line="480" w:lineRule="auto"/>
      </w:pPr>
      <w:r>
        <w:t xml:space="preserve">Four families of primary source supply the raw material for both datasets, and each is a public federal or independent-of-the-agency record that can be retrieved without proprietary entitlement.</w:t>
      </w:r>
    </w:p>
    <w:p>
      <w:pPr>
        <w:pStyle w:val="BodyText"/>
        <w:spacing w:line="480" w:lineRule="auto"/>
        <w:ind w:firstLine="720"/>
      </w:pPr>
      <w:r>
        <w:t xml:space="preserve">The first is the</w:t>
      </w:r>
      <w:r>
        <w:t xml:space="preserve"> </w:t>
      </w:r>
      <w:r>
        <w:rPr>
          <w:b/>
          <w:bCs/>
        </w:rPr>
        <w:t xml:space="preserve">NASA Technical Reports Server (NTRS)</w:t>
      </w:r>
      <w:r>
        <w:t xml:space="preserve">, the federal scientific-and-technical-information system that indexes technical reports, conference papers, and journal deposits attributed to NASA programs. NTRS is queried through its public citations interface, and it furnishes the bibliometric output measure for the elasticity study. The defining property of NTRS for present purposes is that it is reproducible to the exact query string: a name-matched phrase query returns a record count, and that count is a deterministic function of the query and the index state at retrieval. Each row of the elasticity dataset therefore records the retrieval URL that produced its count, so that the output measure is auditable rather than asserted.</w:t>
      </w:r>
    </w:p>
    <w:p>
      <w:pPr>
        <w:pStyle w:val="BodyText"/>
        <w:spacing w:line="480" w:lineRule="auto"/>
        <w:ind w:firstLine="720"/>
      </w:pPr>
      <w:r>
        <w:t xml:space="preserve">The second family is the set of</w:t>
      </w:r>
      <w:r>
        <w:t xml:space="preserve"> </w:t>
      </w:r>
      <w:r>
        <w:rPr>
          <w:b/>
          <w:bCs/>
        </w:rPr>
        <w:t xml:space="preserve">documented mission-cost compilations</w:t>
      </w:r>
      <w:r>
        <w:t xml:space="preserve">. These are not single-source figures. Life-cycle cost is drawn, with the specific provenance named in the source column of every row, from independent mission-cost reconstructions maintained by The Planetary Society, from NASA Office of Inspector General and Government Accountability Office assessments, from Congressional Research Service reporting, and from mission press kits and NASA factsheets. The deliberate use of independent compilers alongside the agency’s own inspectorate and the legislature’s research service is a guard against single-source cost optimism, and the mission-realization study draws its cost figures from the same triangulated base of NASA factsheets, Government Accountability Office reports, and Planetary Society cost reconstructions.</w:t>
      </w:r>
    </w:p>
    <w:p>
      <w:pPr>
        <w:pStyle w:val="BodyText"/>
        <w:spacing w:line="480" w:lineRule="auto"/>
        <w:ind w:firstLine="720"/>
      </w:pPr>
      <w:r>
        <w:t xml:space="preserve">The third family is the</w:t>
      </w:r>
      <w:r>
        <w:t xml:space="preserve"> </w:t>
      </w:r>
      <w:r>
        <w:rPr>
          <w:b/>
          <w:bCs/>
        </w:rPr>
        <w:t xml:space="preserve">decadal-survey and program-line record</w:t>
      </w:r>
      <w:r>
        <w:t xml:space="preserve">. The ranked recommendations and candidate-theme structure of the governing surveys are encoded from the published consensus survey volumes and the associated National Academies program documentation</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Planetary Science Decadal Survey furnishes the priority architecture against which concordance is judged</w:t>
      </w:r>
      <w:r>
        <w:t xml:space="preserve"> </w:t>
      </w:r>
      <w:hyperlink w:anchor="ref-10">
        <w:r>
          <w:rPr>
            <w:rStyle w:val="Hyperlink"/>
          </w:rPr>
          <w:t xml:space="preserve">[10]</w:t>
        </w:r>
      </w:hyperlink>
      <w:r>
        <w:t xml:space="preserve">, and the New Frontiers candidate-theme list, produced by the Committee on Astrobiology and Planetary Science, furnishes the named-theme basis by which a mission line is treated as decadally concordant</w:t>
      </w:r>
      <w:r>
        <w:t xml:space="preserve"> </w:t>
      </w:r>
      <w:hyperlink w:anchor="ref-11">
        <w:r>
          <w:rPr>
            <w:rStyle w:val="Hyperlink"/>
          </w:rPr>
          <w:t xml:space="preserve">[11]</w:t>
        </w:r>
      </w:hyperlink>
      <w:r>
        <w:t xml:space="preserve">. For the mission-realization study these records also fix the selection and program-line membership of each mission.</w:t>
      </w:r>
    </w:p>
    <w:p>
      <w:pPr>
        <w:pStyle w:val="BodyText"/>
        <w:spacing w:line="480" w:lineRule="auto"/>
        <w:ind w:firstLine="720"/>
      </w:pPr>
      <w:r>
        <w:t xml:space="preserve">The fourth family comprises the</w:t>
      </w:r>
      <w:r>
        <w:t xml:space="preserve"> </w:t>
      </w:r>
      <w:r>
        <w:rPr>
          <w:b/>
          <w:bCs/>
        </w:rPr>
        <w:t xml:space="preserve">individual mission funding and schedule histories</w:t>
      </w:r>
      <w:r>
        <w:t xml:space="preserve"> </w:t>
      </w:r>
      <w:r>
        <w:t xml:space="preserve">used to fix authorization and launch dates in the mission-realization study. For competed missions these come from the Discovery and New Frontiers program rosters; for flagships they come from each mission’s documented funding history, since a flagship’s new-start moment is harder to fix than the competitive selection date of a Discovery or New Frontiers award. The lifecycle and governance literature that frames why the institutional pathway shapes schedule exposure is documented alongside these records</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but those works inform the design rather than supply the panel’s values.</w:t>
      </w:r>
    </w:p>
    <w:p>
      <w:pPr>
        <w:pStyle w:val="BodyText"/>
        <w:spacing w:line="480" w:lineRule="auto"/>
        <w:ind w:firstLine="720"/>
      </w:pPr>
      <w:r>
        <w:t xml:space="preserve">A fifth source category, the prospectus’s planned linkage of NASA award obligations from USAspending.gov to publication trails recovered through OpenAlex funder-acknowledgement metadata, is described in the prospectus as the dissertation’s eventual award-level panel. That linkage is not the basis of the two completed studies and is therefore documented in this chapter as planned future construction rather than as realized data, so that the reader does not mistake the mission-level analyses already executed for the award-level analysis still to come.</w:t>
      </w:r>
    </w:p>
    <w:bookmarkEnd w:id="87"/>
    <w:bookmarkStart w:id="88" w:name="unit-of-analysis"/>
    <w:p>
      <w:pPr>
        <w:pStyle w:val="Heading2"/>
        <w:spacing w:line="480" w:lineRule="auto"/>
      </w:pPr>
      <w:r>
        <w:t xml:space="preserve">4.3 Unit of Analysis</w:t>
      </w:r>
    </w:p>
    <w:p>
      <w:pPr>
        <w:pStyle w:val="FirstParagraph"/>
        <w:spacing w:line="480" w:lineRule="auto"/>
      </w:pPr>
      <w:r>
        <w:t xml:space="preserve">The two studies adopt different units of analysis, and the distinction is consequential for what each can and cannot identify.</w:t>
      </w:r>
    </w:p>
    <w:p>
      <w:pPr>
        <w:pStyle w:val="BodyText"/>
        <w:spacing w:line="480" w:lineRule="auto"/>
        <w:ind w:firstLine="720"/>
      </w:pPr>
      <w:r>
        <w:t xml:space="preserve">In the</w:t>
      </w:r>
      <w:r>
        <w:t xml:space="preserve"> </w:t>
      </w:r>
      <w:r>
        <w:rPr>
          <w:b/>
          <w:bCs/>
        </w:rPr>
        <w:t xml:space="preserve">scientific-yield elasticity study</w:t>
      </w:r>
      <w:r>
        <w:t xml:space="preserve">, the unit of observation is the</w:t>
      </w:r>
      <w:r>
        <w:t xml:space="preserve"> </w:t>
      </w:r>
      <w:r>
        <w:rPr>
          <w:b/>
          <w:bCs/>
        </w:rPr>
        <w:t xml:space="preserve">NASA major mission</w:t>
      </w:r>
      <w:r>
        <w:t xml:space="preserve">. A mission is the correct unit there because the construct of interest is the relationship between the dollars committed to a discrete, named undertaking and the indexed research that undertaking generates. Both the investment measure and the output measure are properties of the mission as a whole, not of any individual award, instrument, or investigator, and the mission name is the linkage key that ties a documented cost to a retrievable publication trail. The sample is eighteen missions spanning Earth science, heliophysics, planetary science, and astrophysics, with launch dates from 1997 to 2026. The cross-sectional breadth across four science divisions is intentional, because the elasticity is meant to characterize the portfolio rather than a single program line, and the span of nearly two orders of magnitude in spend, from a roughly three-hundred-million-dollar Explorer-class mission to the nine-point-seven-billion-dollar James Webb Space Telescope, is the variation from which the slope is identified.</w:t>
      </w:r>
    </w:p>
    <w:p>
      <w:pPr>
        <w:pStyle w:val="BodyText"/>
        <w:spacing w:line="480" w:lineRule="auto"/>
        <w:ind w:firstLine="720"/>
      </w:pPr>
      <w:r>
        <w:t xml:space="preserve">In the</w:t>
      </w:r>
      <w:r>
        <w:t xml:space="preserve"> </w:t>
      </w:r>
      <w:r>
        <w:rPr>
          <w:b/>
          <w:bCs/>
        </w:rPr>
        <w:t xml:space="preserve">mission-realization study</w:t>
      </w:r>
      <w:r>
        <w:t xml:space="preserve">, the unit of observation is the</w:t>
      </w:r>
      <w:r>
        <w:t xml:space="preserve"> </w:t>
      </w:r>
      <w:r>
        <w:rPr>
          <w:b/>
          <w:bCs/>
        </w:rPr>
        <w:t xml:space="preserve">NASA planetary or astrophysics mission with a documented new-start authorization year and a documented launch year</w:t>
      </w:r>
      <w:r>
        <w:t xml:space="preserve">. Here the mission is again the natural unit, but the analytic object is a time-to-event rather than a cross-sectional level, so the mission contributes a survival time and an event indicator rather than an output count. The panel contains twenty-one missions: thirteen from the Discovery Program, four from New Frontiers, and four flagships. The composition is deliberate. The Discovery line provides the open, principal-investigator-led comparison group whose themes are not drawn from decadal surveys, while the New Frontiers and flagship lines provide the decadally concordant treatment group whose themes are drawn from or named in the surveys</w:t>
      </w:r>
      <w:r>
        <w:t xml:space="preserve"> </w:t>
      </w:r>
      <w:hyperlink w:anchor="ref-11">
        <w:r>
          <w:rPr>
            <w:rStyle w:val="Hyperlink"/>
          </w:rPr>
          <w:t xml:space="preserve">[11]</w:t>
        </w:r>
      </w:hyperlink>
      <w:r>
        <w:t xml:space="preserve">. Restricting this panel to planetary and astrophysics missions, rather than mixing in the broader four-division set used by the elasticity study, keeps the selection logic interpretable, because the Discovery and New Frontiers competitive structure is specific to those domains.</w:t>
      </w:r>
    </w:p>
    <w:p>
      <w:pPr>
        <w:pStyle w:val="BodyText"/>
        <w:spacing w:line="480" w:lineRule="auto"/>
        <w:ind w:firstLine="720"/>
      </w:pPr>
      <w:r>
        <w:t xml:space="preserve">The difference in sample size between the two studies, eighteen missions in one and twenty-one in the other, reflects that the two are built around different inclusion rules and is not an inconsistency. The elasticity study admits any major mission with a documented life-cycle cost and a retrievable NTRS trail across four divisions; the realization study admits planetary and astrophysics missions with a fixable authorization-to-launch interval across three program lines. Some missions appear in both panels and some in only one, and the chapters that use them treat the two populations as distinct estimands rather than as a single pooled sample.</w:t>
      </w:r>
    </w:p>
    <w:bookmarkEnd w:id="88"/>
    <w:bookmarkStart w:id="89" w:name="X031e36701d2d90258b8f35e59c54423a0f6a237"/>
    <w:p>
      <w:pPr>
        <w:pStyle w:val="Heading2"/>
        <w:spacing w:line="480" w:lineRule="auto"/>
      </w:pPr>
      <w:r>
        <w:t xml:space="preserve">4.4 Variable Construction in the Elasticity Study</w:t>
      </w:r>
    </w:p>
    <w:p>
      <w:pPr>
        <w:pStyle w:val="FirstParagraph"/>
        <w:spacing w:line="480" w:lineRule="auto"/>
      </w:pPr>
      <w:r>
        <w:t xml:space="preserve">The elasticity study has one outcome variable, one principal regressor, and one auxiliary indicator, and each is constructed from primary records by an explicit rule.</w:t>
      </w:r>
    </w:p>
    <w:p>
      <w:pPr>
        <w:pStyle w:val="BodyText"/>
        <w:spacing w:line="480" w:lineRule="auto"/>
        <w:ind w:firstLine="720"/>
      </w:pPr>
      <w:r>
        <w:t xml:space="preserve">The</w:t>
      </w:r>
      <w:r>
        <w:t xml:space="preserve"> </w:t>
      </w:r>
      <w:r>
        <w:rPr>
          <w:b/>
          <w:bCs/>
        </w:rPr>
        <w:t xml:space="preserve">scientific-output variable</w:t>
      </w:r>
      <w:r>
        <w:t xml:space="preserve"> </w:t>
      </w:r>
      <w:r>
        <w:t xml:space="preserve">is the count of records in the NASA Technical Reports Server that match the mission name as an exact quoted phrase, retrieved through the public NTRS citations interface. The construction rule is mechanical and reproducible: the mission name is submitted as a quoted phrase query, and the returned record count is the mission’s indexed research trail of technical reports, conference papers, and journal deposits attributed to that name in the federal system. Because the measure is reproducible to the exact query string, each row stores the retrieval URL alongside the count, which makes the outcome auditable by any reader with access to the public interface. The analysis operates on the natural logarithm of this count, consistent with the log-log learning-curve form, so that a mission with zero matched records cannot enter the fit and the heavy-tailed count is rendered additive.</w:t>
      </w:r>
    </w:p>
    <w:p>
      <w:pPr>
        <w:pStyle w:val="BodyText"/>
        <w:spacing w:line="480" w:lineRule="auto"/>
        <w:ind w:firstLine="720"/>
      </w:pPr>
      <w:r>
        <w:t xml:space="preserve">The</w:t>
      </w:r>
      <w:r>
        <w:t xml:space="preserve"> </w:t>
      </w:r>
      <w:r>
        <w:rPr>
          <w:b/>
          <w:bCs/>
        </w:rPr>
        <w:t xml:space="preserve">investment variable</w:t>
      </w:r>
      <w:r>
        <w:t xml:space="preserve"> </w:t>
      </w:r>
      <w:r>
        <w:t xml:space="preserve">is the mission’s documented total life-cycle cost, or development-plus-operations cost where a single life-cycle figure is not published, expressed in millions of nominal United States dollars. The construction rule is that every figure is a documented public value with its specific compiler named in the source column, drawn from the triangulated base of Planetary Society reconstructions, NASA Office of Inspector General and Government Accountability Office assessments, Congressional Research Service reporting, and mission press kits described in Section 4.2. The analysis uses the natural logarithm of life-cycle cost as the single regressor, and the slope of the log output on log cost regression is by construction the cost elasticity of scientific output, with two raised to that slope giving the progress ratio for a doubling of investment.</w:t>
      </w:r>
    </w:p>
    <w:p>
      <w:pPr>
        <w:pStyle w:val="BodyText"/>
        <w:spacing w:line="480" w:lineRule="auto"/>
        <w:ind w:firstLine="720"/>
      </w:pPr>
      <w:r>
        <w:t xml:space="preserve">The</w:t>
      </w:r>
      <w:r>
        <w:t xml:space="preserve"> </w:t>
      </w:r>
      <w:r>
        <w:rPr>
          <w:b/>
          <w:bCs/>
        </w:rPr>
        <w:t xml:space="preserve">flagship indicator</w:t>
      </w:r>
      <w:r>
        <w:t xml:space="preserve"> </w:t>
      </w:r>
      <w:r>
        <w:t xml:space="preserve">records whether each mission was a top-ranked directed recommendation of its governing decadal survey</w:t>
      </w:r>
      <w:r>
        <w:t xml:space="preserve"> </w:t>
      </w:r>
      <w:hyperlink w:anchor="ref-10">
        <w:r>
          <w:rPr>
            <w:rStyle w:val="Hyperlink"/>
          </w:rPr>
          <w:t xml:space="preserve">[10]</w:t>
        </w:r>
      </w:hyperlink>
      <w:r>
        <w:t xml:space="preserve">. It is a binary variable constructed by checking each mission’s theme against the named directed recommendations of the survey in force at the mission’s formulation, and it is reported for the heterogeneity discussion in Chapter 5 rather than entered into the primary fit. Its role is to support the companion question of whether directed decadal missions sit systematically above the common scaling curve, which is the bridge between this scaling estimate and the concordance question at the center of the dissertation.</w:t>
      </w:r>
    </w:p>
    <w:p>
      <w:pPr>
        <w:pStyle w:val="BodyText"/>
        <w:spacing w:line="480" w:lineRule="auto"/>
        <w:ind w:firstLine="720"/>
      </w:pPr>
      <w:r>
        <w:t xml:space="preserve">Two construction features of the output variable introduce known measurement error, and both are documented because they bound the inference. First, because output is measured by name-matched NTRS records, missions with longer post-launch accrual windows have had more time to publish, so the oldest missions in the sample sit among the higher output counts at moderate cost while the most recent and not-yet-flown missions show truncated trails. This accrual effect works against the largest and newest missions and, if it biases the elasticity at all, biases it downward against an increasing-returns finding. Second, name-matching counts mission-attributed records and undercounts science published under instrument or target names rather than the mission name, which is classical measurement error in the outcome and attenuates the slope toward zero. Both features are conservative with respect to the alternative hypothesis, so a surviving positive elasticity is a robust rather than an inflated result.</w:t>
      </w:r>
    </w:p>
    <w:bookmarkEnd w:id="89"/>
    <w:bookmarkStart w:id="90" w:name="X295896cf696b4aeb7b348cc776edc77f1fc0bdc"/>
    <w:p>
      <w:pPr>
        <w:pStyle w:val="Heading2"/>
        <w:spacing w:line="480" w:lineRule="auto"/>
      </w:pPr>
      <w:r>
        <w:t xml:space="preserve">4.5 Variable Construction in the Mission-Realization Study</w:t>
      </w:r>
    </w:p>
    <w:p>
      <w:pPr>
        <w:pStyle w:val="FirstParagraph"/>
        <w:spacing w:line="480" w:lineRule="auto"/>
      </w:pPr>
      <w:r>
        <w:t xml:space="preserve">The mission-realization study is built around a survival outcome and three covariates, and its construction rules are stated here with the same specificity.</w:t>
      </w:r>
    </w:p>
    <w:p>
      <w:pPr>
        <w:pStyle w:val="BodyText"/>
        <w:spacing w:line="480" w:lineRule="auto"/>
        <w:ind w:firstLine="720"/>
      </w:pPr>
      <w:r>
        <w:t xml:space="preserve">The</w:t>
      </w:r>
      <w:r>
        <w:t xml:space="preserve"> </w:t>
      </w:r>
      <w:r>
        <w:rPr>
          <w:b/>
          <w:bCs/>
        </w:rPr>
        <w:t xml:space="preserve">survival time</w:t>
      </w:r>
      <w:r>
        <w:t xml:space="preserve"> </w:t>
      </w:r>
      <w:r>
        <w:t xml:space="preserve">is the authorization-to-launch interval in years, defined as the elapsed time between a mission’s documented new-start authorization and its documented launch. For competed missions the authorization moment is the competitive selection date taken from the Discovery and New Frontiers program rosters; for flagships it is the documented funding milestone taken from each mission’s funding history, with Cassini first funded in fiscal year 1990, Mars Science Laboratory and Mars 2020 entering implementation in 2006 and 2016 respectively, and Europa Clipper authorized for formulation in 2013. The chapter records that the flagship authorization date is harder to fix than the competitive selection date, because a flagship’s new-start moment is distributed across funding actions rather than concentrated in a single selection announcement, and modest coding differences in the new-start year would move the flagship intervals.</w:t>
      </w:r>
    </w:p>
    <w:p>
      <w:pPr>
        <w:pStyle w:val="BodyText"/>
        <w:spacing w:line="480" w:lineRule="auto"/>
        <w:ind w:firstLine="720"/>
      </w:pPr>
      <w:r>
        <w:t xml:space="preserve">One mission has not flown. The</w:t>
      </w:r>
      <w:r>
        <w:t xml:space="preserve"> </w:t>
      </w:r>
      <w:r>
        <w:rPr>
          <w:b/>
          <w:bCs/>
        </w:rPr>
        <w:t xml:space="preserve">event indicator</w:t>
      </w:r>
      <w:r>
        <w:t xml:space="preserve"> </w:t>
      </w:r>
      <w:r>
        <w:t xml:space="preserve">is one for missions that had launched by the observation point and zero for the single right-censored observation, Dragonfly, which was selected in 2019 and is not yet flown. Of the twenty-one missions, twenty are events and one is censored, and the Cox framing is adopted precisely because it handles the censored observation without discarding it and without imposing a parametric baseline schedule.</w:t>
      </w:r>
    </w:p>
    <w:p>
      <w:pPr>
        <w:pStyle w:val="BodyText"/>
        <w:spacing w:line="480" w:lineRule="auto"/>
        <w:ind w:firstLine="720"/>
      </w:pPr>
      <w:r>
        <w:t xml:space="preserve">The</w:t>
      </w:r>
      <w:r>
        <w:t xml:space="preserve"> </w:t>
      </w:r>
      <w:r>
        <w:rPr>
          <w:b/>
          <w:bCs/>
        </w:rPr>
        <w:t xml:space="preserve">decadal-concordance variable</w:t>
      </w:r>
      <w:r>
        <w:t xml:space="preserve"> </w:t>
      </w:r>
      <w:r>
        <w:t xml:space="preserve">is coded one for New Frontiers and flagship missions, whose themes are drawn from or named in the decadal surveys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zero for the open Discovery competition, whose themes are selected from principal-investigator proposals across a wide thematic space rather than from a ranked list. The construction rule is therefore a program-line rule grounded in the documented theme provenance of each line rather than a subjective judgment about any individual mission’s scientific alignment.</w:t>
      </w:r>
    </w:p>
    <w:p>
      <w:pPr>
        <w:pStyle w:val="BodyText"/>
        <w:spacing w:line="480" w:lineRule="auto"/>
        <w:ind w:firstLine="720"/>
      </w:pPr>
      <w:r>
        <w:t xml:space="preserve">The</w:t>
      </w:r>
      <w:r>
        <w:t xml:space="preserve"> </w:t>
      </w:r>
      <w:r>
        <w:rPr>
          <w:b/>
          <w:bCs/>
        </w:rPr>
        <w:t xml:space="preserve">lifecycle-cost covariate</w:t>
      </w:r>
      <w:r>
        <w:t xml:space="preserve"> </w:t>
      </w:r>
      <w:r>
        <w:t xml:space="preserve">enters in billions of dollars and is drawn from the same triangulated base of NASA factsheets, Government Accountability Office reports, and Planetary Society reconstructions used by the elasticity study, serving here as a scope proxy. The</w:t>
      </w:r>
      <w:r>
        <w:t xml:space="preserve"> </w:t>
      </w:r>
      <w:r>
        <w:rPr>
          <w:b/>
          <w:bCs/>
        </w:rPr>
        <w:t xml:space="preserve">flagship indicator</w:t>
      </w:r>
      <w:r>
        <w:t xml:space="preserve"> </w:t>
      </w:r>
      <w:r>
        <w:t xml:space="preserve">captures the largest, directorate-directed class of mission and is constructed to separate the directorate-protected projects from the competed ones. The chapter notes explicitly that concordance and cost are entangled by construction, because the decadal-endorsed New Frontiers and flagship lines are systematically larger and more complex than the open Discovery competition, which is why the model conditions on cost and flagship status and why Chapter 5 reads the concordance coefficient with that confounding in view.</w:t>
      </w:r>
    </w:p>
    <w:bookmarkEnd w:id="90"/>
    <w:bookmarkStart w:id="91" w:name="X85c13fdf19fb61435edba802cb04165606df126"/>
    <w:p>
      <w:pPr>
        <w:pStyle w:val="Heading2"/>
        <w:spacing w:line="480" w:lineRule="auto"/>
      </w:pPr>
      <w:r>
        <w:t xml:space="preserve">4.6 Measurement Limitations and Their Direction</w:t>
      </w:r>
    </w:p>
    <w:p>
      <w:pPr>
        <w:pStyle w:val="FirstParagraph"/>
        <w:spacing w:line="480" w:lineRule="auto"/>
      </w:pPr>
      <w:r>
        <w:t xml:space="preserve">Three measurement issues bound the dissertation’s inferences, and each is reported here with its direction of effect rather than concealed.</w:t>
      </w:r>
    </w:p>
    <w:p>
      <w:pPr>
        <w:pStyle w:val="BodyText"/>
        <w:spacing w:line="480" w:lineRule="auto"/>
        <w:ind w:firstLine="720"/>
      </w:pPr>
      <w:r>
        <w:t xml:space="preserve">The first is</w:t>
      </w:r>
      <w:r>
        <w:t xml:space="preserve"> </w:t>
      </w:r>
      <w:r>
        <w:rPr>
          <w:b/>
          <w:bCs/>
        </w:rPr>
        <w:t xml:space="preserve">outcome attribution error in the elasticity study</w:t>
      </w:r>
      <w:r>
        <w:t xml:space="preserve">. Name-matched NTRS counts both truncate the trails of recent missions through the accrual window and undercount instrument-named or target-named science, and both errors attenuate the estimated elasticity toward and below its true value. A positive elasticity recovered under these conditions is therefore conservative, which is the relevant property for a study whose null is that output does not scale with investment.</w:t>
      </w:r>
    </w:p>
    <w:p>
      <w:pPr>
        <w:pStyle w:val="BodyText"/>
        <w:spacing w:line="480" w:lineRule="auto"/>
        <w:ind w:firstLine="720"/>
      </w:pPr>
      <w:r>
        <w:t xml:space="preserve">The second is</w:t>
      </w:r>
      <w:r>
        <w:t xml:space="preserve"> </w:t>
      </w:r>
      <w:r>
        <w:rPr>
          <w:b/>
          <w:bCs/>
        </w:rPr>
        <w:t xml:space="preserve">confounding of concordance with scope in the realization study</w:t>
      </w:r>
      <w:r>
        <w:t xml:space="preserve">. Because the decadally concordant lines are the larger ones, the concordance covariate cannot be cleanly separated from cost within a twenty-one-mission panel, and the study accordingly reports the concordance coefficient as descriptive of this population rather than as a generalizable causal estimate. The governance literature that motivates the design is consistent with this reading, treating the institutional pathway, not thematic pedigree alone, as the driver of schedule exposure</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third is</w:t>
      </w:r>
      <w:r>
        <w:t xml:space="preserve"> </w:t>
      </w:r>
      <w:r>
        <w:rPr>
          <w:b/>
          <w:bCs/>
        </w:rPr>
        <w:t xml:space="preserve">the limited power of small mission cross-sections</w:t>
      </w:r>
      <w:r>
        <w:t xml:space="preserve">. Eighteen and twenty-one observations are sufficient to reject sharply specified nulls but insufficient to discriminate finely among nearby regimes, and the chapters that follow interpret confidence intervals accordingly rather than over-reading point estimates. The prospectus’s planned award-level panel, linking USAspending.gov obligations to OpenAlex-recovered publication trails, is the intended remedy for this power constraint, and Section 4.2 documents it as the dissertation’s forward path toward an identified, rather than merely descriptive, estimate of the concordance effect</w:t>
      </w:r>
      <w:r>
        <w:t xml:space="preserve"> </w:t>
      </w:r>
      <w:hyperlink w:anchor="ref-9">
        <w:r>
          <w:rPr>
            <w:rStyle w:val="Hyperlink"/>
          </w:rPr>
          <w:t xml:space="preserve">[9]</w:t>
        </w:r>
      </w:hyperlink>
      <w:r>
        <w:t xml:space="preserve">.</w:t>
      </w:r>
    </w:p>
    <w:bookmarkEnd w:id="91"/>
    <w:bookmarkEnd w:id="92"/>
    <w:bookmarkStart w:id="113" w:name="chapter-5.-methods-and-identification"/>
    <w:p>
      <w:pPr>
        <w:pStyle w:val="Heading1"/>
        <w:spacing w:line="480" w:lineRule="auto"/>
      </w:pPr>
      <w:r>
        <w:t xml:space="preserve">Chapter 5. Methods and Identification</w:t>
      </w:r>
    </w:p>
    <w:bookmarkStart w:id="93" w:name="X6061ef568b5c10599a111000821888834c6336e"/>
    <w:p>
      <w:pPr>
        <w:pStyle w:val="Heading2"/>
        <w:spacing w:line="480" w:lineRule="auto"/>
      </w:pPr>
      <w:r>
        <w:t xml:space="preserve">5.1 Overview and the Logic of the Three-Estimator Design</w:t>
      </w:r>
    </w:p>
    <w:p>
      <w:pPr>
        <w:pStyle w:val="FirstParagraph"/>
        <w:spacing w:line="480" w:lineRule="auto"/>
      </w:pPr>
      <w:r>
        <w:t xml:space="preserve">This chapter specifies the estimators used to adjudicate the dissertation’s single falsifiable contribution, states the identification strategy that gives the principal estimate a causal interpretation, and enumerates the threats to that interpretation together with the procedure that bounds each one. The empirical architecture is deliberately layered. A primary difference-in-differences estimator carries the causal claim about decadal concordance and per-dollar scientific yield. Two supporting estimators, a learning-curve elasticity fitted across NASA major missions and a Cox proportional-hazards model of authorization-to-launch intervals, are not redundant robustness exercises but distinct identification windows onto the same alignment-productivity question. Each isolates a different margin: the difference-in-differences estimator isolates the within-topic response of output to a discrete change in priority status, the elasticity estimator isolates the scaling of output with cumulative investment, and the hazard estimator isolates the schedule margin on which concordance might operate before any publication is ever produced. The three are reported as a triangulation, with the difference-in-differences coefficient designated in advance as the test that decides H0 against H1 and the other two as bounding context that constrains the interpretation of that coefficient.</w:t>
      </w:r>
    </w:p>
    <w:p>
      <w:pPr>
        <w:pStyle w:val="BodyText"/>
        <w:spacing w:line="480" w:lineRule="auto"/>
        <w:ind w:firstLine="720"/>
      </w:pPr>
      <w:r>
        <w:t xml:space="preserve">The motivating literature establishes that priority-setting and concentrated public investment reorganize how space research is produced and justify the expectation that prioritized spend returns disproportionate yield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None of that literature supplies an identified estimate of the marginal causal contribution of concordance, and the methodological burden of this chapter is to supply one while being explicit about the conditions under which the estimate can and cannot bear weight.</w:t>
      </w:r>
    </w:p>
    <w:bookmarkEnd w:id="93"/>
    <w:bookmarkStart w:id="98" w:name="X945f27511fc2d27763533ad897196abef67a160"/>
    <w:p>
      <w:pPr>
        <w:pStyle w:val="Heading2"/>
        <w:spacing w:line="480" w:lineRule="auto"/>
      </w:pPr>
      <w:r>
        <w:t xml:space="preserve">5.2 The Primary Estimator: Difference-in-Differences on Decadal Boundaries</w:t>
      </w:r>
    </w:p>
    <w:bookmarkStart w:id="94" w:name="estimand-and-unit"/>
    <w:p>
      <w:pPr>
        <w:pStyle w:val="Heading3"/>
        <w:spacing w:line="480" w:lineRule="auto"/>
      </w:pPr>
      <w:r>
        <w:t xml:space="preserve">5.2.1 Estimand and Unit</w:t>
      </w:r>
    </w:p>
    <w:p>
      <w:pPr>
        <w:pStyle w:val="FirstParagraph"/>
        <w:spacing w:line="480" w:lineRule="auto"/>
      </w:pPr>
      <w:r>
        <w:t xml:space="preserve">The estimand is the average causal effect of decadal concordance on field-normalized scientific output per inflation-adjusted award dollar. The unit of observation is the award, observed across the decadal boundary at which its governing priorities are revised. Where awards are too short-lived to be observed on both sides of a boundary, the unit is the topic-cohort, a set of awards sharing a topical classification, observed as a panel across the boundary. The outcome is field-normalized, citation-weighted publication output divided by deflated obligated dollars over a fixed post-award window, constructed from the linkage of USAspending.gov award records to OpenAlex and NTRS publication trails described in the data chapter.</w:t>
      </w:r>
    </w:p>
    <w:bookmarkEnd w:id="94"/>
    <w:bookmarkStart w:id="95" w:name="specification"/>
    <w:p>
      <w:pPr>
        <w:pStyle w:val="Heading3"/>
        <w:spacing w:line="480" w:lineRule="auto"/>
      </w:pPr>
      <w:r>
        <w:t xml:space="preserve">5.2.2 Specification</w:t>
      </w:r>
    </w:p>
    <w:p>
      <w:pPr>
        <w:pStyle w:val="FirstParagraph"/>
        <w:spacing w:line="480" w:lineRule="auto"/>
      </w:pPr>
      <w:r>
        <w:t xml:space="preserve">The primary specification is a two-way fixed-effects panel regression. For award (or topic-cohort)</w:t>
      </w:r>
      <w:r>
        <w:t xml:space="preserve"> </w:t>
      </w:r>
      <m:oMath>
        <m:r>
          <m:t>i</m:t>
        </m:r>
      </m:oMath>
      <w:r>
        <w:t xml:space="preserve"> </w:t>
      </w:r>
      <w:r>
        <w:t xml:space="preserve">observed in period</w:t>
      </w:r>
      <w:r>
        <w:t xml:space="preserve"> </w:t>
      </w:r>
      <m:oMath>
        <m:r>
          <m:t>t</m:t>
        </m:r>
      </m:oMath>
      <w:r>
        <w:t xml:space="preserve">, let</w:t>
      </w:r>
      <w:r>
        <w:t xml:space="preserve"> </w:t>
      </w:r>
      <m:oMath>
        <m:sSub>
          <m:e>
            <m:r>
              <m:t>Y</m:t>
            </m:r>
          </m:e>
          <m:sub>
            <m:r>
              <m:t>i</m:t>
            </m:r>
            <m:r>
              <m:t>t</m:t>
            </m:r>
          </m:sub>
        </m:sSub>
      </m:oMath>
      <w:r>
        <w:t xml:space="preserve"> </w:t>
      </w:r>
      <w:r>
        <w:t xml:space="preserve">denote field-normalized output per dollar, let</w:t>
      </w:r>
      <w:r>
        <w:t xml:space="preserve"> </w:t>
      </w:r>
      <m:oMath>
        <m:sSub>
          <m:e>
            <m:r>
              <m:rPr>
                <m:sty m:val="p"/>
              </m:rPr>
              <m:t>P</m:t>
            </m:r>
            <m:r>
              <m:rPr>
                <m:sty m:val="p"/>
              </m:rPr>
              <m:t>r</m:t>
            </m:r>
            <m:r>
              <m:rPr>
                <m:sty m:val="p"/>
              </m:rPr>
              <m:t>o</m:t>
            </m:r>
            <m:r>
              <m:rPr>
                <m:sty m:val="p"/>
              </m:rPr>
              <m:t>m</m:t>
            </m:r>
            <m:r>
              <m:rPr>
                <m:sty m:val="p"/>
              </m:rPr>
              <m:t>o</m:t>
            </m:r>
            <m:r>
              <m:rPr>
                <m:sty m:val="p"/>
              </m:rPr>
              <m:t>t</m:t>
            </m:r>
            <m:r>
              <m:rPr>
                <m:sty m:val="p"/>
              </m:rPr>
              <m:t>e</m:t>
            </m:r>
            <m:r>
              <m:rPr>
                <m:sty m:val="p"/>
              </m:rPr>
              <m:t>d</m:t>
            </m:r>
          </m:e>
          <m:sub>
            <m:r>
              <m:t>i</m:t>
            </m:r>
          </m:sub>
        </m:sSub>
      </m:oMath>
      <w:r>
        <w:t xml:space="preserve"> </w:t>
      </w:r>
      <w:r>
        <w:t xml:space="preserve">indicate membership in the set of topics promoted into the ranked priority set at the boundary, and let</w:t>
      </w:r>
      <w:r>
        <w:t xml:space="preserve"> </w:t>
      </w:r>
      <m:oMath>
        <m:sSub>
          <m:e>
            <m:r>
              <m:rPr>
                <m:sty m:val="p"/>
              </m:rPr>
              <m:t>P</m:t>
            </m:r>
            <m:r>
              <m:rPr>
                <m:sty m:val="p"/>
              </m:rPr>
              <m:t>o</m:t>
            </m:r>
            <m:r>
              <m:rPr>
                <m:sty m:val="p"/>
              </m:rPr>
              <m:t>s</m:t>
            </m:r>
            <m:r>
              <m:rPr>
                <m:sty m:val="p"/>
              </m:rPr>
              <m:t>t</m:t>
            </m:r>
          </m:e>
          <m:sub>
            <m:r>
              <m:t>t</m:t>
            </m:r>
          </m:sub>
        </m:sSub>
      </m:oMath>
      <w:r>
        <w:t xml:space="preserve"> </w:t>
      </w:r>
      <w:r>
        <w:t xml:space="preserve">indicate periods after the boundary. The estimating equation is</w:t>
      </w:r>
    </w:p>
    <w:p>
      <w:pPr>
        <w:pStyle w:val="BodyText"/>
        <w:spacing w:line="480" w:lineRule="auto"/>
        <w:ind w:firstLine="720"/>
      </w:pPr>
      <m:oMathPara>
        <m:oMathParaPr>
          <m:jc m:val="center"/>
        </m:oMathParaPr>
        <m:oMath>
          <m:sSub>
            <m:e>
              <m:r>
                <m:t>Y</m:t>
              </m:r>
            </m:e>
            <m:sub>
              <m:r>
                <m:t>i</m:t>
              </m:r>
              <m:r>
                <m:t>t</m:t>
              </m:r>
            </m:sub>
          </m:sSub>
          <m:r>
            <m:rPr>
              <m:sty m:val="p"/>
            </m:rPr>
            <m:t>=</m:t>
          </m:r>
          <m:sSub>
            <m:e>
              <m:r>
                <m:t>α</m:t>
              </m:r>
            </m:e>
            <m:sub>
              <m:r>
                <m:t>i</m:t>
              </m:r>
            </m:sub>
          </m:sSub>
          <m:r>
            <m:rPr>
              <m:sty m:val="p"/>
            </m:rPr>
            <m:t>+</m:t>
          </m:r>
          <m:sSub>
            <m:e>
              <m:r>
                <m:t>λ</m:t>
              </m:r>
            </m:e>
            <m:sub>
              <m:r>
                <m:t>t</m:t>
              </m:r>
            </m:sub>
          </m:sSub>
          <m:r>
            <m:rPr>
              <m:sty m:val="p"/>
            </m:rPr>
            <m:t>+</m:t>
          </m:r>
          <m:r>
            <m:t>β</m:t>
          </m:r>
          <m:r>
            <m:t> </m:t>
          </m:r>
          <m:r>
            <m:rPr>
              <m:sty m:val="p"/>
            </m:rPr>
            <m:t>(</m:t>
          </m:r>
          <m:sSub>
            <m:e>
              <m:r>
                <m:rPr>
                  <m:sty m:val="p"/>
                </m:rPr>
                <m:t>P</m:t>
              </m:r>
              <m:r>
                <m:rPr>
                  <m:sty m:val="p"/>
                </m:rPr>
                <m:t>r</m:t>
              </m:r>
              <m:r>
                <m:rPr>
                  <m:sty m:val="p"/>
                </m:rPr>
                <m:t>o</m:t>
              </m:r>
              <m:r>
                <m:rPr>
                  <m:sty m:val="p"/>
                </m:rPr>
                <m:t>m</m:t>
              </m:r>
              <m:r>
                <m:rPr>
                  <m:sty m:val="p"/>
                </m:rPr>
                <m:t>o</m:t>
              </m:r>
              <m:r>
                <m:rPr>
                  <m:sty m:val="p"/>
                </m:rPr>
                <m:t>t</m:t>
              </m:r>
              <m:r>
                <m:rPr>
                  <m:sty m:val="p"/>
                </m:rPr>
                <m:t>e</m:t>
              </m:r>
              <m:r>
                <m:rPr>
                  <m:sty m:val="p"/>
                </m:rPr>
                <m:t>d</m:t>
              </m:r>
            </m:e>
            <m:sub>
              <m:r>
                <m:t>i</m:t>
              </m:r>
            </m:sub>
          </m:sSub>
          <m:r>
            <m:rPr>
              <m:sty m:val="p"/>
            </m:rPr>
            <m:t>×</m:t>
          </m:r>
          <m:sSub>
            <m:e>
              <m:r>
                <m:rPr>
                  <m:sty m:val="p"/>
                </m:rPr>
                <m:t>P</m:t>
              </m:r>
              <m:r>
                <m:rPr>
                  <m:sty m:val="p"/>
                </m:rPr>
                <m:t>o</m:t>
              </m:r>
              <m:r>
                <m:rPr>
                  <m:sty m:val="p"/>
                </m:rPr>
                <m:t>s</m:t>
              </m:r>
              <m:r>
                <m:rPr>
                  <m:sty m:val="p"/>
                </m:rPr>
                <m:t>t</m:t>
              </m:r>
            </m:e>
            <m:sub>
              <m:r>
                <m:t>t</m:t>
              </m:r>
            </m:sub>
          </m:sSub>
          <m:r>
            <m:rPr>
              <m:sty m:val="p"/>
            </m:rPr>
            <m:t>)</m:t>
          </m:r>
          <m:r>
            <m:rPr>
              <m:sty m:val="p"/>
            </m:rPr>
            <m:t>+</m:t>
          </m:r>
          <m:sSubSup>
            <m:e>
              <m:r>
                <m:t>X</m:t>
              </m:r>
            </m:e>
            <m:sub>
              <m:r>
                <m:t>i</m:t>
              </m:r>
              <m:r>
                <m:t>t</m:t>
              </m:r>
            </m:sub>
            <m:sup>
              <m:r>
                <m:rPr>
                  <m:sty m:val="p"/>
                </m:rPr>
                <m:t>′</m:t>
              </m:r>
            </m:sup>
          </m:sSubSup>
          <m:r>
            <m:t>γ</m:t>
          </m:r>
          <m:r>
            <m:rPr>
              <m:sty m:val="p"/>
            </m:rPr>
            <m:t>+</m:t>
          </m:r>
          <m:sSub>
            <m:e>
              <m:r>
                <m:t>ε</m:t>
              </m:r>
            </m:e>
            <m:sub>
              <m:r>
                <m:t>i</m:t>
              </m:r>
              <m:r>
                <m:t>t</m:t>
              </m:r>
            </m:sub>
          </m:sSub>
          <m:r>
            <m:rPr>
              <m:sty m:val="p"/>
            </m:rPr>
            <m:t>,</m:t>
          </m:r>
        </m:oMath>
      </m:oMathPara>
    </w:p>
    <w:p>
      <w:pPr>
        <w:pStyle w:val="FirstParagraph"/>
        <w:spacing w:line="480" w:lineRule="auto"/>
      </w:pPr>
      <w:r>
        <w:t xml:space="preserve">where</w:t>
      </w:r>
      <w:r>
        <w:t xml:space="preserve"> </w:t>
      </w:r>
      <m:oMath>
        <m:sSub>
          <m:e>
            <m:r>
              <m:t>α</m:t>
            </m:r>
          </m:e>
          <m:sub>
            <m:r>
              <m:t>i</m:t>
            </m:r>
          </m:sub>
        </m:sSub>
      </m:oMath>
      <w:r>
        <w:t xml:space="preserve"> </w:t>
      </w:r>
      <w:r>
        <w:t xml:space="preserve">is an award (or topic-cohort) fixed effect,</w:t>
      </w:r>
      <w:r>
        <w:t xml:space="preserve"> </w:t>
      </w:r>
      <m:oMath>
        <m:sSub>
          <m:e>
            <m:r>
              <m:t>λ</m:t>
            </m:r>
          </m:e>
          <m:sub>
            <m:r>
              <m:t>t</m:t>
            </m:r>
          </m:sub>
        </m:sSub>
      </m:oMath>
      <w:r>
        <w:t xml:space="preserve"> </w:t>
      </w:r>
      <w:r>
        <w:t xml:space="preserve">is a period fixed effect,</w:t>
      </w:r>
      <w:r>
        <w:t xml:space="preserve"> </w:t>
      </w:r>
      <m:oMath>
        <m:sSub>
          <m:e>
            <m:r>
              <m:t>X</m:t>
            </m:r>
          </m:e>
          <m:sub>
            <m:r>
              <m:t>i</m:t>
            </m:r>
            <m:r>
              <m:t>t</m:t>
            </m:r>
          </m:sub>
        </m:sSub>
      </m:oMath>
      <w:r>
        <w:t xml:space="preserve"> </w:t>
      </w:r>
      <w:r>
        <w:t xml:space="preserve">is a vector of time-varying controls (award size, duration, agency, program, and team characteristics), and</w:t>
      </w:r>
      <w:r>
        <w:t xml:space="preserve"> </w:t>
      </w:r>
      <m:oMath>
        <m:r>
          <m:t>β</m:t>
        </m:r>
      </m:oMath>
      <w:r>
        <w:t xml:space="preserve"> </w:t>
      </w:r>
      <w:r>
        <w:t xml:space="preserve">is the coefficient of interest. The award fixed effects absorb all time-invariant heterogeneity in the unit, above all the persistent quality of the team, which is the central confounder identified earlier. The period fixed effects absorb sector-wide shocks common to all units in a period: budget cycles, instrument cohorts, and field-wide citation inflation. The coefficient</w:t>
      </w:r>
      <w:r>
        <w:t xml:space="preserve"> </w:t>
      </w:r>
      <m:oMath>
        <m:r>
          <m:t>β</m:t>
        </m:r>
      </m:oMath>
      <w:r>
        <w:t xml:space="preserve"> </w:t>
      </w:r>
      <w:r>
        <w:t xml:space="preserve">on the promoted-by-post interaction is the difference-in-differences estimate of the concordance effect, the differential change in per-dollar output experienced by a topic that crossed into the priority set relative to a topic whose decadal rank did not move.</w:t>
      </w:r>
    </w:p>
    <w:bookmarkEnd w:id="95"/>
    <w:bookmarkStart w:id="96" w:name="Xb7a5e5164babe19a185431817c4bd86baa07238"/>
    <w:p>
      <w:pPr>
        <w:pStyle w:val="Heading3"/>
        <w:spacing w:line="480" w:lineRule="auto"/>
      </w:pPr>
      <w:r>
        <w:t xml:space="preserve">5.2.3 Concordance Measurement and Treatment Assignment</w:t>
      </w:r>
    </w:p>
    <w:p>
      <w:pPr>
        <w:pStyle w:val="FirstParagraph"/>
        <w:spacing w:line="480" w:lineRule="auto"/>
      </w:pPr>
      <w:r>
        <w:t xml:space="preserve">Concordance is not assigned by fiat. It is measured. The treatment indicator is constructed by text-matching award abstracts and funded-science descriptions against the ranked recommendation text of the governing decadal survey volumes, encoded as machine-readable priority lists per boundary. The procedure yields both a continuous topical-alignment score and a discrete promoted/demoted/stable classification at each boundary. The matching procedure, including its similarity metric and the thresholds that separate promoted from stable from demoted, is pre-registered before the outcome data are linked, so that the treatment definition cannot be tuned to produce a desired sign on</w:t>
      </w:r>
      <w:r>
        <w:t xml:space="preserve"> </w:t>
      </w:r>
      <m:oMath>
        <m:r>
          <m:t>β</m:t>
        </m:r>
      </m:oMath>
      <w:r>
        <w:t xml:space="preserve">. The continuous score supports a dose-response specification reported as a secondary result; the discrete classification supports the primary binary difference-in-differences. This measurement strategy operationalizes the institutional fact that decadal priorities are revised at discrete, pre-announced boundaries and that promotion and demotion of topics at those boundaries is the consensus-driven event the design exploits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bookmarkEnd w:id="96"/>
    <w:bookmarkStart w:id="97" w:name="inference"/>
    <w:p>
      <w:pPr>
        <w:pStyle w:val="Heading3"/>
        <w:spacing w:line="480" w:lineRule="auto"/>
      </w:pPr>
      <w:r>
        <w:t xml:space="preserve">5.2.4 Inference</w:t>
      </w:r>
    </w:p>
    <w:p>
      <w:pPr>
        <w:pStyle w:val="FirstParagraph"/>
        <w:spacing w:line="480" w:lineRule="auto"/>
      </w:pPr>
      <w:r>
        <w:t xml:space="preserve">Standard errors are clustered at the level at which treatment is assigned, the topic, to accommodate within-topic correlation across awards and across periods. Because the number of treated clusters may be modest, inference is corroborated with a wild cluster bootstrap rather than relying on the asymptotic cluster-robust variance alone. The single pooled</w:t>
      </w:r>
      <w:r>
        <w:t xml:space="preserve"> </w:t>
      </w:r>
      <m:oMath>
        <m:r>
          <m:t>β</m:t>
        </m:r>
      </m:oMath>
      <w:r>
        <w:t xml:space="preserve"> </w:t>
      </w:r>
      <w:r>
        <w:t xml:space="preserve">is the pre-registered primary test; all heterogeneity and robustness coefficients are reported as explicitly secondary, a discipline imposed to control the family-wise error rate discussed in Section 5.5.</w:t>
      </w:r>
    </w:p>
    <w:bookmarkEnd w:id="97"/>
    <w:bookmarkEnd w:id="98"/>
    <w:bookmarkStart w:id="102" w:name="identification-strategy"/>
    <w:p>
      <w:pPr>
        <w:pStyle w:val="Heading2"/>
        <w:spacing w:line="480" w:lineRule="auto"/>
      </w:pPr>
      <w:r>
        <w:t xml:space="preserve">5.3 Identification Strategy</w:t>
      </w:r>
    </w:p>
    <w:bookmarkStart w:id="99" w:name="X6f2a4526c9cfacd521f26e3946c4008497413d3"/>
    <w:p>
      <w:pPr>
        <w:pStyle w:val="Heading3"/>
        <w:spacing w:line="480" w:lineRule="auto"/>
      </w:pPr>
      <w:r>
        <w:t xml:space="preserve">5.3.1 The Selection Problem and the Source of Identifying Variation</w:t>
      </w:r>
    </w:p>
    <w:p>
      <w:pPr>
        <w:pStyle w:val="FirstParagraph"/>
        <w:spacing w:line="480" w:lineRule="auto"/>
      </w:pPr>
      <w:r>
        <w:t xml:space="preserve">The naive estimator of the concordance effect is a cross-sectional regression of output on concordance, and it is biased by selection: capable teams gravitate toward priority topics, so the cross-sectional association confounds the causal effect of alignment with the unobserved quality of the teams that alignment attracts. The design defeats this confound by refusing to compare aligned awards to unaligned awards in the cross-section. It instead compares the same topic to itself across a decadal boundary, differencing out everything fixed about that topic and its teams, and then differences again against topics that did not change rank, removing anything that moved for the whole sector between periods. The identifying variation is the discrete promotion or demotion of a topic at a decadal boundary, an event produced by the National Research Council consensus process rather than by any change in the promoted topic’s own team or science. A project pursuing a topic that is promoted experiences a step increase in concordance that is, by construction of the consensus process, plausibly exogenous to that single project’s productivity.</w:t>
      </w:r>
    </w:p>
    <w:bookmarkEnd w:id="99"/>
    <w:bookmarkStart w:id="100" w:name="the-identifying-assumption"/>
    <w:p>
      <w:pPr>
        <w:pStyle w:val="Heading3"/>
        <w:spacing w:line="480" w:lineRule="auto"/>
      </w:pPr>
      <w:r>
        <w:t xml:space="preserve">5.3.2 The Identifying Assumption</w:t>
      </w:r>
    </w:p>
    <w:p>
      <w:pPr>
        <w:pStyle w:val="FirstParagraph"/>
        <w:spacing w:line="480" w:lineRule="auto"/>
      </w:pPr>
      <w:r>
        <w:t xml:space="preserve">Identification rests on parallel trends: absent the boundary revision, the per-dollar output of promoted and stable topics would have followed parallel paths. Under this assumption the period fixed effects remove the common trajectory and</w:t>
      </w:r>
      <w:r>
        <w:t xml:space="preserve"> </w:t>
      </w:r>
      <m:oMath>
        <m:r>
          <m:t>β</m:t>
        </m:r>
      </m:oMath>
      <w:r>
        <w:t xml:space="preserve"> </w:t>
      </w:r>
      <w:r>
        <w:t xml:space="preserve">recovers the causal effect of the promotion. The assumption is not the implausible claim that promoted and stable topics are identical in levels; the fixed effects permit arbitrary level differences. It is the weaker claim that their trends would have coincided in the counterfactual where the boundary did not move them apart. This is the assumption that the validity tests in Section 5.5 are designed to interrogate, because it is the assumption on which the entire causal claim stands or falls.</w:t>
      </w:r>
    </w:p>
    <w:bookmarkEnd w:id="100"/>
    <w:bookmarkStart w:id="101" w:name="Xaba030702c3b44c09c9653a59e4874f8c890607"/>
    <w:p>
      <w:pPr>
        <w:pStyle w:val="Heading3"/>
        <w:spacing w:line="480" w:lineRule="auto"/>
      </w:pPr>
      <w:r>
        <w:t xml:space="preserve">5.3.3 Triangulation with the Supporting Estimators</w:t>
      </w:r>
    </w:p>
    <w:p>
      <w:pPr>
        <w:pStyle w:val="FirstParagraph"/>
        <w:spacing w:line="480" w:lineRule="auto"/>
      </w:pPr>
      <w:r>
        <w:t xml:space="preserve">The difference-in-differences design identifies a within-topic response but cannot, on its own, characterize the level relationship between investment and output against which that response should be read. The two supporting estimators supply that level structure and are part of the identification argument rather than appended to it.</w:t>
      </w:r>
    </w:p>
    <w:p>
      <w:pPr>
        <w:pStyle w:val="BodyText"/>
        <w:spacing w:line="480" w:lineRule="auto"/>
        <w:ind w:firstLine="720"/>
      </w:pPr>
      <w:r>
        <w:t xml:space="preserve">The learning-curve estimator fits the logarithm of indexed publication output on the logarithm of mission life-cycle cost by ordinary least squares with heteroskedasticity-robust standard errors across a cross-section of NASA major missions, recovering the elasticity of scientific output with respect to cumulative investment. This estimator establishes the scaling regime within which the concordance effect operates. Its estimated slope of 1.10, with a robust standard error of 0.32 and a ninety-five percent confidence interval from 0.48 to 1.73, locates the portfolio in a regime that cannot be distinguished from unit elasticity, that is, approximately proportional returns to scale in scientific output. This matters for identification because it tells the difference-in-differences interpretation what</w:t>
      </w:r>
      <w:r>
        <w:t xml:space="preserve"> </w:t>
      </w:r>
      <w:r>
        <w:t xml:space="preserve">“per dollar”</w:t>
      </w:r>
      <w:r>
        <w:t xml:space="preserve"> </w:t>
      </w:r>
      <w:r>
        <w:t xml:space="preserve">means in this population: output scales roughly one-for-one with spend, so a per-dollar outcome is a meaningful normalization rather than a mechanically increasing or decreasing transformation of raw output. The log-log form is the canonical specification for scale relationships in space-systems cost analysis</w:t>
      </w:r>
      <w:r>
        <w:t xml:space="preserve"> </w:t>
      </w:r>
      <w:hyperlink w:anchor="ref-9">
        <w:r>
          <w:rPr>
            <w:rStyle w:val="Hyperlink"/>
          </w:rPr>
          <w:t xml:space="preserve">[9]</w:t>
        </w:r>
      </w:hyperlink>
      <w:r>
        <w:t xml:space="preserve">, and its single slope is directly interpretable as the elasticity the returns-to-scale question requires.</w:t>
      </w:r>
    </w:p>
    <w:p>
      <w:pPr>
        <w:pStyle w:val="BodyText"/>
        <w:spacing w:line="480" w:lineRule="auto"/>
        <w:ind w:firstLine="720"/>
      </w:pPr>
      <w:r>
        <w:t xml:space="preserve">The hazard estimator fits a Cox proportional-hazards model of the authorization-to-launch interval, treating that interval as a survival time with one right-censored observation, and lets decadal concordance, lifecycle cost, and flagship status compete as covariates without imposing a parametric baseline. This estimator identifies the schedule margin, the channel through which concordance might raise yield before publication by accelerating the conversion of authorization into flight. Its findings discipline the concordance interpretation directly. Concordance carries a positive log-hazard coefficient of 0.7026 with a standard error of 0.7743 that is not distinguishable from zero, while lifecycle cost carries a precisely estimated negative coefficient of -1.5721 with a standard error of 0.6480, and the flagship indicator a large positive coefficient of 3.2212 with a standard error of 1.4747. The reading that survives is that scope, not thematic pedigree, governs the pace of realization once cost is held fixed, and that concordance is confounded with scope because the decadal-endorsed lines are systematically the larger ones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This confound is precisely the one the dissertation’s primary design is built to break, which is why the hazard result motivates rather than substitutes for the difference-in-differences estimate. The lifecycle and science-planning literature attributes long realization times to instrument maturity and coordination load rather than to thematic standing, reinforcing that any concordance effect on yield must be identified net of scope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Read together, the three estimators partition the alignment-productivity question. Each answers a distinct margin. The hazard model shows that concordance does not buy a clean schedule advantage once scope is controlled; the elasticity model shows that output scales about proportionally with investment; and the difference-in-differences model asks whether, holding the funding channel and the team fixed, a discrete gain in concordance raises per-dollar yield. Only the last carries the causal claim, and the first two bound how that claim should be interpreted.</w:t>
      </w:r>
    </w:p>
    <w:bookmarkEnd w:id="101"/>
    <w:bookmarkEnd w:id="102"/>
    <w:bookmarkStart w:id="103" w:name="X9fa186fb31d68340c840eec6db5139af0acf19a"/>
    <w:p>
      <w:pPr>
        <w:pStyle w:val="Heading2"/>
        <w:spacing w:line="480" w:lineRule="auto"/>
      </w:pPr>
      <w:r>
        <w:t xml:space="preserve">5.4 The Per-Dollar Outcome and the Funding Channel</w:t>
      </w:r>
    </w:p>
    <w:p>
      <w:pPr>
        <w:pStyle w:val="FirstParagraph"/>
        <w:spacing w:line="480" w:lineRule="auto"/>
      </w:pPr>
      <w:r>
        <w:t xml:space="preserve">A central design choice is that the outcome is normalized per obligated dollar rather than expressed as raw output. This choice is itself part of the identification, because it partials out the mechanical channel by which promoted topics might simply receive larger or longer awards and therefore produce more output without any gain in efficiency. The elasticity estimate justifies the normalization quantitatively: because output scales approximately one-for-one with cost across the mission cross-section, dividing output by dollars removes the bulk of the funding-volume channel rather than introducing a spurious denominator effect. Award size and duration additionally enter the difference-in-differences specification as controls, so the concordance coefficient is identified conditional on the dollars spent, isolating yield per unit of spend rather than yield financed by additional spend. The companion question the elasticity paper raises, whether directed decadal missions sit systematically above the common scaling curve, is the level-shift analogue of the within-topic concordance effect this dissertation estimates, and the two are designed to be read jointly.</w:t>
      </w:r>
    </w:p>
    <w:bookmarkEnd w:id="103"/>
    <w:bookmarkStart w:id="111"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credibility of the principal estimate depends on confronting each threat to validity with an explicit test or bound. The threats are organized by the type of inference they endanger.</w:t>
      </w:r>
    </w:p>
    <w:bookmarkStart w:id="104" w:name="X8d622537d87ab0c189bf242724edc61152bb1fe"/>
    <w:p>
      <w:pPr>
        <w:pStyle w:val="Heading3"/>
        <w:spacing w:line="480" w:lineRule="auto"/>
      </w:pPr>
      <w:r>
        <w:t xml:space="preserve">5.5.1 Selection on Unobservables (Internal Validity)</w:t>
      </w:r>
    </w:p>
    <w:p>
      <w:pPr>
        <w:pStyle w:val="FirstParagraph"/>
        <w:spacing w:line="480" w:lineRule="auto"/>
      </w:pPr>
      <w:r>
        <w:t xml:space="preserve">The core internal threat is that promotion of a topic at a decadal boundary is itself driven by anticipated productivity, so that promoted topics would have risen even absent the promotion and</w:t>
      </w:r>
      <w:r>
        <w:t xml:space="preserve"> </w:t>
      </w:r>
      <m:oMath>
        <m:r>
          <m:t>β</m:t>
        </m:r>
      </m:oMath>
      <w:r>
        <w:t xml:space="preserve"> </w:t>
      </w:r>
      <w:r>
        <w:t xml:space="preserve">captures that anticipated rise rather than a concordance effect. This threat is bounded by two tests that operationalize the parallel-trends assumption. First, placebo difference-in-differences estimates are computed in pre-boundary periods; a non-zero placebo coefficient in a period before any priority change would falsify the design by revealing a pre-existing divergence in trends. Second, an event-study specification traces the coefficient period by period across the boundary, and the causal claim is asserted only if the effect is flat and indistinguishable from zero before the boundary and emerges only after it. A clean pre-period and a post-boundary emergence are required conditions, not optional robustness checks; without them the chapter’s causal language is withdrawn and the estimate is reported as descriptive. The hazard result, which shows that concordance is entangled with scope and confers no clean schedule advantage once cost is controlled, makes the anticipation concern concrete and is the reason these tests are treated as gating rather than supplementary</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w:t>
      </w:r>
    </w:p>
    <w:bookmarkEnd w:id="104"/>
    <w:bookmarkStart w:id="105" w:name="anticipation-internal-validity"/>
    <w:p>
      <w:pPr>
        <w:pStyle w:val="Heading3"/>
        <w:spacing w:line="480" w:lineRule="auto"/>
      </w:pPr>
      <w:r>
        <w:t xml:space="preserve">5.5.2 Anticipation (Internal Validity)</w:t>
      </w:r>
    </w:p>
    <w:p>
      <w:pPr>
        <w:pStyle w:val="FirstParagraph"/>
        <w:spacing w:line="480" w:lineRule="auto"/>
      </w:pPr>
      <w:r>
        <w:t xml:space="preserve">Decadal survey drafts circulate in advance of formal publication, so teams may adjust output before the nominal boundary, contaminating the pre-period. This is bounded by testing explicitly whether output shifts in the periods immediately preceding the boundary and, where anticipation is detected, by redefining the treatment timing to the date drafts entered circulation rather than the publication date. The event-study window is extended far enough before the boundary to detect anticipation if it is present, so that the design fails loudly rather than silently when this assumption is violated.</w:t>
      </w:r>
    </w:p>
    <w:bookmarkEnd w:id="105"/>
    <w:bookmarkStart w:id="106" w:name="X5bfbbe2f92e4a2e6fba4c7c3828df6b5df1d8e3"/>
    <w:p>
      <w:pPr>
        <w:pStyle w:val="Heading3"/>
        <w:spacing w:line="480" w:lineRule="auto"/>
      </w:pPr>
      <w:r>
        <w:t xml:space="preserve">5.5.3 Concordance Measurement Error (Construct Validity)</w:t>
      </w:r>
    </w:p>
    <w:p>
      <w:pPr>
        <w:pStyle w:val="FirstParagraph"/>
        <w:spacing w:line="480" w:lineRule="auto"/>
      </w:pPr>
      <w:r>
        <w:t xml:space="preserve">Text-matching awards to ranked recommendations can misclassify alignment. The bounding logic distinguishes two cases. Misclassification that is random with respect to output is classical measurement error in the treatment, which attenuates</w:t>
      </w:r>
      <w:r>
        <w:t xml:space="preserve"> </w:t>
      </w:r>
      <m:oMath>
        <m:r>
          <m:t>β</m:t>
        </m:r>
      </m:oMath>
      <w:r>
        <w:t xml:space="preserve"> </w:t>
      </w:r>
      <w:r>
        <w:t xml:space="preserve">toward zero and therefore biases against H1; under this case a non-zero estimate is conservative and a null is the case that cannot distinguish true zero from attenuation. Misclassification correlated with output is the dangerous case, because it can bias the estimate in either direction, and it is bounded by an inter-rater-validated, hand-coded subsample against which the automated classification is benchmarked. The agreement statistics from that subsample quantify the misclassification rate and the extent to which any residual error is correlated with the outcome. The same conservative attenuation logic was load-bearing in the elasticity paper, where name-matched output measurement biased the slope toward zero and the estimate survived nonetheless</w:t>
      </w:r>
      <w:r>
        <w:t xml:space="preserve"> </w:t>
      </w:r>
      <w:hyperlink w:anchor="ref-9">
        <w:r>
          <w:rPr>
            <w:rStyle w:val="Hyperlink"/>
          </w:rPr>
          <w:t xml:space="preserve">[9]</w:t>
        </w:r>
      </w:hyperlink>
      <w:r>
        <w:t xml:space="preserve">.</w:t>
      </w:r>
    </w:p>
    <w:bookmarkEnd w:id="106"/>
    <w:bookmarkStart w:id="107" w:name="X92c0aa9e3fa2b5ca768d910433965eca06d60ec"/>
    <w:p>
      <w:pPr>
        <w:pStyle w:val="Heading3"/>
        <w:spacing w:line="480" w:lineRule="auto"/>
      </w:pPr>
      <w:r>
        <w:t xml:space="preserve">5.5.4 Outcome Measurement and Linkage (Construct Validity)</w:t>
      </w:r>
    </w:p>
    <w:p>
      <w:pPr>
        <w:pStyle w:val="FirstParagraph"/>
        <w:spacing w:line="480" w:lineRule="auto"/>
      </w:pPr>
      <w:r>
        <w:t xml:space="preserve">Funder-acknowledgement coverage in bibliographic data is incomplete, so some awards are under-attributed and their per-dollar output is understated. This is bounded by a hand-audited linkage sample that quantifies the linkage error rate directly, and by reporting both citation-weighted and count-based outcomes so that no conclusion depends on a single weighting. Because under-attribution attenuates measured output, it too biases against detecting a positive concordance effect, so the direction of this construct threat is conservative for H1. The elasticity paper’s finding that output scales approximately proportionally with cost provides an external check on the plausibility of the constructed output measure, since a wildly mismeasured outcome would be unlikely to recover the field-canonical log-log scaling</w:t>
      </w:r>
      <w:r>
        <w:t xml:space="preserve"> </w:t>
      </w:r>
      <w:hyperlink w:anchor="ref-9">
        <w:r>
          <w:rPr>
            <w:rStyle w:val="Hyperlink"/>
          </w:rPr>
          <w:t xml:space="preserve">[9]</w:t>
        </w:r>
      </w:hyperlink>
      <w:r>
        <w:t xml:space="preserve">.</w:t>
      </w:r>
    </w:p>
    <w:bookmarkEnd w:id="107"/>
    <w:bookmarkStart w:id="108" w:name="Xc573c32db109aa438b2400696b902dbcc1ed677"/>
    <w:p>
      <w:pPr>
        <w:pStyle w:val="Heading3"/>
        <w:spacing w:line="480" w:lineRule="auto"/>
      </w:pPr>
      <w:r>
        <w:t xml:space="preserve">5.5.5 Confounded Co-Treatment (Internal Validity)</w:t>
      </w:r>
    </w:p>
    <w:p>
      <w:pPr>
        <w:pStyle w:val="FirstParagraph"/>
        <w:spacing w:line="480" w:lineRule="auto"/>
      </w:pPr>
      <w:r>
        <w:t xml:space="preserve">Promoted topics may receive larger or longer awards alongside their promotion, so the estimate could capture a dollars effect rather than a concordance effect. This is bounded structurally and by controls. Structurally, the per-dollar outcome removes the mechanical funding-volume channel, and the elasticity estimate confirms that this normalization is approximately neutral rather than distortionary because output scales near one-for-one with spend</w:t>
      </w:r>
      <w:r>
        <w:t xml:space="preserve"> </w:t>
      </w:r>
      <w:hyperlink w:anchor="ref-9">
        <w:r>
          <w:rPr>
            <w:rStyle w:val="Hyperlink"/>
          </w:rPr>
          <w:t xml:space="preserve">[9]</w:t>
        </w:r>
      </w:hyperlink>
      <w:r>
        <w:t xml:space="preserve">. By controls, award size and duration enter the specification directly, so</w:t>
      </w:r>
      <w:r>
        <w:t xml:space="preserve"> </w:t>
      </w:r>
      <m:oMath>
        <m:r>
          <m:t>β</m:t>
        </m:r>
      </m:oMath>
      <w:r>
        <w:t xml:space="preserve"> </w:t>
      </w:r>
      <w:r>
        <w:t xml:space="preserve">is identified holding the funding channel fixed. The hazard model independently documents that the cost channel is the dominant, precisely estimated driver of mission realization, with a coefficient of -1.5721, which is exactly why the dissertation isolates yield conditional on spend rather than yield financed by spend</w:t>
      </w:r>
      <w:r>
        <w:t xml:space="preserve"> </w:t>
      </w:r>
      <w:hyperlink w:anchor="ref-12">
        <w:r>
          <w:rPr>
            <w:rStyle w:val="Hyperlink"/>
          </w:rPr>
          <w:t xml:space="preserve">[12]</w:t>
        </w:r>
      </w:hyperlink>
      <w:r>
        <w:t xml:space="preserve">.</w:t>
      </w:r>
    </w:p>
    <w:bookmarkEnd w:id="108"/>
    <w:bookmarkStart w:id="109" w:name="external-validity"/>
    <w:p>
      <w:pPr>
        <w:pStyle w:val="Heading3"/>
        <w:spacing w:line="480" w:lineRule="auto"/>
      </w:pPr>
      <w:r>
        <w:t xml:space="preserve">5.5.6 External Validity</w:t>
      </w:r>
    </w:p>
    <w:p>
      <w:pPr>
        <w:pStyle w:val="FirstParagraph"/>
        <w:spacing w:line="480" w:lineRule="auto"/>
      </w:pPr>
      <w:r>
        <w:t xml:space="preserve">The estimate is specific to NASA-funded space science across the panel’s decadal boundaries and fields and does not automatically transfer to other agencies or to non-space research. This is bounded by reporting heterogeneity of</w:t>
      </w:r>
      <w:r>
        <w:t xml:space="preserve"> </w:t>
      </w:r>
      <m:oMath>
        <m:r>
          <m:t>β</m:t>
        </m:r>
      </m:oMath>
      <w:r>
        <w:t xml:space="preserve"> </w:t>
      </w:r>
      <w:r>
        <w:t xml:space="preserve">by field, agency, and award size, which indicates where the effect concentrates, and by treating any generalization beyond the estimated population as a stated limitation rather than a finding. The supporting estimators carry the same discipline: the elasticity is specific to NASA major missions and a name-matched output measure, and the hazard coefficients are read as descriptive of this population of competed and flagship missions rather than as estimates for a wider universe.</w:t>
      </w:r>
    </w:p>
    <w:bookmarkEnd w:id="109"/>
    <w:bookmarkStart w:id="110" w:name="X5a379d921c7ef89d4b06b608dfef05f0f7449ba"/>
    <w:p>
      <w:pPr>
        <w:pStyle w:val="Heading3"/>
        <w:spacing w:line="480" w:lineRule="auto"/>
      </w:pPr>
      <w:r>
        <w:t xml:space="preserve">5.5.7 Multiple Comparisons (Statistical Validity)</w:t>
      </w:r>
    </w:p>
    <w:p>
      <w:pPr>
        <w:pStyle w:val="FirstParagraph"/>
        <w:spacing w:line="480" w:lineRule="auto"/>
      </w:pPr>
      <w:r>
        <w:t xml:space="preserve">Heterogeneity and robustness specifications invite false positives. This is bounded by the pre-registration of the single pooled difference-in-differences coefficient as the primary test that adjudicates H0 against H1, with every other estimate designated secondary, and by reporting the secondary family with multiplicity-adjusted inference. The discipline is structural: because the contribution is decided by one signed, bounded coefficient fixed in advance, the proliferation of secondary cuts cannot manufacture the central result.</w:t>
      </w:r>
    </w:p>
    <w:bookmarkEnd w:id="110"/>
    <w:bookmarkEnd w:id="111"/>
    <w:bookmarkStart w:id="112" w:name="summary-of-the-identification-argument"/>
    <w:p>
      <w:pPr>
        <w:pStyle w:val="Heading2"/>
        <w:spacing w:line="480" w:lineRule="auto"/>
      </w:pPr>
      <w:r>
        <w:t xml:space="preserve">5.6 Summary of the Identification Argument</w:t>
      </w:r>
    </w:p>
    <w:p>
      <w:pPr>
        <w:pStyle w:val="FirstParagraph"/>
        <w:spacing w:line="480" w:lineRule="auto"/>
      </w:pPr>
      <w:r>
        <w:t xml:space="preserve">The dissertation recovers an identified estimate of the concordance effect by exploiting the discrete, consensus-driven revision of decadal priorities at each boundary, differencing away time-invariant team quality with award fixed effects and sector-wide shocks with period fixed effects, and normalizing output per obligated dollar to strip the mechanical funding channel. The two supporting estimators are not ornamental. They earn their place. The learning-curve elasticity establishes that output scales approximately proportionally with investment, which validates the per-dollar normalization and locates the returns regime</w:t>
      </w:r>
      <w:r>
        <w:t xml:space="preserve"> </w:t>
      </w:r>
      <w:hyperlink w:anchor="ref-9">
        <w:r>
          <w:rPr>
            <w:rStyle w:val="Hyperlink"/>
          </w:rPr>
          <w:t xml:space="preserve">[9]</w:t>
        </w:r>
      </w:hyperlink>
      <w:r>
        <w:t xml:space="preserve">. The Cox hazard model establishes that concordance is confounded with scope and that scope, not pedigree, governs realization once cost is fixed, which is the precise confound the primary design is built to break</w:t>
      </w:r>
      <w:r>
        <w:t xml:space="preserve"> </w:t>
      </w:r>
      <w:hyperlink w:anchor="ref-12">
        <w:r>
          <w:rPr>
            <w:rStyle w:val="Hyperlink"/>
          </w:rPr>
          <w:t xml:space="preserve">[12]</w:t>
        </w:r>
      </w:hyperlink>
      <w:r>
        <w:t xml:space="preserve">. The threats to validity are confronted individually, and the chapter’s discipline is that several of the most serious ones, random concordance misclassification, outcome under-attribution, and accrual truncation, bias the principal estimate toward zero and therefore against the alternative hypothesis, so that a positive and bounded</w:t>
      </w:r>
      <w:r>
        <w:t xml:space="preserve"> </w:t>
      </w:r>
      <m:oMath>
        <m:r>
          <m:t>β</m:t>
        </m:r>
      </m:oMath>
      <w:r>
        <w:t xml:space="preserve"> </w:t>
      </w:r>
      <w:r>
        <w:t xml:space="preserve">that survives the pre-trend and anticipation tests would constitute conservative evidence for the institutional productivity premise, while a null would be reported with the candor that an attenuating design demands. The single pooled difference-in-differences coefficient, pre-registered and bounded, is the object that decides H0 against H1.</w:t>
      </w:r>
    </w:p>
    <w:bookmarkEnd w:id="112"/>
    <w:bookmarkEnd w:id="113"/>
    <w:bookmarkStart w:id="123"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estimations that carry the dissertation’s argument. The first study fits a learning curve to a cross-section of eighteen NASA major missions and recovers the elasticity of indexed scientific output with respect to mission life-cycle cost. The second study fits a Cox proportional-hazards model to a hand-compiled panel of twenty-one NASA planetary and astrophysics missions and recovers the association between decadal concordance, mission scope, flagship status, and the pace at which a mission travels from authorization to launch. Together the two studies operationalize the dissertation’s central concern from two directions. The scaling study asks whether federal space investment buys scientific output at all and, if so, at what rate. The hazard study asks whether concordance with decadal priorities carries an organizational advantage in the speed of delivery once scope is held constant. The supporting tables, the fitted formulas, the diagnostic charts, and the underlying data are embedded as Appendix A; this chapter reports the estimates in prose and interprets what each one means for the hypotheses set out in the prospectus.</w:t>
      </w:r>
    </w:p>
    <w:p>
      <w:pPr>
        <w:pStyle w:val="BodyText"/>
        <w:spacing w:line="480" w:lineRule="auto"/>
        <w:ind w:firstLine="720"/>
      </w:pPr>
      <w:r>
        <w:t xml:space="preserve">The two estimators are deliberately different in kind, and the reader should hold that difference in mind throughout. The scaling study is a continuous-outcome regression in log space, where the object of interest is a single slope coefficient interpretable as an elasticity. The hazard study is a survival model on the log-hazard scale, where each coefficient exponentiates to a hazard ratio and where the sample contains one right-censored observation. Neither study is large. The scaling study rests on eighteen observations and the hazard study on twenty-one, and the interpretive discipline that small samples demand, reading sign and regime rather than overclaiming precision, governs every conclusion in this chapter. I report the exact coefficients, standard errors, test statistics, p-values, and fit measures returned by the estimators, and I do not assert any quantity that the estimation output does not contain.</w:t>
      </w:r>
    </w:p>
    <w:bookmarkStart w:id="116" w:name="X02c3182fd7b9c3c46aec05ae2029ca705c4128b"/>
    <w:p>
      <w:pPr>
        <w:pStyle w:val="Heading2"/>
        <w:spacing w:line="480" w:lineRule="auto"/>
      </w:pPr>
      <w:r>
        <w:t xml:space="preserve">6.1 The scaling study: elasticity of scientific output with respect to investment</w:t>
      </w:r>
    </w:p>
    <w:p>
      <w:pPr>
        <w:pStyle w:val="FirstParagraph"/>
        <w:spacing w:line="480" w:lineRule="auto"/>
      </w:pPr>
      <w:r>
        <w:t xml:space="preserve">The first estimation fits a log-log learning curve by ordinary least squares, regressing the logarithm of a mission’s indexed publication count on the logarithm of its documented life-cycle cost, with heteroskedasticity-robust standard errors of the HC1 form. The functional form is the canonical scale relationship of space-systems cost analysis, and its single slope coefficient is, by construction, the elasticity of output with respect to investment</w:t>
      </w:r>
      <w:r>
        <w:t xml:space="preserve"> </w:t>
      </w:r>
      <w:hyperlink w:anchor="ref-9">
        <w:r>
          <w:rPr>
            <w:rStyle w:val="Hyperlink"/>
          </w:rPr>
          <w:t xml:space="preserve">[9]</w:t>
        </w:r>
      </w:hyperlink>
      <w:r>
        <w:t xml:space="preserve">. The fit uses all eighteen missions in the cross-section, a sample that spans Earth science, heliophysics, planetary science, and astrophysics, with life-cycle costs ranging across nearly two orders of magnitude, from a roughly three-hundred-million-dollar Explorer-class mission to the nine-point-seven-billion-dollar James Webb Space Telescope. That spread in the regressor is the variation from which the elasticity is identified.</w:t>
      </w:r>
    </w:p>
    <w:p>
      <w:pPr>
        <w:pStyle w:val="BodyText"/>
        <w:spacing w:line="480" w:lineRule="auto"/>
        <w:ind w:firstLine="720"/>
      </w:pPr>
      <w:r>
        <w:t xml:space="preserve">The estimated slope on log life-cycle cost is 1.1024, with a robust standard error of 0.3194. The associated p-value is 0.0006, so the coefficient is distinguishable from zero well beyond any conventional threshold. The intercept is estimated at -3.2445 with a standard error of 2.5181 and a p-value of 0.1976; it is not statistically distinguishable from zero. The model’s coefficient of determination is 0.3792, meaning the single cost regressor accounts for roughly thirty-eight percent of the variance in log publication output across the eighteen missions. For a one-regressor cross-section of this size, that share of explained variance is substantial, and it indicates that documented investment is a real and material correlate of indexed scientific output rather than a marginal one.</w:t>
      </w:r>
    </w:p>
    <w:p>
      <w:pPr>
        <w:pStyle w:val="BodyText"/>
        <w:spacing w:line="480" w:lineRule="auto"/>
        <w:ind w:firstLine="720"/>
      </w:pPr>
      <w:r>
        <w:t xml:space="preserve">The first thing the result settles is the null. H0 held that the elasticity of scientific output with respect to mission cost is zero, that output does not scale with investment in any systematic way across the mission cross-section. With a slope of 1.1024 and a p-value of 0.0006, that null is decisively rejected. The sign is positive, so larger sustained investment is associated with greater indexed scientific output, and the rejection is not marginal. H1, the alternative that the elasticity is positive and statistically distinguishable from zero, is supported. On the most basic question the productivity premise poses, whether federal space money buys federal space science, the data return an unambiguous affirmative.</w:t>
      </w:r>
    </w:p>
    <w:p>
      <w:pPr>
        <w:pStyle w:val="BodyText"/>
        <w:spacing w:line="480" w:lineRule="auto"/>
        <w:ind w:firstLine="720"/>
      </w:pPr>
      <w:r>
        <w:t xml:space="preserve">The intercept warrants a brief word. Its statistical insignificance is sometimes misread as a defect in the fit. It is neither a defect nor a surprise. In a log-log learning curve the intercept locates the height of the curve at the point where log cost equals zero, that is, at a life-cycle cost of one million dollars in the units of the data, a point that lies far below the cheapest mission in the sample. The intercept therefore carries no behavioral interpretation and its wide standard error reflects the extrapolation distance from the data, not any weakness in the estimated scaling relationship. The behavioral content of the model lives entirely in the slope, and the slope is precisely the quantity that is estimated sharply.</w:t>
      </w:r>
    </w:p>
    <w:bookmarkStart w:id="114" w:name="X2c6a2889491a5fc9324ea53629bfa062c53b21b"/>
    <w:p>
      <w:pPr>
        <w:pStyle w:val="Heading3"/>
        <w:spacing w:line="480" w:lineRule="auto"/>
      </w:pPr>
      <w:r>
        <w:t xml:space="preserve">6.1.1 Reading the magnitude: the progress ratio and the returns regime</w:t>
      </w:r>
    </w:p>
    <w:p>
      <w:pPr>
        <w:pStyle w:val="FirstParagraph"/>
        <w:spacing w:line="480" w:lineRule="auto"/>
      </w:pPr>
      <w:r>
        <w:t xml:space="preserve">The sign and significance of the slope answer the null, but the magnitude of the slope answers the more consequential question for a portfolio manager: what regime of returns does the mission portfolio occupy, Here the interpretation requires care, and the learning-curve framing supplies the vocabulary. Two raised to the slope is the progress ratio, the multiplicative change in output associated with a doubling of investment. With a slope of 1.1024, the progress ratio is 2.1471. A doubling of mission life-cycle cost is therefore associated with roughly a 2.15-fold increase in indexed publication output. In plain terms, when an agency commits twice the dollars to a mission, it tends to harvest a little more than twice the indexed science.</w:t>
      </w:r>
    </w:p>
    <w:p>
      <w:pPr>
        <w:pStyle w:val="BodyText"/>
        <w:spacing w:line="480" w:lineRule="auto"/>
        <w:ind w:firstLine="720"/>
      </w:pPr>
      <w:r>
        <w:t xml:space="preserve">The point estimate of 1.1024 sits just above unit elasticity, which would superficially suggest very mild increasing returns: each doubling of spend buys slightly more than a doubling of output. But the honest reading of the magnitude depends on the precision around the point estimate, and that precision is governed by the standard error of 0.3194 against eighteen observations. The estimate cannot be separated from unit elasticity. That distinction is the whole ballgame. A slope of exactly one, the boundary that divides increasing from diminishing returns, lies comfortably within ordinary sampling variation of the point estimate of 1.1024 given a standard error of that size. The data therefore cannot distinguish the estimated elasticity from the proportional-returns regime, the regime in which the marginal dollar buys, on average, what the average dollar bought.</w:t>
      </w:r>
    </w:p>
    <w:p>
      <w:pPr>
        <w:pStyle w:val="BodyText"/>
        <w:spacing w:line="480" w:lineRule="auto"/>
        <w:ind w:firstLine="720"/>
      </w:pPr>
      <w:r>
        <w:t xml:space="preserve">This is the substantive finding of the scaling study, and it is more informative than a bare rejection of the null. The evidence is consistent with approximately constant returns to scale in scientific output across the NASA mission portfolio. It does not support a strong increasing-returns story, which would license concentrating spend in ever-larger flagships on the expectation that the biggest missions are disproportionately productive per dollar. It equally does not support a strong diminishing-returns story, which would license dispersing spend across many small missions on the expectation that flagships saturate. Both of those policy-relevant regimes remain inside the reaches of the estimate’s uncertainty, and the data, as far as eighteen missions can speak, locate the portfolio near the proportional boundary that separates them. The productivity premise that animates appropriations defenses is confirmed in sign and quantified in magnitude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what it does not receive from these data is the convexity that would justify a concentration strategy.</w:t>
      </w:r>
    </w:p>
    <w:bookmarkEnd w:id="114"/>
    <w:bookmarkStart w:id="115" w:name="why-the-conservative-features-matter"/>
    <w:p>
      <w:pPr>
        <w:pStyle w:val="Heading3"/>
        <w:spacing w:line="480" w:lineRule="auto"/>
      </w:pPr>
      <w:r>
        <w:t xml:space="preserve">6.1.2 Why the conservative features matter</w:t>
      </w:r>
    </w:p>
    <w:p>
      <w:pPr>
        <w:pStyle w:val="FirstParagraph"/>
        <w:spacing w:line="480" w:lineRule="auto"/>
      </w:pPr>
      <w:r>
        <w:t xml:space="preserve">Two features of the cross-section qualify the estimate, and both cut in the same direction: against the alternative hypothesis rather than for it. The first is the accrual window. Output is measured by name-matched records in the federal scientific-and-technical-information system, so a mission’s indexed trail grows with the years it has had since launch to accumulate publications. The oldest missions in the sample have had the longest accrual windows, while the most recent and not-yet-flown missions necessarily show truncated trails. Because some of the largest missions in the sample are also among the newest, this accrual effect suppresses the measured output of exactly the high-cost end of the distribution. That suppression flattens the fitted slope and biases the elasticity downward, working against an increasing-returns finding rather than manufacturing one.</w:t>
      </w:r>
    </w:p>
    <w:p>
      <w:pPr>
        <w:pStyle w:val="BodyText"/>
        <w:spacing w:line="480" w:lineRule="auto"/>
        <w:ind w:firstLine="720"/>
      </w:pPr>
      <w:r>
        <w:t xml:space="preserve">The second conservative feature is the output measure itself. Name-matching counts records attributed to the mission’s name and will undercount science that is published under an instrument name or a target name rather than the mission name. This is classical measurement error in the outcome variable. Classical measurement error in a regressand of this kind attenuates the estimated slope toward zero, which again biases against H1. The interpretive consequence is that the rejection of the null is achieved despite two features that both push the estimate toward the null. An elasticity of 1.1024 with a p-value of 0.0006 survives both the accrual truncation at the high-cost end and the attenuation from name-match undercounting. A finding that survives conservative measurement is a stronger finding than one that depends on favorable measurement, and the scaling study’s rejection of H0 should be read in that light.</w:t>
      </w:r>
    </w:p>
    <w:p>
      <w:pPr>
        <w:pStyle w:val="BodyText"/>
        <w:spacing w:line="480" w:lineRule="auto"/>
        <w:ind w:firstLine="720"/>
      </w:pPr>
      <w:r>
        <w:t xml:space="preserve">The binding limitation, stated plainly, is the width of the implied band around the elasticity and the eighteen-mission sample that produces it. The standard error of 0.3194 is large enough that the estimate establishes the returns regime loosely rather than sharply. The point estimate names proportional returns as the central tendency, but the sampling uncertainty leaves the increasing and diminishing regimes both reachable. This is the characteristic limit of a small cross-section driven by a single regressor, and it is reported as a limitation rather than concealed. It also marks the most valuable direction for refinement: a citation-weighted output measure and an explicit accrual-window normalization would each tighten the estimate and could, in principle, separate the proportional and increasing-returns regimes that this sample cannot.</w:t>
      </w:r>
    </w:p>
    <w:bookmarkEnd w:id="115"/>
    <w:bookmarkEnd w:id="116"/>
    <w:bookmarkStart w:id="121" w:name="X239c87476bb42cc2723ed57c02aa0ce47d12b90"/>
    <w:p>
      <w:pPr>
        <w:pStyle w:val="Heading2"/>
        <w:spacing w:line="480" w:lineRule="auto"/>
      </w:pPr>
      <w:r>
        <w:t xml:space="preserve">6.2 The hazard study: concordance, scope, and the pace of mission realization</w:t>
      </w:r>
    </w:p>
    <w:p>
      <w:pPr>
        <w:pStyle w:val="FirstParagraph"/>
        <w:spacing w:line="480" w:lineRule="auto"/>
      </w:pPr>
      <w:r>
        <w:t xml:space="preserve">The second estimation moves from the productivity of investment to the pace of delivery, and it tests the dissertation’s concordance question directly. The estimator is a Cox proportional-hazards model fit by the PHReg routine with Breslow handling of ties, treating the authorization-to-launch interval as a survival time. The model carries three covariates that compete to explain the hazard of reaching launch: decadal concordance, mission life-cycle cost in billions of dollars, and a flagship indicator for the largest, directorate-directed class. The hazard framing is the appropriate choice because the outcome is a time-to-event with censoring and because it lets the three covariates enter without imposing a parametric form on the underlying schedule of realization. The model uses twenty-one observations and twenty events, with one right-censored observation corresponding to a mission selected but not yet flown at the time of observation. The coefficients are reported on the log-hazard scale, and each exponentiates to a hazard ratio in which a value above one means a covariate is associated with reaching launch sooner and a value below one means a longer path to the pad.</w:t>
      </w:r>
    </w:p>
    <w:p>
      <w:pPr>
        <w:pStyle w:val="BodyText"/>
        <w:spacing w:line="480" w:lineRule="auto"/>
        <w:ind w:firstLine="720"/>
      </w:pPr>
      <w:r>
        <w:t xml:space="preserve">Three covariates, three different verdicts. The estimation recovers a clear scope effect, a strong conditional flagship effect, and an imprecise concordance effect that points in the hypothesized direction without attaining significance. I take the three covariates in turn, because each answers a distinct piece of the question and because their interplay is the heart of the interpretation.</w:t>
      </w:r>
    </w:p>
    <w:bookmarkStart w:id="117" w:name="Xe6d89283bc20f624112606248673fecce17819d"/>
    <w:p>
      <w:pPr>
        <w:pStyle w:val="Heading3"/>
        <w:spacing w:line="480" w:lineRule="auto"/>
      </w:pPr>
      <w:r>
        <w:t xml:space="preserve">6.2.1 Decadal concordance: signed as hypothesized, not statistically separable from zero</w:t>
      </w:r>
    </w:p>
    <w:p>
      <w:pPr>
        <w:pStyle w:val="FirstParagraph"/>
        <w:spacing w:line="480" w:lineRule="auto"/>
      </w:pPr>
      <w:r>
        <w:t xml:space="preserve">Decadal concordance carries a log-hazard coefficient of 0.7026 with a standard error of 0.7743. The Wald z statistic is 0.91 and the p-value is 0.3642. Exponentiating the coefficient gives a hazard ratio of 2.019, with a ninety-five percent confidence interval on the ratio scale that runs roughly from 0.44 to 9.21. The point estimate points squarely in the direction H1 anticipated. A hazard ratio of about two means that, holding cost and flagship status fixed, a decadally concordant mission is associated with roughly twice the instantaneous hazard of reaching launch, which is to say a shorter authorization-to-launch interval. The substantive story the prospectus told, that endorsement by the consensus decadal process channels effort toward pre-ratified themes and thereby reduces the time spent contesting whether a mission should proceed, is consistent with the sign and the magnitude of this estimate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The precision does not support a causal claim. The standard error of 0.7743 is larger than the coefficient of 0.7026, the z statistic of 0.91 falls well short of conventional significance, and the p-value of 0.3642 is far above any threshold that would license rejecting the null for this covariate. The confidence interval on the hazard ratio comfortably includes one, the value of no effect, and it extends from a ratio below one half to a ratio above nine. The data are therefore consistent with a real and sizeable concordance advantage and equally consistent with no advantage at all, or even with a modest disadvantage. The honest reading is that the hypothesized acceleration is present in sign but is not statistically separable from zero once scope is controlled. H1 for the concordance covariate is not supported at conventional levels in this panel. With twenty-one missions and with concordance entangled with scope by construction, this is the most that the data will bear, and the chapter does not strain it further.</w:t>
      </w:r>
    </w:p>
    <w:bookmarkEnd w:id="117"/>
    <w:bookmarkStart w:id="118" w:name="X2f8465f9caab9374d1d6c17bafa53f50734cb43"/>
    <w:p>
      <w:pPr>
        <w:pStyle w:val="Heading3"/>
        <w:spacing w:line="480" w:lineRule="auto"/>
      </w:pPr>
      <w:r>
        <w:t xml:space="preserve">6.2.2 Mission cost: the most precisely estimated relationship</w:t>
      </w:r>
    </w:p>
    <w:p>
      <w:pPr>
        <w:pStyle w:val="FirstParagraph"/>
        <w:spacing w:line="480" w:lineRule="auto"/>
      </w:pPr>
      <w:r>
        <w:t xml:space="preserve">Cost tells the clearest story. Mission life-cycle cost is the most sharply estimated of the three covariates. Its log-hazard coefficient is -1.5721 with a standard error of 0.6480, a Wald z statistic of -2.43, and a p-value of 0.0153, which clears the conventional five-percent threshold. The coefficient exponentiates to a hazard ratio of 0.2076. Because cost is measured in billions of dollars, the interpretation is that each additional billion dollars of life-cycle cost is associated with a hazard ratio of roughly 0.21, that is, with approximately a four-fifths reduction in the instantaneous hazard of reaching launch at any given interval length. In substantive terms, costlier and larger-scope missions take substantially longer to fly, and the relationship is estimated with enough precision to reject the no-effect null for this covariate.</w:t>
      </w:r>
    </w:p>
    <w:p>
      <w:pPr>
        <w:pStyle w:val="BodyText"/>
        <w:spacing w:line="480" w:lineRule="auto"/>
        <w:ind w:firstLine="720"/>
      </w:pPr>
      <w:r>
        <w:t xml:space="preserve">This result supports the prospectus’s second hypothesis, H2, that mission cost as a scope proxy lowers the hazard of reaching launch. It also coheres with the lifecycle-management literature, which attributes long realization times to instrument maturity, trajectory constraints, and the coordination load of large science teams rather than to thematic standing</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reconstructions of individual programs and the concept-generation studies in that literature converge on scope and complexity as the structural drivers of duration, and the cost coefficient is the quantitative expression of that consensus in this panel</w:t>
      </w:r>
      <w:r>
        <w:t xml:space="preserve"> </w:t>
      </w:r>
      <w:hyperlink w:anchor="ref-17">
        <w:r>
          <w:rPr>
            <w:rStyle w:val="Hyperlink"/>
          </w:rPr>
          <w:t xml:space="preserve">[17]</w:t>
        </w:r>
      </w:hyperlink>
      <w:r>
        <w:t xml:space="preserve">. Of the three covariates, cost is the one whose magnitude can be read with confidence, and it is the finding the chapter leans on hardest.</w:t>
      </w:r>
    </w:p>
    <w:bookmarkEnd w:id="118"/>
    <w:bookmarkStart w:id="119" w:name="Xace521199d288398f0c19930f35d046a8b05724"/>
    <w:p>
      <w:pPr>
        <w:pStyle w:val="Heading3"/>
        <w:spacing w:line="480" w:lineRule="auto"/>
      </w:pPr>
      <w:r>
        <w:t xml:space="preserve">6.2.3 Flagship status: large, significant, and conditional</w:t>
      </w:r>
    </w:p>
    <w:p>
      <w:pPr>
        <w:pStyle w:val="FirstParagraph"/>
        <w:spacing w:line="480" w:lineRule="auto"/>
      </w:pPr>
      <w:r>
        <w:t xml:space="preserve">The flagship indicator is large and statistically distinguishable from zero. Its log-hazard coefficient is 3.2212 with a standard error of 1.4747, a Wald z statistic of 2.18, and a p-value of 0.0289. Exponentiating gives a hazard ratio of 25.06. Taken at face value the magnitude is striking, but its meaning is inseparable from the cost coefficient with which it must be read. The flagship term is conditional: it captures the residual association of flagship status with the hazard of reaching launch once dollar scope has already been partialled out by the cost covariate. The two coefficients together describe a structured pattern. Gross cost lengthens the unconditional schedule, as the cost coefficient of -1.5721 records, and flagships are the most expensive class, so their raw intervals are long. But conditional on that scope, the flagship-class missions in this panel reached launch faster than their cost alone would predict, which the positive flagship coefficient records. The most natural reading is that the protected funding lines and sustained directorate attention that flagships receive recover schedule that their sheer scope would otherwise consume.</w:t>
      </w:r>
    </w:p>
    <w:p>
      <w:pPr>
        <w:pStyle w:val="BodyText"/>
        <w:spacing w:line="480" w:lineRule="auto"/>
        <w:ind w:firstLine="720"/>
      </w:pPr>
      <w:r>
        <w:t xml:space="preserve">The hazard ratio of 25.06 should not be over-read. The standard error of 1.4747 on the log-hazard coefficient is large, and the panel contains only four flagship missions, so the precise magnitude of the flagship hazard ratio is unstable even though the coefficient is significant. The durable findings here are the sign of the coefficient and the conditioning structure that produces it, not the exact multiplier. The chapter treats the flagship result as evidence that institutional protection, rather than thematic pedigree, is what moves the pace of realization for the largest missions, and it reads the magnitude as indicative rather than precise. This conditional pattern aligns with governance accounts in which the institutional pathway a mission travels shapes its schedule exposure and its management overhead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bookmarkEnd w:id="119"/>
    <w:bookmarkStart w:id="120" w:name="the-combined-reading-of-the-hazard-model"/>
    <w:p>
      <w:pPr>
        <w:pStyle w:val="Heading3"/>
        <w:spacing w:line="480" w:lineRule="auto"/>
      </w:pPr>
      <w:r>
        <w:t xml:space="preserve">6.2.4 The combined reading of the hazard model</w:t>
      </w:r>
    </w:p>
    <w:p>
      <w:pPr>
        <w:pStyle w:val="FirstParagraph"/>
        <w:spacing w:line="480" w:lineRule="auto"/>
      </w:pPr>
      <w:r>
        <w:t xml:space="preserve">Read as a whole, the hazard model refines rather than confirms the intuition that decadal priority should accelerate delivery. The apparent acceleration associated with concordance is real in sign, with a hazard ratio of 2.019, but it is not statistically separable from zero once scope is controlled, with a p-value of 0.3642 and a confidence interval that spans no effect. The dominant and well-estimated driver of the authorization-to-launch interval is mission cost, with a hazard ratio of 0.2076 and a p-value of 0.0153, and the flagship term recovers conditional schedule for the most directorate-directed class, with a hazard ratio of 25.06 and a p-value of 0.0289. The policy reading that follows from the joint pattern is that endorsement by the decadal process is not, on this evidence, a substitute for scope discipline. A concordant mission that grows in cost and complexity surrenders whatever schedule advantage its priority standing might confer, because cost growth, not priority standing, is what lengthens the road to launch.</w:t>
      </w:r>
    </w:p>
    <w:bookmarkEnd w:id="120"/>
    <w:bookmarkEnd w:id="121"/>
    <w:bookmarkStart w:id="122" w:name="synthesis-across-the-two-studies"/>
    <w:p>
      <w:pPr>
        <w:pStyle w:val="Heading2"/>
        <w:spacing w:line="480" w:lineRule="auto"/>
      </w:pPr>
      <w:r>
        <w:t xml:space="preserve">6.3 Synthesis across the two studies</w:t>
      </w:r>
    </w:p>
    <w:p>
      <w:pPr>
        <w:pStyle w:val="FirstParagraph"/>
        <w:spacing w:line="480" w:lineRule="auto"/>
      </w:pPr>
      <w:r>
        <w:t xml:space="preserve">The two estimations approach the same institutional premise from different angles, and the value of reading them together lies in what each contributes that the other cannot. The scaling study establishes that federal space investment and federal space research output move together, and it locates the rate at which they do so near proportionality. The elasticity of 1.1024, significant at p equal to 0.0006 with an R-squared of 0.3792, confirms the productivity premise in sign and quantifies it: a doubling of mission cost is associated with roughly a doubling of indexed output, with the proportional-returns regime as the central tendency and the increasing- and diminishing-returns regimes both inside the band of uncertainty. The hazard study then turns to the delivery margin and finds that the schedule advantage one might expect from decadal concordance is present in sign, with a hazard ratio of 2.019, but is statistically indistinguishable from zero once scope is controlled, while cost is the sharply estimated driver of how long realization takes, with a hazard ratio of 0.2076 at p equal to 0.0153.</w:t>
      </w:r>
    </w:p>
    <w:p>
      <w:pPr>
        <w:pStyle w:val="BodyText"/>
        <w:spacing w:line="480" w:lineRule="auto"/>
        <w:ind w:firstLine="720"/>
      </w:pPr>
      <w:r>
        <w:t xml:space="preserve">The two results are mutually reinforcing in their interpretive posture even though their substantive targets differ. Both reject an overconfident concentration logic. The scaling study denies the increasing-returns warrant that would justify pouring resources into the largest flagships on the expectation of disproportionate per-dollar output, and the hazard study denies that concordance buys speed independent of the scope that accompanies it. Both elevate scope as the consequential management variable. In the scaling study, scope determines how much science a mission yields, but at an approximately constant rate; in the hazard study, scope, operationalized as cost, is the precisely estimated determinant of how long the mission takes to deliver that science. The portfolio manager who reads the two studies together is told that money reliably buys science at roughly a constant rate and that cost growth reliably buys delay, and that decadal concordance, whatever its merits as a coordination and legitimacy instrument, does not in these data add a measurable per-dollar productivity premium or a clean schedule premium once scope is held fixed.</w:t>
      </w:r>
    </w:p>
    <w:p>
      <w:pPr>
        <w:pStyle w:val="BodyText"/>
        <w:spacing w:line="480" w:lineRule="auto"/>
        <w:ind w:firstLine="720"/>
      </w:pPr>
      <w:r>
        <w:t xml:space="preserve">Three boundaries qualify the synthesis and should travel with any use of these results. First, both samples are small, eighteen missions and twenty-one missions respectively, and the precision of every estimate is governed accordingly; the chapter reads sign and regime where the data permit and refrains from sharp magnitude claims where they do not. Second, both studies rest on bibliometric and cost measures that are conservative by construction. The name-matched output measure attenuates the scaling elasticity toward zero, and the concordance coding in the hazard study is entangled with scope because the decadal-endorsed mission lines are systematically the larger ones; in each case the conservative feature biases against the more ambitious hypothesis, so the findings that survive are the robust ones. Third, the estimates are specific to the estimated populations, NASA major missions for the scaling study and NASA planetary and astrophysics missions for the hazard study, and they do not transfer automatically to grant-level research, to other agencies, or to output measures that weight citations rather than counts. Within those boundaries, the chapter’s findings are precise about what they claim: federal space investment scales with federal space scientific output at an elasticity near one, mission cost is the dominant and well-estimated brake on the pace of mission realization, and the schedule advantage of decadal concordance, real in sign, is not statistically separable from zero once scope is controlled. The detailed estimation tables, the fitted curves, the survival diagnostics, and the full data that produced these numbers are provided in Appendix A.</w:t>
      </w:r>
    </w:p>
    <w:bookmarkEnd w:id="122"/>
    <w:bookmarkEnd w:id="123"/>
    <w:bookmarkStart w:id="130" w:name="X21322cb5e29cbf4eb576afddcad42f86ace4e0d"/>
    <w:p>
      <w:pPr>
        <w:pStyle w:val="Heading1"/>
        <w:spacing w:line="480" w:lineRule="auto"/>
      </w:pPr>
      <w:r>
        <w:t xml:space="preserve">Chapter 7. Discussion and Governance Implications</w:t>
      </w:r>
    </w:p>
    <w:bookmarkStart w:id="124" w:name="what-the-two-estimates-say-together"/>
    <w:p>
      <w:pPr>
        <w:pStyle w:val="Heading2"/>
        <w:spacing w:line="480" w:lineRule="auto"/>
      </w:pPr>
      <w:r>
        <w:t xml:space="preserve">7.1 What the Two Estimates Say Together</w:t>
      </w:r>
    </w:p>
    <w:p>
      <w:pPr>
        <w:pStyle w:val="FirstParagraph"/>
        <w:spacing w:line="480" w:lineRule="auto"/>
      </w:pPr>
      <w:r>
        <w:t xml:space="preserve">This dissertation set out to test a single load-bearing premise of United States civil space management: that concordance between a funded project and the priorities of its governing decadal survey raises the project’s scientific yield, and that the discipline of priority-setting is therefore a productivity lever rather than a coordination ritual. The premise is invoked whenever a program is defended to appropriators on the expectation that prioritized, coordinated investment returns disproportionate scientific and economic output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two empirical studies that anchor the dissertation interrogate the premise from complementary angles, and read together they discipline it rather than confirm it.</w:t>
      </w:r>
    </w:p>
    <w:p>
      <w:pPr>
        <w:pStyle w:val="BodyText"/>
        <w:spacing w:line="480" w:lineRule="auto"/>
        <w:ind w:firstLine="720"/>
      </w:pPr>
      <w:r>
        <w:t xml:space="preserve">The first study fits a learning curve to eighteen NASA major missions and recovers the elasticity of indexed scientific output with respect to mission life-cycle cost. The estimated elasticity is 1.10, with a robust standard error of 0.32 and a ninety-five percent confidence interval running from 0.48 to 1.73. The point estimate implies a progress ratio near 2.15, so that a doubling of mission cost is associated with roughly a 2.1-fold increase in indexed output. The decisive feature of the result, however, is not the point estimate but the interval. Unit elasticity sits comfortably inside the band, which means the data cannot distinguish the scaling relationship from constant returns. The productivity premise is confirmed in sign, money does buy science, but it is not granted the convex, increasing-returns shape that would justify concentrating spend in ever-larger flagships, nor the concave shape that would justify dispersing it into many small missions. The economic literature that treats research and development as the upstream engine of the space value chain</w:t>
      </w:r>
      <w:r>
        <w:t xml:space="preserve"> </w:t>
      </w:r>
      <w:hyperlink w:anchor="ref-5">
        <w:r>
          <w:rPr>
            <w:rStyle w:val="Hyperlink"/>
          </w:rPr>
          <w:t xml:space="preserve">[5]</w:t>
        </w:r>
      </w:hyperlink>
      <w:r>
        <w:t xml:space="preserve"> </w:t>
      </w:r>
      <w:r>
        <w:t xml:space="preserve">and that ties sustained investment to downstream technological advance</w:t>
      </w:r>
      <w:r>
        <w:t xml:space="preserve"> </w:t>
      </w:r>
      <w:hyperlink w:anchor="ref-6">
        <w:r>
          <w:rPr>
            <w:rStyle w:val="Hyperlink"/>
          </w:rPr>
          <w:t xml:space="preserve">[6]</w:t>
        </w:r>
      </w:hyperlink>
      <w:r>
        <w:t xml:space="preserve"> </w:t>
      </w:r>
      <w:r>
        <w:t xml:space="preserve">is, on this evidence, correct in direction and approximately linear in log space.</w:t>
      </w:r>
    </w:p>
    <w:p>
      <w:pPr>
        <w:pStyle w:val="BodyText"/>
        <w:spacing w:line="480" w:lineRule="auto"/>
        <w:ind w:firstLine="720"/>
      </w:pPr>
      <w:r>
        <w:t xml:space="preserve">The second study reframes the concordance question as a question about the pace of mission realization. Treating the authorization-to-launch interval as a survival time across twenty-one planetary and astrophysics missions, the Cox model returns a decadal-concordance hazard ratio of 2.019, directionally consistent with the hypothesis that priority status accelerates delivery, but with a standard error large enough that the ninety-five percent interval spans roughly 0.44 to 9.21 on the ratio scale and comfortably includes one. Concordance is not statistically separable from zero once scope is controlled. What is precisely estimated is the cost effect: each additional billion dollars of life-cycle cost is associated with a hazard ratio of 0.2076, a roughly four-fifths reduction in the hazard of reaching launch, so that larger-scope missions take substantially longer to fly. The flagship indicator, conditional on cost, carries a hazard ratio of 25.06, indicating that directorate-directed missions recover schedule once their gross dollar scope is partialled out.</w:t>
      </w:r>
    </w:p>
    <w:p>
      <w:pPr>
        <w:pStyle w:val="BodyText"/>
        <w:spacing w:line="480" w:lineRule="auto"/>
        <w:ind w:firstLine="720"/>
      </w:pPr>
      <w:r>
        <w:t xml:space="preserve">The two findings converge on a single governance proposition. Scale dominates. Decadal concordance is real but modest where it can be measured at all, and it is dominated, on both the yield margin and the schedule margin, by scale. On the yield margin, output scales with investment at an elasticity indistinguishable from one, so concordance buys no detectable convexity. On the schedule margin, concordance points toward faster delivery but cannot be separated from zero, while cost growth reliably lengthens the road to the launch pad. The institution behaves as if alignment is the productivity lever; the evidence assembled here suggests that scale and scope discipline are the levers, and that alignment is, at best, a second-order modifier whose independent contribution this dissertation could not isolate from the selection that channels capable teams and larger budgets onto priority themes.</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managerial implication concerns how the productivity premise should be carried into budget justification. A program defended on the expectation that priority alignment multiplies output is, on these data, defending a claim the data do not support at the margin. The defensible claim is narrower and still useful: federal space investment and federal space research output scale together, and they scale about one for one across two orders of magnitude of spend. That is a real and quantified relationship, and it licenses the general expectation that money buys science. It does not license the stronger institutional habit of treating the largest, most concordant flagships as disproportionately productive per dollar. A portfolio manager who reads the elasticity estimate honestly has no warrant to assume increasing returns to scale, and equally no warrant to assume that fragmenting the portfolio into small missions would raise per-dollar yield. The proportional-returns reading counsels indifference, at the level of aggregate scientific output, between one large mission and several smaller ones of equal total cost, and it shifts the basis for choosing between them onto considerations that the elasticity does not capture: risk concentration, workforce continuity, instrument heritage, and schedule exposure.</w:t>
      </w:r>
    </w:p>
    <w:p>
      <w:pPr>
        <w:pStyle w:val="BodyText"/>
        <w:spacing w:line="480" w:lineRule="auto"/>
        <w:ind w:firstLine="720"/>
      </w:pPr>
      <w:r>
        <w:t xml:space="preserve">A second implication concerns scope discipline as the dominant controllable variable. The hazard model’s clearest and most robust message is that cost growth, not priority standing, lengthens the authorization-to-launch interval. Program managers can act on this directly. Where decadal endorsement is, by construction, fixed at the moment of selection and largely outside a project office’s control, scope is a quantity the office influences continuously through requirements management, descope authority, and the discipline of holding a mission to its committed cost and complexity envelope. The lifecycle-management literature attributes long realization times to instrument maturity, trajectory constraints, and the coordination load of large science teams rather than to thematic pedigree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and the sample-return and outer-planet campaigns that sit at the high-cost, high-complexity end of the distribution illustrate how scope inflation lengthens the path to launch independently of where the theme originated</w:t>
      </w:r>
      <w:r>
        <w:t xml:space="preserve"> </w:t>
      </w:r>
      <w:hyperlink w:anchor="ref-17">
        <w:r>
          <w:rPr>
            <w:rStyle w:val="Hyperlink"/>
          </w:rPr>
          <w:t xml:space="preserve">[17]</w:t>
        </w:r>
      </w:hyperlink>
      <w:r>
        <w:t xml:space="preserve">. The operative managerial conclusion is unglamorous and durable: a concordant mission that grows in cost and complexity surrenders whatever schedule advantage its priority status might have conferred. Priority endorsement is not a substitute for scope discipline, and treating it as one is a management error that the schedule data will punish.</w:t>
      </w:r>
    </w:p>
    <w:p>
      <w:pPr>
        <w:pStyle w:val="BodyText"/>
        <w:spacing w:line="480" w:lineRule="auto"/>
        <w:ind w:firstLine="720"/>
      </w:pPr>
      <w:r>
        <w:t xml:space="preserve">The third implication concerns institutional protection as distinct from thematic pedigree. The flagship result, a hazard ratio above twenty-five conditional on cost, indicates that the largest directorate-directed missions reach launch faster than their gross cost alone would predict. The natural reading is that protected funding lines and sustained directorate attention, not the decadal theme itself, are what move the pace of realization once scope is held fixed. This distinction matters for how a program office understands the value of priority status. The concordance label and the protection that tends to accompany flagship designation are separable in principle even though they travel together in practice, and the evidence here points to the protection, the institutional pathway and its budget insulation, as the operative mechanism. Governance scholarship describing the sector’s transition from legacy, agency-directed structures toward more distributed models notes precisely that the institutional pathway a mission travels shapes its schedule exposure and management overhead</w:t>
      </w:r>
      <w:r>
        <w:t xml:space="preserve"> </w:t>
      </w:r>
      <w:hyperlink w:anchor="ref-12">
        <w:r>
          <w:rPr>
            <w:rStyle w:val="Hyperlink"/>
          </w:rPr>
          <w:t xml:space="preserve">[12]</w:t>
        </w:r>
      </w:hyperlink>
      <w:r>
        <w:t xml:space="preserve">, and the diversification of routes by which a concept becomes a flight project, including public-private and partnership arrangements, further complicates the mapping from priority to pace</w:t>
      </w:r>
      <w:r>
        <w:t xml:space="preserve"> </w:t>
      </w:r>
      <w:hyperlink w:anchor="ref-13">
        <w:r>
          <w:rPr>
            <w:rStyle w:val="Hyperlink"/>
          </w:rPr>
          <w:t xml:space="preserve">[13]</w:t>
        </w:r>
      </w:hyperlink>
      <w:r>
        <w:t xml:space="preserve">. For program management, the lesson is to seek, and to protect, the funding insulation and directorate attention that flagships enjoy, rather than to treat a decadal citation as if it automatically delivered that protection.</w:t>
      </w:r>
    </w:p>
    <w:p>
      <w:pPr>
        <w:pStyle w:val="BodyText"/>
        <w:spacing w:line="480" w:lineRule="auto"/>
        <w:ind w:firstLine="720"/>
      </w:pPr>
      <w:r>
        <w:t xml:space="preserve">The fourth implication is about measurement humility in the agency’s own productivity accounting. Both studies rely on bibliometric output measures that systematically undercount. Name-matched records in the federal scientific-and-technical-information system miss science published under instrument or target names rather than the mission name, which is classical measurement error that attenuates the elasticity toward zero and biases against finding the very increasing-returns effect that the productivity premise asserts. That the positive elasticity survives this conservative measure strengthens the finding in sign, but it also reveals how blunt the agency’s available output instruments are. If NASA wishes to manage to scientific yield, it requires a more complete and less name-dependent attribution of research outputs to the missions and awards that funded them, including citation-weighted measures that would test whether the largest missions buy disproportionate influence even where they do not buy disproportionate counts. The plant-space bibliometric literature demonstrates that field-level research output can be mapped at scale through network and citation analysis</w:t>
      </w:r>
      <w:r>
        <w:t xml:space="preserve"> </w:t>
      </w:r>
      <w:hyperlink w:anchor="ref-26">
        <w:r>
          <w:rPr>
            <w:rStyle w:val="Hyperlink"/>
          </w:rPr>
          <w:t xml:space="preserve">[26]</w:t>
        </w:r>
      </w:hyperlink>
      <w:r>
        <w:t xml:space="preserve">, and the mission-attribution problem is a tractable extension of that methodology rather than an intractable barrier.</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The findings carry specific consequences for a laboratory whose portfolio is concentrated in the large, directed, high-complexity missions that dominate the upper tail of both samples. The Jet Propulsion Laboratory’s competitive position has historically rested on its capacity to execute flagship-class and New Frontiers-class missions whose themes are drawn from or named in the decadal surveys, and the institution’s strategic narrative leans on the presumption that decadal concordance is itself a source of advantage. The evidence here invites a more precise account of where that advantage actually lives.</w:t>
      </w:r>
    </w:p>
    <w:p>
      <w:pPr>
        <w:pStyle w:val="BodyText"/>
        <w:spacing w:line="480" w:lineRule="auto"/>
        <w:ind w:firstLine="720"/>
      </w:pPr>
      <w:r>
        <w:t xml:space="preserve">Consider the yield argument first. If proportional returns hold across the mission cross-section, then JPL’s flagship concentration cannot be defended on a per-dollar yield argument alone. A flagship and a portfolio of smaller missions of equal aggregate cost are, on the elasticity evidence, expected to produce comparable aggregate indexed output. The case for the flagship must therefore rest on the things the elasticity does not measure: the unique science only achievable at flagship scale, the strategic and capability value of sustaining the engineering base that flagships require, the deep-space and outer-planet trajectory access that smaller missions cannot reach, and the institutional protection that flagship status confers on schedule. The interstellar-probe and outer-planet concept literature underscores that certain destinations and science returns are simply unavailable below a threshold of scale and ambition</w:t>
      </w:r>
      <w:r>
        <w:t xml:space="preserve"> </w:t>
      </w:r>
      <w:hyperlink w:anchor="ref-30">
        <w:r>
          <w:rPr>
            <w:rStyle w:val="Hyperlink"/>
          </w:rPr>
          <w:t xml:space="preserve">[30]</w:t>
        </w:r>
      </w:hyperlink>
      <w:r>
        <w:t xml:space="preserve">,</w:t>
      </w:r>
      <w:r>
        <w:t xml:space="preserve"> </w:t>
      </w:r>
      <w:hyperlink w:anchor="ref-32">
        <w:r>
          <w:rPr>
            <w:rStyle w:val="Hyperlink"/>
          </w:rPr>
          <w:t xml:space="preserve">[32]</w:t>
        </w:r>
      </w:hyperlink>
      <w:r>
        <w:t xml:space="preserve">, and the radioisotope-power and surface-mobility programs that enable long-duration deep-space operation similarly cluster at the directed-mission scale</w:t>
      </w:r>
      <w:r>
        <w:t xml:space="preserve"> </w:t>
      </w:r>
      <w:hyperlink w:anchor="ref-31">
        <w:r>
          <w:rPr>
            <w:rStyle w:val="Hyperlink"/>
          </w:rPr>
          <w:t xml:space="preserve">[31]</w:t>
        </w:r>
      </w:hyperlink>
      <w:r>
        <w:t xml:space="preserve">. JPL’s argument should be made on these grounds, the irreducibly scale-dependent science and capability, not on a yield-per-dollar superiority that the data do not show.</w:t>
      </w:r>
    </w:p>
    <w:p>
      <w:pPr>
        <w:pStyle w:val="BodyText"/>
        <w:spacing w:line="480" w:lineRule="auto"/>
        <w:ind w:firstLine="720"/>
      </w:pPr>
      <w:r>
        <w:t xml:space="preserve">Second, the schedule finding sharpens JPL’s scope-management problem. The laboratory’s mission set sits precisely where the cost-duration relationship bites hardest, and the hazard model’s penalty on cost growth is a quantified warning that scope inflation is the principal controllable threat to schedule. The detailed reconstructions of complex-mission science planning, the Rosetta and Dawn programs in particular, document how coordination load and instrument maturity, not thematic standing, govern realization time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and the concept-generation literature treats the complexity of a mission concept as itself a structural predictor of how long realization takes</w:t>
      </w:r>
      <w:r>
        <w:t xml:space="preserve"> </w:t>
      </w:r>
      <w:hyperlink w:anchor="ref-16">
        <w:r>
          <w:rPr>
            <w:rStyle w:val="Hyperlink"/>
          </w:rPr>
          <w:t xml:space="preserve">[16]</w:t>
        </w:r>
      </w:hyperlink>
      <w:r>
        <w:t xml:space="preserve">. For JPL, this argues for investing managerial capital in early scope definition, descope readiness, and instrument-maturity discipline at authorization, because these are the variables that move the well-estimated coefficient. The flagship schedule-recovery effect is available to JPL, but it is contingent on securing and defending the protected funding line, and that protection is not automatic; it must be cultivated through the institutional pathway rather than assumed from the decadal citation.</w:t>
      </w:r>
    </w:p>
    <w:p>
      <w:pPr>
        <w:pStyle w:val="BodyText"/>
        <w:spacing w:line="480" w:lineRule="auto"/>
        <w:ind w:firstLine="720"/>
      </w:pPr>
      <w:r>
        <w:t xml:space="preserve">Third, the concordance result counsels strategic candor. The hazard ratio on concordance points in JPL’s favored direction but cannot be distinguished from no effect. A laboratory that overstates the schedule or yield value of decadal concordance in its capture and positioning narrative risks building a strategic case on a coefficient the evidence does not support. The more defensible posture is to claim what the data sustain, that JPL executes the scale-dependent, directorate-protected missions where the measurable advantages of institutional protection and engineering depth concentrate, while declining to claim a concordance multiplier that the analysis could not isolate from selection. As the sector’s governance evolves toward more distributed and partnership-based models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 strategic narrative grounded in demonstrable execution capacity and protected-pathway access will age better than one grounded in an unproven alignment premium.</w:t>
      </w:r>
    </w:p>
    <w:bookmarkEnd w:id="126"/>
    <w:bookmarkStart w:id="127" w:name="limitations"/>
    <w:p>
      <w:pPr>
        <w:pStyle w:val="Heading2"/>
        <w:spacing w:line="480" w:lineRule="auto"/>
      </w:pPr>
      <w:r>
        <w:t xml:space="preserve">7.4 Limitations</w:t>
      </w:r>
    </w:p>
    <w:p>
      <w:pPr>
        <w:pStyle w:val="FirstParagraph"/>
        <w:spacing w:line="480" w:lineRule="auto"/>
      </w:pPr>
      <w:r>
        <w:t xml:space="preserve">The limitations of the two studies bound these implications and must be stated plainly. Sample size binds hardest. The elasticity is estimated from eighteen missions and the hazard model from twenty-one, and in both cases the confidence intervals are wide enough to admit substantively different readings. The elasticity band from 0.48 to 1.73 establishes the returns regime loosely rather than sharply; it rules out a strong increasing-returns story and a strong diminishing-returns story but cannot adjudicate between proportional returns and either mild departure from it. The hazard model’s concordance interval, spanning roughly 0.44 to 9.21 on the ratio scale, is consistent with a real and meaningful acceleration and equally consistent with none. Small samples in a population of large, infrequent missions are an inherent constraint of the domain rather than a remediable defect of the design, but they require that every estimate be read as descriptive of this population of modern competed and flagship missions rather than as a parameter generalizable to a wider universe.</w:t>
      </w:r>
    </w:p>
    <w:p>
      <w:pPr>
        <w:pStyle w:val="BodyText"/>
        <w:spacing w:line="480" w:lineRule="auto"/>
        <w:ind w:firstLine="720"/>
      </w:pPr>
      <w:r>
        <w:t xml:space="preserve">The second limitation is the entanglement of concordance with scope. The decadal-endorsed lines, New Frontiers and the flagships, are systematically larger and more complex than the open, principal-investigator-led Discovery competition, so concordance and cost are confounded by construction. The hazard model conditions on cost and flagship status to partial out the scope channel, but the confounding cannot be fully dissolved with twenty-one observations, and the imprecise concordance coefficient may reflect this entanglement as much as a genuine absence of effect. This is the same selection problem that motivates the dissertation: capable teams and larger budgets gravitate to priority themes, so a measured concordance association will always mix the alignment effect with the selection that produced it. The difference-in-differences logic of exploiting decadal-boundary revisions, articulated in the dissertation’s identification strategy, remains the cleaner route to isolating the concordance effect, and the present studies should be read as establishing the scaling and schedule context within which that cleaner estimate would sit, not as substitutes for it.</w:t>
      </w:r>
    </w:p>
    <w:p>
      <w:pPr>
        <w:pStyle w:val="BodyText"/>
        <w:spacing w:line="480" w:lineRule="auto"/>
        <w:ind w:firstLine="720"/>
      </w:pPr>
      <w:r>
        <w:t xml:space="preserve">The third limitation is the outcome measure. Both bibliometric instruments are name-dependent and therefore undercount, and the undercount is not random with respect to mission characteristics. Older missions with longer post-launch accrual windows have had more time to publish, so the cross-section mixes accrual with productivity; the most recent and not-yet-flown missions show truncated trails that bias the measured elasticity downward against an increasing-returns finding. Name-matching also misses science published under instrument or target names, a second conservative bias. These features strengthen the rejection of the null in sign, since the positive effects survive measurement error that pushes toward zero, but they prevent any sharp statement about the magnitude of the effect and they preclude the citation-weighted analysis that would test whether the largest missions buy disproportionate scientific influence.</w:t>
      </w:r>
    </w:p>
    <w:p>
      <w:pPr>
        <w:pStyle w:val="BodyText"/>
        <w:spacing w:line="480" w:lineRule="auto"/>
        <w:ind w:firstLine="720"/>
      </w:pPr>
      <w:r>
        <w:t xml:space="preserve">The fourth limitation is external validity. The elasticity is specific to NASA major missions and a name-matched output measure, and the hazard model is specific to planetary and astrophysics missions with documented authorization and launch years. Neither result transfers automatically to grant-level research, to other agencies, to Earth-science and heliophysics lines not fully represented in the panels, or to output measures that weight citations rather than counts. The flagship authorization date is itself harder to fix than the competitive selection date for Discovery and New Frontiers missions, and modest coding differences in the new-start year would move the flagship intervals and the coefficient that depends on them. These boundaries mean the governance implications above apply most confidently to the large, directed-mission portfolio that JPL occupies and should be extended to other parts of the enterprise only with explicit caution.</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Four extensions follow directly from these limitations and would materially sharpen the contribution. The first is the citation-weighted output measure. Replacing name-matched record counts with field-normalized, citation-weighted output would test the most policy-relevant open question the elasticity leaves standing: whether the very largest missions purchase disproportionate scientific influence even when they do not purchase disproportionate counts. A citation-weighted elasticity meaningfully above one would revive the increasing-returns case for flagship concentration; one indistinguishable from the count-based estimate would confirm proportional returns on the influence margin as well as the volume margin. The bibliometric network methods demonstrated in field-level studies provide a tractable template for constructing such a measure at mission scale</w:t>
      </w:r>
      <w:r>
        <w:t xml:space="preserve"> </w:t>
      </w:r>
      <w:hyperlink w:anchor="ref-26">
        <w:r>
          <w:rPr>
            <w:rStyle w:val="Hyperlink"/>
          </w:rPr>
          <w:t xml:space="preserve">[26]</w:t>
        </w:r>
      </w:hyperlink>
      <w:r>
        <w:t xml:space="preserve">.</w:t>
      </w:r>
    </w:p>
    <w:p>
      <w:pPr>
        <w:pStyle w:val="BodyText"/>
        <w:spacing w:line="480" w:lineRule="auto"/>
        <w:ind w:firstLine="720"/>
      </w:pPr>
      <w:r>
        <w:t xml:space="preserve">The second extension is an explicit accrual-window correction. Normalizing each mission’s output by years since launch would separate the genuine productivity signal from the mechanical advantage that older missions enjoy by virtue of having published longer. This correction would tighten the elasticity and could, in principle, separate the proportional and increasing-returns regimes that the present eighteen-mission sample cannot distinguish, because the accrual bias currently works against the newest and largest missions and therefore against the very finding the productivity premise asserts.</w:t>
      </w:r>
    </w:p>
    <w:p>
      <w:pPr>
        <w:pStyle w:val="BodyText"/>
        <w:spacing w:line="480" w:lineRule="auto"/>
        <w:ind w:firstLine="720"/>
      </w:pPr>
      <w:r>
        <w:t xml:space="preserve">The third extension is the clean identification of the concordance effect through decadal-boundary variation. The dissertation’s central design exploits the discrete, pre-announced revision of priorities at each decadal boundary, where some topics are promoted into the ranked set and others demoted out of it, as a source of variation in concordance that is plausibly exogenous to the individual team. Implementing that difference-in-differences design at scale on the linkage of federal award records to bibliographic outputs would supply the identified estimate that the two descriptive studies in this chapter could not, with parallel-trends and anticipation tests to defend the causal claim. This is the natural completion of the analytic arc: the scaling and schedule context established here, joined to a cleanly identified concordance coefficient, would close the gap the dissertation set out to close.</w:t>
      </w:r>
    </w:p>
    <w:p>
      <w:pPr>
        <w:pStyle w:val="BodyText"/>
        <w:spacing w:line="480" w:lineRule="auto"/>
        <w:ind w:firstLine="720"/>
      </w:pPr>
      <w:r>
        <w:t xml:space="preserve">The fourth extension is the widening of the panels. Adding Earth-science and heliophysics missions to the hazard model, incorporating a measure of instrument technology-readiness at authorization, and directly testing the proportional-hazards assumption would raise statistical power and probe the robustness of the cost and flagship coefficients. On the scaling side, extending the cross-section across more missions and more directorates would narrow the elasticity band and improve confidence in the returns-regime conclusion. As the governance of the sector continues to diversify through public-private and partnership pathways</w:t>
      </w:r>
      <w:r>
        <w:t xml:space="preserve"> </w:t>
      </w:r>
      <w:hyperlink w:anchor="ref-13">
        <w:r>
          <w:rPr>
            <w:rStyle w:val="Hyperlink"/>
          </w:rPr>
          <w:t xml:space="preserve">[13]</w:t>
        </w:r>
      </w:hyperlink>
      <w:r>
        <w:t xml:space="preserve">, future panels should also code the institutional pathway explicitly, so that the protection mechanism the flagship result implicates can be measured directly rather than inferred from the flagship indicator.</w:t>
      </w:r>
    </w:p>
    <w:bookmarkEnd w:id="128"/>
    <w:bookmarkStart w:id="129" w:name="synthesis"/>
    <w:p>
      <w:pPr>
        <w:pStyle w:val="Heading2"/>
        <w:spacing w:line="480" w:lineRule="auto"/>
      </w:pPr>
      <w:r>
        <w:t xml:space="preserve">7.6 Synthesis</w:t>
      </w:r>
    </w:p>
    <w:p>
      <w:pPr>
        <w:pStyle w:val="FirstParagraph"/>
        <w:spacing w:line="480" w:lineRule="auto"/>
      </w:pPr>
      <w:r>
        <w:t xml:space="preserve">The dissertation began from the observation that NASA program managers, the agencies that fund them, and the analysts who advise on portfolio balance all act as if decadal alignment is causal for scientific productivity, while the evidence base underneath that action was thin. The two studies reported here do not overturn the productivity premise, but they relocate its center of gravity. Money buys science, at an elasticity that cannot be distinguished from one, so the premise is real and quantified but not convex. Cost growth, not priority standing, governs the pace at which a mission reaches the launch pad, so scope discipline rather than thematic endorsement is the controllable schedule lever. Institutional protection, not the decadal citation in isolation, appears to be the mechanism through which the largest missions recover schedule. And decadal concordance itself, the quantity the institution most credits, points modestly in the expected direction on both margins but cannot be isolated from the selection that channels capable teams and larger budgets onto priority themes. For NASA and for JPL, the actionable conclusion is to manage to the levers the evidence identifies, scale, scope, and protected pathways, and to claim of decadal concordance only what the data sustain, pending the cleanly identified estimate that the dissertation’s boundary-revision design is built to deliver.</w:t>
      </w:r>
    </w:p>
    <w:bookmarkEnd w:id="129"/>
    <w:bookmarkEnd w:id="130"/>
    <w:bookmarkStart w:id="190" w:name="chapter-8.-conclusion"/>
    <w:p>
      <w:pPr>
        <w:pStyle w:val="Heading1"/>
        <w:spacing w:line="480" w:lineRule="auto"/>
      </w:pPr>
      <w:r>
        <w:t xml:space="preserve">Chapter 8. Conclusion</w:t>
      </w:r>
    </w:p>
    <w:bookmarkStart w:id="131" w:name="the-question-restated"/>
    <w:p>
      <w:pPr>
        <w:pStyle w:val="Heading2"/>
        <w:spacing w:line="480" w:lineRule="auto"/>
      </w:pPr>
      <w:r>
        <w:t xml:space="preserve">8.1 The Question Restated</w:t>
      </w:r>
    </w:p>
    <w:p>
      <w:pPr>
        <w:pStyle w:val="FirstParagraph"/>
        <w:spacing w:line="480" w:lineRule="auto"/>
      </w:pPr>
      <w:r>
        <w:t xml:space="preserve">This dissertation began from a presumption that civil space science treats as settled and acts upon as if it were proven: that concordance between a federally funded project and the priorities of its governing decadal survey raises that project’s scientific yield. The decadal survey is the central priority-setting instrument of United States space science, produced through a consensus National Research Council process and treated by agencies as a binding map for program formulation</w:t>
      </w:r>
      <w:r>
        <w:t xml:space="preserve"> </w:t>
      </w:r>
      <w:hyperlink w:anchor="ref-10">
        <w:r>
          <w:rPr>
            <w:rStyle w:val="Hyperlink"/>
          </w:rPr>
          <w:t xml:space="preserve">[10]</w:t>
        </w:r>
      </w:hyperlink>
      <w:r>
        <w:t xml:space="preserve">. Around that instrument has grown an institutional theory of productivity. A project whose science traces to a top-ranked recommendation is presumed more fundable, more collaborative, faster to fly, and ultimately more productive than an otherwise comparable project that does not. The presumption is load-bearing. Public investment in space research and development is defended to appropriators precisely on the expectation that prioritized, coordinated spending returns disproportionate scientific output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and the forecasting literature treats the research-and-development tier as the upstream engine of the entire downstream space value chain</w:t>
      </w:r>
      <w:r>
        <w:t xml:space="preserve"> </w:t>
      </w:r>
      <w:hyperlink w:anchor="ref-5">
        <w:r>
          <w:rPr>
            <w:rStyle w:val="Hyperlink"/>
          </w:rPr>
          <w:t xml:space="preserve">[5]</w:t>
        </w:r>
      </w:hyperlink>
      <w:r>
        <w:t xml:space="preserve">. If concordance genuinely raises per-dollar output, the decadal process is not merely a coordination convenience but a fiscal lever in its own right. If concordance is instead a label that strong projects acquire because they were already strong, then a large share of the system’s faith in priority-setting rests on a selection artifact.</w:t>
      </w:r>
    </w:p>
    <w:p>
      <w:pPr>
        <w:pStyle w:val="BodyText"/>
        <w:spacing w:line="480" w:lineRule="auto"/>
        <w:ind w:firstLine="720"/>
      </w:pPr>
      <w:r>
        <w:t xml:space="preserve">The motivating literature established that priority-setting and concentrated investment reorganize research collaboration and that public space spending is justified on a productivity premise, but none of it isolated the marginal causal contribution of concordance itself</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work in this dissertation set out to supply the missing estimate, or, failing a clean causal identification, to bound the premise with reproducible evidence and to report honestly where the data fall short of the institution’s confidence. This chapter synthesizes what the empirical chapters found, states the contribution to knowledge that the synthesis supports, acknowledges what remains beyond reach, and closes with the implication for how the priority architecture should be understood.</w:t>
      </w:r>
    </w:p>
    <w:bookmarkEnd w:id="131"/>
    <w:bookmarkStart w:id="132" w:name="synthesis-of-the-argument"/>
    <w:p>
      <w:pPr>
        <w:pStyle w:val="Heading2"/>
        <w:spacing w:line="480" w:lineRule="auto"/>
      </w:pPr>
      <w:r>
        <w:t xml:space="preserve">8.2 Synthesis of the Argument</w:t>
      </w:r>
    </w:p>
    <w:p>
      <w:pPr>
        <w:pStyle w:val="FirstParagraph"/>
        <w:spacing w:line="480" w:lineRule="auto"/>
      </w:pPr>
      <w:r>
        <w:t xml:space="preserve">The argument advanced across the dissertation rests on two complementary empirical estimates, each narrow and falsifiable, that together triangulate the alignment-productivity link from the two directions in which an institution would expect concordance to pay: in the volume of science a project returns per dollar, and in the speed with which a prioritized project reaches the launch pad and begins returning science at all.</w:t>
      </w:r>
    </w:p>
    <w:p>
      <w:pPr>
        <w:pStyle w:val="BodyText"/>
        <w:spacing w:line="480" w:lineRule="auto"/>
        <w:ind w:firstLine="720"/>
      </w:pPr>
      <w:r>
        <w:t xml:space="preserve">The first estimate addressed the scaling of output on investment directly. Treating eighteen NASA major missions as a cross-section in which each carries a documented life-cycle cost and a reproducible bibliometric output trail, the analysis fit a learning curve, the canonical log-log form of space-systems cost analysis</w:t>
      </w:r>
      <w:r>
        <w:t xml:space="preserve"> </w:t>
      </w:r>
      <w:hyperlink w:anchor="ref-9">
        <w:r>
          <w:rPr>
            <w:rStyle w:val="Hyperlink"/>
          </w:rPr>
          <w:t xml:space="preserve">[9]</w:t>
        </w:r>
      </w:hyperlink>
      <w:r>
        <w:t xml:space="preserve">, and recovered the elasticity of scientific output with respect to cumulative investment. The estimated elasticity is 1.10, bounded away from zero at conventional levels, with a ninety-five percent confidence interval from 0.48 to 1.73. This decisively confirms the productivity premise in sign: larger sustained investment is associated with greater indexed scientific output, and the relationship is real rather than asserted. The magnitude, however, refused the stronger reading the institution often assumes. Unit elasticity lies comfortably inside the interval, so the data cannot distinguish the scaling from proportional returns. A doubling of mission cost is associated with roughly a doubling of output, no more. There is no warrant in this evidence for a regime of increasing returns in which the largest flagships are disproportionately productive per dollar, and none for the opposite claim that small missions buy more science per dollar. The premise that money buys science is confirmed and quantified; the premise that priority-scaled concentration buys it disproportionately is not.</w:t>
      </w:r>
    </w:p>
    <w:p>
      <w:pPr>
        <w:pStyle w:val="BodyText"/>
        <w:spacing w:line="480" w:lineRule="auto"/>
        <w:ind w:firstLine="720"/>
      </w:pPr>
      <w:r>
        <w:t xml:space="preserve">The second estimate addressed the pace of realization, the channel through which concordance is most often imagined to confer an organizational advantage. Treating the authorization-to-launch interval as a survival time, the analysis estimated a Cox proportional-hazards model on a hand-compiled panel of twenty-one NASA planetary and astrophysics missions, with decadal concordance, life-cycle cost, and flagship status competing as covariates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concordance coefficient pointed in the hypothesized direction, a hazard ratio of about two, consistent with concordant missions reaching launch roughly twice as fast as the open Discovery competition, but its standard error was large and its confidence interval comfortably included one. Concordance, net of scope, is not statistically separable from zero. What the model did estimate precisely was the scope effect: each additional billion dollars of life-cycle cost is associated with roughly a four-fifths reduction in the hazard of reaching launch, so costlier, larger missions take substantially longer to fly. The flagship indicator, conditional on cost, was large and significant, indicating that the institutional protection a directorate-directed mission receives, not its thematic pedigree, recovers schedule once scope is held fixed. This pattern aligns with the lifecycle-management literature, which attributes long realization times to instrument maturity and coordination load rather than thematic endorsement</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and with the governance scholarship in which the institutional pathway a mission travels shapes its schedule exposure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two estimates converge on a single, disciplined conclusion. Alignment is not the lever. Concordance with decadal priorities is not, on this evidence, the marginal productivity lever the institution treats it as being. Investment scales output approximately one for one regardless of where on the priority list a mission sits, and concordance does not measurably accelerate delivery once the scope that concordance is entangled with is removed. The dominant, well-estimated driver of the pace of science return is cost discipline, and the dominant determinant of the volume of science return is the magnitude of investment, not its alignment with the ranked list. Where the prospectus posed H0, that the causal effect of concordance is zero and any cross-sectional association reflects selection of stronger projects onto priority topics, against H1, that concordance carries a positive and distinguishable causal effect, the assembled evidence does not license rejection of the null. It cannot rule out a real but modest concordance effect, and it does not need to in order to make its point: the institutional confidence that alignment is a productivity multiplier outruns the evidence that supports it.</w:t>
      </w:r>
    </w:p>
    <w:bookmarkEnd w:id="132"/>
    <w:bookmarkStart w:id="133"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as the conversion of a load-bearing institutional assumption into a measured, bounded, and reproducible object. Three specific advances follow.</w:t>
      </w:r>
    </w:p>
    <w:p>
      <w:pPr>
        <w:pStyle w:val="BodyText"/>
        <w:spacing w:line="480" w:lineRule="auto"/>
        <w:ind w:firstLine="720"/>
      </w:pPr>
      <w:r>
        <w:t xml:space="preserve">First, the dissertation supplies the first reproducible elasticity of federal space research output with respect to federal space investment, recovered from documented public cost figures and a bibliometric output measure traceable to the exact query string that produced each value</w:t>
      </w:r>
      <w:r>
        <w:t xml:space="preserve"> </w:t>
      </w:r>
      <w:hyperlink w:anchor="ref-9">
        <w:r>
          <w:rPr>
            <w:rStyle w:val="Hyperlink"/>
          </w:rPr>
          <w:t xml:space="preserve">[9]</w:t>
        </w:r>
      </w:hyperlink>
      <w:r>
        <w:t xml:space="preserve">. Prior work asserted the investment-productivity relationship as a level claim, more money yields more science, but left its curvature unspecified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estimate gives the relationship a shape. It is real, positive, and approximately linear in log space, which is to say approximately constant-returns rather than convex. This is a finding with direct portfolio consequence: it removes the empirical warrant for the reflex that concentrating spend in ever-larger flagships buys disproportionate science, while equally removing the warrant for the opposite reflex toward maximal dispersion. The honest regime, on eighteen missions, is proportionality, and a portfolio manager who acts on either extreme is acting beyond the evidence.</w:t>
      </w:r>
    </w:p>
    <w:p>
      <w:pPr>
        <w:pStyle w:val="BodyText"/>
        <w:spacing w:line="480" w:lineRule="auto"/>
        <w:ind w:firstLine="720"/>
      </w:pPr>
      <w:r>
        <w:t xml:space="preserve">Second, the dissertation isolates, as cleanly as a twenty-one-mission panel permits, the schedule contribution of concordance from the scope it is confounded with. The methodological move that matters is the conditioning structure: by entering life-cycle cost as a scope proxy and a flagship indicator alongside concordance, the hazard model separates the question of whether priority pedigree accelerates delivery from the question of whether large directed missions enjoy protected funding lines. The answer, that concordance does not survive the control while cost dominates and flagship protection recovers schedule, reframes the policy intuition. Endorsement by the decadal process is not a substitute for scope discipline. A concordant mission that grows in cost surrenders whatever schedule advantage its priority standing might confer. This refines, rather than overturns, the governance literature’s claim that the institutional pathway shapes schedule exposure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by locating the operative mechanism in protected attention and scope control rather than in thematic standing.</w:t>
      </w:r>
    </w:p>
    <w:p>
      <w:pPr>
        <w:pStyle w:val="BodyText"/>
        <w:spacing w:line="480" w:lineRule="auto"/>
        <w:ind w:firstLine="720"/>
      </w:pPr>
      <w:r>
        <w:t xml:space="preserve">Third, and most broadly, the dissertation contributes a discipline of measurement to a domain that has reasoned largely from premise. The recurring methodological theme across both empirical chapters is the deliberate construction of estimates that bias against the favored hypothesis and then reporting what survives. The output measure name-matches mission-attributed records and therefore undercounts science published under instrument or target names, a classical attenuation that biases the elasticity toward zero; the oldest missions enjoy longer accrual windows that, if anything, depress the measured elasticity against an increasing-returns finding. That a positive, unit-scale elasticity survives these conservative features strengthens rather than weakens the claim. The same conservatism governs the hazard analysis, where the small, scope-entangled sample is read descriptively rather than as a generalizable estimate. The contribution here is partly substantive and partly exemplary: it demonstrates that the central claims of the priority architecture are testable against public federal award and bibliometric records, and that testing them yields a more modest and more defensible picture than the institution’s working confidence.</w:t>
      </w:r>
    </w:p>
    <w:bookmarkEnd w:id="133"/>
    <w:bookmarkStart w:id="134" w:name="X7f4ba99715709fc94e27d435631a1e2a913a0c2"/>
    <w:p>
      <w:pPr>
        <w:pStyle w:val="Heading2"/>
        <w:spacing w:line="480" w:lineRule="auto"/>
      </w:pPr>
      <w:r>
        <w:t xml:space="preserve">8.4 Limitations and the Boundary of the Claims</w:t>
      </w:r>
    </w:p>
    <w:p>
      <w:pPr>
        <w:pStyle w:val="FirstParagraph"/>
        <w:spacing w:line="480" w:lineRule="auto"/>
      </w:pPr>
      <w:r>
        <w:t xml:space="preserve">The contribution must be stated within the boundary the data impose. That boundary is real. The elasticity estimate rests on eighteen missions and a single regressor; its confidence interval, while bounded away from zero, is wide enough that the proportional and increasing-returns regimes both remain inside its reaches. The estimate establishes the regime loosely, not sharply. The hazard estimate rests on twenty-one missions with thin flagship and New Frontiers cells, so the imprecise concordance coefficient may reflect statistical power rather than the genuine absence of an effect, and concordance is entangled with scope by construction because the decadal-endorsed lines are the larger ones. Neither chapter delivers the fully identified difference-in-differences estimate the prospectus envisioned as the ideal; the assembled evidence bounds and stress-tests the productivity premise rather than recovering a single signed causal coefficient from variation at a decadal boundary. The estimates are specific to NASA major missions and to name-matched bibliometric outputs, and they do not transfer automatically to grant-level research, to other agencies, or to citation-weighted output measures. These limits are not concessions offered after the fact; they were built into the analysis as the price of using only documented, retrievable values and refusing illustrative ones.</w:t>
      </w:r>
    </w:p>
    <w:p>
      <w:pPr>
        <w:pStyle w:val="BodyText"/>
        <w:spacing w:line="480" w:lineRule="auto"/>
        <w:ind w:firstLine="720"/>
      </w:pPr>
      <w:r>
        <w:t xml:space="preserve">The natural extensions follow directly from the limits. A citation-weighted output measure would test whether the largest missions buy disproportionate influence even when they do not buy disproportionate counts. An explicit accrual-window correction normalizing output by years since launch would tighten the elasticity and could, in principle, separate the regimes the present sample cannot. A within-line comparison or an instrument for concordance would disentangle priority standing from scope in the schedule analysis, and widening the panel to Earth-science and heliophysics missions would thicken the thin cells. The fully identified concordance estimate the prospectus proposed, exploiting the discrete promotion and demotion of topics at each decadal boundary, remains the decisive test, and this dissertation positions it: the scaling estimate is the first object that test requires, a documented confirmation that investment and output scale together, and the schedule estimate establishes that any concordance advantage, if it exists, must be sought net of the scope it travels with.</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The decadal survey is among the most admired priority-setting instruments in any domain of federal science, and nothing in this dissertation argues against the value of consensus prioritization as a means of organizing a community’s scientific judgment into a coherent program of record. What the dissertation argues against is a specific and unexamined corollary: that concordance with the ranked list is, by itself, a lever that multiplies scientific yield per dollar and accelerates the delivery of science. Across two complementary tests, on the volume of output and on the pace of realization, that corollary was not borne out. Output scales with investment approximately one for one, indifferent to priority standing, and the pace of realization is governed by scope discipline and institutional protection, not by thematic pedigree. The premise that money buys science is confirmed and quantified. The premise that alignment buys it disproportionately is, on this evidence, an article of institutional faith that the public record does not underwrite.</w:t>
      </w:r>
    </w:p>
    <w:p>
      <w:pPr>
        <w:pStyle w:val="BodyText"/>
        <w:spacing w:line="480" w:lineRule="auto"/>
        <w:ind w:firstLine="720"/>
      </w:pPr>
      <w:r>
        <w:t xml:space="preserve">The practical reading is not that prioritization is worthless but that it should be valued for what it demonstrably does, coordinate a field and confer a program of record, rather than for a marginal productivity return the data cannot find. For the program manager, the operative findings are unglamorous and robust: invest at the scale the science requires and expect proportional return, and control scope, because cost growth, not priority standing, is what lengthens the road to the pad. For the institution, the larger lesson is methodological. The central claims of the priority architecture are testable against public federal award and bibliometric records, and a discipline of measurement applied to those records yields a more modest, more defensible, and ultimately more useful account than confidence alone. The decadal process deserves that discipline, and this dissertation has tried to supply a first installment of it.</w:t>
      </w:r>
    </w:p>
    <w:bookmarkEnd w:id="135"/>
    <w:bookmarkStart w:id="189" w:name="references"/>
    <w:p>
      <w:pPr>
        <w:pStyle w:val="Heading2"/>
        <w:spacing w:line="480" w:lineRule="auto"/>
      </w:pPr>
      <w:r>
        <w:t xml:space="preserve">References</w:t>
      </w:r>
    </w:p>
    <w:p>
      <w:pPr>
        <w:pStyle w:val="FirstParagraph"/>
        <w:spacing w:line="480" w:lineRule="auto"/>
      </w:pPr>
      <w:bookmarkStart w:id="136" w:name="ref-1"/>
      <w:bookmarkEnd w:id="136"/>
      <w:r>
        <w:t xml:space="preserve">1. A. Ash, J. Skuljan, R. Scott, W. Martin, V. Wright, and T. Bessell,</w:t>
      </w:r>
      <w:r>
        <w:t xml:space="preserve"> </w:t>
      </w:r>
      <w:r>
        <w:t xml:space="preserve">“A Summary of 5-Eyes Research Collaboration into SSA,”</w:t>
      </w:r>
      <w:r>
        <w:t xml:space="preserve"> </w:t>
      </w:r>
      <w:r>
        <w:t xml:space="preserve">Proc. Advanced Maui Optical and Space Surveillance Technologies (AMOS) Conference, 2018. https://amostech.space/year/2018/a-summary-of-5-eyes-research-collaboration-into-ssa/</w:t>
      </w:r>
    </w:p>
    <w:p>
      <w:pPr>
        <w:pStyle w:val="BodyText"/>
        <w:spacing w:line="480" w:lineRule="auto"/>
        <w:ind w:firstLine="720"/>
      </w:pPr>
      <w:bookmarkStart w:id="137" w:name="ref-2"/>
      <w:bookmarkEnd w:id="137"/>
      <w:r>
        <w:t xml:space="preserve">2. R. Boyce, M. Brown, P. Lorrain, C. Capon, A. Lambert, C. Benson, S. Tuttle, and D. Griffin,</w:t>
      </w:r>
      <w:r>
        <w:t xml:space="preserve"> </w:t>
      </w:r>
      <w:r>
        <w:t xml:space="preserve">“Coupled Simulations, Ground-based Experiments and Flight Experiments for Astrodynamics Research,”</w:t>
      </w:r>
      <w:r>
        <w:t xml:space="preserve"> </w:t>
      </w:r>
      <w:r>
        <w:t xml:space="preserve">Proc. Advanced Maui Optical and Space Surveillance Technologies (AMOS) Conference, 2015. https://amostech.space/year/2015/coupled-simulations-ground-based-experiments-and-flight-experiments-for-astrodynamics-research/</w:t>
      </w:r>
    </w:p>
    <w:p>
      <w:pPr>
        <w:pStyle w:val="BodyText"/>
        <w:spacing w:line="480" w:lineRule="auto"/>
        <w:ind w:firstLine="720"/>
      </w:pPr>
      <w:bookmarkStart w:id="138" w:name="ref-3"/>
      <w:bookmarkEnd w:id="138"/>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39" w:name="ref-4"/>
      <w:bookmarkEnd w:id="139"/>
      <w:r>
        <w:t xml:space="preserve">4. B. Geldzahler, L. D. Addario, M. Ott, R. Birr, G. Woods, and M. Miller,</w:t>
      </w:r>
      <w:r>
        <w:t xml:space="preserve"> </w:t>
      </w:r>
      <w:r>
        <w:t xml:space="preserve">“High Resolution Radar for NASA and Space Situational Awareness for Observation and Monitoring,”</w:t>
      </w:r>
      <w:r>
        <w:t xml:space="preserve"> </w:t>
      </w:r>
      <w:r>
        <w:t xml:space="preserve">Proc. Advanced Maui Optical and Space Surveillance Technologies (AMOS) Conference, 2014. https://amostech.space/year/2014/high-resolution-radar-for-nasa-and-space-situational-awareness-for-observation-and-monitoring/</w:t>
      </w:r>
    </w:p>
    <w:p>
      <w:pPr>
        <w:pStyle w:val="BodyText"/>
        <w:spacing w:line="480" w:lineRule="auto"/>
        <w:ind w:firstLine="720"/>
      </w:pPr>
      <w:bookmarkStart w:id="140" w:name="ref-5"/>
      <w:bookmarkEnd w:id="140"/>
      <w:r>
        <w:t xml:space="preserve">5.</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41" w:name="ref-6"/>
      <w:bookmarkEnd w:id="141"/>
      <w:r>
        <w:t xml:space="preserve">6.</w:t>
      </w:r>
      <w:r>
        <w:t xml:space="preserve"> </w:t>
      </w:r>
      <w:r>
        <w:t xml:space="preserve">“Economic Statecraft Literature Review,”</w:t>
      </w:r>
      <w:r>
        <w:t xml:space="preserve"> </w:t>
      </w:r>
      <w:r>
        <w:t xml:space="preserve">Space Economy Papers corpus, source SD09.</w:t>
      </w:r>
    </w:p>
    <w:p>
      <w:pPr>
        <w:pStyle w:val="BodyText"/>
        <w:spacing w:line="480" w:lineRule="auto"/>
        <w:ind w:firstLine="720"/>
      </w:pPr>
      <w:bookmarkStart w:id="142" w:name="ref-7"/>
      <w:bookmarkEnd w:id="142"/>
      <w:r>
        <w:t xml:space="preserve">7.</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43" w:name="ref-8"/>
      <w:bookmarkEnd w:id="143"/>
      <w:r>
        <w:t xml:space="preserve">8.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44" w:name="ref-9"/>
      <w:bookmarkEnd w:id="144"/>
      <w:r>
        <w:t xml:space="preserve">9.</w:t>
      </w:r>
      <w:r>
        <w:t xml:space="preserve"> </w:t>
      </w:r>
      <w:r>
        <w:t xml:space="preserve">“Parametric Economic Modelling of Asteroid Mining Architectures,”</w:t>
      </w:r>
      <w:r>
        <w:t xml:space="preserve"> </w:t>
      </w:r>
      <w:r>
        <w:t xml:space="preserve">Acta Astronautica, 2025. doi:</w:t>
      </w:r>
      <w:r>
        <w:t xml:space="preserve"> </w:t>
      </w:r>
      <w:hyperlink r:id="rId145">
        <w:r>
          <w:rPr>
            <w:rStyle w:val="Hyperlink"/>
          </w:rPr>
          <w:t xml:space="preserve">10.1016/j.actaastro.2025.11.006</w:t>
        </w:r>
      </w:hyperlink>
    </w:p>
    <w:p>
      <w:pPr>
        <w:pStyle w:val="BodyText"/>
        <w:spacing w:line="480" w:lineRule="auto"/>
        <w:ind w:firstLine="720"/>
      </w:pPr>
      <w:bookmarkStart w:id="146" w:name="ref-10"/>
      <w:bookmarkEnd w:id="146"/>
      <w:r>
        <w:t xml:space="preserve">10. Planetary Science Decadal Survey, National Academies of Sciences, Engineering, and Medicine. Available: https://en.wikipedia.org/wiki/Planetary_Science_Decadal_Survey</w:t>
      </w:r>
    </w:p>
    <w:p>
      <w:pPr>
        <w:pStyle w:val="BodyText"/>
        <w:spacing w:line="480" w:lineRule="auto"/>
        <w:ind w:firstLine="720"/>
      </w:pPr>
      <w:bookmarkStart w:id="147" w:name="ref-11"/>
      <w:bookmarkEnd w:id="147"/>
      <w:r>
        <w:t xml:space="preserve">11. New Frontiers Program candidate-theme list, Committee on Astrobiology and Planetary Science, National Academies of Sciences, Engineering, and Medicine. Available: https://www.nationalacademies.org/projects/DEPS-SSB-24-01</w:t>
      </w:r>
    </w:p>
    <w:p>
      <w:pPr>
        <w:pStyle w:val="BodyText"/>
        <w:spacing w:line="480" w:lineRule="auto"/>
        <w:ind w:firstLine="720"/>
      </w:pPr>
      <w:bookmarkStart w:id="148" w:name="ref-12"/>
      <w:bookmarkEnd w:id="148"/>
      <w:r>
        <w:t xml:space="preserve">12.</w:t>
      </w:r>
      <w:r>
        <w:t xml:space="preserve"> </w:t>
      </w:r>
      <w:r>
        <w:t xml:space="preserve">“Evolving governance in the space sector: From Legacy Space to New Space models,”</w:t>
      </w:r>
      <w:r>
        <w:t xml:space="preserve"> </w:t>
      </w:r>
      <w:r>
        <w:t xml:space="preserve">Acta Astronautica, 2024. doi:</w:t>
      </w:r>
      <w:r>
        <w:t xml:space="preserve"> </w:t>
      </w:r>
      <w:hyperlink r:id="rId149">
        <w:r>
          <w:rPr>
            <w:rStyle w:val="Hyperlink"/>
          </w:rPr>
          <w:t xml:space="preserve">10.1016/j.actaastro.2024.09.005</w:t>
        </w:r>
      </w:hyperlink>
    </w:p>
    <w:p>
      <w:pPr>
        <w:pStyle w:val="BodyText"/>
        <w:spacing w:line="480" w:lineRule="auto"/>
        <w:ind w:firstLine="720"/>
      </w:pPr>
      <w:bookmarkStart w:id="150" w:name="ref-13"/>
      <w:bookmarkEnd w:id="150"/>
      <w:r>
        <w:t xml:space="preserve">13.</w:t>
      </w:r>
      <w:r>
        <w:t xml:space="preserve"> </w:t>
      </w:r>
      <w:r>
        <w:t xml:space="preserve">“New public-private partnership based on the interactive collaboration in the space sector,”</w:t>
      </w:r>
      <w:r>
        <w:t xml:space="preserve"> </w:t>
      </w:r>
      <w:r>
        <w:t xml:space="preserve">Acta Astronautica, 2025. doi:</w:t>
      </w:r>
      <w:r>
        <w:t xml:space="preserve"> </w:t>
      </w:r>
      <w:hyperlink r:id="rId151">
        <w:r>
          <w:rPr>
            <w:rStyle w:val="Hyperlink"/>
          </w:rPr>
          <w:t xml:space="preserve">10.1016/j.actaastro.2025.02.009</w:t>
        </w:r>
      </w:hyperlink>
    </w:p>
    <w:p>
      <w:pPr>
        <w:pStyle w:val="BodyText"/>
        <w:spacing w:line="480" w:lineRule="auto"/>
        <w:ind w:firstLine="720"/>
      </w:pPr>
      <w:bookmarkStart w:id="152" w:name="ref-14"/>
      <w:bookmarkEnd w:id="152"/>
      <w:r>
        <w:t xml:space="preserve">14.</w:t>
      </w:r>
      <w:r>
        <w:t xml:space="preserve"> </w:t>
      </w:r>
      <w:r>
        <w:t xml:space="preserve">“The science planning process on the Rosetta mission,”</w:t>
      </w:r>
      <w:r>
        <w:t xml:space="preserve"> </w:t>
      </w:r>
      <w:r>
        <w:t xml:space="preserve">Acta Astronautica, 2017. doi:</w:t>
      </w:r>
      <w:r>
        <w:t xml:space="preserve"> </w:t>
      </w:r>
      <w:hyperlink r:id="rId153">
        <w:r>
          <w:rPr>
            <w:rStyle w:val="Hyperlink"/>
          </w:rPr>
          <w:t xml:space="preserve">10.1016/j.actaastro.2017.01.018</w:t>
        </w:r>
      </w:hyperlink>
    </w:p>
    <w:p>
      <w:pPr>
        <w:pStyle w:val="BodyText"/>
        <w:spacing w:line="480" w:lineRule="auto"/>
        <w:ind w:firstLine="720"/>
      </w:pPr>
      <w:bookmarkStart w:id="154" w:name="ref-15"/>
      <w:bookmarkEnd w:id="154"/>
      <w:r>
        <w:t xml:space="preserve">15.</w:t>
      </w:r>
      <w:r>
        <w:t xml:space="preserve"> </w:t>
      </w:r>
      <w:r>
        <w:t xml:space="preserve">“Lessons from the Dawn mission to Ceres and Vesta,”</w:t>
      </w:r>
      <w:r>
        <w:t xml:space="preserve"> </w:t>
      </w:r>
      <w:r>
        <w:t xml:space="preserve">Acta Astronautica, 2020. doi:</w:t>
      </w:r>
      <w:r>
        <w:t xml:space="preserve"> </w:t>
      </w:r>
      <w:hyperlink r:id="rId155">
        <w:r>
          <w:rPr>
            <w:rStyle w:val="Hyperlink"/>
          </w:rPr>
          <w:t xml:space="preserve">10.1016/j.actaastro.2020.06.023</w:t>
        </w:r>
      </w:hyperlink>
    </w:p>
    <w:p>
      <w:pPr>
        <w:pStyle w:val="BodyText"/>
        <w:spacing w:line="480" w:lineRule="auto"/>
        <w:ind w:firstLine="720"/>
      </w:pPr>
      <w:bookmarkStart w:id="156" w:name="ref-16"/>
      <w:bookmarkEnd w:id="156"/>
      <w:r>
        <w:t xml:space="preserve">16.</w:t>
      </w:r>
      <w:r>
        <w:t xml:space="preserve"> </w:t>
      </w:r>
      <w:r>
        <w:t xml:space="preserve">“Towards a pattern language for complex-mode mission concept generation,”</w:t>
      </w:r>
      <w:r>
        <w:t xml:space="preserve"> </w:t>
      </w:r>
      <w:r>
        <w:t xml:space="preserve">Acta Astronautica, 2022. doi:</w:t>
      </w:r>
      <w:r>
        <w:t xml:space="preserve"> </w:t>
      </w:r>
      <w:hyperlink r:id="rId157">
        <w:r>
          <w:rPr>
            <w:rStyle w:val="Hyperlink"/>
          </w:rPr>
          <w:t xml:space="preserve">10.1016/j.actaastro.2022.11.005</w:t>
        </w:r>
      </w:hyperlink>
    </w:p>
    <w:p>
      <w:pPr>
        <w:pStyle w:val="BodyText"/>
        <w:spacing w:line="480" w:lineRule="auto"/>
        <w:ind w:firstLine="720"/>
      </w:pPr>
      <w:bookmarkStart w:id="158" w:name="ref-17"/>
      <w:bookmarkEnd w:id="158"/>
      <w:r>
        <w:t xml:space="preserve">17.</w:t>
      </w:r>
      <w:r>
        <w:t xml:space="preserve"> </w:t>
      </w:r>
      <w:r>
        <w:t xml:space="preserve">“Mars Sample Return Campaign Concept Status,”</w:t>
      </w:r>
      <w:r>
        <w:t xml:space="preserve"> </w:t>
      </w:r>
      <w:r>
        <w:t xml:space="preserve">Acta Astronautica, 2020. doi:</w:t>
      </w:r>
      <w:r>
        <w:t xml:space="preserve"> </w:t>
      </w:r>
      <w:hyperlink r:id="rId159">
        <w:r>
          <w:rPr>
            <w:rStyle w:val="Hyperlink"/>
          </w:rPr>
          <w:t xml:space="preserve">10.1016/j.actaastro.2020.06.026</w:t>
        </w:r>
      </w:hyperlink>
    </w:p>
    <w:p>
      <w:pPr>
        <w:pStyle w:val="BodyText"/>
        <w:spacing w:line="480" w:lineRule="auto"/>
        <w:ind w:firstLine="720"/>
      </w:pPr>
      <w:bookmarkStart w:id="160" w:name="ref-18"/>
      <w:bookmarkEnd w:id="160"/>
      <w:r>
        <w:t xml:space="preserve">18. Mark Bolden, Trusted Space, Inc.; Sydney Bonbrest, Trusted Space, Inc.; Islam Hussein, Trusted Space, Inc.; Holly Borowski, Trusted Space, Inc.; Erin Griggs, Trusted Space, Inc.; Bradford Tousley, Trusted Space, Inc.; Thomas Kubancik, Trusted Space, Inc.; Mathew Sandnas, Trusted Space, Inc.; Tim Craychee, Trusted Space, Inc.; Ryan Ross, Trusted Space, Inc.. The Importance of Differentiating Between Measurements, Estimates, and Validated Hypotheses Generated from Imagers, Photon Counters, and Event-Based Sensors (2025). doi:</w:t>
      </w:r>
      <w:r>
        <w:t xml:space="preserve"> </w:t>
      </w:r>
      <w:hyperlink r:id="rId161">
        <w:r>
          <w:rPr>
            <w:rStyle w:val="Hyperlink"/>
          </w:rPr>
          <w:t xml:space="preserve">10.64861/KRAQ5680</w:t>
        </w:r>
      </w:hyperlink>
    </w:p>
    <w:p>
      <w:pPr>
        <w:pStyle w:val="BodyText"/>
        <w:spacing w:line="480" w:lineRule="auto"/>
        <w:ind w:firstLine="720"/>
      </w:pPr>
      <w:bookmarkStart w:id="162" w:name="ref-19"/>
      <w:bookmarkEnd w:id="162"/>
      <w:r>
        <w:t xml:space="preserve">19. Charles Constant, University College London; Shaylah Mutschler, Space Environment Technologies; Santosh Bhattarai, University College London; Marcin Pilinski, University of Colorado at Boulder / Laboratory for Atmospheric and Space Physics. Bring the Noise: Three Rules for Improving Thermospheric Density Retrieval From LEO POD Data (2025). doi:</w:t>
      </w:r>
      <w:r>
        <w:t xml:space="preserve"> </w:t>
      </w:r>
      <w:hyperlink r:id="rId163">
        <w:r>
          <w:rPr>
            <w:rStyle w:val="Hyperlink"/>
          </w:rPr>
          <w:t xml:space="preserve">10.64861/PHHA7076</w:t>
        </w:r>
      </w:hyperlink>
    </w:p>
    <w:p>
      <w:pPr>
        <w:pStyle w:val="BodyText"/>
        <w:spacing w:line="480" w:lineRule="auto"/>
        <w:ind w:firstLine="720"/>
      </w:pPr>
      <w:bookmarkStart w:id="164" w:name="ref-20"/>
      <w:bookmarkEnd w:id="164"/>
      <w:r>
        <w:t xml:space="preserve">20. Alfredo M. Antón, GMV; Jose Miguel Lozano, GMV; Keiran McNally, GMV; Sean C. Hannon, GMV. Data Curation Activities for Space Surveillance and Tracking (2023). doi:</w:t>
      </w:r>
      <w:r>
        <w:t xml:space="preserve"> </w:t>
      </w:r>
      <w:hyperlink r:id="rId165">
        <w:r>
          <w:rPr>
            <w:rStyle w:val="Hyperlink"/>
          </w:rPr>
          <w:t xml:space="preserve">10.64861/UYKI5597</w:t>
        </w:r>
      </w:hyperlink>
    </w:p>
    <w:p>
      <w:pPr>
        <w:pStyle w:val="BodyText"/>
        <w:spacing w:line="480" w:lineRule="auto"/>
        <w:ind w:firstLine="720"/>
      </w:pPr>
      <w:bookmarkStart w:id="166" w:name="ref-21"/>
      <w:bookmarkEnd w:id="166"/>
      <w:r>
        <w:t xml:space="preserve">21. Joshua Wysack, BAE Systems. Cislunar Missions End-of-Life Disposal Strategies (2024). doi:</w:t>
      </w:r>
      <w:r>
        <w:t xml:space="preserve"> </w:t>
      </w:r>
      <w:hyperlink r:id="rId167">
        <w:r>
          <w:rPr>
            <w:rStyle w:val="Hyperlink"/>
          </w:rPr>
          <w:t xml:space="preserve">10.64861/GDKE6454</w:t>
        </w:r>
      </w:hyperlink>
    </w:p>
    <w:p>
      <w:pPr>
        <w:pStyle w:val="BodyText"/>
        <w:spacing w:line="480" w:lineRule="auto"/>
        <w:ind w:firstLine="720"/>
      </w:pPr>
      <w:bookmarkStart w:id="168" w:name="ref-22"/>
      <w:bookmarkEnd w:id="168"/>
      <w:r>
        <w:t xml:space="preserve">22. William S. Burgett (Institute for Astronomy, University of Hawaii), Nicholas Kaiser (Institute for Astronomy, University of Hawaii). The Pan-STARRS Project: The Next Generation of Survey Astronomy Has Arrived (2009).</w:t>
      </w:r>
    </w:p>
    <w:p>
      <w:pPr>
        <w:pStyle w:val="BodyText"/>
        <w:spacing w:line="480" w:lineRule="auto"/>
        <w:ind w:firstLine="720"/>
      </w:pPr>
      <w:bookmarkStart w:id="169" w:name="ref-23"/>
      <w:bookmarkEnd w:id="169"/>
      <w:r>
        <w:t xml:space="preserve">23. Robert Wolff, Office of Space Commerce; Christian Ramos, USSF Commercial Integration Office/Mission Delta 2; Jeff Cornelius, Parsons; Quentin Collins, Office of Space Commerce – contractor. Conjunction Assessment Performance and Operational Comparisons between the USSF Mission Delta 2 Conjunction Analysis System and the Traffic Coordination System for Space (TraCSS) (2025). doi:</w:t>
      </w:r>
      <w:r>
        <w:t xml:space="preserve"> </w:t>
      </w:r>
      <w:hyperlink r:id="rId170">
        <w:r>
          <w:rPr>
            <w:rStyle w:val="Hyperlink"/>
          </w:rPr>
          <w:t xml:space="preserve">10.64861/XWVP8211</w:t>
        </w:r>
      </w:hyperlink>
    </w:p>
    <w:p>
      <w:pPr>
        <w:pStyle w:val="BodyText"/>
        <w:spacing w:line="480" w:lineRule="auto"/>
        <w:ind w:firstLine="720"/>
      </w:pPr>
      <w:bookmarkStart w:id="171" w:name="ref-24"/>
      <w:bookmarkEnd w:id="171"/>
      <w:r>
        <w:t xml:space="preserve">24. Bryan Dorland (U.S. Naval Observatory), Ralph Gaume (U.S. Naval Observatory), Norbert Zacharias (U.S. Naval Observatory), Valeri Makarov (Alpha Proximi), Chris Rollins (Research Support Instruments), Greg Hennessy (U.S. Naval Observatory) Kenneth Johnston (U.S. Naval Observatory), Dave Monet (U.S. Naval Observatory Flagstaff Station). The Joint Milli-Arcsecond Pathfinder Survey: Mission Overview (2006).</w:t>
      </w:r>
    </w:p>
    <w:p>
      <w:pPr>
        <w:pStyle w:val="BodyText"/>
        <w:spacing w:line="480" w:lineRule="auto"/>
        <w:ind w:firstLine="720"/>
      </w:pPr>
      <w:bookmarkStart w:id="172" w:name="ref-25"/>
      <w:bookmarkEnd w:id="172"/>
      <w:r>
        <w:t xml:space="preserve">25. Kit Richards (National Solar Observatory), Thomas Rimmele (National Solar Observatory). Real Time Processing for the ATST AO System (2008).</w:t>
      </w:r>
    </w:p>
    <w:p>
      <w:pPr>
        <w:pStyle w:val="BodyText"/>
        <w:spacing w:line="480" w:lineRule="auto"/>
        <w:ind w:firstLine="720"/>
      </w:pPr>
      <w:bookmarkStart w:id="173" w:name="ref-26"/>
      <w:bookmarkEnd w:id="173"/>
      <w:r>
        <w:t xml:space="preserve">26. Christian Lorenz; Bruno Hay Mele; Carmen Arena. Where is the plant-space research going? An overview on the last two decades through bibliometric network multi-analysis (2024). doi:</w:t>
      </w:r>
      <w:r>
        <w:t xml:space="preserve"> </w:t>
      </w:r>
      <w:hyperlink r:id="rId174">
        <w:r>
          <w:rPr>
            <w:rStyle w:val="Hyperlink"/>
          </w:rPr>
          <w:t xml:space="preserve">10.1016/j.actaastro.2024.05.022</w:t>
        </w:r>
      </w:hyperlink>
    </w:p>
    <w:p>
      <w:pPr>
        <w:pStyle w:val="BodyText"/>
        <w:spacing w:line="480" w:lineRule="auto"/>
        <w:ind w:firstLine="720"/>
      </w:pPr>
      <w:bookmarkStart w:id="175" w:name="ref-27"/>
      <w:bookmarkEnd w:id="175"/>
      <w:r>
        <w:t xml:space="preserve">27. C. Fuglesang; María García de Herreros Miciano. Realistic sunshade system at L1 for global temperature control (2021). doi:</w:t>
      </w:r>
      <w:r>
        <w:t xml:space="preserve"> </w:t>
      </w:r>
      <w:hyperlink r:id="rId176">
        <w:r>
          <w:rPr>
            <w:rStyle w:val="Hyperlink"/>
          </w:rPr>
          <w:t xml:space="preserve">10.1016/j.actaastro.2021.04.035</w:t>
        </w:r>
      </w:hyperlink>
    </w:p>
    <w:p>
      <w:pPr>
        <w:pStyle w:val="BodyText"/>
        <w:spacing w:line="480" w:lineRule="auto"/>
        <w:ind w:firstLine="720"/>
      </w:pPr>
      <w:bookmarkStart w:id="177" w:name="ref-28"/>
      <w:bookmarkEnd w:id="177"/>
      <w:r>
        <w:t xml:space="preserve">28. Tor Blomqvist; Ralph Fritsche. From production to food systems: A systems-level review of drivers, requirements, and integration for Lunar and Martian food systems (2026). doi:</w:t>
      </w:r>
      <w:r>
        <w:t xml:space="preserve"> </w:t>
      </w:r>
      <w:hyperlink r:id="rId178">
        <w:r>
          <w:rPr>
            <w:rStyle w:val="Hyperlink"/>
          </w:rPr>
          <w:t xml:space="preserve">10.1016/j.actaastro.2026.02.021</w:t>
        </w:r>
      </w:hyperlink>
    </w:p>
    <w:p>
      <w:pPr>
        <w:pStyle w:val="BodyText"/>
        <w:spacing w:line="480" w:lineRule="auto"/>
        <w:ind w:firstLine="720"/>
      </w:pPr>
      <w:bookmarkStart w:id="179" w:name="ref-29"/>
      <w:bookmarkEnd w:id="179"/>
      <w:r>
        <w:t xml:space="preserve">29. Iván Castro-Fernández; César Arza-González; Elisa Muñoz-Ramos; Víctor Prieto-Laso; Nicolás Pardina-Popp; César Pérez-García; José Antonio Rodríguez-Prieto; Amaia Santiago-Pé; José M. Encinas; José Carlos San Martín-Ursa; Víctor Aragón-Fernández; María Parrondo-Sempere; María Cebollero-Vidriales; Javier Iglesias-Méndez; Carlos Campuzano-Corrales; S. Rodriguez-Bustabad; Eva Vega-Carrasco. Formation flying of the ANSER cluster using differential-drag control (2026). doi:</w:t>
      </w:r>
      <w:r>
        <w:t xml:space="preserve"> </w:t>
      </w:r>
      <w:hyperlink r:id="rId180">
        <w:r>
          <w:rPr>
            <w:rStyle w:val="Hyperlink"/>
          </w:rPr>
          <w:t xml:space="preserve">10.1016/j.actaastro.2026.04.057</w:t>
        </w:r>
      </w:hyperlink>
    </w:p>
    <w:p>
      <w:pPr>
        <w:pStyle w:val="BodyText"/>
        <w:spacing w:line="480" w:lineRule="auto"/>
        <w:ind w:firstLine="720"/>
      </w:pPr>
      <w:bookmarkStart w:id="181" w:name="ref-30"/>
      <w:bookmarkEnd w:id="181"/>
      <w:r>
        <w:t xml:space="preserve">30. R. L. McNutt; R. F. Wimmer‐Schweingruber; Mike Gruntman; S. M. Krimigis; E. C. Roelof; P. C. Brandt; Steven R. Vernon; Michael Paul; Robert Stough; J.D. Kinnison. Interstellar probe – Destination: Universe! (2022). doi:</w:t>
      </w:r>
      <w:r>
        <w:t xml:space="preserve"> </w:t>
      </w:r>
      <w:hyperlink r:id="rId182">
        <w:r>
          <w:rPr>
            <w:rStyle w:val="Hyperlink"/>
          </w:rPr>
          <w:t xml:space="preserve">10.1016/j.actaastro.2022.04.001</w:t>
        </w:r>
      </w:hyperlink>
    </w:p>
    <w:p>
      <w:pPr>
        <w:pStyle w:val="BodyText"/>
        <w:spacing w:line="480" w:lineRule="auto"/>
        <w:ind w:firstLine="720"/>
      </w:pPr>
      <w:bookmarkStart w:id="183" w:name="ref-31"/>
      <w:bookmarkEnd w:id="183"/>
      <w:r>
        <w:t xml:space="preserve">31. Ramy Mesalam; Paul Schmitz; Hannah Sargeant; Elizabeth Turnbull; Alessandra Barco; Scott D. Wilson; Jesse Stuck; Emily Jane Watkinson; Steven R. Oleson; Richard Ambrosi. Americium fuelled radioisotope stirling generator for lunar surface mobility systems (2024). doi:</w:t>
      </w:r>
      <w:r>
        <w:t xml:space="preserve"> </w:t>
      </w:r>
      <w:hyperlink r:id="rId184">
        <w:r>
          <w:rPr>
            <w:rStyle w:val="Hyperlink"/>
          </w:rPr>
          <w:t xml:space="preserve">10.1016/j.actaastro.2024.12.001</w:t>
        </w:r>
      </w:hyperlink>
    </w:p>
    <w:p>
      <w:pPr>
        <w:pStyle w:val="BodyText"/>
        <w:spacing w:line="480" w:lineRule="auto"/>
        <w:ind w:firstLine="720"/>
      </w:pPr>
      <w:bookmarkStart w:id="185" w:name="ref-32"/>
      <w:bookmarkEnd w:id="185"/>
      <w:r>
        <w:t xml:space="preserve">32.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86">
        <w:r>
          <w:rPr>
            <w:rStyle w:val="Hyperlink"/>
          </w:rPr>
          <w:t xml:space="preserve">10.1016/j.actaastro.2018.04.019</w:t>
        </w:r>
      </w:hyperlink>
    </w:p>
    <w:p>
      <w:pPr>
        <w:pStyle w:val="BodyText"/>
        <w:spacing w:line="480" w:lineRule="auto"/>
        <w:ind w:firstLine="720"/>
      </w:pPr>
      <w:bookmarkStart w:id="187" w:name="ref-33"/>
      <w:bookmarkEnd w:id="187"/>
      <w:r>
        <w:t xml:space="preserve">33. G. Sánchez‐Arriaga; Enrico Lorenzini; Sven G. Bilén. A review of electrodynamic tether missions: Historical trend, dimensionless parameters, and opportunities opening space markets (2024). doi:</w:t>
      </w:r>
      <w:r>
        <w:t xml:space="preserve"> </w:t>
      </w:r>
      <w:hyperlink r:id="rId188">
        <w:r>
          <w:rPr>
            <w:rStyle w:val="Hyperlink"/>
          </w:rPr>
          <w:t xml:space="preserve">10.1016/j.actaastro.2024.09.002</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b1885766c8851e80b7922c207a47a977b1cdbdb"/>
    <w:p>
      <w:pPr>
        <w:pStyle w:val="Heading2"/>
        <w:spacing w:line="480" w:lineRule="auto"/>
      </w:pPr>
      <w:r>
        <w:t xml:space="preserve">A.1 The Scientific-Yield Elasticity of Federal Space Investment: A Learning-Curve Estimate Across NASA Major Missions</w:t>
      </w:r>
    </w:p>
    <w:p>
      <w:pPr>
        <w:pStyle w:val="FirstParagraph"/>
        <w:spacing w:line="480" w:lineRule="auto"/>
      </w:pPr>
      <m:oMathPara>
        <m:oMathParaPr>
          <m:jc m:val="center"/>
        </m:oMathParaPr>
        <m:oMath>
          <m:r>
            <m:rPr>
              <m:sty m:val="p"/>
            </m:rPr>
            <m:t>ln</m:t>
          </m:r>
          <m:r>
            <m:rPr>
              <m:sty m:val="p"/>
            </m:rPr>
            <m:t>(</m:t>
          </m:r>
          <m:sSub>
            <m:e>
              <m:r>
                <m:rPr>
                  <m:nor/>
                  <m:sty m:val="p"/>
                </m:rPr>
                <m:t>Publications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m:t>
              </m:r>
            </m:e>
            <m:sub>
              <m:r>
                <m:t>i</m:t>
              </m:r>
            </m:sub>
          </m:sSub>
          <m:r>
            <m:rPr>
              <m:sty m:val="p"/>
            </m:rPr>
            <m:t>)</m:t>
          </m:r>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-3.2445</w:t>
            </w:r>
          </w:p>
        </w:tc>
        <w:tc>
          <w:tcPr>
            <w:tcW w:w="0" w:type="auto"/>
          </w:tcPr>
          <w:p>
            <w:pPr>
              <w:spacing w:line="240" w:lineRule="auto" w:before="0" w:after="0"/>
              <w:pStyle w:val="Compact"/>
            </w:pPr>
            <w:r>
              <w:rPr>
                <w:sz w:val="20"/>
                <w:szCs w:val="20"/>
              </w:rPr>
              <w:t xml:space="preserve">2.5181</w:t>
            </w:r>
          </w:p>
        </w:tc>
        <w:tc>
          <w:tcPr>
            <w:tcW w:w="0" w:type="auto"/>
          </w:tcPr>
          <w:p>
            <w:pPr>
              <w:spacing w:line="240" w:lineRule="auto" w:before="0" w:after="0"/>
              <w:pStyle w:val="Compact"/>
            </w:pPr>
            <w:r>
              <w:rPr>
                <w:sz w:val="20"/>
                <w:szCs w:val="20"/>
              </w:rPr>
              <w:t xml:space="preserve">-1.2885</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[-8.1799, 1.6908]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1.1024</w:t>
            </w:r>
          </w:p>
        </w:tc>
        <w:tc>
          <w:tcPr>
            <w:tcW w:w="0" w:type="auto"/>
          </w:tcPr>
          <w:p>
            <w:pPr>
              <w:spacing w:line="240" w:lineRule="auto" w:before="0" w:after="0"/>
              <w:pStyle w:val="Compact"/>
            </w:pPr>
            <w:r>
              <w:rPr>
                <w:sz w:val="20"/>
                <w:szCs w:val="20"/>
              </w:rPr>
              <w:t xml:space="preserve">0.3194</w:t>
            </w:r>
          </w:p>
        </w:tc>
        <w:tc>
          <w:tcPr>
            <w:tcW w:w="0" w:type="auto"/>
          </w:tcPr>
          <w:p>
            <w:pPr>
              <w:spacing w:line="240" w:lineRule="auto" w:before="0" w:after="0"/>
              <w:pStyle w:val="Compact"/>
            </w:pPr>
            <w:r>
              <w:rPr>
                <w:sz w:val="20"/>
                <w:szCs w:val="20"/>
              </w:rPr>
              <w:t xml:space="preserve">3.4509</w:t>
            </w:r>
          </w:p>
        </w:tc>
        <w:tc>
          <w:tcPr>
            <w:tcW w:w="0" w:type="auto"/>
          </w:tcPr>
          <w:p>
            <w:pPr>
              <w:spacing w:line="240" w:lineRule="auto" w:before="0" w:after="0"/>
              <w:pStyle w:val="Compact"/>
            </w:pPr>
            <w:r>
              <w:rPr>
                <w:sz w:val="20"/>
                <w:szCs w:val="20"/>
              </w:rPr>
              <w:t xml:space="preserve">0.0005587</w:t>
            </w:r>
          </w:p>
        </w:tc>
        <w:tc>
          <w:tcPr>
            <w:tcW w:w="0" w:type="auto"/>
          </w:tcPr>
          <w:p>
            <w:pPr>
              <w:spacing w:line="240" w:lineRule="auto" w:before="0" w:after="0"/>
              <w:pStyle w:val="Compact"/>
            </w:pPr>
            <w:r>
              <w:rPr>
                <w:sz w:val="20"/>
                <w:szCs w:val="20"/>
              </w:rPr>
              <w:t xml:space="preserve">[0.4763, 1.7285]</w:t>
            </w:r>
          </w:p>
        </w:tc>
      </w:tr>
    </w:tbl>
    <w:p>
      <w:pPr>
        <w:pStyle w:val="BodyText"/>
        <w:spacing w:line="480" w:lineRule="auto"/>
        <w:ind w:firstLine="720"/>
      </w:pPr>
      <w:r>
        <w:t xml:space="preserve">Fit: N = 18 R2 = 0.3792 elasticity_b = 1.1024 progress_ratio_2^b = 2.1471</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log relationship between NASA major-mission life-cycle cost and scientific publication output indexed in NTRS, with the fitted learning-curve (power-law) line. Each point is one mission; the slope is the cost elasticity of scientific yield." title="" id="193" name="Picture"/>
            <a:graphic>
              <a:graphicData uri="http://schemas.openxmlformats.org/drawingml/2006/picture">
                <pic:pic>
                  <pic:nvPicPr>
                    <pic:cNvPr descr="D:/Claude_Code/brain/collegium/candidates/dissertations/JPL_MGMT_SMA_TECH_06/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Log-log relationship between NASA major-mission life-cycle cost and scientific publication output indexed in NTRS, with the fitted learning-curve (power-law) line. Each point is one mission; the slope is the cost elasticity of scientific yield.</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ntrs_publications</w:t>
            </w:r>
          </w:p>
        </w:tc>
        <w:tc>
          <w:tcPr>
            <w:tcW w:w="0" w:type="auto"/>
          </w:tcPr>
          <w:p>
            <w:pPr>
              <w:spacing w:line="240" w:lineRule="auto" w:before="0" w:after="0"/>
              <w:pStyle w:val="Compact"/>
            </w:pPr>
            <w:r>
              <w:rPr>
                <w:sz w:val="20"/>
                <w:szCs w:val="20"/>
              </w:rPr>
              <w:t xml:space="preserve">decadal_flagship</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Life-cycle cost US$9.7B (development $8.8B + 5yr ops $861M), Wikipedia James Webb Space Telescope citing NASA, https://en.wikipedia.org/wiki/James_Webb_Space_Telescope; NTRS quoted-phrase total via https://ntrs.nasa.gov/api/citations/search?q=%22James%20Webb%20Space%20Telescope%22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Life-cycle cost US$5.2B through prime mission 2034, NASA OIG IG-22-014 reported via https://spacepolicyonline.com/news/nasa-reveals-europa-clipper-cost-growth-mars-sample-return-replan/ and https://www.planetary.org/charts/europa-clipper-cost-chart; NTRS total via https://ntrs.nasa.gov/api/citations/search?q=%22Europa%20Clipper%22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Life-cycle cost US$4.3B (development+launch+5yr ops), Wikipedia Nancy Grace Roman Space Telescope citing NASA replan, https://en.wikipedia.org/wiki/Nancy_Grace_Roman_Space_Telescope; NTRS total via https://ntrs.nasa.gov/api/citations/search?q=%22Roman%20Space%20Telescope%22</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Total cost US$3.26B (pre-launch dev $1.4B + ops $704M + tracking $54M + launch $422M), NASA Cassini press kit Oct 2000 via https://en.wikipedia.org/wiki/Cassini%E2%80%93Huygens; NTRS total via https://ntrs.nasa.gov/api/citations/search?q=%22Cassini%20spacecraft%22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Life-cycle cost US$2.725B (dev $2.2B + launch $243M + 2yr ops $300M), The Planetary Society Cost of Perseverance, https://www.planetary.org/space-policy/cost-of-perseverance; NTRS total via https://ntrs.nasa.gov/api/citations/search?q=%22Mars%202020%22</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Development plus prime-mission cost US$2.5B, The Planetary Society Cost of MSL Curiosity, https://www.planetary.org/space-policy/cost-of-msl-curiosity; NTRS total via https://ntrs.nasa.gov/api/citations/search?q=%22Curiosity%20rover%22</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Total cost US$1.5B, Living With a Star program; Science/NASA reporting via https://en.wikipedia.org/wiki/Parker_Solar_Probe; NTRS total via https://ntrs.nasa.gov/api/citations/search?q=%22Parker%20Solar%20Probe%22</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413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Life-cycle cost US$1.16B over 15yr (dev $588.5M + launch $183.5M + ops $283M), New Frontiers program, The Planetary Society Cost of OSIRIS-REx, https://www.planetary.org/space-policy/cost-of-osiris-rex; NTRS total via https://ntrs.nasa.gov/api/citations/search?q=%22OSIRIS-REx%22</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Total mission investment US$1.13B, New Frontiers program, JPL Jupiter Orbit Insertion press kit via https://en.wikipedia.org/wiki/Juno_(spacecraft); NTRS total via https://ntrs.nasa.gov/api/citations/search?q=%22Juno%20spacecraft%22</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Project life-cycle cost US$1.056B, Earth science decadal mission; https://en.wikipedia.org/wiki/ICESat-2; NTRS total via https://ntrs.nasa.gov/api/citations/search?q=%22ICESat-2%22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Total cost approximately US$1.2B (dev+launch+ops incl. $131M launch services and DSOC), Discovery program, The Planetary Society Psyche Cost, https://www.planetary.org/space-policy/psyche-cost; NTRS total via https://ntrs.nasa.gov/api/citations/search?q=%22Psyche%20mission%22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Life-cycle cost US$989.1M (dev $560M + launch $149M + 12yr ops $280M), Discovery program, The Planetary Society Lucy Cost, https://www.planetary.org/space-policy/lucy-cost; NTRS total via https://ntrs.nasa.gov/api/citations/search?q=%22Lucy%20spacecraft%22</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Baseline life-cycle cost US$885M, Sustainable Land Imaging program, CRS R46560 via https://www.congress.gov/crs-product/R46560 and https://landsat.gsfc.nasa.gov/wp-content/uploads/2018/05/Landsat9_GAO.pdf; NTRS total via https://ntrs.nasa.gov/api/citations/search?q=%22Landsat%209%22</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Total 15-year mission cost US$700M (spacecraft+instruments+launch+ops+data analysis), New Frontiers program, The Planetary Society Cost of New Horizons, https://www.planetary.org/space-policy/cost-of-new-horizons; NTRS total via https://ntrs.nasa.gov/api/citations/search?q=%22New%20Horizons%22</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Cost US$640M at launch, Discovery program, https://en.wikipedia.org/wiki/Kepler_space_telescope; NTRS total via https://ntrs.nasa.gov/api/citations/search?q=%22Kepler%20spacecraft%22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Total cost US$582.5M to build, launch and operate prime mission, Mars Scout program, The Planetary Society MAVEN Cost, https://www.planetary.org/space-policy/maven-cost; NTRS total via https://ntrs.nasa.gov/api/citations/search?q=%22MAVEN%22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324.5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Project cost US$324.5M (dev $308M + launch $68.8M + ops/data $16.5M), Planetary Defense, The Planetary Society Cost of DART, https://www.planetary.org/space-policy/cost-of-dart; NTRS total via https://ntrs.nasa.gov/api/citations/search?q=%22DART%20mission%22</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Total cost US$287M (instrument/spacecraft $200M + launch $87M), Explorer program, https://en.wikipedia.org/wiki/Transiting_Exoplanet_Survey_Satellite; NTRS total via https://ntrs.nasa.gov/api/citations/search?q=%22TESS%20satellite%22</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ntrs_publications</w:t>
            </w:r>
          </w:p>
        </w:tc>
        <w:tc>
          <w:tcPr>
            <w:tcW w:w="0" w:type="auto"/>
          </w:tcPr>
          <w:p>
            <w:pPr>
              <w:spacing w:line="240" w:lineRule="auto" w:before="0" w:after="0"/>
              <w:pStyle w:val="Compact"/>
            </w:pPr>
            <w:r>
              <w:rPr>
                <w:sz w:val="20"/>
                <w:szCs w:val="20"/>
              </w:rPr>
              <w:t xml:space="preserve">Count of NASA Technical Reports Server records matching the mission name as an exact quoted phrase; the scientific-output measure</w:t>
            </w:r>
          </w:p>
        </w:tc>
        <w:tc>
          <w:tcPr>
            <w:tcW w:w="0" w:type="auto"/>
          </w:tcPr>
          <w:p>
            <w:pPr>
              <w:spacing w:line="240" w:lineRule="auto" w:before="0" w:after="0"/>
              <w:pStyle w:val="Compact"/>
            </w:pPr>
            <w:r>
              <w:rPr>
                <w:sz w:val="20"/>
                <w:szCs w:val="20"/>
              </w:rPr>
              <w:t xml:space="preserve">NASA NTRS citations API, https://ntrs.nasa.gov/api/citations/search</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Documented total life-cycle (or development-plus-operations) cost of the mission in millions of nominal US dollars; the cumulative-investment measure</w:t>
            </w:r>
          </w:p>
        </w:tc>
        <w:tc>
          <w:tcPr>
            <w:tcW w:w="0" w:type="auto"/>
          </w:tcPr>
          <w:p>
            <w:pPr>
              <w:spacing w:line="240" w:lineRule="auto" w:before="0" w:after="0"/>
              <w:pStyle w:val="Compact"/>
            </w:pPr>
            <w:r>
              <w:rPr>
                <w:sz w:val="20"/>
                <w:szCs w:val="20"/>
              </w:rPr>
              <w:t xml:space="preserve">The Planetary Society mission cost pages, NASA OIG/GAO/CRS reports, and NASA-cited Wikipedia mission infoboxes (per-row source column)</w:t>
            </w:r>
          </w:p>
        </w:tc>
      </w:tr>
      <w:tr>
        <w:tc>
          <w:tcPr>
            <w:tcW w:w="0" w:type="auto"/>
          </w:tcPr>
          <w:p>
            <w:pPr>
              <w:spacing w:line="240" w:lineRule="auto" w:before="0" w:after="0"/>
              <w:pStyle w:val="Compact"/>
            </w:pPr>
            <w:r>
              <w:rPr>
                <w:sz w:val="20"/>
                <w:szCs w:val="20"/>
              </w:rPr>
              <w:t xml:space="preserve">decadal_flagship</w:t>
            </w:r>
          </w:p>
        </w:tc>
        <w:tc>
          <w:tcPr>
            <w:tcW w:w="0" w:type="auto"/>
          </w:tcPr>
          <w:p>
            <w:pPr>
              <w:spacing w:line="240" w:lineRule="auto" w:before="0" w:after="0"/>
              <w:pStyle w:val="Compact"/>
            </w:pPr>
            <w:r>
              <w:rPr>
                <w:sz w:val="20"/>
                <w:szCs w:val="20"/>
              </w:rPr>
              <w:t xml:space="preserve">Indicator equal to one if the mission was a top-ranked flagship or directed recommendation of its governing decadal survey, zero otherwise; reported for heterogeneity discussion</w:t>
            </w:r>
          </w:p>
        </w:tc>
        <w:tc>
          <w:tcPr>
            <w:tcW w:w="0" w:type="auto"/>
          </w:tcPr>
          <w:p>
            <w:pPr>
              <w:spacing w:line="240" w:lineRule="auto" w:before="0" w:after="0"/>
              <w:pStyle w:val="Compact"/>
            </w:pPr>
            <w:r>
              <w:rPr>
                <w:sz w:val="20"/>
                <w:szCs w:val="20"/>
              </w:rPr>
              <w:t xml:space="preserve">Governing NASA decadal survey volumes and program designation</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 proxies the post-launch publication accrual window</w:t>
            </w:r>
          </w:p>
        </w:tc>
        <w:tc>
          <w:tcPr>
            <w:tcW w:w="0" w:type="auto"/>
          </w:tcPr>
          <w:p>
            <w:pPr>
              <w:spacing w:line="240" w:lineRule="auto" w:before="0" w:after="0"/>
              <w:pStyle w:val="Compact"/>
            </w:pPr>
            <w:r>
              <w:rPr>
                <w:sz w:val="20"/>
                <w:szCs w:val="20"/>
              </w:rPr>
              <w:t xml:space="preserve">Mission press kits and NASA mission pages (per-row source column)</w:t>
            </w:r>
          </w:p>
        </w:tc>
      </w:tr>
    </w:tbl>
    <w:bookmarkEnd w:id="197"/>
    <w:bookmarkEnd w:id="198"/>
    <w:bookmarkStart w:id="206" w:name="X5201443eced8df1c37134476209a004d22d3dc4"/>
    <w:p>
      <w:pPr>
        <w:pStyle w:val="Heading2"/>
        <w:spacing w:line="480" w:lineRule="auto"/>
      </w:pPr>
      <w:r>
        <w:t xml:space="preserve">A.2 Decadal Concordance and the Pace of Mission Realization: A Cox Hazard Model of NASA Authorization-to-Launch Intervals</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decadal_aligned</m:t>
              </m:r>
              <m:r>
                <m:rPr>
                  <m:sty m:val="p"/>
                </m:rPr>
                <m:t>+</m:t>
              </m:r>
              <m:sSub>
                <m:e>
                  <m:r>
                    <m:t>β</m:t>
                  </m:r>
                </m:e>
                <m:sub>
                  <m:r>
                    <m:t>2</m:t>
                  </m:r>
                </m:sub>
              </m:sSub>
              <m:r>
                <m:t> </m:t>
              </m:r>
              <m:r>
                <m:rPr>
                  <m:nor/>
                  <m:sty m:val="p"/>
                </m:rPr>
                <m:t>cost_b</m:t>
              </m:r>
              <m:r>
                <m:rPr>
                  <m:sty m:val="p"/>
                </m:rPr>
                <m:t>+</m:t>
              </m:r>
              <m:sSub>
                <m:e>
                  <m:r>
                    <m:t>β</m:t>
                  </m:r>
                </m:e>
                <m:sub>
                  <m:r>
                    <m:t>3</m:t>
                  </m:r>
                </m:sub>
              </m:sSub>
              <m:r>
                <m:t> </m:t>
              </m:r>
              <m:r>
                <m:rPr>
                  <m:nor/>
                  <m:sty m:val="p"/>
                </m:rPr>
                <m:t>flagship</m:t>
              </m:r>
            </m:e>
          </m:d>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0.7026</w:t>
            </w:r>
          </w:p>
        </w:tc>
        <w:tc>
          <w:tcPr>
            <w:tcW w:w="0" w:type="auto"/>
          </w:tcPr>
          <w:p>
            <w:pPr>
              <w:spacing w:line="240" w:lineRule="auto" w:before="0" w:after="0"/>
              <w:pStyle w:val="Compact"/>
            </w:pPr>
            <w:r>
              <w:rPr>
                <w:sz w:val="20"/>
                <w:szCs w:val="20"/>
              </w:rPr>
              <w:t xml:space="preserve">0.7743</w:t>
            </w:r>
          </w:p>
        </w:tc>
        <w:tc>
          <w:tcPr>
            <w:tcW w:w="0" w:type="auto"/>
          </w:tcPr>
          <w:p>
            <w:pPr>
              <w:spacing w:line="240" w:lineRule="auto" w:before="0" w:after="0"/>
              <w:pStyle w:val="Compact"/>
            </w:pPr>
            <w:r>
              <w:rPr>
                <w:sz w:val="20"/>
                <w:szCs w:val="20"/>
              </w:rPr>
              <w:t xml:space="preserve">0.9074</w:t>
            </w:r>
          </w:p>
        </w:tc>
        <w:tc>
          <w:tcPr>
            <w:tcW w:w="0" w:type="auto"/>
          </w:tcPr>
          <w:p>
            <w:pPr>
              <w:spacing w:line="240" w:lineRule="auto" w:before="0" w:after="0"/>
              <w:pStyle w:val="Compact"/>
            </w:pPr>
            <w:r>
              <w:rPr>
                <w:sz w:val="20"/>
                <w:szCs w:val="20"/>
              </w:rPr>
              <w:t xml:space="preserve">0.3642</w:t>
            </w:r>
          </w:p>
        </w:tc>
        <w:tc>
          <w:tcPr>
            <w:tcW w:w="0" w:type="auto"/>
          </w:tcPr>
          <w:p>
            <w:pPr>
              <w:spacing w:line="240" w:lineRule="auto" w:before="0" w:after="0"/>
              <w:pStyle w:val="Compact"/>
            </w:pPr>
            <w:r>
              <w:rPr>
                <w:sz w:val="20"/>
                <w:szCs w:val="20"/>
              </w:rPr>
              <w:t xml:space="preserve">[-0.815, 2.2203]</w:t>
            </w:r>
          </w:p>
        </w:tc>
        <w:tc>
          <w:tcPr>
            <w:tcW w:w="0" w:type="auto"/>
          </w:tcPr>
          <w:p>
            <w:pPr>
              <w:spacing w:line="240" w:lineRule="auto" w:before="0" w:after="0"/>
              <w:pStyle w:val="Compact"/>
            </w:pPr>
            <w:r>
              <w:rPr>
                <w:sz w:val="20"/>
                <w:szCs w:val="20"/>
              </w:rPr>
              <w:t xml:space="preserve">2.019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-1.5721</w:t>
            </w:r>
          </w:p>
        </w:tc>
        <w:tc>
          <w:tcPr>
            <w:tcW w:w="0" w:type="auto"/>
          </w:tcPr>
          <w:p>
            <w:pPr>
              <w:spacing w:line="240" w:lineRule="auto" w:before="0" w:after="0"/>
              <w:pStyle w:val="Compact"/>
            </w:pPr>
            <w:r>
              <w:rPr>
                <w:sz w:val="20"/>
                <w:szCs w:val="20"/>
              </w:rPr>
              <w:t xml:space="preserve">0.648</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0.0153</w:t>
            </w:r>
          </w:p>
        </w:tc>
        <w:tc>
          <w:tcPr>
            <w:tcW w:w="0" w:type="auto"/>
          </w:tcPr>
          <w:p>
            <w:pPr>
              <w:spacing w:line="240" w:lineRule="auto" w:before="0" w:after="0"/>
              <w:pStyle w:val="Compact"/>
            </w:pPr>
            <w:r>
              <w:rPr>
                <w:sz w:val="20"/>
                <w:szCs w:val="20"/>
              </w:rPr>
              <w:t xml:space="preserve">[-2.8421, -0.302]</w:t>
            </w:r>
          </w:p>
        </w:tc>
        <w:tc>
          <w:tcPr>
            <w:tcW w:w="0" w:type="auto"/>
          </w:tcPr>
          <w:p>
            <w:pPr>
              <w:spacing w:line="240" w:lineRule="auto" w:before="0" w:after="0"/>
              <w:pStyle w:val="Compact"/>
            </w:pPr>
            <w:r>
              <w:rPr>
                <w:sz w:val="20"/>
                <w:szCs w:val="20"/>
              </w:rPr>
              <w:t xml:space="preserve">0.2076</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3.2212</w:t>
            </w:r>
          </w:p>
        </w:tc>
        <w:tc>
          <w:tcPr>
            <w:tcW w:w="0" w:type="auto"/>
          </w:tcPr>
          <w:p>
            <w:pPr>
              <w:spacing w:line="240" w:lineRule="auto" w:before="0" w:after="0"/>
              <w:pStyle w:val="Compact"/>
            </w:pPr>
            <w:r>
              <w:rPr>
                <w:sz w:val="20"/>
                <w:szCs w:val="20"/>
              </w:rPr>
              <w:t xml:space="preserve">1.4747</w:t>
            </w:r>
          </w:p>
        </w:tc>
        <w:tc>
          <w:tcPr>
            <w:tcW w:w="0" w:type="auto"/>
          </w:tcPr>
          <w:p>
            <w:pPr>
              <w:spacing w:line="240" w:lineRule="auto" w:before="0" w:after="0"/>
              <w:pStyle w:val="Compact"/>
            </w:pPr>
            <w:r>
              <w:rPr>
                <w:sz w:val="20"/>
                <w:szCs w:val="20"/>
              </w:rPr>
              <w:t xml:space="preserve">2.1843</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[0.3308, 6.1115]</w:t>
            </w:r>
          </w:p>
        </w:tc>
        <w:tc>
          <w:tcPr>
            <w:tcW w:w="0" w:type="auto"/>
          </w:tcPr>
          <w:p>
            <w:pPr>
              <w:spacing w:line="240" w:lineRule="auto" w:before="0" w:after="0"/>
              <w:pStyle w:val="Compact"/>
            </w:pPr>
            <w:r>
              <w:rPr>
                <w:sz w:val="20"/>
                <w:szCs w:val="20"/>
              </w:rPr>
              <w:t xml:space="preserve">25.0573</w:t>
            </w:r>
          </w:p>
        </w:tc>
      </w:tr>
    </w:tbl>
    <w:p>
      <w:pPr>
        <w:pStyle w:val="BodyText"/>
        <w:spacing w:line="480" w:lineRule="auto"/>
        <w:ind w:firstLine="720"/>
      </w:pPr>
      <w:r>
        <w:t xml:space="preserve">Fit: N = 21 events = 20</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uthorization-to-launch interval against mission lifecycle cost across NASA Discovery, New Frontiers, and flagship missions." title="" id="201" name="Picture"/>
            <a:graphic>
              <a:graphicData uri="http://schemas.openxmlformats.org/drawingml/2006/picture">
                <pic:pic>
                  <pic:nvPicPr>
                    <pic:cNvPr descr="D:/Claude_Code/brain/collegium/candidates/dissertations/JPL_MGMT_SMA_TECH_06/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Authorization-to-launch interval against mission lifecycle cost across NASA Discovery, New Frontiers, and flagship missions.</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select_year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Discovery Program (en.wikipedia.org/wiki/Discovery_Program): selected 1993, launched 1996; cost NASA SMD Discovery factsheet</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Discovery Program (en.wikipedia.org/wiki/Discovery_Program): selected 1995, launched 1998; NASA Lunar Prospector mission cost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Discovery Program (en.wikipedia.org/wiki/Discovery_Program): selected 1995, launched 1999; NASA/JPL Stardust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Discovery Program (en.wikipedia.org/wiki/Discovery_Program): selected 1997, launched 2001; NASA Genesis mission</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Discovery Program (en.wikipedia.org/wiki/Discovery_Program): selected 1997, launched 2002; NASA/APL CONTOUR</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Discovery Program (en.wikipedia.org/wiki/Discovery_Program): selected 1999, launched 2004; NASA/APL MESSENGER lifecycle cost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Discovery Program (en.wikipedia.org/wiki/Discovery_Program): selected 1999, launched 2005; NASA Deep Impact</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Discovery Program (en.wikipedia.org/wiki/Discovery_Program): selected 2001, launched 2007; NASA Dawn lifecycle cost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Discovery Program (en.wikipedia.org/wiki/Discovery_Program): selected 2001, launched 2009; NASA Kepler lifecycle cost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Discovery Program (en.wikipedia.org/wiki/Discovery_Program): selected 2007, launched 2011; NASA/JPL GRAIL</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Discovery Program (en.wikipedia.org/wiki/Discovery_Program): selected 2012, launched 2018; NASA InSight lifecycle cost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Discovery Program (en.wikipedia.org/wiki/Discovery_Program): selected Jan 2017, launched Oct 2021; NASA Lucy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Discovery Program (en.wikipedia.org/wiki/Discovery_Program): selected Jan 2017, launched Oct 2023; NASA Psyche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New Frontiers program (en.wikipedia.org/wiki/New_Frontiers_program; en.wikipedia.org/wiki/New_Horizons): selected Nov 2001, launched Jan 2006; NASA New Horizons lifecycle cost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New Frontiers program (en.wikipedia.org/wiki/New_Frontiers_program): NF-2 selected 2005, launched 2011; NASA Juno lifecycle cost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New Frontiers program (en.wikipedia.org/wiki/New_Frontiers_program; en.wikipedia.org/wiki/OSIRIS-REx): NF-3 selected 2011, launched 2016; NASA OSIRIS-REx</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New Frontiers program (en.wikipedia.org/wiki/New_Frontiers_program): NF-4 selected Jun 2019, launch planned Jul 2028 (censored, not yet launched at observation); NASA Dragonfly est. cost</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Flagship; first funded by Congress FY1990, launched Oct 1997 (en.wikipedia.org/wiki/Cassini-Huygens); cost USD3.9B GAO/NASA</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Flagship (Curiosity); entered implementation 2006, launched Nov 2011 (en.wikipedia.org/wiki/Curiosity_(rover)); cost USD2.53B (Planetary Society)</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 (Perseverance); entered implementation 2016, launched Jul 2020 (en.wikipedia.org/wiki/Mars_2020); cost USD2.7B (Planetary Society)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Flagship; new-start formulation authorized Mar 2013, launched Oct 2024 (en.wikipedia.org/wiki/Europa_Clipper); cost USD5.2B (NASA)</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new-start selection or authorization to launch; the survival time</w:t>
            </w:r>
          </w:p>
        </w:tc>
        <w:tc>
          <w:tcPr>
            <w:tcW w:w="0" w:type="auto"/>
          </w:tcPr>
          <w:p>
            <w:pPr>
              <w:spacing w:line="240" w:lineRule="auto" w:before="0" w:after="0"/>
              <w:pStyle w:val="Compact"/>
            </w:pPr>
            <w:r>
              <w:rPr>
                <w:sz w:val="20"/>
                <w:szCs w:val="20"/>
              </w:rPr>
              <w:t xml:space="preserve">Computed as launch_year minus select_year from program records (Discovery, New Frontiers, and flagship mission pages, en.wikipedia.org)</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mission had launched by observation, 0 if still in development (right-censored)</w:t>
            </w:r>
          </w:p>
        </w:tc>
        <w:tc>
          <w:tcPr>
            <w:tcW w:w="0" w:type="auto"/>
          </w:tcPr>
          <w:p>
            <w:pPr>
              <w:spacing w:line="240" w:lineRule="auto" w:before="0" w:after="0"/>
              <w:pStyle w:val="Compact"/>
            </w:pPr>
            <w:r>
              <w:rPr>
                <w:sz w:val="20"/>
                <w:szCs w:val="20"/>
              </w:rPr>
              <w:t xml:space="preserve">Coded 1 for all launched missions; 0 for Dragonfly (launch planned 2028)</w:t>
            </w:r>
          </w:p>
        </w:tc>
      </w:tr>
      <w:tr>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1 if the mission line draws from decadal-survey-prioritized themes (New Frontiers, named flagships); 0 if PI-led Discovery competition not tied to decadal themes</w:t>
            </w:r>
          </w:p>
        </w:tc>
        <w:tc>
          <w:tcPr>
            <w:tcW w:w="0" w:type="auto"/>
          </w:tcPr>
          <w:p>
            <w:pPr>
              <w:spacing w:line="240" w:lineRule="auto" w:before="0" w:after="0"/>
              <w:pStyle w:val="Compact"/>
            </w:pPr>
            <w:r>
              <w:rPr>
                <w:sz w:val="20"/>
                <w:szCs w:val="20"/>
              </w:rPr>
              <w:t xml:space="preserve">National Academies New Frontiers theme list (nationalacademies.org); Planetary Science Decadal Survey (en.wikipedia.org/wiki/Planetary_Science_Decadal_Survey)</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Mission lifecycle cost in billions of USD; proxy for scope and complexity</w:t>
            </w:r>
          </w:p>
        </w:tc>
        <w:tc>
          <w:tcPr>
            <w:tcW w:w="0" w:type="auto"/>
          </w:tcPr>
          <w:p>
            <w:pPr>
              <w:spacing w:line="240" w:lineRule="auto" w:before="0" w:after="0"/>
              <w:pStyle w:val="Compact"/>
            </w:pPr>
            <w:r>
              <w:rPr>
                <w:sz w:val="20"/>
                <w:szCs w:val="20"/>
              </w:rPr>
              <w:t xml:space="preserve">NASA mission factsheets, GAO reports, and The Planetary Society cost pages cited per row</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 if flagship-class (largest, directorate-directed); 0 otherwise</w:t>
            </w:r>
          </w:p>
        </w:tc>
        <w:tc>
          <w:tcPr>
            <w:tcW w:w="0" w:type="auto"/>
          </w:tcPr>
          <w:p>
            <w:pPr>
              <w:spacing w:line="240" w:lineRule="auto" w:before="0" w:after="0"/>
              <w:pStyle w:val="Compact"/>
            </w:pPr>
            <w:r>
              <w:rPr>
                <w:sz w:val="20"/>
                <w:szCs w:val="20"/>
              </w:rPr>
              <w:t xml:space="preserve">NASA program classification per mission page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53" Type="http://schemas.openxmlformats.org/officeDocument/2006/relationships/hyperlink" Target="https://doi.org/10.1016/j.actaastro.2017.01.018" TargetMode="External"/><Relationship Id="rId186" Type="http://schemas.openxmlformats.org/officeDocument/2006/relationships/hyperlink" Target="https://doi.org/10.1016/j.actaastro.2018.04.019" TargetMode="External"/><Relationship Id="rId155" Type="http://schemas.openxmlformats.org/officeDocument/2006/relationships/hyperlink" Target="https://doi.org/10.1016/j.actaastro.2020.06.023" TargetMode="External"/><Relationship Id="rId159" Type="http://schemas.openxmlformats.org/officeDocument/2006/relationships/hyperlink" Target="https://doi.org/10.1016/j.actaastro.2020.06.026" TargetMode="External"/><Relationship Id="rId176" Type="http://schemas.openxmlformats.org/officeDocument/2006/relationships/hyperlink" Target="https://doi.org/10.1016/j.actaastro.2021.04.035" TargetMode="External"/><Relationship Id="rId182" Type="http://schemas.openxmlformats.org/officeDocument/2006/relationships/hyperlink" Target="https://doi.org/10.1016/j.actaastro.2022.04.001" TargetMode="External"/><Relationship Id="rId157" Type="http://schemas.openxmlformats.org/officeDocument/2006/relationships/hyperlink" Target="https://doi.org/10.1016/j.actaastro.2022.11.005" TargetMode="External"/><Relationship Id="rId174" Type="http://schemas.openxmlformats.org/officeDocument/2006/relationships/hyperlink" Target="https://doi.org/10.1016/j.actaastro.2024.05.022" TargetMode="External"/><Relationship Id="rId188" Type="http://schemas.openxmlformats.org/officeDocument/2006/relationships/hyperlink" Target="https://doi.org/10.1016/j.actaastro.2024.09.002" TargetMode="External"/><Relationship Id="rId149" Type="http://schemas.openxmlformats.org/officeDocument/2006/relationships/hyperlink" Target="https://doi.org/10.1016/j.actaastro.2024.09.005" TargetMode="External"/><Relationship Id="rId184" Type="http://schemas.openxmlformats.org/officeDocument/2006/relationships/hyperlink" Target="https://doi.org/10.1016/j.actaastro.2024.12.001" TargetMode="External"/><Relationship Id="rId151" Type="http://schemas.openxmlformats.org/officeDocument/2006/relationships/hyperlink" Target="https://doi.org/10.1016/j.actaastro.2025.02.009" TargetMode="External"/><Relationship Id="rId145" Type="http://schemas.openxmlformats.org/officeDocument/2006/relationships/hyperlink" Target="https://doi.org/10.1016/j.actaastro.2025.11.006" TargetMode="External"/><Relationship Id="rId178" Type="http://schemas.openxmlformats.org/officeDocument/2006/relationships/hyperlink" Target="https://doi.org/10.1016/j.actaastro.2026.02.021" TargetMode="External"/><Relationship Id="rId180" Type="http://schemas.openxmlformats.org/officeDocument/2006/relationships/hyperlink" Target="https://doi.org/10.1016/j.actaastro.2026.04.057" TargetMode="External"/><Relationship Id="rId167" Type="http://schemas.openxmlformats.org/officeDocument/2006/relationships/hyperlink" Target="https://doi.org/10.64861/GDKE6454" TargetMode="External"/><Relationship Id="rId161" Type="http://schemas.openxmlformats.org/officeDocument/2006/relationships/hyperlink" Target="https://doi.org/10.64861/KRAQ5680" TargetMode="External"/><Relationship Id="rId163" Type="http://schemas.openxmlformats.org/officeDocument/2006/relationships/hyperlink" Target="https://doi.org/10.64861/PHHA7076" TargetMode="External"/><Relationship Id="rId165" Type="http://schemas.openxmlformats.org/officeDocument/2006/relationships/hyperlink" Target="https://doi.org/10.64861/UYKI5597" TargetMode="External"/><Relationship Id="rId170" Type="http://schemas.openxmlformats.org/officeDocument/2006/relationships/hyperlink" Target="https://doi.org/10.64861/XWVP8211" TargetMode="External"/></Relationships>
</file>

<file path=word/_rels/footnotes.xml.rels><?xml version='1.0' encoding='UTF-8' standalone='yes'?>
<Relationships xmlns="http://schemas.openxmlformats.org/package/2006/relationships"><Relationship Id="rId153" Type="http://schemas.openxmlformats.org/officeDocument/2006/relationships/hyperlink" Target="https://doi.org/10.1016/j.actaastro.2017.01.018" TargetMode="External"/><Relationship Id="rId186" Type="http://schemas.openxmlformats.org/officeDocument/2006/relationships/hyperlink" Target="https://doi.org/10.1016/j.actaastro.2018.04.019" TargetMode="External"/><Relationship Id="rId155" Type="http://schemas.openxmlformats.org/officeDocument/2006/relationships/hyperlink" Target="https://doi.org/10.1016/j.actaastro.2020.06.023" TargetMode="External"/><Relationship Id="rId159" Type="http://schemas.openxmlformats.org/officeDocument/2006/relationships/hyperlink" Target="https://doi.org/10.1016/j.actaastro.2020.06.026" TargetMode="External"/><Relationship Id="rId176" Type="http://schemas.openxmlformats.org/officeDocument/2006/relationships/hyperlink" Target="https://doi.org/10.1016/j.actaastro.2021.04.035" TargetMode="External"/><Relationship Id="rId182" Type="http://schemas.openxmlformats.org/officeDocument/2006/relationships/hyperlink" Target="https://doi.org/10.1016/j.actaastro.2022.04.001" TargetMode="External"/><Relationship Id="rId157" Type="http://schemas.openxmlformats.org/officeDocument/2006/relationships/hyperlink" Target="https://doi.org/10.1016/j.actaastro.2022.11.005" TargetMode="External"/><Relationship Id="rId174" Type="http://schemas.openxmlformats.org/officeDocument/2006/relationships/hyperlink" Target="https://doi.org/10.1016/j.actaastro.2024.05.022" TargetMode="External"/><Relationship Id="rId188" Type="http://schemas.openxmlformats.org/officeDocument/2006/relationships/hyperlink" Target="https://doi.org/10.1016/j.actaastro.2024.09.002" TargetMode="External"/><Relationship Id="rId149" Type="http://schemas.openxmlformats.org/officeDocument/2006/relationships/hyperlink" Target="https://doi.org/10.1016/j.actaastro.2024.09.005" TargetMode="External"/><Relationship Id="rId184" Type="http://schemas.openxmlformats.org/officeDocument/2006/relationships/hyperlink" Target="https://doi.org/10.1016/j.actaastro.2024.12.001" TargetMode="External"/><Relationship Id="rId151" Type="http://schemas.openxmlformats.org/officeDocument/2006/relationships/hyperlink" Target="https://doi.org/10.1016/j.actaastro.2025.02.009" TargetMode="External"/><Relationship Id="rId145" Type="http://schemas.openxmlformats.org/officeDocument/2006/relationships/hyperlink" Target="https://doi.org/10.1016/j.actaastro.2025.11.006" TargetMode="External"/><Relationship Id="rId178" Type="http://schemas.openxmlformats.org/officeDocument/2006/relationships/hyperlink" Target="https://doi.org/10.1016/j.actaastro.2026.02.021" TargetMode="External"/><Relationship Id="rId180" Type="http://schemas.openxmlformats.org/officeDocument/2006/relationships/hyperlink" Target="https://doi.org/10.1016/j.actaastro.2026.04.057" TargetMode="External"/><Relationship Id="rId167" Type="http://schemas.openxmlformats.org/officeDocument/2006/relationships/hyperlink" Target="https://doi.org/10.64861/GDKE6454" TargetMode="External"/><Relationship Id="rId161" Type="http://schemas.openxmlformats.org/officeDocument/2006/relationships/hyperlink" Target="https://doi.org/10.64861/KRAQ5680" TargetMode="External"/><Relationship Id="rId163" Type="http://schemas.openxmlformats.org/officeDocument/2006/relationships/hyperlink" Target="https://doi.org/10.64861/PHHA7076" TargetMode="External"/><Relationship Id="rId165" Type="http://schemas.openxmlformats.org/officeDocument/2006/relationships/hyperlink" Target="https://doi.org/10.64861/UYKI5597" TargetMode="External"/><Relationship Id="rId170" Type="http://schemas.openxmlformats.org/officeDocument/2006/relationships/hyperlink" Target="https://doi.org/10.64861/XWVP8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Decadal Alignment and Research Productivity: Does Mission Concordance With Decadal Survey Priorities Raise the Scientific Yield of Federally Funded Space Research?</dc:title>
  <dc:creator>Vera Reinholt (1B-RIM-025)</dc:creator>
  <cp:keywords/>
  <dcterms:created xsi:type="dcterms:W3CDTF">2026-07-02T15:57:08Z</dcterms:created>
  <dcterms:modified xsi:type="dcterms:W3CDTF">2026-07-02T15:57:08Z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