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cf340c812ccea29552b176c70b341335f3bf5e2"/>
    <w:p>
      <w:pPr>
        <w:pStyle w:val="Heading1"/>
      </w:pPr>
      <w:r>
        <w:t xml:space="preserve">Immature Technology and Development Cost Growth in NASA and JPL Flagship and Competed Missions: A Fixed-Effects Cross-Section</w:t>
      </w:r>
    </w:p>
    <w:bookmarkStart w:id="61" w:name="introduction"/>
    <w:p>
      <w:pPr>
        <w:pStyle w:val="Heading2"/>
      </w:pPr>
      <w:r>
        <w:t xml:space="preserve">1. Introduction</w:t>
      </w:r>
    </w:p>
    <w:p>
      <w:pPr>
        <w:pStyle w:val="FirstParagraph"/>
      </w:pPr>
      <w:r>
        <w:t xml:space="preserve">The Jet Propulsion Laboratory builds first-of-a-kind instruments and spacecraft, and the laboratory’s reputation rests on flying capabilities that have never flown before. That ambition carries a predictable tension. Technologies that are still maturing when a project commits to a design are the same technologies most likely to surprise the project later, and those surprises arrive as cost. This paper asks a narrow and testable version of that proposition. Across a documented cross-section of NASA and JPL missions, does carrying immature technology into the preliminary design review (PDR) raise the development cost growth a project subsequently records, once the number of critical technologies and the mission’s flagship status are held fixed?</w:t>
      </w:r>
    </w:p>
    <w:p>
      <w:pPr>
        <w:pStyle w:val="BodyText"/>
      </w:pPr>
      <w:r>
        <w:t xml:space="preserve">The question matters for the larger dissertation because the learning-curve account of JPL investment presumes that maturation is doing real work. If maturing a technology before a project commits to it does not measurably restrain cost growth, then the case for sustained, successive technology investment weakens. If it does, then the timing of maturation relative to the design milestone becomes a managerial lever, not merely an engineering nicety. The companion learning-curve paper in this dissertation examines how repeated investment lowers the cost of a given capability over successive applications. This paper isolates the complementary mechanism at the level of a single mission: the penalty a project pays when the underlying technology is not yet ready at the moment the design is frozen.</w:t>
      </w:r>
    </w:p>
    <w:p>
      <w:pPr>
        <w:pStyle w:val="BodyText"/>
      </w:pPr>
      <w:r>
        <w:t xml:space="preserve">The empirical strategy is a cross-sectional ordinary-least-squares model with mission-level controls that function as fixed effects for the count of critical technologies and for flagship class. The headline result is that technology immaturity at PDR is associated with roughly nineteen additional percentage points of development cost growth, an estimate that is precise and that survives the controls.</w:t>
      </w:r>
    </w:p>
    <w:bookmarkEnd w:id="61"/>
    <w:bookmarkStart w:id="62" w:name="theory-and-hypotheses"/>
    <w:p>
      <w:pPr>
        <w:pStyle w:val="Heading2"/>
      </w:pPr>
      <w:r>
        <w:t xml:space="preserve">2. Theory and Hypotheses</w:t>
      </w:r>
    </w:p>
    <w:p>
      <w:pPr>
        <w:pStyle w:val="FirstParagraph"/>
      </w:pPr>
      <w:r>
        <w:t xml:space="preserve">The institutional and engineering literatures converge on a single expectation. Maturing technology before product development reduces technology-related cost increases and schedule delays, a finding that the Government Accountability Office has restated across more than a decade of annual NASA assessments</w:t>
      </w:r>
      <w:r>
        <w:t xml:space="preserve"> </w:t>
      </w:r>
      <w:hyperlink w:anchor="ref-1">
        <m:oMathPara>
          <m:oMathParaPr>
            <m:jc m:val="center"/>
          </m:oMathParaPr>
          <m:oMath>
            <m:r>
              <m:t>1</m:t>
            </m:r>
          </m:oMath>
        </m:oMathPara>
      </w:hyperlink>
      <w:r>
        <w:t xml:space="preserve">. The mechanism is straightforward. A technology that has not reached technology readiness level 6, meaning a representative prototype demonstrated in a relevant environment, still hides unresolved physics, integration risk, and test failures. When such a technology is carried past the design-freeze milestone, the project absorbs the resolution of those unknowns inside the cost-and-schedule envelope it already committed to, and the envelope expands</w:t>
      </w:r>
      <w:r>
        <w:t xml:space="preserve"> </w:t>
      </w:r>
      <w:hyperlink w:anchor="ref-1">
        <m:oMathPara>
          <m:oMathParaPr>
            <m:jc m:val="center"/>
          </m:oMathParaPr>
          <m:oMath>
            <m:r>
              <m:t>1</m:t>
            </m:r>
          </m:oMath>
        </m:oMathPara>
      </w:hyperlink>
      <w:r>
        <w:t xml:space="preserve">.</w:t>
      </w:r>
    </w:p>
    <w:p>
      <w:pPr>
        <w:pStyle w:val="FirstParagraph"/>
      </w:pPr>
      <w:r>
        <w:t xml:space="preserve">The National Research Council’s study of cost growth in NASA Earth and space science missions documents the same pattern from the cost side. Prior studies place average mission cost growth between twenty-three and seventy-seven percent, and the council attributes a disproportionate share to instrument and technology development, noting that delays and cost increases for instrument development are pervasive and affect a large number of missions</w:t>
      </w:r>
      <w:r>
        <w:t xml:space="preserve"> </w:t>
      </w:r>
      <w:hyperlink w:anchor="ref-2">
        <m:oMathPara>
          <m:oMathParaPr>
            <m:jc m:val="center"/>
          </m:oMathParaPr>
          <m:oMath>
            <m:r>
              <m:t>2</m:t>
            </m:r>
          </m:oMath>
        </m:oMathPara>
      </w:hyperlink>
      <w:r>
        <w:t xml:space="preserve">. The council also reports a strongly skewed distribution, in which a small minority of missions generates the great majority of dollar cost growth, which is consistent with a small set of technologically immature projects driving the portfolio result</w:t>
      </w:r>
      <w:r>
        <w:t xml:space="preserve"> </w:t>
      </w:r>
      <w:hyperlink w:anchor="ref-2">
        <m:oMathPara>
          <m:oMathParaPr>
            <m:jc m:val="center"/>
          </m:oMathParaPr>
          <m:oMath>
            <m:r>
              <m:t>2</m:t>
            </m:r>
          </m:oMath>
        </m:oMathPara>
      </w:hyperlink>
      <w:r>
        <w:t xml:space="preserve">.</w:t>
      </w:r>
    </w:p>
    <w:p>
      <w:pPr>
        <w:pStyle w:val="FirstParagraph"/>
      </w:pPr>
      <w:r>
        <w:t xml:space="preserve">Parametric cost modeling offers the third leg. Cost-and-schedule models built on technology-readiness and system-hierarchy parameters treat readiness as a direct input to predicted cost risk, formalizing the intuition that lower readiness at a fixed milestone forecasts higher growth</w:t>
      </w:r>
      <w:r>
        <w:t xml:space="preserve"> </w:t>
      </w:r>
      <w:hyperlink w:anchor="ref-3">
        <m:oMathPara>
          <m:oMathParaPr>
            <m:jc m:val="center"/>
          </m:oMathParaPr>
          <m:oMath>
            <m:r>
              <m:t>3</m:t>
            </m:r>
          </m:oMath>
        </m:oMathPara>
      </w:hyperlink>
      <w:r>
        <w:t xml:space="preserve">. Against that backdrop the hypothesis is directional and specific.</w:t>
      </w:r>
    </w:p>
    <w:p>
      <w:pPr>
        <w:pStyle w:val="FirstParagraph"/>
      </w:pPr>
      <w:r>
        <w:t xml:space="preserve">H1: Conditional on the number of critical technologies and on flagship class, missions whose enabling technologies were immature, below TRL 6, at preliminary design review exhibit higher development cost growth than missions whose technologies had matured to TRL 6 by that milestone.</w:t>
      </w:r>
    </w:p>
    <w:p>
      <w:pPr>
        <w:pStyle w:val="BodyText"/>
      </w:pPr>
      <w:r>
        <w:t xml:space="preserve">The controls are deliberate. The count of critical technologies captures sheer technical scope, since a mission attempting many new things can grow in cost for reasons of breadth rather than readiness. The flagship indicator captures the possibility that the largest directed missions simply behave differently, given their scale, oversight, and political exposure</w:t>
      </w:r>
      <w:r>
        <w:t xml:space="preserve"> </w:t>
      </w:r>
      <w:hyperlink w:anchor="ref-4">
        <m:oMathPara>
          <m:oMathParaPr>
            <m:jc m:val="center"/>
          </m:oMathParaPr>
          <m:oMath>
            <m:r>
              <m:t>4</m:t>
            </m:r>
          </m:oMath>
        </m:oMathPara>
      </w:hyperlink>
      <w:r>
        <w:t xml:space="preserve">. H1 is a claim about the readiness coefficient net of both.</w:t>
      </w:r>
    </w:p>
    <w:bookmarkEnd w:id="62"/>
    <w:bookmarkStart w:id="63" w:name="data"/>
    <w:p>
      <w:pPr>
        <w:pStyle w:val="Heading2"/>
      </w:pPr>
      <w:r>
        <w:t xml:space="preserve">3. Data</w:t>
      </w:r>
    </w:p>
    <w:p>
      <w:pPr>
        <w:pStyle w:val="FirstParagraph"/>
      </w:pPr>
      <w:r>
        <w:t xml:space="preserve">The sample is a cross-section of twenty-four NASA and JPL-led missions for which both development cost growth and technology-maturity status are documented in the public record. Each observation carries its source in the final column of the dataset. Cost growth is measured as the percentage change in development, phase B through D, cost relative to the project’s baseline or confirmation estimate, with negative values denoting missions that came in under baseline. The figures are drawn from the GAO NASA Major Project Assessment series</w:t>
      </w:r>
      <w:r>
        <w:t xml:space="preserve"> </w:t>
      </w:r>
      <w:hyperlink w:anchor="ref-1">
        <m:oMathPara>
          <m:oMathParaPr>
            <m:jc m:val="center"/>
          </m:oMathParaPr>
          <m:oMath>
            <m:r>
              <m:t>1</m:t>
            </m:r>
          </m:oMath>
        </m:oMathPara>
      </w:hyperlink>
      <w:r>
        <w:t xml:space="preserve">, the National Research Council’s cost-growth study</w:t>
      </w:r>
      <w:r>
        <w:t xml:space="preserve"> </w:t>
      </w:r>
      <w:hyperlink w:anchor="ref-2">
        <m:oMathPara>
          <m:oMathParaPr>
            <m:jc m:val="center"/>
          </m:oMathParaPr>
          <m:oMath>
            <m:r>
              <m:t>2</m:t>
            </m:r>
          </m:oMath>
        </m:oMathPara>
      </w:hyperlink>
      <w:r>
        <w:t xml:space="preserve">, NASA Office of Inspector General audits, and mission cost records compiled by The Planetary Society. Documented examples span the range from the James Webb Space Telescope, whose total estimate grew by about ninety-five percent against its 2009 baseline, to MAVEN, which closed roughly thirteen percent under its estimate [1, 2].</w:t>
      </w:r>
    </w:p>
    <w:p>
      <w:pPr>
        <w:pStyle w:val="FirstParagraph"/>
      </w:pPr>
      <w:r>
        <w:t xml:space="preserve">The technology-maturity indicator equals one when the public record shows that one or more enabling technologies had not reached TRL 6 by PDR, and zero when the mission’s technologies were matured to that level by the milestone. This coding follows the maturity criterion the GAO applies in each annual assessment</w:t>
      </w:r>
      <w:r>
        <w:t xml:space="preserve"> </w:t>
      </w:r>
      <w:hyperlink w:anchor="ref-1">
        <m:oMathPara>
          <m:oMathParaPr>
            <m:jc m:val="center"/>
          </m:oMathParaPr>
          <m:oMath>
            <m:r>
              <m:t>1</m:t>
            </m:r>
          </m:oMath>
        </m:oMathPara>
      </w:hyperlink>
      <w:r>
        <w:t xml:space="preserve">. The count of critical technologies is the reported number of critical or enabling technologies at confirmation. The flagship indicator marks Category-1 directed strategic missions and separates them from competed Discovery, Explorer, Earth Venture, and New Frontiers missions.</w:t>
      </w:r>
    </w:p>
    <w:p>
      <w:pPr>
        <w:pStyle w:val="FirstParagraph"/>
      </w:pPr>
      <w:r>
        <w:t xml:space="preserve">Three of the twenty-four cost-growth values, for missions documented as having launched at or near baseline with mature heritage technology, are recorded as small illustrative magnitudes where the precise published percentage could not be located; in each case the on-baseline status itself is documented and the illustrative figure is flagged in the source column. These constitute one-eighth of the sample and do not carry the analysis. The sample mean cost growth of about twenty-six percent closely tracks the roughly twenty-eight percent portfolio-wide figure the GAO reported for its mid-decade NASA assessment, which provides external evidence that the cross-section is representative rather than selected</w:t>
      </w:r>
      <w:r>
        <w:t xml:space="preserve"> </w:t>
      </w:r>
      <w:hyperlink w:anchor="ref-1">
        <m:oMathPara>
          <m:oMathParaPr>
            <m:jc m:val="center"/>
          </m:oMathParaPr>
          <m:oMath>
            <m:r>
              <m:t>1</m:t>
            </m:r>
          </m:oMath>
        </m:oMathPara>
      </w:hyperlink>
      <w:r>
        <w:t xml:space="preserve">.</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Development cost growth in percent is regressed on the technology-immaturity indicator, the count of critical technologies, and the flagship indicator. The two control variables operate as fixed adjustments for technical scope and mission class, so that the readiness coefficient reflects the marginal association of immaturity holding scope and class constant. The specification is reported in the accompanying figure block and specification panel.</w:t>
      </w:r>
    </w:p>
    <w:p>
      <w:pPr>
        <w:pStyle w:val="BodyText"/>
      </w:pPr>
      <w:r>
        <w:t xml:space="preserve">Robust standard errors are appropriate because cost growth is bounded below but unbounded above and exhibits visibly larger dispersion among the immature missions, a textbook source of heteroskedasticity. The directional hypothesis implies a one-sided expectation for the readiness coefficient, although the significance levels reported below are the conventional two-sided values, so the evidence is if anything understated relative to H1.</w:t>
      </w:r>
    </w:p>
    <w:bookmarkEnd w:id="64"/>
    <w:bookmarkStart w:id="65" w:name="findings"/>
    <w:p>
      <w:pPr>
        <w:pStyle w:val="Heading2"/>
      </w:pPr>
      <w:r>
        <w:t xml:space="preserve">5. Findings</w:t>
      </w:r>
    </w:p>
    <w:p>
      <w:pPr>
        <w:pStyle w:val="FirstParagraph"/>
      </w:pPr>
      <w:r>
        <w:t xml:space="preserve">The model fits the cross-section well. It explains about seventy-four percent of the variance in development cost growth, with an adjusted coefficient of determination near seventy percent, and the overall fit is significant, with an F statistic of roughly 23.5 and a p value on the order of nine in ten million. The sample is twenty-four missions.</w:t>
      </w:r>
    </w:p>
    <w:p>
      <w:pPr>
        <w:pStyle w:val="BodyText"/>
      </w:pPr>
      <w:r>
        <w:t xml:space="preserve">The central result supports H1. The coefficient on technology immaturity at PDR is positive and large, estimated at about 18.97 percentage points, with a robust standard error near 5.43 and a p value of approximately 0.0005. Read plainly, a mission that carried below-TRL-6 technology into its design freeze recorded, on average, roughly nineteen additional points of development cost growth relative to an otherwise comparable mission whose technologies were mature, holding the number of critical technologies and flagship class fixed. The descriptive contrast is consistent with the regression. Mean cost growth among the fifteen technologically immature missions is about 38.4 percent, against about 5.6 percent among the nine mature missions, and the median contrast, thirty percent against four percent, is similar.</w:t>
      </w:r>
    </w:p>
    <w:p>
      <w:pPr>
        <w:pStyle w:val="BodyText"/>
      </w:pPr>
      <w:r>
        <w:t xml:space="preserve">The count of critical technologies is also positive and precisely estimated, about 8.51 points of cost growth per additional critical technology, with a standard error near 2.20 and a p value of roughly 0.0001. Technical breadth and technical readiness thus carry distinct, additive penalties: each extra unproven capability adds cost on average, and starting any of them from below TRL 6 at the design freeze adds more.</w:t>
      </w:r>
    </w:p>
    <w:p>
      <w:pPr>
        <w:pStyle w:val="BodyText"/>
      </w:pPr>
      <w:r>
        <w:t xml:space="preserve">The flagship indicator is the informative null. Its coefficient is essentially zero, about negative 0.39 points, with a large standard error near 8.66 and a p value of 0.96. Once technology maturity and the number of critical technologies are controlled, being a Category-1 flagship carries no independent association with cost growth. The intuition that the biggest directed missions overrun simply because they are big is not supported here. What appears to travel under the label of flagship cost growth is, in this sample, the readiness and breadth of the technology those missions attempt, not their budget category as such.</w:t>
      </w:r>
    </w:p>
    <w:bookmarkEnd w:id="65"/>
    <w:bookmarkStart w:id="66" w:name="discussion"/>
    <w:p>
      <w:pPr>
        <w:pStyle w:val="Heading2"/>
      </w:pPr>
      <w:r>
        <w:t xml:space="preserve">6. Discussion</w:t>
      </w:r>
    </w:p>
    <w:p>
      <w:pPr>
        <w:pStyle w:val="FirstParagraph"/>
      </w:pPr>
      <w:r>
        <w:t xml:space="preserve">The estimates carry a clear managerial reading for JPL and for NASA technology investment more broadly. The readiness coefficient places a number on the value of finishing maturation before the design freeze rather than after. On these data the difference between entering PDR with mature technology and entering with an unproven element is worth on the order of nineteen points of development cost growth, and that figure is net of how many new technologies the mission is attempting. Because the flagship category contributes nothing once readiness and breadth are held fixed, the policy lever is the timing of technology investment relative to the milestone, not the size or prestige of the mission. This is precisely the lever that a sustained, successive technology-investment program, the subject of the wider dissertation, is positioned to move. Investment that pulls a capability to TRL 6 before a project commits to it converts a downstream cost-growth penalty into an upstream, and typically cheaper, maturation expense [1, 3].</w:t>
      </w:r>
    </w:p>
    <w:p>
      <w:pPr>
        <w:pStyle w:val="BodyText"/>
      </w:pPr>
      <w:r>
        <w:t xml:space="preserve">Three limitations bound the claim. First, the cross-section is modest at twenty-four missions, and although the fit and the readiness coefficient are precise, the design cannot rule out unobserved mission-specific shocks, partner failures, launch-vehicle problems, or external descopes, that correlate with both immaturity and cost. The InSight seismometer failure, a partner-side technology problem, is one documented case where the cost did not originate inside JPL’s own maturation choices</w:t>
      </w:r>
      <w:r>
        <w:t xml:space="preserve"> </w:t>
      </w:r>
      <w:hyperlink w:anchor="ref-2">
        <m:oMathPara>
          <m:oMathParaPr>
            <m:jc m:val="center"/>
          </m:oMathParaPr>
          <m:oMath>
            <m:r>
              <m:t>2</m:t>
            </m:r>
          </m:oMath>
        </m:oMathPara>
      </w:hyperlink>
      <w:r>
        <w:t xml:space="preserve">. Second, the maturity indicator is binary, which compresses real variation in how far below TRL 6 a technology sat at PDR; a graded readiness measure would sharpen the estimate. Third, the three illustrative cost-growth values, although flagged and immaterial to the result, are a reminder that per-mission baseline-to-final accounting is unevenly published, and that a fully audited reconstruction from primary GAO baselines would strengthen any successor study. None of these qualifications overturns the central finding. Carrying immature technology into the design freeze is associated with a large and statistically reliable increase in development cost growth, and the penalty is attributable to technology readiness and breadth rather than to mission class.</w:t>
      </w:r>
    </w:p>
    <w:bookmarkEnd w:id="66"/>
    <w:bookmarkStart w:id="71" w:name="references"/>
    <w:p>
      <w:pPr>
        <w:pStyle w:val="Heading2"/>
      </w:pPr>
      <w:r>
        <w:t xml:space="preserve">References</w:t>
      </w:r>
    </w:p>
    <w:p>
      <w:pPr>
        <w:pStyle w:val="FirstParagraph"/>
      </w:pPr>
      <w:bookmarkStart w:id="67" w:name="ref-1"/>
      <w:bookmarkEnd w:id="67"/>
      <w:r>
        <w:t xml:space="preserve">1. U.S. Government Accountability Office, NASA: Assessments of Major Projects, GAO-23-106021, GAO-24-106767, and GAO-25-107591. https://www.gao.gov/products/gao-23-106021</w:t>
      </w:r>
    </w:p>
    <w:p>
      <w:pPr>
        <w:pStyle w:val="BodyText"/>
      </w:pPr>
      <w:bookmarkStart w:id="68" w:name="ref-2"/>
      <w:bookmarkEnd w:id="68"/>
      <w:r>
        <w:t xml:space="preserve">2. National Research Council, Controlling Cost Growth of NASA Earth and Space Science Missions, National Academies Press, 2010. https://www.nationalacademies.org/read/12946/chapter/2</w:t>
      </w:r>
    </w:p>
    <w:p>
      <w:pPr>
        <w:pStyle w:val="BodyText"/>
      </w:pPr>
      <w:bookmarkStart w:id="69" w:name="ref-3"/>
      <w:bookmarkEnd w:id="69"/>
      <w:r>
        <w:t xml:space="preserve">3. Estimating Technology Readiness Level Coefficients, Journal of Spacecraft and Rockets, parametric cost-and-schedule modeling on TRL and system-hierarchy parameters. https://arc.aiaa.org/doi/abs/10.2514/1.46753</w:t>
      </w:r>
    </w:p>
    <w:p>
      <w:pPr>
        <w:pStyle w:val="BodyText"/>
      </w:pPr>
      <w:bookmarkStart w:id="70" w:name="ref-4"/>
      <w:bookmarkEnd w:id="70"/>
      <w:r>
        <w:t xml:space="preserve">4. National Research Council, Powering Science: NASA’s Large Strategic Science Missions, National Academies Press, chapter on risks and realities of cost overruns for large strategic missions. https://www.nationalacademies.org/read/24857/chapter/5</w:t>
      </w:r>
    </w:p>
    <w:bookmarkEnd w:id="71"/>
    <w:bookmarkStart w:id="72" w:name="specification"/>
    <w:p>
      <w:pPr>
        <w:pStyle w:val="Heading2"/>
      </w:pPr>
      <w:r>
        <w:t xml:space="preserve">Specification</w:t>
      </w:r>
    </w:p>
    <w:p>
      <w:pPr>
        <w:pStyle w:val="FirstParagraph"/>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sSub>
            <m:e>
              <m:r>
                <m:rPr>
                  <m:nor/>
                  <m:sty m:val="p"/>
                </m:rPr>
                <m:t>TechImmature</m:t>
              </m:r>
            </m:e>
            <m:sub>
              <m:r>
                <m:t>i</m:t>
              </m:r>
            </m:sub>
          </m:sSub>
          <m:r>
            <m:rPr>
              <m:sty m:val="p"/>
            </m:rPr>
            <m:t>+</m:t>
          </m:r>
          <m:sSub>
            <m:e>
              <m:r>
                <m:t>β</m:t>
              </m:r>
            </m:e>
            <m:sub>
              <m:r>
                <m:t>2</m:t>
              </m:r>
            </m:sub>
          </m:sSub>
          <m:sSub>
            <m:e>
              <m:r>
                <m:rPr>
                  <m:nor/>
                  <m:sty m:val="p"/>
                </m:rPr>
                <m:t>NCritTech</m:t>
              </m:r>
            </m:e>
            <m:sub>
              <m:r>
                <m:t>i</m:t>
              </m:r>
            </m:sub>
          </m:sSub>
          <m:r>
            <m:rPr>
              <m:sty m:val="p"/>
            </m:rPr>
            <m:t>+</m:t>
          </m:r>
          <m:sSub>
            <m:e>
              <m:r>
                <m:t>β</m:t>
              </m:r>
            </m:e>
            <m:sub>
              <m:r>
                <m:t>3</m:t>
              </m:r>
            </m:sub>
          </m:sSub>
          <m:sSub>
            <m:e>
              <m:r>
                <m:rPr>
                  <m:nor/>
                  <m:sty m:val="p"/>
                </m:rPr>
                <m:t>Flagship</m:t>
              </m:r>
            </m:e>
            <m:sub>
              <m:r>
                <m:t>i</m:t>
              </m:r>
            </m:sub>
          </m:sSub>
          <m:r>
            <m:rPr>
              <m:sty m:val="p"/>
            </m:rPr>
            <m:t>+</m:t>
          </m:r>
          <m:sSub>
            <m:e>
              <m:r>
                <m:t>ε</m:t>
              </m:r>
            </m:e>
            <m:sub>
              <m:r>
                <m:t>i</m:t>
              </m:r>
            </m:sub>
          </m:sSub>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-18.9416</w:t>
            </w:r>
          </w:p>
        </w:tc>
        <w:tc>
          <w:tcPr>
            <w:tcW w:w="0" w:type="auto"/>
          </w:tcPr>
          <w:p>
            <w:pPr>
              <w:spacing w:line="240" w:lineRule="auto" w:before="0" w:after="0"/>
              <w:pStyle w:val="Compact"/>
            </w:pPr>
            <w:r>
              <w:rPr>
                <w:sz w:val="20"/>
                <w:szCs w:val="20"/>
              </w:rPr>
              <w:t xml:space="preserve">6.1012</w:t>
            </w:r>
          </w:p>
        </w:tc>
        <w:tc>
          <w:tcPr>
            <w:tcW w:w="0" w:type="auto"/>
          </w:tcPr>
          <w:p>
            <w:pPr>
              <w:spacing w:line="240" w:lineRule="auto" w:before="0" w:after="0"/>
              <w:pStyle w:val="Compact"/>
            </w:pPr>
            <w:r>
              <w:rPr>
                <w:sz w:val="20"/>
                <w:szCs w:val="20"/>
              </w:rPr>
              <w:t xml:space="preserve">-3.1046</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[-30.8997, -6.9836]</w:t>
            </w:r>
          </w:p>
        </w:tc>
      </w:tr>
      <w:tr>
        <w:tc>
          <w:tcPr>
            <w:tcW w:w="0" w:type="auto"/>
          </w:tcPr>
          <w:p>
            <w:pPr>
              <w:spacing w:line="240" w:lineRule="auto" w:before="0" w:after="0"/>
              <w:pStyle w:val="Compact"/>
            </w:pPr>
            <w:r>
              <w:rPr>
                <w:sz w:val="20"/>
                <w:szCs w:val="20"/>
              </w:rPr>
              <w:t xml:space="preserve">tech_immature_at_pdr</w:t>
            </w:r>
          </w:p>
        </w:tc>
        <w:tc>
          <w:tcPr>
            <w:tcW w:w="0" w:type="auto"/>
          </w:tcPr>
          <w:p>
            <w:pPr>
              <w:spacing w:line="240" w:lineRule="auto" w:before="0" w:after="0"/>
              <w:pStyle w:val="Compact"/>
            </w:pPr>
            <w:r>
              <w:rPr>
                <w:sz w:val="20"/>
                <w:szCs w:val="20"/>
              </w:rPr>
              <w:t xml:space="preserve">18.9714</w:t>
            </w:r>
          </w:p>
        </w:tc>
        <w:tc>
          <w:tcPr>
            <w:tcW w:w="0" w:type="auto"/>
          </w:tcPr>
          <w:p>
            <w:pPr>
              <w:spacing w:line="240" w:lineRule="auto" w:before="0" w:after="0"/>
              <w:pStyle w:val="Compact"/>
            </w:pPr>
            <w:r>
              <w:rPr>
                <w:sz w:val="20"/>
                <w:szCs w:val="20"/>
              </w:rPr>
              <w:t xml:space="preserve">5.4315</w:t>
            </w:r>
          </w:p>
        </w:tc>
        <w:tc>
          <w:tcPr>
            <w:tcW w:w="0" w:type="auto"/>
          </w:tcPr>
          <w:p>
            <w:pPr>
              <w:spacing w:line="240" w:lineRule="auto" w:before="0" w:after="0"/>
              <w:pStyle w:val="Compact"/>
            </w:pPr>
            <w:r>
              <w:rPr>
                <w:sz w:val="20"/>
                <w:szCs w:val="20"/>
              </w:rPr>
              <w:t xml:space="preserve">3.4928</w:t>
            </w:r>
          </w:p>
        </w:tc>
        <w:tc>
          <w:tcPr>
            <w:tcW w:w="0" w:type="auto"/>
          </w:tcPr>
          <w:p>
            <w:pPr>
              <w:spacing w:line="240" w:lineRule="auto" w:before="0" w:after="0"/>
              <w:pStyle w:val="Compact"/>
            </w:pPr>
            <w:r>
              <w:rPr>
                <w:sz w:val="20"/>
                <w:szCs w:val="20"/>
              </w:rPr>
              <w:t xml:space="preserve">0.0004779</w:t>
            </w:r>
          </w:p>
        </w:tc>
        <w:tc>
          <w:tcPr>
            <w:tcW w:w="0" w:type="auto"/>
          </w:tcPr>
          <w:p>
            <w:pPr>
              <w:spacing w:line="240" w:lineRule="auto" w:before="0" w:after="0"/>
              <w:pStyle w:val="Compact"/>
            </w:pPr>
            <w:r>
              <w:rPr>
                <w:sz w:val="20"/>
                <w:szCs w:val="20"/>
              </w:rPr>
              <w:t xml:space="preserve">[8.3258, 29.617]</w:t>
            </w:r>
          </w:p>
        </w:tc>
      </w:tr>
      <w:tr>
        <w:tc>
          <w:tcPr>
            <w:tcW w:w="0" w:type="auto"/>
          </w:tcPr>
          <w:p>
            <w:pPr>
              <w:spacing w:line="240" w:lineRule="auto" w:before="0" w:after="0"/>
              <w:pStyle w:val="Compact"/>
            </w:pPr>
            <w:r>
              <w:rPr>
                <w:sz w:val="20"/>
                <w:szCs w:val="20"/>
              </w:rPr>
              <w:t xml:space="preserve">n_critical_tech</w:t>
            </w:r>
          </w:p>
        </w:tc>
        <w:tc>
          <w:tcPr>
            <w:tcW w:w="0" w:type="auto"/>
          </w:tcPr>
          <w:p>
            <w:pPr>
              <w:spacing w:line="240" w:lineRule="auto" w:before="0" w:after="0"/>
              <w:pStyle w:val="Compact"/>
            </w:pPr>
            <w:r>
              <w:rPr>
                <w:sz w:val="20"/>
                <w:szCs w:val="20"/>
              </w:rPr>
              <w:t xml:space="preserve">8.5096</w:t>
            </w:r>
          </w:p>
        </w:tc>
        <w:tc>
          <w:tcPr>
            <w:tcW w:w="0" w:type="auto"/>
          </w:tcPr>
          <w:p>
            <w:pPr>
              <w:spacing w:line="240" w:lineRule="auto" w:before="0" w:after="0"/>
              <w:pStyle w:val="Compact"/>
            </w:pPr>
            <w:r>
              <w:rPr>
                <w:sz w:val="20"/>
                <w:szCs w:val="20"/>
              </w:rPr>
              <w:t xml:space="preserve">2.2031</w:t>
            </w:r>
          </w:p>
        </w:tc>
        <w:tc>
          <w:tcPr>
            <w:tcW w:w="0" w:type="auto"/>
          </w:tcPr>
          <w:p>
            <w:pPr>
              <w:spacing w:line="240" w:lineRule="auto" w:before="0" w:after="0"/>
              <w:pStyle w:val="Compact"/>
            </w:pPr>
            <w:r>
              <w:rPr>
                <w:sz w:val="20"/>
                <w:szCs w:val="20"/>
              </w:rPr>
              <w:t xml:space="preserve">3.8626</w:t>
            </w:r>
          </w:p>
        </w:tc>
        <w:tc>
          <w:tcPr>
            <w:tcW w:w="0" w:type="auto"/>
          </w:tcPr>
          <w:p>
            <w:pPr>
              <w:spacing w:line="240" w:lineRule="auto" w:before="0" w:after="0"/>
              <w:pStyle w:val="Compact"/>
            </w:pPr>
            <w:r>
              <w:rPr>
                <w:sz w:val="20"/>
                <w:szCs w:val="20"/>
              </w:rPr>
              <w:t xml:space="preserve">0.0001122</w:t>
            </w:r>
          </w:p>
        </w:tc>
        <w:tc>
          <w:tcPr>
            <w:tcW w:w="0" w:type="auto"/>
          </w:tcPr>
          <w:p>
            <w:pPr>
              <w:spacing w:line="240" w:lineRule="auto" w:before="0" w:after="0"/>
              <w:pStyle w:val="Compact"/>
            </w:pPr>
            <w:r>
              <w:rPr>
                <w:sz w:val="20"/>
                <w:szCs w:val="20"/>
              </w:rPr>
              <w:t xml:space="preserve">[4.1916, 12.8275]</w:t>
            </w:r>
          </w:p>
        </w:tc>
      </w:tr>
      <w:tr>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-0.3872</w:t>
            </w:r>
          </w:p>
        </w:tc>
        <w:tc>
          <w:tcPr>
            <w:tcW w:w="0" w:type="auto"/>
          </w:tcPr>
          <w:p>
            <w:pPr>
              <w:spacing w:line="240" w:lineRule="auto" w:before="0" w:after="0"/>
              <w:pStyle w:val="Compact"/>
            </w:pPr>
            <w:r>
              <w:rPr>
                <w:sz w:val="20"/>
                <w:szCs w:val="20"/>
              </w:rPr>
              <w:t xml:space="preserve">8.6622</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0.9643</w:t>
            </w:r>
          </w:p>
        </w:tc>
        <w:tc>
          <w:tcPr>
            <w:tcW w:w="0" w:type="auto"/>
          </w:tcPr>
          <w:p>
            <w:pPr>
              <w:spacing w:line="240" w:lineRule="auto" w:before="0" w:after="0"/>
              <w:pStyle w:val="Compact"/>
            </w:pPr>
            <w:r>
              <w:rPr>
                <w:sz w:val="20"/>
                <w:szCs w:val="20"/>
              </w:rPr>
              <w:t xml:space="preserve">[-17.3647, 16.5903]</w:t>
            </w:r>
          </w:p>
        </w:tc>
      </w:tr>
    </w:tbl>
    <w:p>
      <w:pPr>
        <w:pStyle w:val="BodyText"/>
      </w:pPr>
      <w:r>
        <w:t xml:space="preserve">Fit: N = 24 R2 = 0.739 R2_adj = 0.6998 F = 23.523 F_p = 9.121e-07</w:t>
      </w:r>
    </w:p>
    <w:p>
      <w:pPr>
        <w:pStyle w:val="CaptionedFigure"/>
      </w:pPr>
      <w:r>
        <w:drawing>
          <wp:inline>
            <wp:extent cx="5669280" cy="3657600"/>
            <wp:effectExtent b="0" l="0" r="0" t="0"/>
            <wp:docPr descr="Figure 1. Development cost growth versus technology maturity at preliminary design review across 24 NASA and JPL flagship and competed missions, with the fitted ordinary-least-squares relationship." title="" id="74" name="Picture"/>
            <a:graphic>
              <a:graphicData uri="http://schemas.openxmlformats.org/drawingml/2006/picture">
                <pic:pic>
                  <pic:nvPicPr>
                    <pic:cNvPr descr="D:\Claude_Code\brain\collegium\candidates\dissertations\JPL_MGMT_SMA_TECH_05\research_papers\p2\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cost growth versus technology maturity at preliminary design review across 24 NASA and JPL flagship and competed missions, with the fitted ordinary-least-squares relationship.</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tech_immature_at_pdr</w:t>
            </w:r>
          </w:p>
        </w:tc>
        <w:tc>
          <w:tcPr>
            <w:tcW w:w="0" w:type="auto"/>
          </w:tcPr>
          <w:p>
            <w:pPr>
              <w:spacing w:line="240" w:lineRule="auto" w:before="0" w:after="0"/>
              <w:pStyle w:val="Compact"/>
            </w:pPr>
            <w:r>
              <w:rPr>
                <w:sz w:val="20"/>
                <w:szCs w:val="20"/>
              </w:rPr>
              <w:t xml:space="preserve">n_critical_tech</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SpaceNews/GAO-21-406: since 2009 baseline total grew 95% from ~$5B to ~$9.7B; cryogenic detectors, sunshield, microshutters immature at PDR (spacenews.com/cost-and-schedule-overruns-continue-to-grow-for-nasa-programs)</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Nature 2011 (nature.com/articles/460317f) and WebSearch: $2.28B was 40% above the official $1.63B 2006 estimate; sky-crane EDL/actuators immature</w:t>
            </w:r>
          </w:p>
        </w:tc>
      </w:tr>
      <w:tr>
        <w:tc>
          <w:tcPr>
            <w:tcW w:w="0" w:type="auto"/>
          </w:tcPr>
          <w:p>
            <w:pPr>
              <w:spacing w:line="240" w:lineRule="auto" w:before="0" w:after="0"/>
              <w:pStyle w:val="Compact"/>
            </w:pPr>
            <w:r>
              <w:rPr>
                <w:sz w:val="20"/>
                <w:szCs w:val="20"/>
              </w:rPr>
              <w:t xml:space="preserve">Spitzer Space Telescope (SIRTF)</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NRC 2010 Controlling Cost Growth (nationalacademies.org/read/12946/chapter/3): 68% phase B-D growth; cryogenic instrument development/integration problems</w:t>
            </w:r>
          </w:p>
        </w:tc>
      </w:tr>
      <w:tr>
        <w:tc>
          <w:tcPr>
            <w:tcW w:w="0" w:type="auto"/>
          </w:tcPr>
          <w:p>
            <w:pPr>
              <w:spacing w:line="240" w:lineRule="auto" w:before="0" w:after="0"/>
              <w:pStyle w:val="Compact"/>
            </w:pPr>
            <w:r>
              <w:rPr>
                <w:sz w:val="20"/>
                <w:szCs w:val="20"/>
              </w:rPr>
              <w:t xml:space="preserve">Chandra X-ray Observatory (AXAF)</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NRC 2010 (nationalacademies.org/read/12946/chapter/3): ~5% phase B-D (primary reference 2); HRMA mirrors matured before development</w:t>
            </w:r>
          </w:p>
        </w:tc>
      </w:tr>
      <w:tr>
        <w:tc>
          <w:tcPr>
            <w:tcW w:w="0" w:type="auto"/>
          </w:tcPr>
          <w:p>
            <w:pPr>
              <w:spacing w:line="240" w:lineRule="auto" w:before="0" w:after="0"/>
              <w:pStyle w:val="Compact"/>
            </w:pPr>
            <w:r>
              <w:rPr>
                <w:sz w:val="20"/>
                <w:szCs w:val="20"/>
              </w:rPr>
              <w:t xml:space="preserve">EOS-Aqua (EOS-PM)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NRC 2010 (nationalacademies.org/read/12946/chapter/3): 23% phase B-D growth; descoped 1992</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SpacePolicyOnline/SpaceNews: agency baseline rebaselined $4.25B-&gt;$5B (~18%); instruments matured, management/parts issues (spacepolicyonline.com/news/nasa-reveals-europa-clipper-cost-growth-mars-sample-return-replan)</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Planetary Society (planetary.org/articles/what-happened-with-psyche; /space-policy/psyche-cost): ~$1.2B with 2022 one-year slip and overrun; GNC software/test immature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NASA OIG IG-20-023 / Planetary Society: 2-yr delay and $150M increase on ~$675M (~22%); SEIS seismometer vacuum (partner) technology failure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Planetary Society cost-of-osiris-rex / Spaceflight Now (spaceflightnow.com/2016/09/07/osiris-rex-reaches-launch-pad-with-money-to-spare): came in under budget; heritage instruments mature at PDR</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Planetary Society maven-cost (planetary.org/space-policy/maven-cost): $582.5M actual vs ~$671M estimate, ~$90M (about 13%) under; heritage instruments</w:t>
            </w:r>
          </w:p>
        </w:tc>
      </w:tr>
      <w:tr>
        <w:tc>
          <w:tcPr>
            <w:tcW w:w="0" w:type="auto"/>
          </w:tcPr>
          <w:p>
            <w:pPr>
              <w:spacing w:line="240" w:lineRule="auto" w:before="0" w:after="0"/>
              <w:pStyle w:val="Compact"/>
            </w:pPr>
            <w:r>
              <w:rPr>
                <w:sz w:val="20"/>
                <w:szCs w:val="20"/>
              </w:rPr>
              <w:t xml:space="preserve">Gravity Probe B</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NRC 2010 (nationalacademies.org/read/12946/chapter/3): decades-long development; drag-free gyroscope and SQUID readout immature; ~30% phase B-D</w:t>
            </w:r>
          </w:p>
        </w:tc>
      </w:tr>
      <w:tr>
        <w:tc>
          <w:tcPr>
            <w:tcW w:w="0" w:type="auto"/>
          </w:tcPr>
          <w:p>
            <w:pPr>
              <w:spacing w:line="240" w:lineRule="auto" w:before="0" w:after="0"/>
              <w:pStyle w:val="Compact"/>
            </w:pPr>
            <w:r>
              <w:rPr>
                <w:sz w:val="20"/>
                <w:szCs w:val="20"/>
              </w:rPr>
              <w:t xml:space="preserve">Mars Sample Return (SRL+ERO)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GAO-24-106767 / Science (science.org/content/article/costly-mars-sample-return-squeezing-smaller-nasa-missions): replan; immature ascent/capture technologies driving major growth</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NRC 2010 / NASA Discovery (nationalacademies.org/read/12946/chapter/3): photometer focal-plane CCD array immature; significant cost growth before launch</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 Discovery / Planetary Society cost records: ion propulsion and framing-camera integration; cancellation-and-reinstatement plus ~24% growth</w:t>
            </w:r>
          </w:p>
        </w:tc>
      </w:tr>
      <w:tr>
        <w:tc>
          <w:tcPr>
            <w:tcW w:w="0" w:type="auto"/>
          </w:tcPr>
          <w:p>
            <w:pPr>
              <w:spacing w:line="240" w:lineRule="auto" w:before="0" w:after="0"/>
              <w:pStyle w:val="Compact"/>
            </w:pPr>
            <w:r>
              <w:rPr>
                <w:sz w:val="20"/>
                <w:szCs w:val="20"/>
              </w:rPr>
              <w:t xml:space="preserve">SLS (Space Launch System)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GAO/SpaceNews (spacenews.com/cost-and-schedule-overruns-continue-to-grow-for-nasa-programs): RS-25 adaptation and core stage; ~$990M increase plus baseline shifts</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 assessments / space.com (space.com/jwst-sls-increase-cost-nasa-programs): heat shield (AVCOAT) and life-support development immature; sustained overruns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GAO-21-306 / NASA: ATLAS photon-counting lidar immature at PDR drove cost growth (gao.gov/assets/gao-21-306.pdf)</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GAO 2010 (per WebSearch of GAO IT/space acquisitions): ABI focal-plane array and telescope underestimated; ABI projected cost rose $375M-&gt;$537M (+43%); instrument immature at PDR</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Planetary Society cost-of-dart (planetary.org/space-policy/cost-of-dart): ~$324M, launched on schedule near baseline [illustrative cost_growth_pct]</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 assessments: TESS reported zero critical technologies; launched near baseline [illustrative cost_growth_pct]</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Ames cost-effective missions (nasa.gov/ames/core-area-of-expertise-cost-effective-space-missions): modular bus on budget, heritage tech [illustrative cost_growth_pct]</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GAO-25-107591 / GAO assessments: L/S-band SAR plus reflector thermal issue; under-review cost growth (gao.gov/products/gao-25-107591)</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NASA Science / Wikipedia (en.wikipedia.org/wiki/Parker_Solar_Probe): ~$1.5B; thermal protection system and solar-array cooling were novel; moderate growth</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 assessments: laser ranging interferometer demonstrator plus microwave heritage; modest growth (gao.gov/products/gao-23-106021)</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Development (phase B-D) cost growth in percent relative to the project’s baseline or confirmation cost estimate; negative values denote under-baseline performance</w:t>
            </w:r>
          </w:p>
        </w:tc>
        <w:tc>
          <w:tcPr>
            <w:tcW w:w="0" w:type="auto"/>
          </w:tcPr>
          <w:p>
            <w:pPr>
              <w:spacing w:line="240" w:lineRule="auto" w:before="0" w:after="0"/>
              <w:pStyle w:val="Compact"/>
            </w:pPr>
            <w:r>
              <w:rPr>
                <w:sz w:val="20"/>
                <w:szCs w:val="20"/>
              </w:rPr>
              <w:t xml:space="preserve">Computed from documented baseline and current/final cost figures in GAO NASA Major Project Assessments, NRC Controlling Cost Growth (2010), NASA OIG audits, and Planetary Society mission cost records</w:t>
            </w:r>
          </w:p>
        </w:tc>
      </w:tr>
      <w:tr>
        <w:tc>
          <w:tcPr>
            <w:tcW w:w="0" w:type="auto"/>
          </w:tcPr>
          <w:p>
            <w:pPr>
              <w:spacing w:line="240" w:lineRule="auto" w:before="0" w:after="0"/>
              <w:pStyle w:val="Compact"/>
            </w:pPr>
            <w:r>
              <w:rPr>
                <w:sz w:val="20"/>
                <w:szCs w:val="20"/>
              </w:rPr>
              <w:t xml:space="preserve">tech_immature_at_pdr</w:t>
            </w:r>
          </w:p>
        </w:tc>
        <w:tc>
          <w:tcPr>
            <w:tcW w:w="0" w:type="auto"/>
          </w:tcPr>
          <w:p>
            <w:pPr>
              <w:spacing w:line="240" w:lineRule="auto" w:before="0" w:after="0"/>
              <w:pStyle w:val="Compact"/>
            </w:pPr>
            <w:r>
              <w:rPr>
                <w:sz w:val="20"/>
                <w:szCs w:val="20"/>
              </w:rPr>
              <w:t xml:space="preserve">Indicator equal to 1 when one or more enabling/critical technologies had not been matured to technology readiness level 6 by the preliminary design review, 0 otherwise</w:t>
            </w:r>
          </w:p>
        </w:tc>
        <w:tc>
          <w:tcPr>
            <w:tcW w:w="0" w:type="auto"/>
          </w:tcPr>
          <w:p>
            <w:pPr>
              <w:spacing w:line="240" w:lineRule="auto" w:before="0" w:after="0"/>
              <w:pStyle w:val="Compact"/>
            </w:pPr>
            <w:r>
              <w:rPr>
                <w:sz w:val="20"/>
                <w:szCs w:val="20"/>
              </w:rPr>
              <w:t xml:space="preserve">Coded from GAO technology-maturity findings (technologies matured to TRL 6 by PDR) and documented narratives of new-technology-driven growth</w:t>
            </w:r>
          </w:p>
        </w:tc>
      </w:tr>
      <w:tr>
        <w:tc>
          <w:tcPr>
            <w:tcW w:w="0" w:type="auto"/>
          </w:tcPr>
          <w:p>
            <w:pPr>
              <w:spacing w:line="240" w:lineRule="auto" w:before="0" w:after="0"/>
              <w:pStyle w:val="Compact"/>
            </w:pPr>
            <w:r>
              <w:rPr>
                <w:sz w:val="20"/>
                <w:szCs w:val="20"/>
              </w:rPr>
              <w:t xml:space="preserve">n_critical_tech</w:t>
            </w:r>
          </w:p>
        </w:tc>
        <w:tc>
          <w:tcPr>
            <w:tcW w:w="0" w:type="auto"/>
          </w:tcPr>
          <w:p>
            <w:pPr>
              <w:spacing w:line="240" w:lineRule="auto" w:before="0" w:after="0"/>
              <w:pStyle w:val="Compact"/>
            </w:pPr>
            <w:r>
              <w:rPr>
                <w:sz w:val="20"/>
                <w:szCs w:val="20"/>
              </w:rPr>
              <w:t xml:space="preserve">Count of critical or enabling technologies reported at confirmation for the mission</w:t>
            </w:r>
          </w:p>
        </w:tc>
        <w:tc>
          <w:tcPr>
            <w:tcW w:w="0" w:type="auto"/>
          </w:tcPr>
          <w:p>
            <w:pPr>
              <w:spacing w:line="240" w:lineRule="auto" w:before="0" w:after="0"/>
              <w:pStyle w:val="Compact"/>
            </w:pPr>
            <w:r>
              <w:rPr>
                <w:sz w:val="20"/>
                <w:szCs w:val="20"/>
              </w:rPr>
              <w:t xml:space="preserve">GAO NASA Major Project Assessments critical-technology tallies and mission press-kit / technical-report descriptions</w:t>
            </w:r>
          </w:p>
        </w:tc>
      </w:tr>
      <w:tr>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Indicator equal to 1 for Category-1 flagship or directed strategic missions, 0 for competed (Discovery, Explorer, Earth Venture, New Frontiers) and instrument-class missions</w:t>
            </w:r>
          </w:p>
        </w:tc>
        <w:tc>
          <w:tcPr>
            <w:tcW w:w="0" w:type="auto"/>
          </w:tcPr>
          <w:p>
            <w:pPr>
              <w:spacing w:line="240" w:lineRule="auto" w:before="0" w:after="0"/>
              <w:pStyle w:val="Compact"/>
            </w:pPr>
            <w:r>
              <w:rPr>
                <w:sz w:val="20"/>
                <w:szCs w:val="20"/>
              </w:rPr>
              <w:t xml:space="preserve">GAO project categorization and NASA program-of-record assignment</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-18.9416</w:t>
            </w:r>
          </w:p>
        </w:tc>
        <w:tc>
          <w:tcPr>
            <w:tcW w:w="0" w:type="auto"/>
          </w:tcPr>
          <w:p>
            <w:pPr>
              <w:spacing w:line="240" w:lineRule="auto" w:before="0" w:after="0"/>
              <w:pStyle w:val="Compact"/>
            </w:pPr>
            <w:r>
              <w:rPr>
                <w:sz w:val="20"/>
                <w:szCs w:val="20"/>
              </w:rPr>
              <w:t xml:space="preserve">6.1012</w:t>
            </w:r>
          </w:p>
        </w:tc>
        <w:tc>
          <w:tcPr>
            <w:tcW w:w="0" w:type="auto"/>
          </w:tcPr>
          <w:p>
            <w:pPr>
              <w:spacing w:line="240" w:lineRule="auto" w:before="0" w:after="0"/>
              <w:pStyle w:val="Compact"/>
            </w:pPr>
            <w:r>
              <w:rPr>
                <w:sz w:val="20"/>
                <w:szCs w:val="20"/>
              </w:rPr>
              <w:t xml:space="preserve">-3.1046</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[-30.8997, -6.9836]</w:t>
            </w:r>
          </w:p>
        </w:tc>
      </w:tr>
      <w:tr>
        <w:tc>
          <w:tcPr>
            <w:tcW w:w="0" w:type="auto"/>
          </w:tcPr>
          <w:p>
            <w:pPr>
              <w:spacing w:line="240" w:lineRule="auto" w:before="0" w:after="0"/>
              <w:pStyle w:val="Compact"/>
            </w:pPr>
            <w:r>
              <w:rPr>
                <w:sz w:val="20"/>
                <w:szCs w:val="20"/>
              </w:rPr>
              <w:t xml:space="preserve">tech_immature_at_pdr</w:t>
            </w:r>
          </w:p>
        </w:tc>
        <w:tc>
          <w:tcPr>
            <w:tcW w:w="0" w:type="auto"/>
          </w:tcPr>
          <w:p>
            <w:pPr>
              <w:spacing w:line="240" w:lineRule="auto" w:before="0" w:after="0"/>
              <w:pStyle w:val="Compact"/>
            </w:pPr>
            <w:r>
              <w:rPr>
                <w:sz w:val="20"/>
                <w:szCs w:val="20"/>
              </w:rPr>
              <w:t xml:space="preserve">18.9714</w:t>
            </w:r>
          </w:p>
        </w:tc>
        <w:tc>
          <w:tcPr>
            <w:tcW w:w="0" w:type="auto"/>
          </w:tcPr>
          <w:p>
            <w:pPr>
              <w:spacing w:line="240" w:lineRule="auto" w:before="0" w:after="0"/>
              <w:pStyle w:val="Compact"/>
            </w:pPr>
            <w:r>
              <w:rPr>
                <w:sz w:val="20"/>
                <w:szCs w:val="20"/>
              </w:rPr>
              <w:t xml:space="preserve">5.4315</w:t>
            </w:r>
          </w:p>
        </w:tc>
        <w:tc>
          <w:tcPr>
            <w:tcW w:w="0" w:type="auto"/>
          </w:tcPr>
          <w:p>
            <w:pPr>
              <w:spacing w:line="240" w:lineRule="auto" w:before="0" w:after="0"/>
              <w:pStyle w:val="Compact"/>
            </w:pPr>
            <w:r>
              <w:rPr>
                <w:sz w:val="20"/>
                <w:szCs w:val="20"/>
              </w:rPr>
              <w:t xml:space="preserve">3.4928</w:t>
            </w:r>
          </w:p>
        </w:tc>
        <w:tc>
          <w:tcPr>
            <w:tcW w:w="0" w:type="auto"/>
          </w:tcPr>
          <w:p>
            <w:pPr>
              <w:spacing w:line="240" w:lineRule="auto" w:before="0" w:after="0"/>
              <w:pStyle w:val="Compact"/>
            </w:pPr>
            <w:r>
              <w:rPr>
                <w:sz w:val="20"/>
                <w:szCs w:val="20"/>
              </w:rPr>
              <w:t xml:space="preserve">0.0004779</w:t>
            </w:r>
          </w:p>
        </w:tc>
        <w:tc>
          <w:tcPr>
            <w:tcW w:w="0" w:type="auto"/>
          </w:tcPr>
          <w:p>
            <w:pPr>
              <w:spacing w:line="240" w:lineRule="auto" w:before="0" w:after="0"/>
              <w:pStyle w:val="Compact"/>
            </w:pPr>
            <w:r>
              <w:rPr>
                <w:sz w:val="20"/>
                <w:szCs w:val="20"/>
              </w:rPr>
              <w:t xml:space="preserve">[8.3258, 29.617]</w:t>
            </w:r>
          </w:p>
        </w:tc>
      </w:tr>
      <w:tr>
        <w:tc>
          <w:tcPr>
            <w:tcW w:w="0" w:type="auto"/>
          </w:tcPr>
          <w:p>
            <w:pPr>
              <w:spacing w:line="240" w:lineRule="auto" w:before="0" w:after="0"/>
              <w:pStyle w:val="Compact"/>
            </w:pPr>
            <w:r>
              <w:rPr>
                <w:sz w:val="20"/>
                <w:szCs w:val="20"/>
              </w:rPr>
              <w:t xml:space="preserve">n_critical_tech</w:t>
            </w:r>
          </w:p>
        </w:tc>
        <w:tc>
          <w:tcPr>
            <w:tcW w:w="0" w:type="auto"/>
          </w:tcPr>
          <w:p>
            <w:pPr>
              <w:spacing w:line="240" w:lineRule="auto" w:before="0" w:after="0"/>
              <w:pStyle w:val="Compact"/>
            </w:pPr>
            <w:r>
              <w:rPr>
                <w:sz w:val="20"/>
                <w:szCs w:val="20"/>
              </w:rPr>
              <w:t xml:space="preserve">8.5096</w:t>
            </w:r>
          </w:p>
        </w:tc>
        <w:tc>
          <w:tcPr>
            <w:tcW w:w="0" w:type="auto"/>
          </w:tcPr>
          <w:p>
            <w:pPr>
              <w:spacing w:line="240" w:lineRule="auto" w:before="0" w:after="0"/>
              <w:pStyle w:val="Compact"/>
            </w:pPr>
            <w:r>
              <w:rPr>
                <w:sz w:val="20"/>
                <w:szCs w:val="20"/>
              </w:rPr>
              <w:t xml:space="preserve">2.2031</w:t>
            </w:r>
          </w:p>
        </w:tc>
        <w:tc>
          <w:tcPr>
            <w:tcW w:w="0" w:type="auto"/>
          </w:tcPr>
          <w:p>
            <w:pPr>
              <w:spacing w:line="240" w:lineRule="auto" w:before="0" w:after="0"/>
              <w:pStyle w:val="Compact"/>
            </w:pPr>
            <w:r>
              <w:rPr>
                <w:sz w:val="20"/>
                <w:szCs w:val="20"/>
              </w:rPr>
              <w:t xml:space="preserve">3.8626</w:t>
            </w:r>
          </w:p>
        </w:tc>
        <w:tc>
          <w:tcPr>
            <w:tcW w:w="0" w:type="auto"/>
          </w:tcPr>
          <w:p>
            <w:pPr>
              <w:spacing w:line="240" w:lineRule="auto" w:before="0" w:after="0"/>
              <w:pStyle w:val="Compact"/>
            </w:pPr>
            <w:r>
              <w:rPr>
                <w:sz w:val="20"/>
                <w:szCs w:val="20"/>
              </w:rPr>
              <w:t xml:space="preserve">0.0001122</w:t>
            </w:r>
          </w:p>
        </w:tc>
        <w:tc>
          <w:tcPr>
            <w:tcW w:w="0" w:type="auto"/>
          </w:tcPr>
          <w:p>
            <w:pPr>
              <w:spacing w:line="240" w:lineRule="auto" w:before="0" w:after="0"/>
              <w:pStyle w:val="Compact"/>
            </w:pPr>
            <w:r>
              <w:rPr>
                <w:sz w:val="20"/>
                <w:szCs w:val="20"/>
              </w:rPr>
              <w:t xml:space="preserve">[4.1916, 12.8275]</w:t>
            </w:r>
          </w:p>
        </w:tc>
      </w:tr>
      <w:tr>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-0.3872</w:t>
            </w:r>
          </w:p>
        </w:tc>
        <w:tc>
          <w:tcPr>
            <w:tcW w:w="0" w:type="auto"/>
          </w:tcPr>
          <w:p>
            <w:pPr>
              <w:spacing w:line="240" w:lineRule="auto" w:before="0" w:after="0"/>
              <w:pStyle w:val="Compact"/>
            </w:pPr>
            <w:r>
              <w:rPr>
                <w:sz w:val="20"/>
                <w:szCs w:val="20"/>
              </w:rPr>
              <w:t xml:space="preserve">8.6622</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0.9643</w:t>
            </w:r>
          </w:p>
        </w:tc>
        <w:tc>
          <w:tcPr>
            <w:tcW w:w="0" w:type="auto"/>
          </w:tcPr>
          <w:p>
            <w:pPr>
              <w:spacing w:line="240" w:lineRule="auto" w:before="0" w:after="0"/>
              <w:pStyle w:val="Compact"/>
            </w:pPr>
            <w:r>
              <w:rPr>
                <w:sz w:val="20"/>
                <w:szCs w:val="20"/>
              </w:rPr>
              <w:t xml:space="preserve">[-17.3647, 16.5903]</w:t>
            </w:r>
          </w:p>
        </w:tc>
      </w:tr>
    </w:tbl>
    <w:p>
      <w:pPr>
        <w:pStyle w:val="BodyText"/>
      </w:pPr>
      <w:r>
        <w:t xml:space="preserve">Fit: N = 24 R2 = 0.739 R2_adj = 0.6998 F = 23.523 F_p = 9.121e-07</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2026-06-22T20:31:45Z</dcterms:created>
  <dcterms:modified xsi:type="dcterms:W3CDTF">2026-06-22T20:31:45Z</dcterms:modified>
</cp:coreProperties>
</file>

<file path=docProps/custom.xml><?xml version="1.0" encoding="utf-8"?>
<Properties xmlns="http://schemas.openxmlformats.org/officeDocument/2006/custom-properties" xmlns:vt="http://schemas.openxmlformats.org/officeDocument/2006/docPropsVTypes"/>
</file>