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d10bed49f6cca4b28561c506d7e23f0c7818542"/>
    <w:p>
      <w:pPr>
        <w:pStyle w:val="Heading1"/>
      </w:pPr>
      <w:r>
        <w:t xml:space="preserve">Does Within-Category Experience Lower JPL’s Per-TRL Maturation Time? A Fixed-Scope OLS Test on NASA TechPort</w:t>
      </w:r>
    </w:p>
    <w:bookmarkStart w:id="61" w:name="introduction"/>
    <w:p>
      <w:pPr>
        <w:pStyle w:val="Heading2"/>
      </w:pPr>
      <w:r>
        <w:t xml:space="preserve">1. Introduction</w:t>
      </w:r>
    </w:p>
    <w:p>
      <w:pPr>
        <w:pStyle w:val="FirstParagraph"/>
      </w:pPr>
      <w:r>
        <w:t xml:space="preserve">Technology roadmaps for space systems rest on an experience premise. Maturing the second and third members of a technology family is supposed to cost less, per unit of advancement, than maturing the first, because tooling, test infrastructure, and engineering judgment carry forward. The premise underwrites how an institution sequences its bets: concentrate successive investments inside categories where the laboratory already holds depth, and the marginal cost of the next step falls. Individual technology lines read as if this were settled. The SPIDER photonic-integrated-circuit interferometric imager appears across successive development years as a continuing line of work, each entrant promising reductions in size, weight, power, and cost</w:t>
      </w:r>
      <w:r>
        <w:t xml:space="preserve"> </w:t>
      </w:r>
      <w:hyperlink w:anchor="ref-1">
        <m:oMathPara>
          <m:oMathParaPr>
            <m:jc m:val="center"/>
          </m:oMathParaPr>
          <m:oMath>
            <m:r>
              <m:t>1</m:t>
            </m:r>
          </m:oMath>
        </m:oMathPara>
      </w:hyperlink>
      <w:r>
        <w:t xml:space="preserve">[2][3]. Low-cost optical surveillance sensors are pursued explicitly as cheaper successors to heavier predecessors</w:t>
      </w:r>
      <w:r>
        <w:t xml:space="preserve"> </w:t>
      </w:r>
      <w:hyperlink w:anchor="ref-4">
        <m:oMathPara>
          <m:oMathParaPr>
            <m:jc m:val="center"/>
          </m:oMathParaPr>
          <m:oMath>
            <m:r>
              <m:t>4</m:t>
            </m:r>
          </m:oMath>
        </m:oMathPara>
      </w:hyperlink>
      <w:r>
        <w:t xml:space="preserve">. Concept-stage cost methodology goes further and encodes the premise as a parameter, carrying a learning-curve factor inside the development-cost estimate of a single program</w:t>
      </w:r>
      <w:r>
        <w:t xml:space="preserve"> </w:t>
      </w:r>
      <w:hyperlink w:anchor="ref-5">
        <m:oMathPara>
          <m:oMathParaPr>
            <m:jc m:val="center"/>
          </m:oMathParaPr>
          <m:oMath>
            <m:r>
              <m:t>5</m:t>
            </m:r>
          </m:oMath>
        </m:oMathPara>
      </w:hyperlink>
      <w:r>
        <w:t xml:space="preserve">.</w:t>
      </w:r>
    </w:p>
    <w:p>
      <w:pPr>
        <w:pStyle w:val="FirstParagraph"/>
      </w:pPr>
      <w:r>
        <w:t xml:space="preserve">What none of these sources do is measure the premise at the level it is actually invoked, the institution and the technology category. A learning-curve factor assumed inside a cost model, a cost reduction reported entrant by entrant within one line, and a sector-wide cost decline asserted in economy-scale forecasts</w:t>
      </w:r>
      <w:r>
        <w:t xml:space="preserve"> </w:t>
      </w:r>
      <w:hyperlink w:anchor="ref-6">
        <m:oMathPara>
          <m:oMathParaPr>
            <m:jc m:val="center"/>
          </m:oMathParaPr>
          <m:oMath>
            <m:r>
              <m:t>6</m:t>
            </m:r>
          </m:oMath>
        </m:oMathPara>
      </w:hyperlink>
      <w:r>
        <w:t xml:space="preserve">[7] are three different objects. This paper estimates the missing one: whether accumulated within-category experience at the Jet Propulsion Laboratory is associated with a lower per-step maturation cost for the next project in that category, once the size of the advancement and the project vintage are held fixed.</w:t>
      </w:r>
    </w:p>
    <w:p>
      <w:pPr>
        <w:pStyle w:val="FirstParagraph"/>
      </w:pPr>
      <w:r>
        <w:t xml:space="preserve">The contribution is a single estimated quantity with a pre-committed sign. The finding, reported in full below, is that the quantity does not have the sign the roadmapping premise requires.</w:t>
      </w:r>
    </w:p>
    <w:bookmarkEnd w:id="61"/>
    <w:bookmarkStart w:id="62" w:name="theory-and-hypotheses"/>
    <w:p>
      <w:pPr>
        <w:pStyle w:val="Heading2"/>
      </w:pPr>
      <w:r>
        <w:t xml:space="preserve">2. Theory and Hypotheses</w:t>
      </w:r>
    </w:p>
    <w:p>
      <w:pPr>
        <w:pStyle w:val="FirstParagraph"/>
      </w:pPr>
      <w:r>
        <w:t xml:space="preserve">The experience-curve tradition gives the functional form. Cumulative output or cumulative development experience enters cost log-linearly, and the slope of log cost on log cumulative experience is the experience elasticity, with a progress ratio that translates a doubling of experience into a fractional cost change. Space cost methodology adopts exactly this device, scaling development cost by a learning factor tied to accumulated experience</w:t>
      </w:r>
      <w:r>
        <w:t xml:space="preserve"> </w:t>
      </w:r>
      <w:hyperlink w:anchor="ref-5">
        <m:oMathPara>
          <m:oMathParaPr>
            <m:jc m:val="center"/>
          </m:oMathParaPr>
          <m:oMath>
            <m:r>
              <m:t>5</m:t>
            </m:r>
          </m:oMath>
        </m:oMathPara>
      </w:hyperlink>
      <w:r>
        <w:t xml:space="preserve">. Lifting that device from the single-program cost estimate to the institution-and-category portfolio yields a testable parameter: the elasticity of per-TRL maturation cost with respect to the laboratory’s accumulated count of prior same-category projects.</w:t>
      </w:r>
    </w:p>
    <w:p>
      <w:pPr>
        <w:pStyle w:val="FirstParagraph"/>
      </w:pPr>
      <w:r>
        <w:t xml:space="preserve">Two readings of the institutional record compete. Under the learning reading, repeated work inside a taxonomy family builds transferable capability, so the per-step cost of the next project in that family declines as the count of prior family projects rises. This is the reading that the SPIDER line and the low-cost-sensor line invite when read as cumulative progressions</w:t>
      </w:r>
      <w:r>
        <w:t xml:space="preserve"> </w:t>
      </w:r>
      <w:hyperlink w:anchor="ref-1">
        <m:oMathPara>
          <m:oMathParaPr>
            <m:jc m:val="center"/>
          </m:oMathParaPr>
          <m:oMath>
            <m:r>
              <m:t>1</m:t>
            </m:r>
          </m:oMath>
        </m:oMathPara>
      </w:hyperlink>
      <w:r>
        <w:t xml:space="preserve">[2][3][4], and the reading that the embedded learning factor formalizes</w:t>
      </w:r>
      <w:r>
        <w:t xml:space="preserve"> </w:t>
      </w:r>
      <w:hyperlink w:anchor="ref-5">
        <m:oMathPara>
          <m:oMathParaPr>
            <m:jc m:val="center"/>
          </m:oMathParaPr>
          <m:oMath>
            <m:r>
              <m:t>5</m:t>
            </m:r>
          </m:oMath>
        </m:oMathPara>
      </w:hyperlink>
      <w:r>
        <w:t xml:space="preserve">. Under the competing reading, an institution that keeps returning to a category does so because the category keeps posing harder problems, so accumulated category history coincides with rising, not falling, per-step difficulty. The sector-wide cost decline that the economy-scale forecasts describe</w:t>
      </w:r>
      <w:r>
        <w:t xml:space="preserve"> </w:t>
      </w:r>
      <w:hyperlink w:anchor="ref-6">
        <m:oMathPara>
          <m:oMathParaPr>
            <m:jc m:val="center"/>
          </m:oMathParaPr>
          <m:oMath>
            <m:r>
              <m:t>6</m:t>
            </m:r>
          </m:oMath>
        </m:oMathPara>
      </w:hyperlink>
      <w:r>
        <w:t xml:space="preserve">[7] is a third, separate force that would lower costs over calendar time regardless of category experience, and must be partialled out before either reading can be tested.</w:t>
      </w:r>
    </w:p>
    <w:p>
      <w:pPr>
        <w:pStyle w:val="Compact"/>
        <w:numPr>
          <w:ilvl w:val="0"/>
          <w:numId w:val="1001"/>
        </w:numPr>
      </w:pPr>
      <w:r>
        <w:rPr>
          <w:b/>
          <w:bCs/>
        </w:rPr>
        <w:t xml:space="preserve">H1:</w:t>
      </w:r>
      <w:r>
        <w:t xml:space="preserve"> </w:t>
      </w:r>
      <w:r>
        <w:t xml:space="preserve">The within-category experience elasticity beta is negative and bounded away from zero. Each unit of accumulated same-family experience is associated with a statistically reliable reduction in per-TRL maturation time, holding advancement scope and vintage fixed.</w:t>
      </w:r>
    </w:p>
    <w:p>
      <w:pPr>
        <w:pStyle w:val="Compact"/>
        <w:numPr>
          <w:ilvl w:val="0"/>
          <w:numId w:val="1001"/>
        </w:numPr>
      </w:pPr>
      <w:r>
        <w:rPr>
          <w:b/>
          <w:bCs/>
        </w:rPr>
        <w:t xml:space="preserve">H0:</w:t>
      </w:r>
      <w:r>
        <w:t xml:space="preserve"> </w:t>
      </w:r>
      <w:r>
        <w:t xml:space="preserve">beta is statistically indistinguishable from zero. Accumulated category history carries no measurable per-step cost discount once scope and vintage are controlled.</w:t>
      </w:r>
    </w:p>
    <w:p>
      <w:pPr>
        <w:pStyle w:val="FirstParagraph"/>
      </w:pPr>
      <w:r>
        <w:t xml:space="preserve">The pre-registered test treats a negative, significant beta as confirmation, and a null or positive beta as falsification of the roadmapping premise.</w:t>
      </w:r>
    </w:p>
    <w:bookmarkEnd w:id="62"/>
    <w:bookmarkStart w:id="63" w:name="data"/>
    <w:p>
      <w:pPr>
        <w:pStyle w:val="Heading2"/>
      </w:pPr>
      <w:r>
        <w:t xml:space="preserve">3. Data</w:t>
      </w:r>
    </w:p>
    <w:p>
      <w:pPr>
        <w:pStyle w:val="FirstParagraph"/>
      </w:pPr>
      <w:r>
        <w:t xml:space="preserve">The dataset is drawn from NASA TechPort, the agency’s public technology-portfolio system of record, through its REST API at techport.nasa.gov. TechPort exposes, per project, a stable identifier, title, lead organization, start and end Technology Readiness Level, start and end years, and a NASA Technology Taxonomy classification. The taxonomy family operationalizes the technology category; the lead-organization field operationalizes the JPL restriction; the TRL and date fields construct both the dependent variable and the experience regressor.</w:t>
      </w:r>
    </w:p>
    <w:p>
      <w:pPr>
        <w:pStyle w:val="BodyText"/>
      </w:pPr>
      <w:r>
        <w:t xml:space="preserve">The extract was built by pulling instrument, sensor, optical, communications, and entry-descent-landing taxonomy projects from the TechPort search interface, fetching each project’s detail record, and retaining the projects whose lead organization is the Jet Propulsion Laboratory or its operating institution, the California Institute of Technology, that report a positive TRL advancement and complete start and end years. The procedure yields 45 JPL-led projects, dominated by the Sensors and Instruments family (TX08) with smaller groups in Communications and Navigation (TX05), Entry-Descent-Landing (TX04), and Science Instruments and Observatories (TX09). Every row in the analysis file carries its own TechPort project URL as the source field, so each observation is independently traceable to the public record. Because TechPort withholds project dollars in public release, the per-step cost is measured by the project’s span in years per TRL step rather than by funding; the span is the fully observed resource surrogate that the public record supports.</w:t>
      </w:r>
    </w:p>
    <w:p>
      <w:pPr>
        <w:pStyle w:val="BodyText"/>
      </w:pPr>
      <w:r>
        <w:t xml:space="preserve">Cumulative within-category experience for each project is computed from the start-year-ordered history of earlier same-family JPL projects, so each observation’s regressor is built only from projects that began before it. The accumulated count ranges from zero, for the first JPL project observed in a family, to thirty-five, for the most recent entrant in the Sensors and Instruments family.</w:t>
      </w:r>
    </w:p>
    <w:bookmarkEnd w:id="63"/>
    <w:bookmarkStart w:id="64" w:name="method"/>
    <w:p>
      <w:pPr>
        <w:pStyle w:val="Heading2"/>
      </w:pPr>
      <w:r>
        <w:t xml:space="preserve">4. Method</w:t>
      </w:r>
    </w:p>
    <w:p>
      <w:pPr>
        <w:pStyle w:val="FirstParagraph"/>
      </w:pPr>
      <w:r>
        <w:t xml:space="preserve">The estimator is an ordinary-least-squares regression of log per-TRL maturation time on log accumulated within-category experience, with two controls. The first control is log TRL steps advanced, which fixes the scope of the advancement so that the experience coefficient is read at a constant step size rather than confounded with whether a project moved one level or four. The second is project start year, centered, which absorbs the sector-wide cost-time trend that the economy-scale forecasts describe</w:t>
      </w:r>
      <w:r>
        <w:t xml:space="preserve"> </w:t>
      </w:r>
      <w:hyperlink w:anchor="ref-6">
        <m:oMathPara>
          <m:oMathParaPr>
            <m:jc m:val="center"/>
          </m:oMathParaPr>
          <m:oMath>
            <m:r>
              <m:t>6</m:t>
            </m:r>
          </m:oMath>
        </m:oMathPara>
      </w:hyperlink>
      <w:r>
        <w:t xml:space="preserve">[7] and isolates experience accumulation from calendar time. The coefficient on log experience is the within-category experience elasticity beta. Inference uses heteroskedasticity-robust standard errors, appropriate to a small cross-section of projects of heterogeneous size and span. The specification is the scope-and-vintage-conditioned form of the prospectus estimating equation, estimated as a single pooled cross-section rather than as the bivariate log-log curve, so that beta is identified from variation in accumulated experience net of the two controls.</w:t>
      </w:r>
    </w:p>
    <w:bookmarkEnd w:id="64"/>
    <w:bookmarkStart w:id="65" w:name="findings"/>
    <w:p>
      <w:pPr>
        <w:pStyle w:val="Heading2"/>
      </w:pPr>
      <w:r>
        <w:t xml:space="preserve">5. Findings</w:t>
      </w:r>
    </w:p>
    <w:p>
      <w:pPr>
        <w:pStyle w:val="FirstParagraph"/>
      </w:pPr>
      <w:r>
        <w:t xml:space="preserve">The model fits the cross-section well for a portfolio of this size, explaining about forty-three percent of the variance in log per-TRL maturation time, with an adjusted R-squared near thirty-nine percent and a joint F-statistic significant below the one-in-ten-thousand level. The result that matters for the hypothesis is the sign and significance of the experience elasticity.</w:t>
      </w:r>
    </w:p>
    <w:p>
      <w:pPr>
        <w:pStyle w:val="BodyText"/>
      </w:pPr>
      <w:r>
        <w:t xml:space="preserve">The estimated experience elasticity is positive, about 0.20, with a robust standard error near 0.10, a p-value of 0.043, and a ninety-five percent confidence interval running from roughly 0.01 to 0.39. The coefficient is bounded away from zero at conventional significance, but in the direction opposite to the one H1 specified. Read as an elasticity, each doubling of accumulated within-category experience is associated with an increase of roughly fourteen percent in per-TRL maturation time, not a decrease. H1, which required a negative beta, is rejected. H0 is also rejected, but on the wrong side: the data do not merely fail to find a learning discount, they find a reliable experience penalty in maturation time once scope and vintage are held fixed.</w:t>
      </w:r>
    </w:p>
    <w:p>
      <w:pPr>
        <w:pStyle w:val="BodyText"/>
      </w:pPr>
      <w:r>
        <w:t xml:space="preserve">The scope control behaves as a granularity effect and is the strongest term in the model. The coefficient on log TRL steps is about minus 0.94, with a robust standard error near 0.18 and a p-value below 0.001, its confidence interval running from roughly minus 1.29 to minus 0.59. Because the dependent variable is span per step, this near-minus-one elasticity says that projects advancing several TRL levels do so in a project span that grows far less than proportionally, so that the time booked per individual step falls sharply as the advertised advancement widens. The vintage control is small and statistically null, with a coefficient near minus 0.02 and a p-value of about 0.39, so within this sample the sector-wide cost-time decline does not register once experience and scope are in the model. The positive experience elasticity therefore survives the two controls that the roadmapping premise would have invoked to defend it.</w:t>
      </w:r>
    </w:p>
    <w:bookmarkEnd w:id="65"/>
    <w:bookmarkStart w:id="66" w:name="discussion"/>
    <w:p>
      <w:pPr>
        <w:pStyle w:val="Heading2"/>
      </w:pPr>
      <w:r>
        <w:t xml:space="preserve">6. Discussion</w:t>
      </w:r>
    </w:p>
    <w:p>
      <w:pPr>
        <w:pStyle w:val="FirstParagraph"/>
      </w:pPr>
      <w:r>
        <w:t xml:space="preserve">The headline is a disciplining one. Within JPL’s instrument-heavy Advanced Technology Development portfolio, accumulated within-category experience does not buy a cheaper next step. Holding the size of the advancement and the project vintage fixed, families with deeper JPL histories show longer, not shorter, per-step maturation spans, and the association is statistically reliable rather than a null. The cost discount that roadmappers implicitly book against institutional category history is, in this record, unfunded, and is contradicted in sign.</w:t>
      </w:r>
    </w:p>
    <w:p>
      <w:pPr>
        <w:pStyle w:val="BodyText"/>
      </w:pPr>
      <w:r>
        <w:t xml:space="preserve">Two readings reconcile the contrary estimate with the genuine progress visible in individual technology lines. The first is selection on difficulty. JPL returns repeatedly to the categories that keep posing the hardest unsolved problems, precisely because those are the categories worth a national laboratory’s repeated attention, so accumulated family depth coincides with rising rather than falling per-step difficulty. The SPIDER and low-cost-sensor lines can still report real per-entrant gains inside a fixed problem</w:t>
      </w:r>
      <w:r>
        <w:t xml:space="preserve"> </w:t>
      </w:r>
      <w:hyperlink w:anchor="ref-1">
        <m:oMathPara>
          <m:oMathParaPr>
            <m:jc m:val="center"/>
          </m:oMathParaPr>
          <m:oMath>
            <m:r>
              <m:t>1</m:t>
            </m:r>
          </m:oMath>
        </m:oMathPara>
      </w:hyperlink>
      <w:r>
        <w:t xml:space="preserve">[2][3][4] while the family as a whole drifts toward harder targets that lengthen the next step. The second reading is that the public record measures span, not dollars, and a laboratory that has grown experienced in a category may invest more deliberately in each later step, spending project time it would not have spent on a first, riskier entrant. Both readings caution against the inference that the embedded learning factor</w:t>
      </w:r>
      <w:r>
        <w:t xml:space="preserve"> </w:t>
      </w:r>
      <w:hyperlink w:anchor="ref-5">
        <m:oMathPara>
          <m:oMathParaPr>
            <m:jc m:val="center"/>
          </m:oMathParaPr>
          <m:oMath>
            <m:r>
              <m:t>5</m:t>
            </m:r>
          </m:oMath>
        </m:oMathPara>
      </w:hyperlink>
      <w:r>
        <w:t xml:space="preserve"> </w:t>
      </w:r>
      <w:r>
        <w:t xml:space="preserve">can be carried, unexamined, from a single-program cost estimate to a portfolio sequencing rule.</w:t>
      </w:r>
    </w:p>
    <w:p>
      <w:pPr>
        <w:pStyle w:val="FirstParagraph"/>
      </w:pPr>
      <w:r>
        <w:t xml:space="preserve">The result inherits the limits of its measure. Span in years is a coarse surrogate for cost, and the conversion of span to a per-step quantity is sensitive to the integer TRL scale, which the strong scope coefficient makes visible. The sample is one laboratory’s instrument-weighted portfolio, so the estimate speaks to JPL’s Sensors and Instruments experience rather than to the agency at large, and the four taxonomy families are unevenly represented. A funding-based replication, available only if TechPort or a successor releases project dollars, would test whether the time penalty reflects a true cost penalty or a deliberate-investment pattern. What the present record establishes is narrower and firmer than the roadmapping premise assumes: at the institution-and-category level, prior investment in a technology family is not, by itself, a price reduction on the next step, and a roadmap that treats it as one is pricing a discount the program record does not support.</w:t>
      </w:r>
    </w:p>
    <w:bookmarkEnd w:id="66"/>
    <w:bookmarkStart w:id="76" w:name="references"/>
    <w:p>
      <w:pPr>
        <w:pStyle w:val="Heading2"/>
      </w:pPr>
      <w:r>
        <w:t xml:space="preserve">References</w:t>
      </w:r>
    </w:p>
    <w:p>
      <w:pPr>
        <w:pStyle w:val="FirstParagraph"/>
      </w:pPr>
      <w:bookmarkStart w:id="67" w:name="ref-1"/>
      <w:bookmarkEnd w:id="67"/>
      <w:r>
        <w:t xml:space="preserve">1. K. Badham, A. Duncan, R. L. Kendrick, D. Wuchenich, C. Ogden, G. Chriqui, S. T. Thurman, et al.,</w:t>
      </w:r>
      <w:r>
        <w:t xml:space="preserve"> </w:t>
      </w:r>
      <w:r>
        <w:t xml:space="preserve">“Testbed Experiment for SPIDER: A Photonic Integrated Circuit-based Interferometric Imaging System,”</w:t>
      </w:r>
      <w:r>
        <w:t xml:space="preserve"> </w:t>
      </w:r>
      <w:r>
        <w:t xml:space="preserve">Proc. Advanced Maui Optical and Space Surveillance Technologies (AMOS) Conference, 2017. https://amostech.com/TechnicalPapers/2017/Poster/Badham.pdf</w:t>
      </w:r>
    </w:p>
    <w:p>
      <w:pPr>
        <w:pStyle w:val="BodyText"/>
      </w:pPr>
      <w:bookmarkStart w:id="68" w:name="ref-2"/>
      <w:bookmarkEnd w:id="68"/>
      <w:r>
        <w:t xml:space="preserve">2. A. Duncan, R. Kendrick, C. Ogden, D. Wuchenich, S. Thurman, et al.,</w:t>
      </w:r>
      <w:r>
        <w:t xml:space="preserve"> </w:t>
      </w:r>
      <w:r>
        <w:t xml:space="preserve">“SPIDER: Next Generation Chip Scale Imaging Sensor Update,”</w:t>
      </w:r>
      <w:r>
        <w:t xml:space="preserve"> </w:t>
      </w:r>
      <w:r>
        <w:t xml:space="preserve">Proc. Advanced Maui Optical and Space Surveillance Technologies (AMOS) Conference, 2016. https://amostech.com/TechnicalPapers/2016/Adaptive-Optics_Imaging/Duncan.pdf</w:t>
      </w:r>
    </w:p>
    <w:p>
      <w:pPr>
        <w:pStyle w:val="BodyText"/>
      </w:pPr>
      <w:bookmarkStart w:id="69" w:name="ref-3"/>
      <w:bookmarkEnd w:id="69"/>
      <w:r>
        <w:t xml:space="preserve">3. A. Duncan, R. Kendrick, S. Thurman, D. Wuchenich, R. P. Scott, S. J. B. Yoo, et al.,</w:t>
      </w:r>
      <w:r>
        <w:t xml:space="preserve"> </w:t>
      </w:r>
      <w:r>
        <w:t xml:space="preserve">“SPIDER: Next Generation Chip Scale Imaging Sensor,”</w:t>
      </w:r>
      <w:r>
        <w:t xml:space="preserve"> </w:t>
      </w:r>
      <w:r>
        <w:t xml:space="preserve">Proc. Advanced Maui Optical and Space Surveillance Technologies (AMOS) Conference, 2015. https://amostech.com/TechnicalPapers/2015/Optical_Systems/Duncan.pdf</w:t>
      </w:r>
    </w:p>
    <w:p>
      <w:pPr>
        <w:pStyle w:val="BodyText"/>
      </w:pPr>
      <w:bookmarkStart w:id="70" w:name="ref-4"/>
      <w:bookmarkEnd w:id="70"/>
      <w:r>
        <w:t xml:space="preserve">4. B. Del Campo Lopez, E. Kerr, J. Nomen Torres, C. Dorn, and S. Eves,</w:t>
      </w:r>
      <w:r>
        <w:t xml:space="preserve"> </w:t>
      </w:r>
      <w:r>
        <w:t xml:space="preserve">“Development and Testing of a Novel Low-Cost LEO Optical Surveillance Sensor,”</w:t>
      </w:r>
      <w:r>
        <w:t xml:space="preserve"> </w:t>
      </w:r>
      <w:r>
        <w:t xml:space="preserve">Proc. Advanced Maui Optical and Space Surveillance Technologies (AMOS) Conference, 2021. https://amostech.com/TechnicalPapers/2021/Optical-Systems_Instrumentation/Del-Campo-Lopez.pdf</w:t>
      </w:r>
    </w:p>
    <w:p>
      <w:pPr>
        <w:pStyle w:val="BodyText"/>
      </w:pPr>
      <w:bookmarkStart w:id="71" w:name="ref-5"/>
      <w:bookmarkEnd w:id="71"/>
      <w:r>
        <w:t xml:space="preserve">5. N. Viola, R. Fusaro, and V. Vercella,</w:t>
      </w:r>
      <w:r>
        <w:t xml:space="preserve"> </w:t>
      </w:r>
      <w:r>
        <w:t xml:space="preserve">“Technology roadmapping methodology for future hypersonic transportation systems,”</w:t>
      </w:r>
      <w:r>
        <w:t xml:space="preserve"> </w:t>
      </w:r>
      <w:r>
        <w:t xml:space="preserve">Acta Astronautica, vol. 195, 2022. doi:</w:t>
      </w:r>
      <w:r>
        <w:t xml:space="preserve"> </w:t>
      </w:r>
      <w:hyperlink r:id="rId72">
        <w:r>
          <w:rPr>
            <w:rStyle w:val="Hyperlink"/>
          </w:rPr>
          <w:t xml:space="preserve">10.1016/j.actaastro.2022.03.038</w:t>
        </w:r>
      </w:hyperlink>
    </w:p>
    <w:p>
      <w:pPr>
        <w:pStyle w:val="BodyText"/>
      </w:pPr>
      <w:bookmarkStart w:id="73" w:name="ref-6"/>
      <w:bookmarkEnd w:id="73"/>
      <w:r>
        <w:t xml:space="preserve">6. OCEA,</w:t>
      </w:r>
      <w:r>
        <w:t xml:space="preserve"> </w:t>
      </w:r>
      <w:r>
        <w:t xml:space="preserve">“Forecasting the Space Economy,”</w:t>
      </w:r>
      <w:r>
        <w:t xml:space="preserve"> </w:t>
      </w:r>
      <w:r>
        <w:t xml:space="preserve">Space Economy Papers corpus, source key SD08.</w:t>
      </w:r>
    </w:p>
    <w:p>
      <w:pPr>
        <w:pStyle w:val="BodyText"/>
      </w:pPr>
      <w:bookmarkStart w:id="74" w:name="ref-7"/>
      <w:bookmarkEnd w:id="74"/>
      <w:r>
        <w:t xml:space="preserve">7. McKinsey,</w:t>
      </w:r>
      <w:r>
        <w:t xml:space="preserve"> </w:t>
      </w:r>
      <w:r>
        <w:t xml:space="preserve">“The Role of Space in Driving Sustainability, Security, and Development,”</w:t>
      </w:r>
      <w:r>
        <w:t xml:space="preserve"> </w:t>
      </w:r>
      <w:r>
        <w:t xml:space="preserve">Space Economy Papers corpus, source key SD13.</w:t>
      </w:r>
    </w:p>
    <w:p>
      <w:pPr>
        <w:pStyle w:val="BodyText"/>
      </w:pPr>
      <w:bookmarkStart w:id="75" w:name="ref-8"/>
      <w:bookmarkEnd w:id="75"/>
      <w:r>
        <w:t xml:space="preserve">8. NASA,</w:t>
      </w:r>
      <w:r>
        <w:t xml:space="preserve"> </w:t>
      </w:r>
      <w:r>
        <w:t xml:space="preserve">“TechPort: NASA’s Technology Portfolio System of Record,”</w:t>
      </w:r>
      <w:r>
        <w:t xml:space="preserve"> </w:t>
      </w:r>
      <w:r>
        <w:t xml:space="preserve">public REST API and project records, techport.nasa.gov, accessed June 2026.</w:t>
      </w:r>
    </w:p>
    <w:bookmarkEnd w:id="76"/>
    <w:bookmarkStart w:id="77" w:name="specification"/>
    <w:p>
      <w:pPr>
        <w:pStyle w:val="Heading2"/>
      </w:pPr>
      <w:r>
        <w:t xml:space="preserve">Specification</w:t>
      </w:r>
    </w:p>
    <w:p>
      <w:pPr>
        <w:pStyle w:val="FirstParagraph"/>
      </w:pPr>
      <m:oMathPara>
        <m:oMathParaPr>
          <m:jc m:val="center"/>
        </m:oMathParaPr>
        <m:oMath>
          <m:r>
            <m:rPr>
              <m:sty m:val="p"/>
            </m:rPr>
            <m:t>ln</m:t>
          </m:r>
          <m:r>
            <m:t>​</m:t>
          </m:r>
          <m:d>
            <m:dPr>
              <m:begChr m:val="("/>
              <m:sepChr m:val=""/>
              <m:endChr m:val=")"/>
              <m:grow/>
            </m:dPr>
            <m:e>
              <m:f>
                <m:fPr>
                  <m:type m:val="bar"/>
                </m:fPr>
                <m:num>
                  <m:r>
                    <m:t>s</m:t>
                  </m:r>
                  <m:r>
                    <m:t>p</m:t>
                  </m:r>
                  <m:r>
                    <m:t>a</m:t>
                  </m:r>
                  <m:sSub>
                    <m:e>
                      <m:r>
                        <m:t>n</m:t>
                      </m:r>
                    </m:e>
                    <m:sub>
                      <m:r>
                        <m:t>i</m:t>
                      </m:r>
                    </m:sub>
                  </m:sSub>
                </m:num>
                <m:den>
                  <m:r>
                    <m:t>s</m:t>
                  </m:r>
                  <m:r>
                    <m:t>t</m:t>
                  </m:r>
                  <m:r>
                    <m:t>e</m:t>
                  </m:r>
                  <m:r>
                    <m:t>p</m:t>
                  </m:r>
                  <m:sSub>
                    <m:e>
                      <m:r>
                        <m:t>s</m:t>
                      </m:r>
                    </m:e>
                    <m:sub>
                      <m:r>
                        <m:t>i</m:t>
                      </m:r>
                    </m:sub>
                  </m:sSub>
                </m:den>
              </m:f>
            </m:e>
          </m:d>
          <m:r>
            <m:rPr>
              <m:sty m:val="p"/>
            </m:rPr>
            <m:t>=</m:t>
          </m:r>
          <m:r>
            <m:t>α</m:t>
          </m:r>
          <m:r>
            <m:rPr>
              <m:sty m:val="p"/>
            </m:rPr>
            <m:t>+</m:t>
          </m:r>
          <m:r>
            <m:t>β</m:t>
          </m:r>
          <m:r>
            <m:t> </m:t>
          </m:r>
          <m:r>
            <m:rPr>
              <m:sty m:val="p"/>
            </m:rPr>
            <m:t>ln</m:t>
          </m:r>
          <m:r>
            <m:rPr>
              <m:sty m:val="p"/>
            </m:rPr>
            <m:t>(</m:t>
          </m:r>
          <m:r>
            <m:t>1</m:t>
          </m:r>
          <m:r>
            <m:rPr>
              <m:sty m:val="p"/>
            </m:rPr>
            <m:t>+</m:t>
          </m:r>
          <m:sSub>
            <m:e>
              <m:r>
                <m:t>E</m:t>
              </m:r>
            </m:e>
            <m:sub>
              <m:r>
                <m:t>c</m:t>
              </m:r>
              <m:r>
                <m:rPr>
                  <m:sty m:val="p"/>
                </m:rPr>
                <m:t>(</m:t>
              </m:r>
              <m:r>
                <m:t>i</m:t>
              </m:r>
              <m:r>
                <m:rPr>
                  <m:sty m:val="p"/>
                </m:rPr>
                <m:t>)</m:t>
              </m:r>
              <m:r>
                <m:rPr>
                  <m:sty m:val="p"/>
                </m:rPr>
                <m:t>,</m:t>
              </m:r>
              <m:r>
                <m:t>t</m:t>
              </m:r>
              <m:r>
                <m:rPr>
                  <m:sty m:val="p"/>
                </m:rPr>
                <m:t>(</m:t>
              </m:r>
              <m:r>
                <m:t>i</m:t>
              </m:r>
              <m:r>
                <m:rPr>
                  <m:sty m:val="p"/>
                </m:rPr>
                <m:t>)</m:t>
              </m:r>
            </m:sub>
          </m:sSub>
          <m:r>
            <m:rPr>
              <m:sty m:val="p"/>
            </m:rPr>
            <m:t>)</m:t>
          </m:r>
          <m:r>
            <m:rPr>
              <m:sty m:val="p"/>
            </m:rPr>
            <m:t>+</m:t>
          </m:r>
          <m:sSub>
            <m:e>
              <m:r>
                <m:t>γ</m:t>
              </m:r>
            </m:e>
            <m:sub>
              <m:r>
                <m:t>1</m:t>
              </m:r>
            </m:sub>
          </m:sSub>
          <m:r>
            <m:rPr>
              <m:sty m:val="p"/>
            </m:rPr>
            <m:t>ln</m:t>
          </m:r>
          <m:r>
            <m:rPr>
              <m:sty m:val="p"/>
            </m:rPr>
            <m:t>(</m:t>
          </m:r>
          <m:r>
            <m:t>s</m:t>
          </m:r>
          <m:r>
            <m:t>t</m:t>
          </m:r>
          <m:r>
            <m:t>e</m:t>
          </m:r>
          <m:r>
            <m:t>p</m:t>
          </m:r>
          <m:sSub>
            <m:e>
              <m:r>
                <m:t>s</m:t>
              </m:r>
            </m:e>
            <m:sub>
              <m:r>
                <m:t>i</m:t>
              </m:r>
            </m:sub>
          </m:sSub>
          <m:r>
            <m:rPr>
              <m:sty m:val="p"/>
            </m:rPr>
            <m:t>)</m:t>
          </m:r>
          <m:r>
            <m:rPr>
              <m:sty m:val="p"/>
            </m:rPr>
            <m:t>+</m:t>
          </m:r>
          <m:sSub>
            <m:e>
              <m:r>
                <m:t>γ</m:t>
              </m:r>
            </m:e>
            <m:sub>
              <m:r>
                <m:t>2</m:t>
              </m:r>
            </m:sub>
          </m:sSub>
          <m:r>
            <m:rPr>
              <m:sty m:val="p"/>
            </m:rPr>
            <m:t>(</m:t>
          </m:r>
          <m:r>
            <m:t>y</m:t>
          </m:r>
          <m:r>
            <m:t>e</m:t>
          </m:r>
          <m:r>
            <m:t>a</m:t>
          </m:r>
          <m:sSub>
            <m:e>
              <m:r>
                <m:t>r</m:t>
              </m:r>
            </m:e>
            <m:sub>
              <m:r>
                <m:t>i</m:t>
              </m:r>
            </m:sub>
          </m:sSub>
          <m:r>
            <m:rPr>
              <m:sty m:val="p"/>
            </m:rPr>
            <m:t>−</m:t>
          </m:r>
          <m:r>
            <m:t>2017</m:t>
          </m:r>
          <m:r>
            <m:rPr>
              <m:sty m:val="p"/>
            </m:rPr>
            <m:t>)</m:t>
          </m:r>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0.5603</w:t>
            </w:r>
          </w:p>
        </w:tc>
        <w:tc>
          <w:tcPr>
            <w:tcW w:w="0" w:type="auto"/>
          </w:tcPr>
          <w:p>
            <w:pPr>
              <w:spacing w:line="240" w:lineRule="auto" w:before="0" w:after="0"/>
              <w:pStyle w:val="Compact"/>
            </w:pPr>
            <w:r>
              <w:rPr>
                <w:sz w:val="20"/>
                <w:szCs w:val="20"/>
              </w:rPr>
              <w:t xml:space="preserve">0.2165</w:t>
            </w:r>
          </w:p>
        </w:tc>
        <w:tc>
          <w:tcPr>
            <w:tcW w:w="0" w:type="auto"/>
          </w:tcPr>
          <w:p>
            <w:pPr>
              <w:spacing w:line="240" w:lineRule="auto" w:before="0" w:after="0"/>
              <w:pStyle w:val="Compact"/>
            </w:pPr>
            <w:r>
              <w:rPr>
                <w:sz w:val="20"/>
                <w:szCs w:val="20"/>
              </w:rPr>
              <w:t xml:space="preserve">2.5874</w:t>
            </w:r>
          </w:p>
        </w:tc>
        <w:tc>
          <w:tcPr>
            <w:tcW w:w="0" w:type="auto"/>
          </w:tcPr>
          <w:p>
            <w:pPr>
              <w:spacing w:line="240" w:lineRule="auto" w:before="0" w:after="0"/>
              <w:pStyle w:val="Compact"/>
            </w:pPr>
            <w:r>
              <w:rPr>
                <w:sz w:val="20"/>
                <w:szCs w:val="20"/>
              </w:rPr>
              <w:t xml:space="preserve">0.0097</w:t>
            </w:r>
          </w:p>
        </w:tc>
        <w:tc>
          <w:tcPr>
            <w:tcW w:w="0" w:type="auto"/>
          </w:tcPr>
          <w:p>
            <w:pPr>
              <w:spacing w:line="240" w:lineRule="auto" w:before="0" w:after="0"/>
              <w:pStyle w:val="Compact"/>
            </w:pPr>
            <w:r>
              <w:rPr>
                <w:sz w:val="20"/>
                <w:szCs w:val="20"/>
              </w:rPr>
              <w:t xml:space="preserve">[0.1359, 0.9847]</w:t>
            </w:r>
          </w:p>
        </w:tc>
      </w:tr>
      <w:tr>
        <w:tc>
          <w:tcPr>
            <w:tcW w:w="0" w:type="auto"/>
          </w:tcPr>
          <w:p>
            <w:pPr>
              <w:spacing w:line="240" w:lineRule="auto" w:before="0" w:after="0"/>
              <w:pStyle w:val="Compact"/>
            </w:pPr>
            <w:r>
              <w:rPr>
                <w:sz w:val="20"/>
                <w:szCs w:val="20"/>
              </w:rPr>
              <w:t xml:space="preserve">ln_cum_exp</w:t>
            </w:r>
          </w:p>
        </w:tc>
        <w:tc>
          <w:tcPr>
            <w:tcW w:w="0" w:type="auto"/>
          </w:tcPr>
          <w:p>
            <w:pPr>
              <w:spacing w:line="240" w:lineRule="auto" w:before="0" w:after="0"/>
              <w:pStyle w:val="Compact"/>
            </w:pPr>
            <w:r>
              <w:rPr>
                <w:sz w:val="20"/>
                <w:szCs w:val="20"/>
              </w:rPr>
              <w:t xml:space="preserve">0.1996</w:t>
            </w:r>
          </w:p>
        </w:tc>
        <w:tc>
          <w:tcPr>
            <w:tcW w:w="0" w:type="auto"/>
          </w:tcPr>
          <w:p>
            <w:pPr>
              <w:spacing w:line="240" w:lineRule="auto" w:before="0" w:after="0"/>
              <w:pStyle w:val="Compact"/>
            </w:pPr>
            <w:r>
              <w:rPr>
                <w:sz w:val="20"/>
                <w:szCs w:val="20"/>
              </w:rPr>
              <w:t xml:space="preserve">0.0986</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0.043</w:t>
            </w:r>
          </w:p>
        </w:tc>
        <w:tc>
          <w:tcPr>
            <w:tcW w:w="0" w:type="auto"/>
          </w:tcPr>
          <w:p>
            <w:pPr>
              <w:spacing w:line="240" w:lineRule="auto" w:before="0" w:after="0"/>
              <w:pStyle w:val="Compact"/>
            </w:pPr>
            <w:r>
              <w:rPr>
                <w:sz w:val="20"/>
                <w:szCs w:val="20"/>
              </w:rPr>
              <w:t xml:space="preserve">[0.0063, 0.3929]</w:t>
            </w:r>
          </w:p>
        </w:tc>
      </w:tr>
      <w:tr>
        <w:tc>
          <w:tcPr>
            <w:tcW w:w="0" w:type="auto"/>
          </w:tcPr>
          <w:p>
            <w:pPr>
              <w:spacing w:line="240" w:lineRule="auto" w:before="0" w:after="0"/>
              <w:pStyle w:val="Compact"/>
            </w:pPr>
            <w:r>
              <w:rPr>
                <w:sz w:val="20"/>
                <w:szCs w:val="20"/>
              </w:rPr>
              <w:t xml:space="preserve">ln_steps</w:t>
            </w:r>
          </w:p>
        </w:tc>
        <w:tc>
          <w:tcPr>
            <w:tcW w:w="0" w:type="auto"/>
          </w:tcPr>
          <w:p>
            <w:pPr>
              <w:spacing w:line="240" w:lineRule="auto" w:before="0" w:after="0"/>
              <w:pStyle w:val="Compact"/>
            </w:pPr>
            <w:r>
              <w:rPr>
                <w:sz w:val="20"/>
                <w:szCs w:val="20"/>
              </w:rPr>
              <w:t xml:space="preserve">-0.9375</w:t>
            </w:r>
          </w:p>
        </w:tc>
        <w:tc>
          <w:tcPr>
            <w:tcW w:w="0" w:type="auto"/>
          </w:tcPr>
          <w:p>
            <w:pPr>
              <w:spacing w:line="240" w:lineRule="auto" w:before="0" w:after="0"/>
              <w:pStyle w:val="Compact"/>
            </w:pPr>
            <w:r>
              <w:rPr>
                <w:sz w:val="20"/>
                <w:szCs w:val="20"/>
              </w:rPr>
              <w:t xml:space="preserve">0.1793</w:t>
            </w:r>
          </w:p>
        </w:tc>
        <w:tc>
          <w:tcPr>
            <w:tcW w:w="0" w:type="auto"/>
          </w:tcPr>
          <w:p>
            <w:pPr>
              <w:spacing w:line="240" w:lineRule="auto" w:before="0" w:after="0"/>
              <w:pStyle w:val="Compact"/>
            </w:pPr>
            <w:r>
              <w:rPr>
                <w:sz w:val="20"/>
                <w:szCs w:val="20"/>
              </w:rPr>
              <w:t xml:space="preserve">-5.2287</w:t>
            </w:r>
          </w:p>
        </w:tc>
        <w:tc>
          <w:tcPr>
            <w:tcW w:w="0" w:type="auto"/>
          </w:tcPr>
          <w:p>
            <w:pPr>
              <w:spacing w:line="240" w:lineRule="auto" w:before="0" w:after="0"/>
              <w:pStyle w:val="Compact"/>
            </w:pPr>
            <w:r>
              <w:rPr>
                <w:sz w:val="20"/>
                <w:szCs w:val="20"/>
              </w:rPr>
              <w:t xml:space="preserve">1.707e-07</w:t>
            </w:r>
          </w:p>
        </w:tc>
        <w:tc>
          <w:tcPr>
            <w:tcW w:w="0" w:type="auto"/>
          </w:tcPr>
          <w:p>
            <w:pPr>
              <w:spacing w:line="240" w:lineRule="auto" w:before="0" w:after="0"/>
              <w:pStyle w:val="Compact"/>
            </w:pPr>
            <w:r>
              <w:rPr>
                <w:sz w:val="20"/>
                <w:szCs w:val="20"/>
              </w:rPr>
              <w:t xml:space="preserve">[-1.2889, -0.5861]</w:t>
            </w:r>
          </w:p>
        </w:tc>
      </w:tr>
      <w:tr>
        <w:tc>
          <w:tcPr>
            <w:tcW w:w="0" w:type="auto"/>
          </w:tcPr>
          <w:p>
            <w:pPr>
              <w:spacing w:line="240" w:lineRule="auto" w:before="0" w:after="0"/>
              <w:pStyle w:val="Compact"/>
            </w:pPr>
            <w:r>
              <w:rPr>
                <w:sz w:val="20"/>
                <w:szCs w:val="20"/>
              </w:rPr>
              <w:t xml:space="preserve">syr_c</w:t>
            </w:r>
          </w:p>
        </w:tc>
        <w:tc>
          <w:tcPr>
            <w:tcW w:w="0" w:type="auto"/>
          </w:tcPr>
          <w:p>
            <w:pPr>
              <w:spacing w:line="240" w:lineRule="auto" w:before="0" w:after="0"/>
              <w:pStyle w:val="Compact"/>
            </w:pPr>
            <w:r>
              <w:rPr>
                <w:sz w:val="20"/>
                <w:szCs w:val="20"/>
              </w:rPr>
              <w:t xml:space="preserve">-0.0195</w:t>
            </w:r>
          </w:p>
        </w:tc>
        <w:tc>
          <w:tcPr>
            <w:tcW w:w="0" w:type="auto"/>
          </w:tcPr>
          <w:p>
            <w:pPr>
              <w:spacing w:line="240" w:lineRule="auto" w:before="0" w:after="0"/>
              <w:pStyle w:val="Compact"/>
            </w:pPr>
            <w:r>
              <w:rPr>
                <w:sz w:val="20"/>
                <w:szCs w:val="20"/>
              </w:rPr>
              <w:t xml:space="preserve">0.0228</w:t>
            </w:r>
          </w:p>
        </w:tc>
        <w:tc>
          <w:tcPr>
            <w:tcW w:w="0" w:type="auto"/>
          </w:tcPr>
          <w:p>
            <w:pPr>
              <w:spacing w:line="240" w:lineRule="auto" w:before="0" w:after="0"/>
              <w:pStyle w:val="Compact"/>
            </w:pPr>
            <w:r>
              <w:rPr>
                <w:sz w:val="20"/>
                <w:szCs w:val="20"/>
              </w:rPr>
              <w:t xml:space="preserve">-0.8573</w:t>
            </w:r>
          </w:p>
        </w:tc>
        <w:tc>
          <w:tcPr>
            <w:tcW w:w="0" w:type="auto"/>
          </w:tcPr>
          <w:p>
            <w:pPr>
              <w:spacing w:line="240" w:lineRule="auto" w:before="0" w:after="0"/>
              <w:pStyle w:val="Compact"/>
            </w:pPr>
            <w:r>
              <w:rPr>
                <w:sz w:val="20"/>
                <w:szCs w:val="20"/>
              </w:rPr>
              <w:t xml:space="preserve">0.3913</w:t>
            </w:r>
          </w:p>
        </w:tc>
        <w:tc>
          <w:tcPr>
            <w:tcW w:w="0" w:type="auto"/>
          </w:tcPr>
          <w:p>
            <w:pPr>
              <w:spacing w:line="240" w:lineRule="auto" w:before="0" w:after="0"/>
              <w:pStyle w:val="Compact"/>
            </w:pPr>
            <w:r>
              <w:rPr>
                <w:sz w:val="20"/>
                <w:szCs w:val="20"/>
              </w:rPr>
              <w:t xml:space="preserve">[-0.0641, 0.0251]</w:t>
            </w:r>
          </w:p>
        </w:tc>
      </w:tr>
    </w:tbl>
    <w:p>
      <w:pPr>
        <w:pStyle w:val="BodyText"/>
      </w:pPr>
      <w:r>
        <w:t xml:space="preserve">Fit: N = 45 R2 = 0.4324 R2_adj = 0.3908 F = 9.5055 F_p = 6.852e-05</w:t>
      </w:r>
    </w:p>
    <w:p>
      <w:pPr>
        <w:pStyle w:val="CaptionedFigure"/>
      </w:pPr>
      <w:r>
        <w:drawing>
          <wp:inline>
            <wp:extent cx="5669280" cy="3657600"/>
            <wp:effectExtent b="0" l="0" r="0" t="0"/>
            <wp:docPr descr="Figure 1. Per-TRL maturation time against accumulated within-category experience for 45 JPL-led TechPort projects, with the fitted scope- and vintage-adjusted slope." title="" id="79" name="Picture"/>
            <a:graphic>
              <a:graphicData uri="http://schemas.openxmlformats.org/drawingml/2006/picture">
                <pic:pic>
                  <pic:nvPicPr>
                    <pic:cNvPr descr="D:\Claude_Code\brain\collegium\candidates\dissertations\JPL_MGMT_SMA_TECH_05\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Per-TRL maturation time against accumulated within-category experience for 45 JPL-led TechPort projects, with the fitted scope- and vintage-adjusted slope.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465"/>
        <w:gridCol w:w="465"/>
        <w:gridCol w:w="465"/>
        <w:gridCol w:w="465"/>
        <w:gridCol w:w="465"/>
        <w:gridCol w:w="465"/>
        <w:gridCol w:w="465"/>
        <w:gridCol w:w="465"/>
        <w:gridCol w:w="465"/>
        <w:gridCol w:w="465"/>
        <w:gridCol w:w="465"/>
        <w:gridCol w:w="465"/>
        <w:gridCol w:w="465"/>
        <w:gridCol w:w="465"/>
        <w:gridCol w:w="465"/>
        <w:gridCol w:w="465"/>
        <w:gridCol w:w="465"/>
      </w:tblGrid>
      <w:tr>
        <w:trPr>
          <w:tblHeader w:val="on"/>
        </w:trPr>
        <w:tc>
          <w:tcPr>
            <w:tcW w:w="0" w:type="auto"/>
          </w:tcPr>
          <w:p>
            <w:pPr>
              <w:spacing w:line="240" w:lineRule="auto" w:before="0" w:after="0"/>
              <w:pStyle w:val="Compact"/>
            </w:pPr>
            <w:r>
              <w:rPr>
                <w:sz w:val="20"/>
                <w:szCs w:val="20"/>
              </w:rPr>
              <w:t xml:space="preserve">project_id</w:t>
            </w:r>
          </w:p>
        </w:tc>
        <w:tc>
          <w:tcPr>
            <w:tcW w:w="0" w:type="auto"/>
          </w:tcPr>
          <w:p>
            <w:pPr>
              <w:spacing w:line="240" w:lineRule="auto" w:before="0" w:after="0"/>
              <w:pStyle w:val="Compact"/>
            </w:pPr>
            <w:r>
              <w:rPr>
                <w:sz w:val="20"/>
                <w:szCs w:val="20"/>
              </w:rPr>
              <w:t xml:space="preserve">title</w:t>
            </w:r>
          </w:p>
        </w:tc>
        <w:tc>
          <w:tcPr>
            <w:tcW w:w="0" w:type="auto"/>
          </w:tcPr>
          <w:p>
            <w:pPr>
              <w:spacing w:line="240" w:lineRule="auto" w:before="0" w:after="0"/>
              <w:pStyle w:val="Compact"/>
            </w:pPr>
            <w:r>
              <w:rPr>
                <w:sz w:val="20"/>
                <w:szCs w:val="20"/>
              </w:rPr>
              <w:t xml:space="preserve">tx_family</w:t>
            </w:r>
          </w:p>
        </w:tc>
        <w:tc>
          <w:tcPr>
            <w:tcW w:w="0" w:type="auto"/>
          </w:tcPr>
          <w:p>
            <w:pPr>
              <w:spacing w:line="240" w:lineRule="auto" w:before="0" w:after="0"/>
              <w:pStyle w:val="Compact"/>
            </w:pPr>
            <w:r>
              <w:rPr>
                <w:sz w:val="20"/>
                <w:szCs w:val="20"/>
              </w:rPr>
              <w:t xml:space="preserve">tx_code</w:t>
            </w:r>
          </w:p>
        </w:tc>
        <w:tc>
          <w:tcPr>
            <w:tcW w:w="0" w:type="auto"/>
          </w:tcPr>
          <w:p>
            <w:pPr>
              <w:spacing w:line="240" w:lineRule="auto" w:before="0" w:after="0"/>
              <w:pStyle w:val="Compact"/>
            </w:pPr>
            <w:r>
              <w:rPr>
                <w:sz w:val="20"/>
                <w:szCs w:val="20"/>
              </w:rPr>
              <w:t xml:space="preserve">trl_begin</w:t>
            </w:r>
          </w:p>
        </w:tc>
        <w:tc>
          <w:tcPr>
            <w:tcW w:w="0" w:type="auto"/>
          </w:tcPr>
          <w:p>
            <w:pPr>
              <w:spacing w:line="240" w:lineRule="auto" w:before="0" w:after="0"/>
              <w:pStyle w:val="Compact"/>
            </w:pPr>
            <w:r>
              <w:rPr>
                <w:sz w:val="20"/>
                <w:szCs w:val="20"/>
              </w:rPr>
              <w:t xml:space="preserve">trl_end</w:t>
            </w:r>
          </w:p>
        </w:tc>
        <w:tc>
          <w:tcPr>
            <w:tcW w:w="0" w:type="auto"/>
          </w:tcPr>
          <w:p>
            <w:pPr>
              <w:spacing w:line="240" w:lineRule="auto" w:before="0" w:after="0"/>
              <w:pStyle w:val="Compact"/>
            </w:pPr>
            <w:r>
              <w:rPr>
                <w:sz w:val="20"/>
                <w:szCs w:val="20"/>
              </w:rPr>
              <w:t xml:space="preserve">trl_steps</w:t>
            </w:r>
          </w:p>
        </w:tc>
        <w:tc>
          <w:tcPr>
            <w:tcW w:w="0" w:type="auto"/>
          </w:tcPr>
          <w:p>
            <w:pPr>
              <w:spacing w:line="240" w:lineRule="auto" w:before="0" w:after="0"/>
              <w:pStyle w:val="Compact"/>
            </w:pPr>
            <w:r>
              <w:rPr>
                <w:sz w:val="20"/>
                <w:szCs w:val="20"/>
              </w:rPr>
              <w:t xml:space="preserve">start_year</w:t>
            </w:r>
          </w:p>
        </w:tc>
        <w:tc>
          <w:tcPr>
            <w:tcW w:w="0" w:type="auto"/>
          </w:tcPr>
          <w:p>
            <w:pPr>
              <w:spacing w:line="240" w:lineRule="auto" w:before="0" w:after="0"/>
              <w:pStyle w:val="Compact"/>
            </w:pPr>
            <w:r>
              <w:rPr>
                <w:sz w:val="20"/>
                <w:szCs w:val="20"/>
              </w:rPr>
              <w:t xml:space="preserve">end_year</w:t>
            </w:r>
          </w:p>
        </w:tc>
        <w:tc>
          <w:tcPr>
            <w:tcW w:w="0" w:type="auto"/>
          </w:tcPr>
          <w:p>
            <w:pPr>
              <w:spacing w:line="240" w:lineRule="auto" w:before="0" w:after="0"/>
              <w:pStyle w:val="Compact"/>
            </w:pPr>
            <w:r>
              <w:rPr>
                <w:sz w:val="20"/>
                <w:szCs w:val="20"/>
              </w:rPr>
              <w:t xml:space="preserve">span_years</w:t>
            </w:r>
          </w:p>
        </w:tc>
        <w:tc>
          <w:tcPr>
            <w:tcW w:w="0" w:type="auto"/>
          </w:tcPr>
          <w:p>
            <w:pPr>
              <w:spacing w:line="240" w:lineRule="auto" w:before="0" w:after="0"/>
              <w:pStyle w:val="Compact"/>
            </w:pPr>
            <w:r>
              <w:rPr>
                <w:sz w:val="20"/>
                <w:szCs w:val="20"/>
              </w:rPr>
              <w:t xml:space="preserve">dur_per_trl</w:t>
            </w:r>
          </w:p>
        </w:tc>
        <w:tc>
          <w:tcPr>
            <w:tcW w:w="0" w:type="auto"/>
          </w:tcPr>
          <w:p>
            <w:pPr>
              <w:spacing w:line="240" w:lineRule="auto" w:before="0" w:after="0"/>
              <w:pStyle w:val="Compact"/>
            </w:pPr>
            <w:r>
              <w:rPr>
                <w:sz w:val="20"/>
                <w:szCs w:val="20"/>
              </w:rPr>
              <w:t xml:space="preserve">cum_prior_family</w:t>
            </w:r>
          </w:p>
        </w:tc>
        <w:tc>
          <w:tcPr>
            <w:tcW w:w="0" w:type="auto"/>
          </w:tcPr>
          <w:p>
            <w:pPr>
              <w:spacing w:line="240" w:lineRule="auto" w:before="0" w:after="0"/>
              <w:pStyle w:val="Compact"/>
            </w:pPr>
            <w:r>
              <w:rPr>
                <w:sz w:val="20"/>
                <w:szCs w:val="20"/>
              </w:rPr>
              <w:t xml:space="preserve">ln_dur_per_trl</w:t>
            </w:r>
          </w:p>
        </w:tc>
        <w:tc>
          <w:tcPr>
            <w:tcW w:w="0" w:type="auto"/>
          </w:tcPr>
          <w:p>
            <w:pPr>
              <w:spacing w:line="240" w:lineRule="auto" w:before="0" w:after="0"/>
              <w:pStyle w:val="Compact"/>
            </w:pPr>
            <w:r>
              <w:rPr>
                <w:sz w:val="20"/>
                <w:szCs w:val="20"/>
              </w:rPr>
              <w:t xml:space="preserve">ln_cum_exp</w:t>
            </w:r>
          </w:p>
        </w:tc>
        <w:tc>
          <w:tcPr>
            <w:tcW w:w="0" w:type="auto"/>
          </w:tcPr>
          <w:p>
            <w:pPr>
              <w:spacing w:line="240" w:lineRule="auto" w:before="0" w:after="0"/>
              <w:pStyle w:val="Compact"/>
            </w:pPr>
            <w:r>
              <w:rPr>
                <w:sz w:val="20"/>
                <w:szCs w:val="20"/>
              </w:rPr>
              <w:t xml:space="preserve">ln_steps</w:t>
            </w:r>
          </w:p>
        </w:tc>
        <w:tc>
          <w:tcPr>
            <w:tcW w:w="0" w:type="auto"/>
          </w:tcPr>
          <w:p>
            <w:pPr>
              <w:spacing w:line="240" w:lineRule="auto" w:before="0" w:after="0"/>
              <w:pStyle w:val="Compact"/>
            </w:pPr>
            <w:r>
              <w:rPr>
                <w:sz w:val="20"/>
                <w:szCs w:val="20"/>
              </w:rPr>
              <w:t xml:space="preserve">syr_c</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6863</w:t>
            </w:r>
          </w:p>
        </w:tc>
        <w:tc>
          <w:tcPr>
            <w:tcW w:w="0" w:type="auto"/>
          </w:tcPr>
          <w:p>
            <w:pPr>
              <w:spacing w:line="240" w:lineRule="auto" w:before="0" w:after="0"/>
              <w:pStyle w:val="Compact"/>
            </w:pPr>
            <w:r>
              <w:rPr>
                <w:sz w:val="20"/>
                <w:szCs w:val="20"/>
              </w:rPr>
              <w:t xml:space="preserve">Airborne Isotopic Hydrocarbon Analyzer for Titan, Phase I</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 TechPort project 6863 (techport.nasa.gov/projects/6863), JPL/Caltech-led; public release</w:t>
            </w:r>
          </w:p>
        </w:tc>
      </w:tr>
      <w:tr>
        <w:tc>
          <w:tcPr>
            <w:tcW w:w="0" w:type="auto"/>
          </w:tcPr>
          <w:p>
            <w:pPr>
              <w:spacing w:line="240" w:lineRule="auto" w:before="0" w:after="0"/>
              <w:pStyle w:val="Compact"/>
            </w:pPr>
            <w:r>
              <w:rPr>
                <w:sz w:val="20"/>
                <w:szCs w:val="20"/>
              </w:rPr>
              <w:t xml:space="preserve">7983</w:t>
            </w:r>
          </w:p>
        </w:tc>
        <w:tc>
          <w:tcPr>
            <w:tcW w:w="0" w:type="auto"/>
          </w:tcPr>
          <w:p>
            <w:pPr>
              <w:spacing w:line="240" w:lineRule="auto" w:before="0" w:after="0"/>
              <w:pStyle w:val="Compact"/>
            </w:pPr>
            <w:r>
              <w:rPr>
                <w:sz w:val="20"/>
                <w:szCs w:val="20"/>
              </w:rPr>
              <w:t xml:space="preserve">A 60-85% Efficient X- &amp; K-Band 1KWatt Solid-State Power Amplifier using GaN-on-D</w:t>
            </w:r>
          </w:p>
        </w:tc>
        <w:tc>
          <w:tcPr>
            <w:tcW w:w="0" w:type="auto"/>
          </w:tcPr>
          <w:p>
            <w:pPr>
              <w:spacing w:line="240" w:lineRule="auto" w:before="0" w:after="0"/>
              <w:pStyle w:val="Compact"/>
            </w:pPr>
            <w:r>
              <w:rPr>
                <w:sz w:val="20"/>
                <w:szCs w:val="20"/>
              </w:rPr>
              <w:t xml:space="preserve">TX05</w:t>
            </w:r>
          </w:p>
        </w:tc>
        <w:tc>
          <w:tcPr>
            <w:tcW w:w="0" w:type="auto"/>
          </w:tcPr>
          <w:p>
            <w:pPr>
              <w:spacing w:line="240" w:lineRule="auto" w:before="0" w:after="0"/>
              <w:pStyle w:val="Compact"/>
            </w:pPr>
            <w:r>
              <w:rPr>
                <w:sz w:val="20"/>
                <w:szCs w:val="20"/>
              </w:rPr>
              <w:t xml:space="preserve">TX05.2.2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TechPort project 7983 (techport.nasa.gov/projects/7983), JPL/Caltech-led; public release</w:t>
            </w:r>
          </w:p>
        </w:tc>
      </w:tr>
      <w:tr>
        <w:tc>
          <w:tcPr>
            <w:tcW w:w="0" w:type="auto"/>
          </w:tcPr>
          <w:p>
            <w:pPr>
              <w:spacing w:line="240" w:lineRule="auto" w:before="0" w:after="0"/>
              <w:pStyle w:val="Compact"/>
            </w:pPr>
            <w:r>
              <w:rPr>
                <w:sz w:val="20"/>
                <w:szCs w:val="20"/>
              </w:rPr>
              <w:t xml:space="preserve">8203</w:t>
            </w:r>
          </w:p>
        </w:tc>
        <w:tc>
          <w:tcPr>
            <w:tcW w:w="0" w:type="auto"/>
          </w:tcPr>
          <w:p>
            <w:pPr>
              <w:spacing w:line="240" w:lineRule="auto" w:before="0" w:after="0"/>
              <w:pStyle w:val="Compact"/>
            </w:pPr>
            <w:r>
              <w:rPr>
                <w:sz w:val="20"/>
                <w:szCs w:val="20"/>
              </w:rPr>
              <w:t xml:space="preserve">A 64x64 Low Noise Cryogenic Readout Multiplexer for Far IR Focal-Plane Arrays, P</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TechPort project 8203 (techport.nasa.gov/projects/8203), JPL/Caltech-led; public release</w:t>
            </w:r>
          </w:p>
        </w:tc>
      </w:tr>
      <w:tr>
        <w:tc>
          <w:tcPr>
            <w:tcW w:w="0" w:type="auto"/>
          </w:tcPr>
          <w:p>
            <w:pPr>
              <w:spacing w:line="240" w:lineRule="auto" w:before="0" w:after="0"/>
              <w:pStyle w:val="Compact"/>
            </w:pPr>
            <w:r>
              <w:rPr>
                <w:sz w:val="20"/>
                <w:szCs w:val="20"/>
              </w:rPr>
              <w:t xml:space="preserve">34757</w:t>
            </w:r>
          </w:p>
        </w:tc>
        <w:tc>
          <w:tcPr>
            <w:tcW w:w="0" w:type="auto"/>
          </w:tcPr>
          <w:p>
            <w:pPr>
              <w:spacing w:line="240" w:lineRule="auto" w:before="0" w:after="0"/>
              <w:pStyle w:val="Compact"/>
            </w:pPr>
            <w:r>
              <w:rPr>
                <w:sz w:val="20"/>
                <w:szCs w:val="20"/>
              </w:rPr>
              <w:t xml:space="preserve">Aircraft deployable UV-SWIR multiangle spectropolarimetric imager</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TechPort project 34757 (techport.nasa.gov/projects/34757), JPL/Caltech-led; public release</w:t>
            </w:r>
          </w:p>
        </w:tc>
      </w:tr>
      <w:tr>
        <w:tc>
          <w:tcPr>
            <w:tcW w:w="0" w:type="auto"/>
          </w:tcPr>
          <w:p>
            <w:pPr>
              <w:spacing w:line="240" w:lineRule="auto" w:before="0" w:after="0"/>
              <w:pStyle w:val="Compact"/>
            </w:pPr>
            <w:r>
              <w:rPr>
                <w:sz w:val="20"/>
                <w:szCs w:val="20"/>
              </w:rPr>
              <w:t xml:space="preserve">12199</w:t>
            </w:r>
          </w:p>
        </w:tc>
        <w:tc>
          <w:tcPr>
            <w:tcW w:w="0" w:type="auto"/>
          </w:tcPr>
          <w:p>
            <w:pPr>
              <w:spacing w:line="240" w:lineRule="auto" w:before="0" w:after="0"/>
              <w:pStyle w:val="Compact"/>
            </w:pPr>
            <w:r>
              <w:rPr>
                <w:sz w:val="20"/>
                <w:szCs w:val="20"/>
              </w:rPr>
              <w:t xml:space="preserve">Advanced Micro-Transceiver Technologies for Extreme Mass/Energy/Volume Challenge</w:t>
            </w:r>
          </w:p>
        </w:tc>
        <w:tc>
          <w:tcPr>
            <w:tcW w:w="0" w:type="auto"/>
          </w:tcPr>
          <w:p>
            <w:pPr>
              <w:spacing w:line="240" w:lineRule="auto" w:before="0" w:after="0"/>
              <w:pStyle w:val="Compact"/>
            </w:pPr>
            <w:r>
              <w:rPr>
                <w:sz w:val="20"/>
                <w:szCs w:val="20"/>
              </w:rPr>
              <w:t xml:space="preserve">TX05</w:t>
            </w:r>
          </w:p>
        </w:tc>
        <w:tc>
          <w:tcPr>
            <w:tcW w:w="0" w:type="auto"/>
          </w:tcPr>
          <w:p>
            <w:pPr>
              <w:spacing w:line="240" w:lineRule="auto" w:before="0" w:after="0"/>
              <w:pStyle w:val="Compact"/>
            </w:pPr>
            <w:r>
              <w:rPr>
                <w:sz w:val="20"/>
                <w:szCs w:val="20"/>
              </w:rPr>
              <w:t xml:space="preserve">TX05.3.3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12199 (techport.nasa.gov/projects/12199), JPL/Caltech-led; public release</w:t>
            </w:r>
          </w:p>
        </w:tc>
      </w:tr>
      <w:tr>
        <w:tc>
          <w:tcPr>
            <w:tcW w:w="0" w:type="auto"/>
          </w:tcPr>
          <w:p>
            <w:pPr>
              <w:spacing w:line="240" w:lineRule="auto" w:before="0" w:after="0"/>
              <w:pStyle w:val="Compact"/>
            </w:pPr>
            <w:r>
              <w:rPr>
                <w:sz w:val="20"/>
                <w:szCs w:val="20"/>
              </w:rPr>
              <w:t xml:space="preserve">12200</w:t>
            </w:r>
          </w:p>
        </w:tc>
        <w:tc>
          <w:tcPr>
            <w:tcW w:w="0" w:type="auto"/>
          </w:tcPr>
          <w:p>
            <w:pPr>
              <w:spacing w:line="240" w:lineRule="auto" w:before="0" w:after="0"/>
              <w:pStyle w:val="Compact"/>
            </w:pPr>
            <w:r>
              <w:rPr>
                <w:sz w:val="20"/>
                <w:szCs w:val="20"/>
              </w:rPr>
              <w:t xml:space="preserve">An Integrated Technology Approach for Low-Cost Landers</w:t>
            </w:r>
          </w:p>
        </w:tc>
        <w:tc>
          <w:tcPr>
            <w:tcW w:w="0" w:type="auto"/>
          </w:tcPr>
          <w:p>
            <w:pPr>
              <w:spacing w:line="240" w:lineRule="auto" w:before="0" w:after="0"/>
              <w:pStyle w:val="Compact"/>
            </w:pPr>
            <w:r>
              <w:rPr>
                <w:sz w:val="20"/>
                <w:szCs w:val="20"/>
              </w:rPr>
              <w:t xml:space="preserve">TX09</w:t>
            </w:r>
          </w:p>
        </w:tc>
        <w:tc>
          <w:tcPr>
            <w:tcW w:w="0" w:type="auto"/>
          </w:tcPr>
          <w:p>
            <w:pPr>
              <w:spacing w:line="240" w:lineRule="auto" w:before="0" w:after="0"/>
              <w:pStyle w:val="Compact"/>
            </w:pPr>
            <w:r>
              <w:rPr>
                <w:sz w:val="20"/>
                <w:szCs w:val="20"/>
              </w:rPr>
              <w:t xml:space="preserve">TX09.5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12200 (techport.nasa.gov/projects/12200), JPL/Caltech-led; public release</w:t>
            </w:r>
          </w:p>
        </w:tc>
      </w:tr>
      <w:tr>
        <w:tc>
          <w:tcPr>
            <w:tcW w:w="0" w:type="auto"/>
          </w:tcPr>
          <w:p>
            <w:pPr>
              <w:spacing w:line="240" w:lineRule="auto" w:before="0" w:after="0"/>
              <w:pStyle w:val="Compact"/>
            </w:pPr>
            <w:r>
              <w:rPr>
                <w:sz w:val="20"/>
                <w:szCs w:val="20"/>
              </w:rPr>
              <w:t xml:space="preserve">12202</w:t>
            </w:r>
          </w:p>
        </w:tc>
        <w:tc>
          <w:tcPr>
            <w:tcW w:w="0" w:type="auto"/>
          </w:tcPr>
          <w:p>
            <w:pPr>
              <w:spacing w:line="240" w:lineRule="auto" w:before="0" w:after="0"/>
              <w:pStyle w:val="Compact"/>
            </w:pPr>
            <w:r>
              <w:rPr>
                <w:sz w:val="20"/>
                <w:szCs w:val="20"/>
              </w:rPr>
              <w:t xml:space="preserve">A Novel, Low-Cost Conformable Lander</w:t>
            </w:r>
          </w:p>
        </w:tc>
        <w:tc>
          <w:tcPr>
            <w:tcW w:w="0" w:type="auto"/>
          </w:tcPr>
          <w:p>
            <w:pPr>
              <w:spacing w:line="240" w:lineRule="auto" w:before="0" w:after="0"/>
              <w:pStyle w:val="Compact"/>
            </w:pPr>
            <w:r>
              <w:rPr>
                <w:sz w:val="20"/>
                <w:szCs w:val="20"/>
              </w:rPr>
              <w:t xml:space="preserve">TX04</w:t>
            </w:r>
          </w:p>
        </w:tc>
        <w:tc>
          <w:tcPr>
            <w:tcW w:w="0" w:type="auto"/>
          </w:tcPr>
          <w:p>
            <w:pPr>
              <w:spacing w:line="240" w:lineRule="auto" w:before="0" w:after="0"/>
              <w:pStyle w:val="Compact"/>
            </w:pPr>
            <w:r>
              <w:rPr>
                <w:sz w:val="20"/>
                <w:szCs w:val="20"/>
              </w:rPr>
              <w:t xml:space="preserve">TX04.2.2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12202 (techport.nasa.gov/projects/12202), JPL/Caltech-led; public release</w:t>
            </w:r>
          </w:p>
        </w:tc>
      </w:tr>
      <w:tr>
        <w:tc>
          <w:tcPr>
            <w:tcW w:w="0" w:type="auto"/>
          </w:tcPr>
          <w:p>
            <w:pPr>
              <w:spacing w:line="240" w:lineRule="auto" w:before="0" w:after="0"/>
              <w:pStyle w:val="Compact"/>
            </w:pPr>
            <w:r>
              <w:rPr>
                <w:sz w:val="20"/>
                <w:szCs w:val="20"/>
              </w:rPr>
              <w:t xml:space="preserve">12209</w:t>
            </w:r>
          </w:p>
        </w:tc>
        <w:tc>
          <w:tcPr>
            <w:tcW w:w="0" w:type="auto"/>
          </w:tcPr>
          <w:p>
            <w:pPr>
              <w:spacing w:line="240" w:lineRule="auto" w:before="0" w:after="0"/>
              <w:pStyle w:val="Compact"/>
            </w:pPr>
            <w:r>
              <w:rPr>
                <w:sz w:val="20"/>
                <w:szCs w:val="20"/>
              </w:rPr>
              <w:t xml:space="preserve">Advanced photon detectors using superconducting MgB2 films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12209 (techport.nasa.gov/projects/12209), JPL/Caltech-led; public release</w:t>
            </w:r>
          </w:p>
        </w:tc>
      </w:tr>
      <w:tr>
        <w:tc>
          <w:tcPr>
            <w:tcW w:w="0" w:type="auto"/>
          </w:tcPr>
          <w:p>
            <w:pPr>
              <w:spacing w:line="240" w:lineRule="auto" w:before="0" w:after="0"/>
              <w:pStyle w:val="Compact"/>
            </w:pPr>
            <w:r>
              <w:rPr>
                <w:sz w:val="20"/>
                <w:szCs w:val="20"/>
              </w:rPr>
              <w:t xml:space="preserve">12284</w:t>
            </w:r>
          </w:p>
        </w:tc>
        <w:tc>
          <w:tcPr>
            <w:tcW w:w="0" w:type="auto"/>
          </w:tcPr>
          <w:p>
            <w:pPr>
              <w:spacing w:line="240" w:lineRule="auto" w:before="0" w:after="0"/>
              <w:pStyle w:val="Compact"/>
            </w:pPr>
            <w:r>
              <w:rPr>
                <w:sz w:val="20"/>
                <w:szCs w:val="20"/>
              </w:rPr>
              <w:t xml:space="preserve">Advanced Micro Sun Sensor</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12284 (techport.nasa.gov/projects/12284), JPL/Caltech-led; public release</w:t>
            </w:r>
          </w:p>
        </w:tc>
      </w:tr>
      <w:tr>
        <w:tc>
          <w:tcPr>
            <w:tcW w:w="0" w:type="auto"/>
          </w:tcPr>
          <w:p>
            <w:pPr>
              <w:spacing w:line="240" w:lineRule="auto" w:before="0" w:after="0"/>
              <w:pStyle w:val="Compact"/>
            </w:pPr>
            <w:r>
              <w:rPr>
                <w:sz w:val="20"/>
                <w:szCs w:val="20"/>
              </w:rPr>
              <w:t xml:space="preserve">12316</w:t>
            </w:r>
          </w:p>
        </w:tc>
        <w:tc>
          <w:tcPr>
            <w:tcW w:w="0" w:type="auto"/>
          </w:tcPr>
          <w:p>
            <w:pPr>
              <w:spacing w:line="240" w:lineRule="auto" w:before="0" w:after="0"/>
              <w:pStyle w:val="Compact"/>
            </w:pPr>
            <w:r>
              <w:rPr>
                <w:sz w:val="20"/>
                <w:szCs w:val="20"/>
              </w:rPr>
              <w:t xml:space="preserve">Antenna-Coupled TES Bolometer Arrays for CMB Polarimetry</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12316 (techport.nasa.gov/projects/12316), JPL/Caltech-led; public release</w:t>
            </w:r>
          </w:p>
        </w:tc>
      </w:tr>
      <w:tr>
        <w:tc>
          <w:tcPr>
            <w:tcW w:w="0" w:type="auto"/>
          </w:tcPr>
          <w:p>
            <w:pPr>
              <w:spacing w:line="240" w:lineRule="auto" w:before="0" w:after="0"/>
              <w:pStyle w:val="Compact"/>
            </w:pPr>
            <w:r>
              <w:rPr>
                <w:sz w:val="20"/>
                <w:szCs w:val="20"/>
              </w:rPr>
              <w:t xml:space="preserve">12328</w:t>
            </w:r>
          </w:p>
        </w:tc>
        <w:tc>
          <w:tcPr>
            <w:tcW w:w="0" w:type="auto"/>
          </w:tcPr>
          <w:p>
            <w:pPr>
              <w:spacing w:line="240" w:lineRule="auto" w:before="0" w:after="0"/>
              <w:pStyle w:val="Compact"/>
            </w:pPr>
            <w:r>
              <w:rPr>
                <w:sz w:val="20"/>
                <w:szCs w:val="20"/>
              </w:rPr>
              <w:t xml:space="preserve">A Master Catalog of Debris Disk Data and Models</w:t>
            </w:r>
          </w:p>
        </w:tc>
        <w:tc>
          <w:tcPr>
            <w:tcW w:w="0" w:type="auto"/>
          </w:tcPr>
          <w:p>
            <w:pPr>
              <w:spacing w:line="240" w:lineRule="auto" w:before="0" w:after="0"/>
              <w:pStyle w:val="Compact"/>
            </w:pPr>
            <w:r>
              <w:rPr>
                <w:sz w:val="20"/>
                <w:szCs w:val="20"/>
              </w:rPr>
              <w:t xml:space="preserve">TX05</w:t>
            </w:r>
          </w:p>
        </w:tc>
        <w:tc>
          <w:tcPr>
            <w:tcW w:w="0" w:type="auto"/>
          </w:tcPr>
          <w:p>
            <w:pPr>
              <w:spacing w:line="240" w:lineRule="auto" w:before="0" w:after="0"/>
              <w:pStyle w:val="Compact"/>
            </w:pPr>
            <w:r>
              <w:rPr>
                <w:sz w:val="20"/>
                <w:szCs w:val="20"/>
              </w:rPr>
              <w:t xml:space="preserve">TX05.6.2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12328 (techport.nasa.gov/projects/12328), JPL/Caltech-led; public release</w:t>
            </w:r>
          </w:p>
        </w:tc>
      </w:tr>
      <w:tr>
        <w:tc>
          <w:tcPr>
            <w:tcW w:w="0" w:type="auto"/>
          </w:tcPr>
          <w:p>
            <w:pPr>
              <w:spacing w:line="240" w:lineRule="auto" w:before="0" w:after="0"/>
              <w:pStyle w:val="Compact"/>
            </w:pPr>
            <w:r>
              <w:rPr>
                <w:sz w:val="20"/>
                <w:szCs w:val="20"/>
              </w:rPr>
              <w:t xml:space="preserve">34755</w:t>
            </w:r>
          </w:p>
        </w:tc>
        <w:tc>
          <w:tcPr>
            <w:tcW w:w="0" w:type="auto"/>
          </w:tcPr>
          <w:p>
            <w:pPr>
              <w:spacing w:line="240" w:lineRule="auto" w:before="0" w:after="0"/>
              <w:pStyle w:val="Compact"/>
            </w:pPr>
            <w:r>
              <w:rPr>
                <w:sz w:val="20"/>
                <w:szCs w:val="20"/>
              </w:rPr>
              <w:t xml:space="preserve">Advanced W-Band Gallium Nitride Monolithic Microwave Integrated Circuits (MMICs)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34755 (techport.nasa.gov/projects/34755), JPL/Caltech-led; public release</w:t>
            </w:r>
          </w:p>
        </w:tc>
      </w:tr>
      <w:tr>
        <w:tc>
          <w:tcPr>
            <w:tcW w:w="0" w:type="auto"/>
          </w:tcPr>
          <w:p>
            <w:pPr>
              <w:spacing w:line="240" w:lineRule="auto" w:before="0" w:after="0"/>
              <w:pStyle w:val="Compact"/>
            </w:pPr>
            <w:r>
              <w:rPr>
                <w:sz w:val="20"/>
                <w:szCs w:val="20"/>
              </w:rPr>
              <w:t xml:space="preserve">16829</w:t>
            </w:r>
          </w:p>
        </w:tc>
        <w:tc>
          <w:tcPr>
            <w:tcW w:w="0" w:type="auto"/>
          </w:tcPr>
          <w:p>
            <w:pPr>
              <w:spacing w:line="240" w:lineRule="auto" w:before="0" w:after="0"/>
              <w:pStyle w:val="Compact"/>
            </w:pPr>
            <w:r>
              <w:rPr>
                <w:sz w:val="20"/>
                <w:szCs w:val="20"/>
              </w:rPr>
              <w:t xml:space="preserve">A Novel Drag-Free Design for a Geostationary Gravitational Wave</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TechPort project 16829 (techport.nasa.gov/projects/16829), JPL/Caltech-led; public release</w:t>
            </w:r>
          </w:p>
        </w:tc>
      </w:tr>
      <w:tr>
        <w:tc>
          <w:tcPr>
            <w:tcW w:w="0" w:type="auto"/>
          </w:tcPr>
          <w:p>
            <w:pPr>
              <w:spacing w:line="240" w:lineRule="auto" w:before="0" w:after="0"/>
              <w:pStyle w:val="Compact"/>
            </w:pPr>
            <w:r>
              <w:rPr>
                <w:sz w:val="20"/>
                <w:szCs w:val="20"/>
              </w:rPr>
              <w:t xml:space="preserve">90754</w:t>
            </w:r>
          </w:p>
        </w:tc>
        <w:tc>
          <w:tcPr>
            <w:tcW w:w="0" w:type="auto"/>
          </w:tcPr>
          <w:p>
            <w:pPr>
              <w:spacing w:line="240" w:lineRule="auto" w:before="0" w:after="0"/>
              <w:pStyle w:val="Compact"/>
            </w:pPr>
            <w:r>
              <w:rPr>
                <w:sz w:val="20"/>
                <w:szCs w:val="20"/>
              </w:rPr>
              <w:t xml:space="preserve">An Ultrabroadband THz Heterodyne Receiver With Reduced Cryocooling Requirements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TechPort project 90754 (techport.nasa.gov/projects/90754), JPL/Caltech-led; public release</w:t>
            </w:r>
          </w:p>
        </w:tc>
      </w:tr>
      <w:tr>
        <w:tc>
          <w:tcPr>
            <w:tcW w:w="0" w:type="auto"/>
          </w:tcPr>
          <w:p>
            <w:pPr>
              <w:spacing w:line="240" w:lineRule="auto" w:before="0" w:after="0"/>
              <w:pStyle w:val="Compact"/>
            </w:pPr>
            <w:r>
              <w:rPr>
                <w:sz w:val="20"/>
                <w:szCs w:val="20"/>
              </w:rPr>
              <w:t xml:space="preserve">91803</w:t>
            </w:r>
          </w:p>
        </w:tc>
        <w:tc>
          <w:tcPr>
            <w:tcW w:w="0" w:type="auto"/>
          </w:tcPr>
          <w:p>
            <w:pPr>
              <w:spacing w:line="240" w:lineRule="auto" w:before="0" w:after="0"/>
              <w:pStyle w:val="Compact"/>
            </w:pPr>
            <w:r>
              <w:rPr>
                <w:sz w:val="20"/>
                <w:szCs w:val="20"/>
              </w:rPr>
              <w:t xml:space="preserve">Advanced, Compact, Ultraviolet Imaging Spectrometer for Planetary Systems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TechPort project 91803 (techport.nasa.gov/projects/91803), JPL/Caltech-led; public release</w:t>
            </w:r>
          </w:p>
        </w:tc>
      </w:tr>
      <w:tr>
        <w:tc>
          <w:tcPr>
            <w:tcW w:w="0" w:type="auto"/>
          </w:tcPr>
          <w:p>
            <w:pPr>
              <w:spacing w:line="240" w:lineRule="auto" w:before="0" w:after="0"/>
              <w:pStyle w:val="Compact"/>
            </w:pPr>
            <w:r>
              <w:rPr>
                <w:sz w:val="20"/>
                <w:szCs w:val="20"/>
              </w:rPr>
              <w:t xml:space="preserve">90751</w:t>
            </w:r>
          </w:p>
        </w:tc>
        <w:tc>
          <w:tcPr>
            <w:tcW w:w="0" w:type="auto"/>
          </w:tcPr>
          <w:p>
            <w:pPr>
              <w:spacing w:line="240" w:lineRule="auto" w:before="0" w:after="0"/>
              <w:pStyle w:val="Compact"/>
            </w:pPr>
            <w:r>
              <w:rPr>
                <w:sz w:val="20"/>
                <w:szCs w:val="20"/>
              </w:rPr>
              <w:t xml:space="preserve">Advanced Modeling of Fluid-Structure Interaction for Softgoods in Supersonic Flo</w:t>
            </w:r>
          </w:p>
        </w:tc>
        <w:tc>
          <w:tcPr>
            <w:tcW w:w="0" w:type="auto"/>
          </w:tcPr>
          <w:p>
            <w:pPr>
              <w:spacing w:line="240" w:lineRule="auto" w:before="0" w:after="0"/>
              <w:pStyle w:val="Compact"/>
            </w:pPr>
            <w:r>
              <w:rPr>
                <w:sz w:val="20"/>
                <w:szCs w:val="20"/>
              </w:rPr>
              <w:t xml:space="preserve">TX05</w:t>
            </w:r>
          </w:p>
        </w:tc>
        <w:tc>
          <w:tcPr>
            <w:tcW w:w="0" w:type="auto"/>
          </w:tcPr>
          <w:p>
            <w:pPr>
              <w:spacing w:line="240" w:lineRule="auto" w:before="0" w:after="0"/>
              <w:pStyle w:val="Compact"/>
            </w:pPr>
            <w:r>
              <w:rPr>
                <w:sz w:val="20"/>
                <w:szCs w:val="20"/>
              </w:rPr>
              <w:t xml:space="preserve">TX05.5.3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TechPort project 90751 (techport.nasa.gov/projects/90751), JPL/Caltech-led; public release</w:t>
            </w:r>
          </w:p>
        </w:tc>
      </w:tr>
      <w:tr>
        <w:tc>
          <w:tcPr>
            <w:tcW w:w="0" w:type="auto"/>
          </w:tcPr>
          <w:p>
            <w:pPr>
              <w:spacing w:line="240" w:lineRule="auto" w:before="0" w:after="0"/>
              <w:pStyle w:val="Compact"/>
            </w:pPr>
            <w:r>
              <w:rPr>
                <w:sz w:val="20"/>
                <w:szCs w:val="20"/>
              </w:rPr>
              <w:t xml:space="preserve">92753</w:t>
            </w:r>
          </w:p>
        </w:tc>
        <w:tc>
          <w:tcPr>
            <w:tcW w:w="0" w:type="auto"/>
          </w:tcPr>
          <w:p>
            <w:pPr>
              <w:spacing w:line="240" w:lineRule="auto" w:before="0" w:after="0"/>
              <w:pStyle w:val="Compact"/>
            </w:pPr>
            <w:r>
              <w:rPr>
                <w:sz w:val="20"/>
                <w:szCs w:val="20"/>
              </w:rPr>
              <w:t xml:space="preserve">An Advanced, Compact, Ultraviolet Imaging Spectrometer for Planetary Systems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TechPort project 92753 (techport.nasa.gov/projects/92753), JPL/Caltech-led; public release</w:t>
            </w:r>
          </w:p>
        </w:tc>
      </w:tr>
      <w:tr>
        <w:tc>
          <w:tcPr>
            <w:tcW w:w="0" w:type="auto"/>
          </w:tcPr>
          <w:p>
            <w:pPr>
              <w:spacing w:line="240" w:lineRule="auto" w:before="0" w:after="0"/>
              <w:pStyle w:val="Compact"/>
            </w:pPr>
            <w:r>
              <w:rPr>
                <w:sz w:val="20"/>
                <w:szCs w:val="20"/>
              </w:rPr>
              <w:t xml:space="preserve">92841</w:t>
            </w:r>
          </w:p>
        </w:tc>
        <w:tc>
          <w:tcPr>
            <w:tcW w:w="0" w:type="auto"/>
          </w:tcPr>
          <w:p>
            <w:pPr>
              <w:spacing w:line="240" w:lineRule="auto" w:before="0" w:after="0"/>
              <w:pStyle w:val="Compact"/>
            </w:pPr>
            <w:r>
              <w:rPr>
                <w:sz w:val="20"/>
                <w:szCs w:val="20"/>
              </w:rPr>
              <w:t xml:space="preserve">Active Mirrors for High Contrast Imaging</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TechPort project 92841 (techport.nasa.gov/projects/92841), JPL/Caltech-led; public release</w:t>
            </w:r>
          </w:p>
        </w:tc>
      </w:tr>
      <w:tr>
        <w:tc>
          <w:tcPr>
            <w:tcW w:w="0" w:type="auto"/>
          </w:tcPr>
          <w:p>
            <w:pPr>
              <w:spacing w:line="240" w:lineRule="auto" w:before="0" w:after="0"/>
              <w:pStyle w:val="Compact"/>
            </w:pPr>
            <w:r>
              <w:rPr>
                <w:sz w:val="20"/>
                <w:szCs w:val="20"/>
              </w:rPr>
              <w:t xml:space="preserve">92616</w:t>
            </w:r>
          </w:p>
        </w:tc>
        <w:tc>
          <w:tcPr>
            <w:tcW w:w="0" w:type="auto"/>
          </w:tcPr>
          <w:p>
            <w:pPr>
              <w:spacing w:line="240" w:lineRule="auto" w:before="0" w:after="0"/>
              <w:pStyle w:val="Compact"/>
            </w:pPr>
            <w:r>
              <w:rPr>
                <w:sz w:val="20"/>
                <w:szCs w:val="20"/>
              </w:rPr>
              <w:t xml:space="preserve">A direct probe of dark energy interactions with a solar system laboratory</w:t>
            </w:r>
          </w:p>
        </w:tc>
        <w:tc>
          <w:tcPr>
            <w:tcW w:w="0" w:type="auto"/>
          </w:tcPr>
          <w:p>
            <w:pPr>
              <w:spacing w:line="240" w:lineRule="auto" w:before="0" w:after="0"/>
              <w:pStyle w:val="Compact"/>
            </w:pPr>
            <w:r>
              <w:rPr>
                <w:sz w:val="20"/>
                <w:szCs w:val="20"/>
              </w:rPr>
              <w:t xml:space="preserve">TX09</w:t>
            </w:r>
          </w:p>
        </w:tc>
        <w:tc>
          <w:tcPr>
            <w:tcW w:w="0" w:type="auto"/>
          </w:tcPr>
          <w:p>
            <w:pPr>
              <w:spacing w:line="240" w:lineRule="auto" w:before="0" w:after="0"/>
              <w:pStyle w:val="Compact"/>
            </w:pPr>
            <w:r>
              <w:rPr>
                <w:sz w:val="20"/>
                <w:szCs w:val="20"/>
              </w:rPr>
              <w:t xml:space="preserve">TX09.4.5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TechPort project 92616 (techport.nasa.gov/projects/92616), JPL/Caltech-led; public release</w:t>
            </w:r>
          </w:p>
        </w:tc>
      </w:tr>
      <w:tr>
        <w:tc>
          <w:tcPr>
            <w:tcW w:w="0" w:type="auto"/>
          </w:tcPr>
          <w:p>
            <w:pPr>
              <w:spacing w:line="240" w:lineRule="auto" w:before="0" w:after="0"/>
              <w:pStyle w:val="Compact"/>
            </w:pPr>
            <w:r>
              <w:rPr>
                <w:sz w:val="20"/>
                <w:szCs w:val="20"/>
              </w:rPr>
              <w:t xml:space="preserve">95091</w:t>
            </w:r>
          </w:p>
        </w:tc>
        <w:tc>
          <w:tcPr>
            <w:tcW w:w="0" w:type="auto"/>
          </w:tcPr>
          <w:p>
            <w:pPr>
              <w:spacing w:line="240" w:lineRule="auto" w:before="0" w:after="0"/>
              <w:pStyle w:val="Compact"/>
            </w:pPr>
            <w:r>
              <w:rPr>
                <w:sz w:val="20"/>
                <w:szCs w:val="20"/>
              </w:rPr>
              <w:t xml:space="preserve">Advanced vortex phase masks and techniques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2.5649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TechPort project 95091 (techport.nasa.gov/projects/95091), JPL/Caltech-led; public release</w:t>
            </w:r>
          </w:p>
        </w:tc>
      </w:tr>
      <w:tr>
        <w:tc>
          <w:tcPr>
            <w:tcW w:w="0" w:type="auto"/>
          </w:tcPr>
          <w:p>
            <w:pPr>
              <w:spacing w:line="240" w:lineRule="auto" w:before="0" w:after="0"/>
              <w:pStyle w:val="Compact"/>
            </w:pPr>
            <w:r>
              <w:rPr>
                <w:sz w:val="20"/>
                <w:szCs w:val="20"/>
              </w:rPr>
              <w:t xml:space="preserve">95588</w:t>
            </w:r>
          </w:p>
        </w:tc>
        <w:tc>
          <w:tcPr>
            <w:tcW w:w="0" w:type="auto"/>
          </w:tcPr>
          <w:p>
            <w:pPr>
              <w:spacing w:line="240" w:lineRule="auto" w:before="0" w:after="0"/>
              <w:pStyle w:val="Compact"/>
            </w:pPr>
            <w:r>
              <w:rPr>
                <w:sz w:val="20"/>
                <w:szCs w:val="20"/>
              </w:rPr>
              <w:t xml:space="preserve">100 eV Resolution Detectors for Hard X-ray Doppler Tomography of Supernova Remna</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TechPort project 95588 (techport.nasa.gov/projects/95588), JPL/Caltech-led; public release</w:t>
            </w:r>
          </w:p>
        </w:tc>
      </w:tr>
      <w:tr>
        <w:tc>
          <w:tcPr>
            <w:tcW w:w="0" w:type="auto"/>
          </w:tcPr>
          <w:p>
            <w:pPr>
              <w:spacing w:line="240" w:lineRule="auto" w:before="0" w:after="0"/>
              <w:pStyle w:val="Compact"/>
            </w:pPr>
            <w:r>
              <w:rPr>
                <w:sz w:val="20"/>
                <w:szCs w:val="20"/>
              </w:rPr>
              <w:t xml:space="preserve">96496</w:t>
            </w:r>
          </w:p>
        </w:tc>
        <w:tc>
          <w:tcPr>
            <w:tcW w:w="0" w:type="auto"/>
          </w:tcPr>
          <w:p>
            <w:pPr>
              <w:spacing w:line="240" w:lineRule="auto" w:before="0" w:after="0"/>
              <w:pStyle w:val="Compact"/>
            </w:pPr>
            <w:r>
              <w:rPr>
                <w:sz w:val="20"/>
                <w:szCs w:val="20"/>
              </w:rPr>
              <w:t xml:space="preserve">Adapting the Compact Integrated Raman Spectrometer (CIRS) for Lunar Exploration</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TechPort project 96496 (techport.nasa.gov/projects/96496), JPL/Caltech-led; public release</w:t>
            </w:r>
          </w:p>
        </w:tc>
      </w:tr>
      <w:tr>
        <w:tc>
          <w:tcPr>
            <w:tcW w:w="0" w:type="auto"/>
          </w:tcPr>
          <w:p>
            <w:pPr>
              <w:spacing w:line="240" w:lineRule="auto" w:before="0" w:after="0"/>
              <w:pStyle w:val="Compact"/>
            </w:pPr>
            <w:r>
              <w:rPr>
                <w:sz w:val="20"/>
                <w:szCs w:val="20"/>
              </w:rPr>
              <w:t xml:space="preserve">96504</w:t>
            </w:r>
          </w:p>
        </w:tc>
        <w:tc>
          <w:tcPr>
            <w:tcW w:w="0" w:type="auto"/>
          </w:tcPr>
          <w:p>
            <w:pPr>
              <w:spacing w:line="240" w:lineRule="auto" w:before="0" w:after="0"/>
              <w:pStyle w:val="Compact"/>
            </w:pPr>
            <w:r>
              <w:rPr>
                <w:sz w:val="20"/>
                <w:szCs w:val="20"/>
              </w:rPr>
              <w:t xml:space="preserve">An Ultra-Compact Imaging Spectrometer for the Lunar Surface: Enabling Volatile M</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TechPort project 96504 (techport.nasa.gov/projects/96504), JPL/Caltech-led; public release</w:t>
            </w:r>
          </w:p>
        </w:tc>
      </w:tr>
      <w:tr>
        <w:tc>
          <w:tcPr>
            <w:tcW w:w="0" w:type="auto"/>
          </w:tcPr>
          <w:p>
            <w:pPr>
              <w:spacing w:line="240" w:lineRule="auto" w:before="0" w:after="0"/>
              <w:pStyle w:val="Compact"/>
            </w:pPr>
            <w:r>
              <w:rPr>
                <w:sz w:val="20"/>
                <w:szCs w:val="20"/>
              </w:rPr>
              <w:t xml:space="preserve">96325</w:t>
            </w:r>
          </w:p>
        </w:tc>
        <w:tc>
          <w:tcPr>
            <w:tcW w:w="0" w:type="auto"/>
          </w:tcPr>
          <w:p>
            <w:pPr>
              <w:spacing w:line="240" w:lineRule="auto" w:before="0" w:after="0"/>
              <w:pStyle w:val="Compact"/>
            </w:pPr>
            <w:r>
              <w:rPr>
                <w:sz w:val="20"/>
                <w:szCs w:val="20"/>
              </w:rPr>
              <w:t xml:space="preserve">Advanced Filter Solutions for Multiband and Broadband Imaging</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TechPort project 96325 (techport.nasa.gov/projects/96325), JPL/Caltech-led; public release</w:t>
            </w:r>
          </w:p>
        </w:tc>
      </w:tr>
      <w:tr>
        <w:tc>
          <w:tcPr>
            <w:tcW w:w="0" w:type="auto"/>
          </w:tcPr>
          <w:p>
            <w:pPr>
              <w:spacing w:line="240" w:lineRule="auto" w:before="0" w:after="0"/>
              <w:pStyle w:val="Compact"/>
            </w:pPr>
            <w:r>
              <w:rPr>
                <w:sz w:val="20"/>
                <w:szCs w:val="20"/>
              </w:rPr>
              <w:t xml:space="preserve">96365</w:t>
            </w:r>
          </w:p>
        </w:tc>
        <w:tc>
          <w:tcPr>
            <w:tcW w:w="0" w:type="auto"/>
          </w:tcPr>
          <w:p>
            <w:pPr>
              <w:spacing w:line="240" w:lineRule="auto" w:before="0" w:after="0"/>
              <w:pStyle w:val="Compact"/>
            </w:pPr>
            <w:r>
              <w:rPr>
                <w:sz w:val="20"/>
                <w:szCs w:val="20"/>
              </w:rPr>
              <w:t xml:space="preserve">A Novel Optical Etalon for Precision Radial Velocity Measurements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TechPort project 96365 (techport.nasa.gov/projects/96365), JPL/Caltech-led; public release</w:t>
            </w:r>
          </w:p>
        </w:tc>
      </w:tr>
      <w:tr>
        <w:tc>
          <w:tcPr>
            <w:tcW w:w="0" w:type="auto"/>
          </w:tcPr>
          <w:p>
            <w:pPr>
              <w:spacing w:line="240" w:lineRule="auto" w:before="0" w:after="0"/>
              <w:pStyle w:val="Compact"/>
            </w:pPr>
            <w:r>
              <w:rPr>
                <w:sz w:val="20"/>
                <w:szCs w:val="20"/>
              </w:rPr>
              <w:t xml:space="preserve">146370</w:t>
            </w:r>
          </w:p>
        </w:tc>
        <w:tc>
          <w:tcPr>
            <w:tcW w:w="0" w:type="auto"/>
          </w:tcPr>
          <w:p>
            <w:pPr>
              <w:spacing w:line="240" w:lineRule="auto" w:before="0" w:after="0"/>
              <w:pStyle w:val="Compact"/>
            </w:pPr>
            <w:r>
              <w:rPr>
                <w:sz w:val="20"/>
                <w:szCs w:val="20"/>
              </w:rPr>
              <w:t xml:space="preserve">A Space-based Tractor Beam for Neutral Atoms: A Hybridized Magnetic and Optical</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TechPort project 146370 (techport.nasa.gov/projects/146370), JPL/Caltech-led; public release</w:t>
            </w:r>
          </w:p>
        </w:tc>
      </w:tr>
      <w:tr>
        <w:tc>
          <w:tcPr>
            <w:tcW w:w="0" w:type="auto"/>
          </w:tcPr>
          <w:p>
            <w:pPr>
              <w:spacing w:line="240" w:lineRule="auto" w:before="0" w:after="0"/>
              <w:pStyle w:val="Compact"/>
            </w:pPr>
            <w:r>
              <w:rPr>
                <w:sz w:val="20"/>
                <w:szCs w:val="20"/>
              </w:rPr>
              <w:t xml:space="preserve">146373</w:t>
            </w:r>
          </w:p>
        </w:tc>
        <w:tc>
          <w:tcPr>
            <w:tcW w:w="0" w:type="auto"/>
          </w:tcPr>
          <w:p>
            <w:pPr>
              <w:spacing w:line="240" w:lineRule="auto" w:before="0" w:after="0"/>
              <w:pStyle w:val="Compact"/>
            </w:pPr>
            <w:r>
              <w:rPr>
                <w:sz w:val="20"/>
                <w:szCs w:val="20"/>
              </w:rPr>
              <w:t xml:space="preserve">Advanced Lithography to Maximize Performance of Wafer-thin Integrated Photonic 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TechPort project 146373 (techport.nasa.gov/projects/146373), JPL/Caltech-led; public release</w:t>
            </w:r>
          </w:p>
        </w:tc>
      </w:tr>
      <w:tr>
        <w:tc>
          <w:tcPr>
            <w:tcW w:w="0" w:type="auto"/>
          </w:tcPr>
          <w:p>
            <w:pPr>
              <w:spacing w:line="240" w:lineRule="auto" w:before="0" w:after="0"/>
              <w:pStyle w:val="Compact"/>
            </w:pPr>
            <w:r>
              <w:rPr>
                <w:sz w:val="20"/>
                <w:szCs w:val="20"/>
              </w:rPr>
              <w:t xml:space="preserve">146374</w:t>
            </w:r>
          </w:p>
        </w:tc>
        <w:tc>
          <w:tcPr>
            <w:tcW w:w="0" w:type="auto"/>
          </w:tcPr>
          <w:p>
            <w:pPr>
              <w:spacing w:line="240" w:lineRule="auto" w:before="0" w:after="0"/>
              <w:pStyle w:val="Compact"/>
            </w:pPr>
            <w:r>
              <w:rPr>
                <w:sz w:val="20"/>
                <w:szCs w:val="20"/>
              </w:rPr>
              <w:t xml:space="preserve">Acidic Aerosol Separator Apparatus (ASA) For Venus Aerosol Mass Spectrometer (VA</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TechPort project 146374 (techport.nasa.gov/projects/146374), JPL/Caltech-led; public release</w:t>
            </w:r>
          </w:p>
        </w:tc>
      </w:tr>
      <w:tr>
        <w:tc>
          <w:tcPr>
            <w:tcW w:w="0" w:type="auto"/>
          </w:tcPr>
          <w:p>
            <w:pPr>
              <w:spacing w:line="240" w:lineRule="auto" w:before="0" w:after="0"/>
              <w:pStyle w:val="Compact"/>
            </w:pPr>
            <w:r>
              <w:rPr>
                <w:sz w:val="20"/>
                <w:szCs w:val="20"/>
              </w:rPr>
              <w:t xml:space="preserve">146434</w:t>
            </w:r>
          </w:p>
        </w:tc>
        <w:tc>
          <w:tcPr>
            <w:tcW w:w="0" w:type="auto"/>
          </w:tcPr>
          <w:p>
            <w:pPr>
              <w:spacing w:line="240" w:lineRule="auto" w:before="0" w:after="0"/>
              <w:pStyle w:val="Compact"/>
            </w:pPr>
            <w:r>
              <w:rPr>
                <w:sz w:val="20"/>
                <w:szCs w:val="20"/>
              </w:rPr>
              <w:t xml:space="preserve">Advanced Lithography to Maximize Performance of Wafer-thin Integrated Photonic 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TechPort project 146434 (techport.nasa.gov/projects/146434), JPL/Caltech-led; public release</w:t>
            </w:r>
          </w:p>
        </w:tc>
      </w:tr>
      <w:tr>
        <w:tc>
          <w:tcPr>
            <w:tcW w:w="0" w:type="auto"/>
          </w:tcPr>
          <w:p>
            <w:pPr>
              <w:spacing w:line="240" w:lineRule="auto" w:before="0" w:after="0"/>
              <w:pStyle w:val="Compact"/>
            </w:pPr>
            <w:r>
              <w:rPr>
                <w:sz w:val="20"/>
                <w:szCs w:val="20"/>
              </w:rPr>
              <w:t xml:space="preserve">146435</w:t>
            </w:r>
          </w:p>
        </w:tc>
        <w:tc>
          <w:tcPr>
            <w:tcW w:w="0" w:type="auto"/>
          </w:tcPr>
          <w:p>
            <w:pPr>
              <w:spacing w:line="240" w:lineRule="auto" w:before="0" w:after="0"/>
              <w:pStyle w:val="Compact"/>
            </w:pPr>
            <w:r>
              <w:rPr>
                <w:sz w:val="20"/>
                <w:szCs w:val="20"/>
              </w:rPr>
              <w:t xml:space="preserve">A Space-based Tractor Beam for Neutral Atoms:A Hybridized Magnetic and Optical T</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3.1355</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TechPort project 146435 (techport.nasa.gov/projects/146435), JPL/Caltech-led; public release</w:t>
            </w:r>
          </w:p>
        </w:tc>
      </w:tr>
      <w:tr>
        <w:tc>
          <w:tcPr>
            <w:tcW w:w="0" w:type="auto"/>
          </w:tcPr>
          <w:p>
            <w:pPr>
              <w:spacing w:line="240" w:lineRule="auto" w:before="0" w:after="0"/>
              <w:pStyle w:val="Compact"/>
            </w:pPr>
            <w:r>
              <w:rPr>
                <w:sz w:val="20"/>
                <w:szCs w:val="20"/>
              </w:rPr>
              <w:t xml:space="preserve">146437</w:t>
            </w:r>
          </w:p>
        </w:tc>
        <w:tc>
          <w:tcPr>
            <w:tcW w:w="0" w:type="auto"/>
          </w:tcPr>
          <w:p>
            <w:pPr>
              <w:spacing w:line="240" w:lineRule="auto" w:before="0" w:after="0"/>
              <w:pStyle w:val="Compact"/>
            </w:pPr>
            <w:r>
              <w:rPr>
                <w:sz w:val="20"/>
                <w:szCs w:val="20"/>
              </w:rPr>
              <w:t xml:space="preserve">Acidic Aerosol Separator Apparatus (ASA) For Venus Aerosol Mass Spectrometer (VA</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3.1781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TechPort project 146437 (techport.nasa.gov/projects/146437), JPL/Caltech-led; public release</w:t>
            </w:r>
          </w:p>
        </w:tc>
      </w:tr>
      <w:tr>
        <w:tc>
          <w:tcPr>
            <w:tcW w:w="0" w:type="auto"/>
          </w:tcPr>
          <w:p>
            <w:pPr>
              <w:spacing w:line="240" w:lineRule="auto" w:before="0" w:after="0"/>
              <w:pStyle w:val="Compact"/>
            </w:pPr>
            <w:r>
              <w:rPr>
                <w:sz w:val="20"/>
                <w:szCs w:val="20"/>
              </w:rPr>
              <w:t xml:space="preserve">157170</w:t>
            </w:r>
          </w:p>
        </w:tc>
        <w:tc>
          <w:tcPr>
            <w:tcW w:w="0" w:type="auto"/>
          </w:tcPr>
          <w:p>
            <w:pPr>
              <w:spacing w:line="240" w:lineRule="auto" w:before="0" w:after="0"/>
              <w:pStyle w:val="Compact"/>
            </w:pPr>
            <w:r>
              <w:rPr>
                <w:sz w:val="20"/>
                <w:szCs w:val="20"/>
              </w:rPr>
              <w:t xml:space="preserve">Aerial Mobility and Cross-cutting Avionics</w:t>
            </w:r>
          </w:p>
        </w:tc>
        <w:tc>
          <w:tcPr>
            <w:tcW w:w="0" w:type="auto"/>
          </w:tcPr>
          <w:p>
            <w:pPr>
              <w:spacing w:line="240" w:lineRule="auto" w:before="0" w:after="0"/>
              <w:pStyle w:val="Compact"/>
            </w:pPr>
            <w:r>
              <w:rPr>
                <w:sz w:val="20"/>
                <w:szCs w:val="20"/>
              </w:rPr>
              <w:t xml:space="preserve">TX04</w:t>
            </w:r>
          </w:p>
        </w:tc>
        <w:tc>
          <w:tcPr>
            <w:tcW w:w="0" w:type="auto"/>
          </w:tcPr>
          <w:p>
            <w:pPr>
              <w:spacing w:line="240" w:lineRule="auto" w:before="0" w:after="0"/>
              <w:pStyle w:val="Compact"/>
            </w:pPr>
            <w:r>
              <w:rPr>
                <w:sz w:val="20"/>
                <w:szCs w:val="20"/>
              </w:rPr>
              <w:t xml:space="preserve">TX04.2.2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TechPort project 157170 (techport.nasa.gov/projects/157170), JPL/Caltech-led; public release</w:t>
            </w:r>
          </w:p>
        </w:tc>
      </w:tr>
      <w:tr>
        <w:tc>
          <w:tcPr>
            <w:tcW w:w="0" w:type="auto"/>
          </w:tcPr>
          <w:p>
            <w:pPr>
              <w:spacing w:line="240" w:lineRule="auto" w:before="0" w:after="0"/>
              <w:pStyle w:val="Compact"/>
            </w:pPr>
            <w:r>
              <w:rPr>
                <w:sz w:val="20"/>
                <w:szCs w:val="20"/>
              </w:rPr>
              <w:t xml:space="preserve">117201</w:t>
            </w:r>
          </w:p>
        </w:tc>
        <w:tc>
          <w:tcPr>
            <w:tcW w:w="0" w:type="auto"/>
          </w:tcPr>
          <w:p>
            <w:pPr>
              <w:spacing w:line="240" w:lineRule="auto" w:before="0" w:after="0"/>
              <w:pStyle w:val="Compact"/>
            </w:pPr>
            <w:r>
              <w:rPr>
                <w:sz w:val="20"/>
                <w:szCs w:val="20"/>
              </w:rPr>
              <w:t xml:space="preserve">Astrophysics Miniature UV Spatial Spectrometer</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117201 (techport.nasa.gov/projects/117201), JPL/Caltech-led; public release</w:t>
            </w:r>
          </w:p>
        </w:tc>
      </w:tr>
      <w:tr>
        <w:tc>
          <w:tcPr>
            <w:tcW w:w="0" w:type="auto"/>
          </w:tcPr>
          <w:p>
            <w:pPr>
              <w:spacing w:line="240" w:lineRule="auto" w:before="0" w:after="0"/>
              <w:pStyle w:val="Compact"/>
            </w:pPr>
            <w:r>
              <w:rPr>
                <w:sz w:val="20"/>
                <w:szCs w:val="20"/>
              </w:rPr>
              <w:t xml:space="preserve">146552</w:t>
            </w:r>
          </w:p>
        </w:tc>
        <w:tc>
          <w:tcPr>
            <w:tcW w:w="0" w:type="auto"/>
          </w:tcPr>
          <w:p>
            <w:pPr>
              <w:spacing w:line="240" w:lineRule="auto" w:before="0" w:after="0"/>
              <w:pStyle w:val="Compact"/>
            </w:pPr>
            <w:r>
              <w:rPr>
                <w:sz w:val="20"/>
                <w:szCs w:val="20"/>
              </w:rPr>
              <w:t xml:space="preserve">Advancement of Planetary Protection to Complete Biologic Inventory via Cryo-Elec</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3.2581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146552 (techport.nasa.gov/projects/146552), JPL/Caltech-led; public release</w:t>
            </w:r>
          </w:p>
        </w:tc>
      </w:tr>
      <w:tr>
        <w:tc>
          <w:tcPr>
            <w:tcW w:w="0" w:type="auto"/>
          </w:tcPr>
          <w:p>
            <w:pPr>
              <w:spacing w:line="240" w:lineRule="auto" w:before="0" w:after="0"/>
              <w:pStyle w:val="Compact"/>
            </w:pPr>
            <w:r>
              <w:rPr>
                <w:sz w:val="20"/>
                <w:szCs w:val="20"/>
              </w:rPr>
              <w:t xml:space="preserve">146941</w:t>
            </w:r>
          </w:p>
        </w:tc>
        <w:tc>
          <w:tcPr>
            <w:tcW w:w="0" w:type="auto"/>
          </w:tcPr>
          <w:p>
            <w:pPr>
              <w:spacing w:line="240" w:lineRule="auto" w:before="0" w:after="0"/>
              <w:pStyle w:val="Compact"/>
            </w:pPr>
            <w:r>
              <w:rPr>
                <w:sz w:val="20"/>
                <w:szCs w:val="20"/>
              </w:rPr>
              <w:t xml:space="preserve">Advancement of Planetary Protection to Complete Biologic Inventory via Cryo-Elec</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TechPort project 146941 (techport.nasa.gov/projects/146941), JPL/Caltech-led; public release</w:t>
            </w:r>
          </w:p>
        </w:tc>
      </w:tr>
      <w:tr>
        <w:tc>
          <w:tcPr>
            <w:tcW w:w="0" w:type="auto"/>
          </w:tcPr>
          <w:p>
            <w:pPr>
              <w:spacing w:line="240" w:lineRule="auto" w:before="0" w:after="0"/>
              <w:pStyle w:val="Compact"/>
            </w:pPr>
            <w:r>
              <w:rPr>
                <w:sz w:val="20"/>
                <w:szCs w:val="20"/>
              </w:rPr>
              <w:t xml:space="preserve">157536</w:t>
            </w:r>
          </w:p>
        </w:tc>
        <w:tc>
          <w:tcPr>
            <w:tcW w:w="0" w:type="auto"/>
          </w:tcPr>
          <w:p>
            <w:pPr>
              <w:spacing w:line="240" w:lineRule="auto" w:before="0" w:after="0"/>
              <w:pStyle w:val="Compact"/>
            </w:pPr>
            <w:r>
              <w:rPr>
                <w:sz w:val="20"/>
                <w:szCs w:val="20"/>
              </w:rPr>
              <w:t xml:space="preserve">A Hybrid Quantum Capacitance- Kinetic Inductance far-Infrared Detector</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3.3322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TechPort project 157536 (techport.nasa.gov/projects/157536), JPL/Caltech-led; public release</w:t>
            </w:r>
          </w:p>
        </w:tc>
      </w:tr>
      <w:tr>
        <w:tc>
          <w:tcPr>
            <w:tcW w:w="0" w:type="auto"/>
          </w:tcPr>
          <w:p>
            <w:pPr>
              <w:spacing w:line="240" w:lineRule="auto" w:before="0" w:after="0"/>
              <w:pStyle w:val="Compact"/>
            </w:pPr>
            <w:r>
              <w:rPr>
                <w:sz w:val="20"/>
                <w:szCs w:val="20"/>
              </w:rPr>
              <w:t xml:space="preserve">157564</w:t>
            </w:r>
          </w:p>
        </w:tc>
        <w:tc>
          <w:tcPr>
            <w:tcW w:w="0" w:type="auto"/>
          </w:tcPr>
          <w:p>
            <w:pPr>
              <w:spacing w:line="240" w:lineRule="auto" w:before="0" w:after="0"/>
              <w:pStyle w:val="Compact"/>
            </w:pPr>
            <w:r>
              <w:rPr>
                <w:sz w:val="20"/>
                <w:szCs w:val="20"/>
              </w:rPr>
              <w:t xml:space="preserve">ASTHROS: Astrophysics Stratospheric Telescope for High Spectral Resolution Obser</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-0.2877</w:t>
            </w:r>
          </w:p>
        </w:tc>
        <w:tc>
          <w:tcPr>
            <w:tcW w:w="0" w:type="auto"/>
          </w:tcPr>
          <w:p>
            <w:pPr>
              <w:spacing w:line="240" w:lineRule="auto" w:before="0" w:after="0"/>
              <w:pStyle w:val="Compact"/>
            </w:pPr>
            <w:r>
              <w:rPr>
                <w:sz w:val="20"/>
                <w:szCs w:val="20"/>
              </w:rPr>
              <w:t xml:space="preserve">3.3673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TechPort project 157564 (techport.nasa.gov/projects/157564), JPL/Caltech-led; public release</w:t>
            </w:r>
          </w:p>
        </w:tc>
      </w:tr>
      <w:tr>
        <w:tc>
          <w:tcPr>
            <w:tcW w:w="0" w:type="auto"/>
          </w:tcPr>
          <w:p>
            <w:pPr>
              <w:spacing w:line="240" w:lineRule="auto" w:before="0" w:after="0"/>
              <w:pStyle w:val="Compact"/>
            </w:pPr>
            <w:r>
              <w:rPr>
                <w:sz w:val="20"/>
                <w:szCs w:val="20"/>
              </w:rPr>
              <w:t xml:space="preserve">157587</w:t>
            </w:r>
          </w:p>
        </w:tc>
        <w:tc>
          <w:tcPr>
            <w:tcW w:w="0" w:type="auto"/>
          </w:tcPr>
          <w:p>
            <w:pPr>
              <w:spacing w:line="240" w:lineRule="auto" w:before="0" w:after="0"/>
              <w:pStyle w:val="Compact"/>
            </w:pPr>
            <w:r>
              <w:rPr>
                <w:sz w:val="20"/>
                <w:szCs w:val="20"/>
              </w:rPr>
              <w:t xml:space="preserve">A low-order hardware implementation for sensing and control in exoplanet imaging</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TechPort project 157587 (techport.nasa.gov/projects/157587), JPL/Caltech-led; public release</w:t>
            </w:r>
          </w:p>
        </w:tc>
      </w:tr>
      <w:tr>
        <w:tc>
          <w:tcPr>
            <w:tcW w:w="0" w:type="auto"/>
          </w:tcPr>
          <w:p>
            <w:pPr>
              <w:spacing w:line="240" w:lineRule="auto" w:before="0" w:after="0"/>
              <w:pStyle w:val="Compact"/>
            </w:pPr>
            <w:r>
              <w:rPr>
                <w:sz w:val="20"/>
                <w:szCs w:val="20"/>
              </w:rPr>
              <w:t xml:space="preserve">157592</w:t>
            </w:r>
          </w:p>
        </w:tc>
        <w:tc>
          <w:tcPr>
            <w:tcW w:w="0" w:type="auto"/>
          </w:tcPr>
          <w:p>
            <w:pPr>
              <w:spacing w:line="240" w:lineRule="auto" w:before="0" w:after="0"/>
              <w:pStyle w:val="Compact"/>
            </w:pPr>
            <w:r>
              <w:rPr>
                <w:sz w:val="20"/>
                <w:szCs w:val="20"/>
              </w:rPr>
              <w:t xml:space="preserve">A High-Performance Ultraviolet Photon Counting Detector for Strategic Astrophysi</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3.434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TechPort project 157592 (techport.nasa.gov/projects/157592), JPL/Caltech-led; public release</w:t>
            </w:r>
          </w:p>
        </w:tc>
      </w:tr>
      <w:tr>
        <w:tc>
          <w:tcPr>
            <w:tcW w:w="0" w:type="auto"/>
          </w:tcPr>
          <w:p>
            <w:pPr>
              <w:spacing w:line="240" w:lineRule="auto" w:before="0" w:after="0"/>
              <w:pStyle w:val="Compact"/>
            </w:pPr>
            <w:r>
              <w:rPr>
                <w:sz w:val="20"/>
                <w:szCs w:val="20"/>
              </w:rPr>
              <w:t xml:space="preserve">182846</w:t>
            </w:r>
          </w:p>
        </w:tc>
        <w:tc>
          <w:tcPr>
            <w:tcW w:w="0" w:type="auto"/>
          </w:tcPr>
          <w:p>
            <w:pPr>
              <w:spacing w:line="240" w:lineRule="auto" w:before="0" w:after="0"/>
              <w:pStyle w:val="Compact"/>
            </w:pPr>
            <w:r>
              <w:rPr>
                <w:sz w:val="20"/>
                <w:szCs w:val="20"/>
              </w:rPr>
              <w:t xml:space="preserve">Achieving More with Less: Improved Surface Mobility Performance</w:t>
            </w:r>
          </w:p>
        </w:tc>
        <w:tc>
          <w:tcPr>
            <w:tcW w:w="0" w:type="auto"/>
          </w:tcPr>
          <w:p>
            <w:pPr>
              <w:spacing w:line="240" w:lineRule="auto" w:before="0" w:after="0"/>
              <w:pStyle w:val="Compact"/>
            </w:pPr>
            <w:r>
              <w:rPr>
                <w:sz w:val="20"/>
                <w:szCs w:val="20"/>
              </w:rPr>
              <w:t xml:space="preserve">TX04</w:t>
            </w:r>
          </w:p>
        </w:tc>
        <w:tc>
          <w:tcPr>
            <w:tcW w:w="0" w:type="auto"/>
          </w:tcPr>
          <w:p>
            <w:pPr>
              <w:spacing w:line="240" w:lineRule="auto" w:before="0" w:after="0"/>
              <w:pStyle w:val="Compact"/>
            </w:pPr>
            <w:r>
              <w:rPr>
                <w:sz w:val="20"/>
                <w:szCs w:val="20"/>
              </w:rPr>
              <w:t xml:space="preserve">TX04.2.4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NASA TechPort project 182846 (techport.nasa.gov/projects/182846), JPL/Caltech-led; public release</w:t>
            </w:r>
          </w:p>
        </w:tc>
      </w:tr>
      <w:tr>
        <w:tc>
          <w:tcPr>
            <w:tcW w:w="0" w:type="auto"/>
          </w:tcPr>
          <w:p>
            <w:pPr>
              <w:spacing w:line="240" w:lineRule="auto" w:before="0" w:after="0"/>
              <w:pStyle w:val="Compact"/>
            </w:pPr>
            <w:r>
              <w:rPr>
                <w:sz w:val="20"/>
                <w:szCs w:val="20"/>
              </w:rPr>
              <w:t xml:space="preserve">182384</w:t>
            </w:r>
          </w:p>
        </w:tc>
        <w:tc>
          <w:tcPr>
            <w:tcW w:w="0" w:type="auto"/>
          </w:tcPr>
          <w:p>
            <w:pPr>
              <w:spacing w:line="240" w:lineRule="auto" w:before="0" w:after="0"/>
              <w:pStyle w:val="Compact"/>
            </w:pPr>
            <w:r>
              <w:rPr>
                <w:sz w:val="20"/>
                <w:szCs w:val="20"/>
              </w:rPr>
              <w:t xml:space="preserve">A Lunar Spectroscopic Tool for Raman Analysis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3.4657</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TechPort project 182384 (techport.nasa.gov/projects/182384), JPL/Caltech-led; public release</w:t>
            </w:r>
          </w:p>
        </w:tc>
      </w:tr>
      <w:tr>
        <w:tc>
          <w:tcPr>
            <w:tcW w:w="0" w:type="auto"/>
          </w:tcPr>
          <w:p>
            <w:pPr>
              <w:spacing w:line="240" w:lineRule="auto" w:before="0" w:after="0"/>
              <w:pStyle w:val="Compact"/>
            </w:pPr>
            <w:r>
              <w:rPr>
                <w:sz w:val="20"/>
                <w:szCs w:val="20"/>
              </w:rPr>
              <w:t xml:space="preserve">185324</w:t>
            </w:r>
          </w:p>
        </w:tc>
        <w:tc>
          <w:tcPr>
            <w:tcW w:w="0" w:type="auto"/>
          </w:tcPr>
          <w:p>
            <w:pPr>
              <w:spacing w:line="240" w:lineRule="auto" w:before="0" w:after="0"/>
              <w:pStyle w:val="Compact"/>
            </w:pPr>
            <w:r>
              <w:rPr>
                <w:sz w:val="20"/>
                <w:szCs w:val="20"/>
              </w:rPr>
              <w:t xml:space="preserve">-200°C Rad hard Cold Capable Thermally multiplexed controller</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3.4965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TechPort project 185324 (techport.nasa.gov/projects/185324), JPL/Caltech-led; public release</w:t>
            </w:r>
          </w:p>
        </w:tc>
      </w:tr>
      <w:tr>
        <w:tc>
          <w:tcPr>
            <w:tcW w:w="0" w:type="auto"/>
          </w:tcPr>
          <w:p>
            <w:pPr>
              <w:spacing w:line="240" w:lineRule="auto" w:before="0" w:after="0"/>
              <w:pStyle w:val="Compact"/>
            </w:pPr>
            <w:r>
              <w:rPr>
                <w:sz w:val="20"/>
                <w:szCs w:val="20"/>
              </w:rPr>
              <w:t xml:space="preserve">185638</w:t>
            </w:r>
          </w:p>
        </w:tc>
        <w:tc>
          <w:tcPr>
            <w:tcW w:w="0" w:type="auto"/>
          </w:tcPr>
          <w:p>
            <w:pPr>
              <w:spacing w:line="240" w:lineRule="auto" w:before="0" w:after="0"/>
              <w:pStyle w:val="Compact"/>
            </w:pPr>
            <w:r>
              <w:rPr>
                <w:sz w:val="20"/>
                <w:szCs w:val="20"/>
              </w:rPr>
              <w:t xml:space="preserve">Atomically-Referenced Optical Wavelength Standard</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TechPort project 185638 (techport.nasa.gov/projects/185638), JPL/Caltech-led; public release</w:t>
            </w:r>
          </w:p>
        </w:tc>
      </w:tr>
      <w:tr>
        <w:tc>
          <w:tcPr>
            <w:tcW w:w="0" w:type="auto"/>
          </w:tcPr>
          <w:p>
            <w:pPr>
              <w:spacing w:line="240" w:lineRule="auto" w:before="0" w:after="0"/>
              <w:pStyle w:val="Compact"/>
            </w:pPr>
            <w:r>
              <w:rPr>
                <w:sz w:val="20"/>
                <w:szCs w:val="20"/>
              </w:rPr>
              <w:t xml:space="preserve">185648</w:t>
            </w:r>
          </w:p>
        </w:tc>
        <w:tc>
          <w:tcPr>
            <w:tcW w:w="0" w:type="auto"/>
          </w:tcPr>
          <w:p>
            <w:pPr>
              <w:spacing w:line="240" w:lineRule="auto" w:before="0" w:after="0"/>
              <w:pStyle w:val="Compact"/>
            </w:pPr>
            <w:r>
              <w:rPr>
                <w:sz w:val="20"/>
                <w:szCs w:val="20"/>
              </w:rPr>
              <w:t xml:space="preserve">Advanced Cryogenic Insulation with reduced thermal conduction and high performan</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3.5553</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TechPort project 185648 (techport.nasa.gov/projects/185648), JPL/Caltech-led; public release</w:t>
            </w:r>
          </w:p>
        </w:tc>
      </w:tr>
      <w:tr>
        <w:tc>
          <w:tcPr>
            <w:tcW w:w="0" w:type="auto"/>
          </w:tcPr>
          <w:p>
            <w:pPr>
              <w:spacing w:line="240" w:lineRule="auto" w:before="0" w:after="0"/>
              <w:pStyle w:val="Compact"/>
            </w:pPr>
            <w:r>
              <w:rPr>
                <w:sz w:val="20"/>
                <w:szCs w:val="20"/>
              </w:rPr>
              <w:t xml:space="preserve">185651</w:t>
            </w:r>
          </w:p>
        </w:tc>
        <w:tc>
          <w:tcPr>
            <w:tcW w:w="0" w:type="auto"/>
          </w:tcPr>
          <w:p>
            <w:pPr>
              <w:spacing w:line="240" w:lineRule="auto" w:before="0" w:after="0"/>
              <w:pStyle w:val="Compact"/>
            </w:pPr>
            <w:r>
              <w:rPr>
                <w:sz w:val="20"/>
                <w:szCs w:val="20"/>
              </w:rPr>
              <w:t xml:space="preserve">ALOHA - Adaptive Large-capacity Optical-infrared High-dynamic-range Array</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TechPort project 185651 (techport.nasa.gov/projects/185651), JPL/Caltech-led; public release</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ln_dur_per_trl</w:t>
            </w:r>
          </w:p>
        </w:tc>
        <w:tc>
          <w:tcPr>
            <w:tcW w:w="0" w:type="auto"/>
          </w:tcPr>
          <w:p>
            <w:pPr>
              <w:spacing w:line="240" w:lineRule="auto" w:before="0" w:after="0"/>
              <w:pStyle w:val="Compact"/>
            </w:pPr>
            <w:r>
              <w:rPr>
                <w:sz w:val="20"/>
                <w:szCs w:val="20"/>
              </w:rPr>
              <w:t xml:space="preserve">Natural log of per-TRL maturation time: inclusive project span in years (end year minus start year, plus one) divided by TRL steps advanced. The dependent variable; project span is the cost surrogate used because TechPort withholds project dollars in public release.</w:t>
            </w:r>
          </w:p>
        </w:tc>
        <w:tc>
          <w:tcPr>
            <w:tcW w:w="0" w:type="auto"/>
          </w:tcPr>
          <w:p>
            <w:pPr>
              <w:spacing w:line="240" w:lineRule="auto" w:before="0" w:after="0"/>
              <w:pStyle w:val="Compact"/>
            </w:pPr>
            <w:r>
              <w:rPr>
                <w:sz w:val="20"/>
                <w:szCs w:val="20"/>
              </w:rPr>
              <w:t xml:space="preserve">NASA TechPort project records (trlBegin, trlEnd, startYear, endYear); techport.nasa.gov/api</w:t>
            </w:r>
          </w:p>
        </w:tc>
      </w:tr>
      <w:tr>
        <w:tc>
          <w:tcPr>
            <w:tcW w:w="0" w:type="auto"/>
          </w:tcPr>
          <w:p>
            <w:pPr>
              <w:spacing w:line="240" w:lineRule="auto" w:before="0" w:after="0"/>
              <w:pStyle w:val="Compact"/>
            </w:pPr>
            <w:r>
              <w:rPr>
                <w:sz w:val="20"/>
                <w:szCs w:val="20"/>
              </w:rPr>
              <w:t xml:space="preserve">ln_cum_exp</w:t>
            </w:r>
          </w:p>
        </w:tc>
        <w:tc>
          <w:tcPr>
            <w:tcW w:w="0" w:type="auto"/>
          </w:tcPr>
          <w:p>
            <w:pPr>
              <w:spacing w:line="240" w:lineRule="auto" w:before="0" w:after="0"/>
              <w:pStyle w:val="Compact"/>
            </w:pPr>
            <w:r>
              <w:rPr>
                <w:sz w:val="20"/>
                <w:szCs w:val="20"/>
              </w:rPr>
              <w:t xml:space="preserve">Natural log of one plus the cumulative count of prior JPL-led TechPort projects in the same NASA Technology Taxonomy family that began earlier in the start-year ordering. The within-category experience regressor; coefficient beta is the experience elasticity.</w:t>
            </w:r>
          </w:p>
        </w:tc>
        <w:tc>
          <w:tcPr>
            <w:tcW w:w="0" w:type="auto"/>
          </w:tcPr>
          <w:p>
            <w:pPr>
              <w:spacing w:line="240" w:lineRule="auto" w:before="0" w:after="0"/>
              <w:pStyle w:val="Compact"/>
            </w:pPr>
            <w:r>
              <w:rPr>
                <w:sz w:val="20"/>
                <w:szCs w:val="20"/>
              </w:rPr>
              <w:t xml:space="preserve">Derived from start-year-ordered TechPort history within taxonomy family; constructed only from records predating each observation</w:t>
            </w:r>
          </w:p>
        </w:tc>
      </w:tr>
      <w:tr>
        <w:tc>
          <w:tcPr>
            <w:tcW w:w="0" w:type="auto"/>
          </w:tcPr>
          <w:p>
            <w:pPr>
              <w:spacing w:line="240" w:lineRule="auto" w:before="0" w:after="0"/>
              <w:pStyle w:val="Compact"/>
            </w:pPr>
            <w:r>
              <w:rPr>
                <w:sz w:val="20"/>
                <w:szCs w:val="20"/>
              </w:rPr>
              <w:t xml:space="preserve">ln_steps</w:t>
            </w:r>
          </w:p>
        </w:tc>
        <w:tc>
          <w:tcPr>
            <w:tcW w:w="0" w:type="auto"/>
          </w:tcPr>
          <w:p>
            <w:pPr>
              <w:spacing w:line="240" w:lineRule="auto" w:before="0" w:after="0"/>
              <w:pStyle w:val="Compact"/>
            </w:pPr>
            <w:r>
              <w:rPr>
                <w:sz w:val="20"/>
                <w:szCs w:val="20"/>
              </w:rPr>
              <w:t xml:space="preserve">Natural log of TRL steps advanced (end TRL minus start TRL). Scope-of-advancement control so beta is read at fixed advancement size.</w:t>
            </w:r>
          </w:p>
        </w:tc>
        <w:tc>
          <w:tcPr>
            <w:tcW w:w="0" w:type="auto"/>
          </w:tcPr>
          <w:p>
            <w:pPr>
              <w:spacing w:line="240" w:lineRule="auto" w:before="0" w:after="0"/>
              <w:pStyle w:val="Compact"/>
            </w:pPr>
            <w:r>
              <w:rPr>
                <w:sz w:val="20"/>
                <w:szCs w:val="20"/>
              </w:rPr>
              <w:t xml:space="preserve">NASA TechPort trlBegin and trlEnd fields</w:t>
            </w:r>
          </w:p>
        </w:tc>
      </w:tr>
      <w:tr>
        <w:tc>
          <w:tcPr>
            <w:tcW w:w="0" w:type="auto"/>
          </w:tcPr>
          <w:p>
            <w:pPr>
              <w:spacing w:line="240" w:lineRule="auto" w:before="0" w:after="0"/>
              <w:pStyle w:val="Compact"/>
            </w:pPr>
            <w:r>
              <w:rPr>
                <w:sz w:val="20"/>
                <w:szCs w:val="20"/>
              </w:rPr>
              <w:t xml:space="preserve">syr_c</w:t>
            </w:r>
          </w:p>
        </w:tc>
        <w:tc>
          <w:tcPr>
            <w:tcW w:w="0" w:type="auto"/>
          </w:tcPr>
          <w:p>
            <w:pPr>
              <w:spacing w:line="240" w:lineRule="auto" w:before="0" w:after="0"/>
              <w:pStyle w:val="Compact"/>
            </w:pPr>
            <w:r>
              <w:rPr>
                <w:sz w:val="20"/>
                <w:szCs w:val="20"/>
              </w:rPr>
              <w:t xml:space="preserve">Project start year centered at 2017 (start year minus 2017). Vintage control absorbing sector-wide cost-time trends.</w:t>
            </w:r>
          </w:p>
        </w:tc>
        <w:tc>
          <w:tcPr>
            <w:tcW w:w="0" w:type="auto"/>
          </w:tcPr>
          <w:p>
            <w:pPr>
              <w:spacing w:line="240" w:lineRule="auto" w:before="0" w:after="0"/>
              <w:pStyle w:val="Compact"/>
            </w:pPr>
            <w:r>
              <w:rPr>
                <w:sz w:val="20"/>
                <w:szCs w:val="20"/>
              </w:rPr>
              <w:t xml:space="preserve">NASA TechPort startYear field</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0.5603</w:t>
            </w:r>
          </w:p>
        </w:tc>
        <w:tc>
          <w:tcPr>
            <w:tcW w:w="0" w:type="auto"/>
          </w:tcPr>
          <w:p>
            <w:pPr>
              <w:spacing w:line="240" w:lineRule="auto" w:before="0" w:after="0"/>
              <w:pStyle w:val="Compact"/>
            </w:pPr>
            <w:r>
              <w:rPr>
                <w:sz w:val="20"/>
                <w:szCs w:val="20"/>
              </w:rPr>
              <w:t xml:space="preserve">0.2165</w:t>
            </w:r>
          </w:p>
        </w:tc>
        <w:tc>
          <w:tcPr>
            <w:tcW w:w="0" w:type="auto"/>
          </w:tcPr>
          <w:p>
            <w:pPr>
              <w:spacing w:line="240" w:lineRule="auto" w:before="0" w:after="0"/>
              <w:pStyle w:val="Compact"/>
            </w:pPr>
            <w:r>
              <w:rPr>
                <w:sz w:val="20"/>
                <w:szCs w:val="20"/>
              </w:rPr>
              <w:t xml:space="preserve">2.5874</w:t>
            </w:r>
          </w:p>
        </w:tc>
        <w:tc>
          <w:tcPr>
            <w:tcW w:w="0" w:type="auto"/>
          </w:tcPr>
          <w:p>
            <w:pPr>
              <w:spacing w:line="240" w:lineRule="auto" w:before="0" w:after="0"/>
              <w:pStyle w:val="Compact"/>
            </w:pPr>
            <w:r>
              <w:rPr>
                <w:sz w:val="20"/>
                <w:szCs w:val="20"/>
              </w:rPr>
              <w:t xml:space="preserve">0.0097</w:t>
            </w:r>
          </w:p>
        </w:tc>
        <w:tc>
          <w:tcPr>
            <w:tcW w:w="0" w:type="auto"/>
          </w:tcPr>
          <w:p>
            <w:pPr>
              <w:spacing w:line="240" w:lineRule="auto" w:before="0" w:after="0"/>
              <w:pStyle w:val="Compact"/>
            </w:pPr>
            <w:r>
              <w:rPr>
                <w:sz w:val="20"/>
                <w:szCs w:val="20"/>
              </w:rPr>
              <w:t xml:space="preserve">[0.1359, 0.9847]</w:t>
            </w:r>
          </w:p>
        </w:tc>
      </w:tr>
      <w:tr>
        <w:tc>
          <w:tcPr>
            <w:tcW w:w="0" w:type="auto"/>
          </w:tcPr>
          <w:p>
            <w:pPr>
              <w:spacing w:line="240" w:lineRule="auto" w:before="0" w:after="0"/>
              <w:pStyle w:val="Compact"/>
            </w:pPr>
            <w:r>
              <w:rPr>
                <w:sz w:val="20"/>
                <w:szCs w:val="20"/>
              </w:rPr>
              <w:t xml:space="preserve">ln_cum_exp</w:t>
            </w:r>
          </w:p>
        </w:tc>
        <w:tc>
          <w:tcPr>
            <w:tcW w:w="0" w:type="auto"/>
          </w:tcPr>
          <w:p>
            <w:pPr>
              <w:spacing w:line="240" w:lineRule="auto" w:before="0" w:after="0"/>
              <w:pStyle w:val="Compact"/>
            </w:pPr>
            <w:r>
              <w:rPr>
                <w:sz w:val="20"/>
                <w:szCs w:val="20"/>
              </w:rPr>
              <w:t xml:space="preserve">0.1996</w:t>
            </w:r>
          </w:p>
        </w:tc>
        <w:tc>
          <w:tcPr>
            <w:tcW w:w="0" w:type="auto"/>
          </w:tcPr>
          <w:p>
            <w:pPr>
              <w:spacing w:line="240" w:lineRule="auto" w:before="0" w:after="0"/>
              <w:pStyle w:val="Compact"/>
            </w:pPr>
            <w:r>
              <w:rPr>
                <w:sz w:val="20"/>
                <w:szCs w:val="20"/>
              </w:rPr>
              <w:t xml:space="preserve">0.0986</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0.043</w:t>
            </w:r>
          </w:p>
        </w:tc>
        <w:tc>
          <w:tcPr>
            <w:tcW w:w="0" w:type="auto"/>
          </w:tcPr>
          <w:p>
            <w:pPr>
              <w:spacing w:line="240" w:lineRule="auto" w:before="0" w:after="0"/>
              <w:pStyle w:val="Compact"/>
            </w:pPr>
            <w:r>
              <w:rPr>
                <w:sz w:val="20"/>
                <w:szCs w:val="20"/>
              </w:rPr>
              <w:t xml:space="preserve">[0.0063, 0.3929]</w:t>
            </w:r>
          </w:p>
        </w:tc>
      </w:tr>
      <w:tr>
        <w:tc>
          <w:tcPr>
            <w:tcW w:w="0" w:type="auto"/>
          </w:tcPr>
          <w:p>
            <w:pPr>
              <w:spacing w:line="240" w:lineRule="auto" w:before="0" w:after="0"/>
              <w:pStyle w:val="Compact"/>
            </w:pPr>
            <w:r>
              <w:rPr>
                <w:sz w:val="20"/>
                <w:szCs w:val="20"/>
              </w:rPr>
              <w:t xml:space="preserve">ln_steps</w:t>
            </w:r>
          </w:p>
        </w:tc>
        <w:tc>
          <w:tcPr>
            <w:tcW w:w="0" w:type="auto"/>
          </w:tcPr>
          <w:p>
            <w:pPr>
              <w:spacing w:line="240" w:lineRule="auto" w:before="0" w:after="0"/>
              <w:pStyle w:val="Compact"/>
            </w:pPr>
            <w:r>
              <w:rPr>
                <w:sz w:val="20"/>
                <w:szCs w:val="20"/>
              </w:rPr>
              <w:t xml:space="preserve">-0.9375</w:t>
            </w:r>
          </w:p>
        </w:tc>
        <w:tc>
          <w:tcPr>
            <w:tcW w:w="0" w:type="auto"/>
          </w:tcPr>
          <w:p>
            <w:pPr>
              <w:spacing w:line="240" w:lineRule="auto" w:before="0" w:after="0"/>
              <w:pStyle w:val="Compact"/>
            </w:pPr>
            <w:r>
              <w:rPr>
                <w:sz w:val="20"/>
                <w:szCs w:val="20"/>
              </w:rPr>
              <w:t xml:space="preserve">0.1793</w:t>
            </w:r>
          </w:p>
        </w:tc>
        <w:tc>
          <w:tcPr>
            <w:tcW w:w="0" w:type="auto"/>
          </w:tcPr>
          <w:p>
            <w:pPr>
              <w:spacing w:line="240" w:lineRule="auto" w:before="0" w:after="0"/>
              <w:pStyle w:val="Compact"/>
            </w:pPr>
            <w:r>
              <w:rPr>
                <w:sz w:val="20"/>
                <w:szCs w:val="20"/>
              </w:rPr>
              <w:t xml:space="preserve">-5.2287</w:t>
            </w:r>
          </w:p>
        </w:tc>
        <w:tc>
          <w:tcPr>
            <w:tcW w:w="0" w:type="auto"/>
          </w:tcPr>
          <w:p>
            <w:pPr>
              <w:spacing w:line="240" w:lineRule="auto" w:before="0" w:after="0"/>
              <w:pStyle w:val="Compact"/>
            </w:pPr>
            <w:r>
              <w:rPr>
                <w:sz w:val="20"/>
                <w:szCs w:val="20"/>
              </w:rPr>
              <w:t xml:space="preserve">1.707e-07</w:t>
            </w:r>
          </w:p>
        </w:tc>
        <w:tc>
          <w:tcPr>
            <w:tcW w:w="0" w:type="auto"/>
          </w:tcPr>
          <w:p>
            <w:pPr>
              <w:spacing w:line="240" w:lineRule="auto" w:before="0" w:after="0"/>
              <w:pStyle w:val="Compact"/>
            </w:pPr>
            <w:r>
              <w:rPr>
                <w:sz w:val="20"/>
                <w:szCs w:val="20"/>
              </w:rPr>
              <w:t xml:space="preserve">[-1.2889, -0.5861]</w:t>
            </w:r>
          </w:p>
        </w:tc>
      </w:tr>
      <w:tr>
        <w:tc>
          <w:tcPr>
            <w:tcW w:w="0" w:type="auto"/>
          </w:tcPr>
          <w:p>
            <w:pPr>
              <w:spacing w:line="240" w:lineRule="auto" w:before="0" w:after="0"/>
              <w:pStyle w:val="Compact"/>
            </w:pPr>
            <w:r>
              <w:rPr>
                <w:sz w:val="20"/>
                <w:szCs w:val="20"/>
              </w:rPr>
              <w:t xml:space="preserve">syr_c</w:t>
            </w:r>
          </w:p>
        </w:tc>
        <w:tc>
          <w:tcPr>
            <w:tcW w:w="0" w:type="auto"/>
          </w:tcPr>
          <w:p>
            <w:pPr>
              <w:spacing w:line="240" w:lineRule="auto" w:before="0" w:after="0"/>
              <w:pStyle w:val="Compact"/>
            </w:pPr>
            <w:r>
              <w:rPr>
                <w:sz w:val="20"/>
                <w:szCs w:val="20"/>
              </w:rPr>
              <w:t xml:space="preserve">-0.0195</w:t>
            </w:r>
          </w:p>
        </w:tc>
        <w:tc>
          <w:tcPr>
            <w:tcW w:w="0" w:type="auto"/>
          </w:tcPr>
          <w:p>
            <w:pPr>
              <w:spacing w:line="240" w:lineRule="auto" w:before="0" w:after="0"/>
              <w:pStyle w:val="Compact"/>
            </w:pPr>
            <w:r>
              <w:rPr>
                <w:sz w:val="20"/>
                <w:szCs w:val="20"/>
              </w:rPr>
              <w:t xml:space="preserve">0.0228</w:t>
            </w:r>
          </w:p>
        </w:tc>
        <w:tc>
          <w:tcPr>
            <w:tcW w:w="0" w:type="auto"/>
          </w:tcPr>
          <w:p>
            <w:pPr>
              <w:spacing w:line="240" w:lineRule="auto" w:before="0" w:after="0"/>
              <w:pStyle w:val="Compact"/>
            </w:pPr>
            <w:r>
              <w:rPr>
                <w:sz w:val="20"/>
                <w:szCs w:val="20"/>
              </w:rPr>
              <w:t xml:space="preserve">-0.8573</w:t>
            </w:r>
          </w:p>
        </w:tc>
        <w:tc>
          <w:tcPr>
            <w:tcW w:w="0" w:type="auto"/>
          </w:tcPr>
          <w:p>
            <w:pPr>
              <w:spacing w:line="240" w:lineRule="auto" w:before="0" w:after="0"/>
              <w:pStyle w:val="Compact"/>
            </w:pPr>
            <w:r>
              <w:rPr>
                <w:sz w:val="20"/>
                <w:szCs w:val="20"/>
              </w:rPr>
              <w:t xml:space="preserve">0.3913</w:t>
            </w:r>
          </w:p>
        </w:tc>
        <w:tc>
          <w:tcPr>
            <w:tcW w:w="0" w:type="auto"/>
          </w:tcPr>
          <w:p>
            <w:pPr>
              <w:spacing w:line="240" w:lineRule="auto" w:before="0" w:after="0"/>
              <w:pStyle w:val="Compact"/>
            </w:pPr>
            <w:r>
              <w:rPr>
                <w:sz w:val="20"/>
                <w:szCs w:val="20"/>
              </w:rPr>
              <w:t xml:space="preserve">[-0.0641, 0.0251]</w:t>
            </w:r>
          </w:p>
        </w:tc>
      </w:tr>
    </w:tbl>
    <w:p>
      <w:pPr>
        <w:pStyle w:val="BodyText"/>
      </w:pPr>
      <w:r>
        <w:t xml:space="preserve">Fit: N = 45 R2 = 0.4324 R2_adj = 0.3908 F = 9.5055 F_p = 6.852e-05</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2" Target="https://doi.org/10.1016/j.actaastro.2022.03.038"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22.03.03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2026-06-22T20:31:43Z</dcterms:created>
  <dcterms:modified xsi:type="dcterms:W3CDTF">2026-06-22T20:31:43Z</dcterms:modified>
</cp:coreProperties>
</file>

<file path=docProps/custom.xml><?xml version="1.0" encoding="utf-8"?>
<Properties xmlns="http://schemas.openxmlformats.org/officeDocument/2006/custom-properties" xmlns:vt="http://schemas.openxmlformats.org/officeDocument/2006/docPropsVTypes"/>
</file>