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TECHNOLOGY LEARNING CURVES AT JPL: DO SUCCESSIVE TECHPORT INVESTMENTS IN A TECHNOLOGY CATEGORY LOWER THE MARGINAL COST OF SUBSEQUENT MATURATION?</w:t>
      </w:r>
    </w:p>
    <w:p>
      <w:pPr>
        <w:jc w:val="center"/>
      </w:pPr>
    </w:p>
    <w:p>
      <w:pPr>
        <w:jc w:val="center"/>
      </w:pPr>
      <w:r>
        <w:rPr>
          <w:rFonts w:ascii="Times New Roman" w:hAnsi="Times New Roman"/>
          <w:sz w:val="24"/>
        </w:rPr>
        <w:t>by</w:t>
      </w:r>
    </w:p>
    <w:p>
      <w:pPr>
        <w:jc w:val="center"/>
      </w:pPr>
      <w:r>
        <w:rPr>
          <w:rFonts w:ascii="Times New Roman" w:hAnsi="Times New Roman"/>
          <w:b/>
          <w:sz w:val="28"/>
        </w:rPr>
        <w:t>Nikolai Nilsson</w:t>
      </w:r>
    </w:p>
    <w:p>
      <w:pPr>
        <w:jc w:val="center"/>
      </w:pPr>
      <w:r>
        <w:rPr>
          <w:rFonts w:ascii="Times New Roman" w:hAnsi="Times New Roman"/>
          <w:sz w:val="24"/>
        </w:rPr>
        <w:t>1B-ATD-024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emise-under-examination"/>
    <w:p>
      <w:pPr>
        <w:pStyle w:val="Heading2"/>
        <w:spacing w:line="480" w:lineRule="auto"/>
      </w:pPr>
      <w:r>
        <w:t xml:space="preserve">1.1 The Premise Under Examination</w:t>
      </w:r>
    </w:p>
    <w:p>
      <w:pPr>
        <w:pStyle w:val="FirstParagraph"/>
        <w:spacing w:line="480" w:lineRule="auto"/>
      </w:pPr>
      <w:r>
        <w:t xml:space="preserve">Technology roadmaps for space systems rest on a premise about cost that is almost never written down because it is almost never doubted. The premise is that maturing the second and third members of a technology family is cheaper, per unit of advancement, than maturing the first. Tooling carries forward. Test infrastructure is amortized across successive entrants. Engineering judgment accumulated on the predecessor reduces the unknowns that the successor must resolve. Under this account, an institution that has already advanced one optical-interferometry sensor, one photonic-imaging line, or one low-cost optical-surveillance instrument should advance the next entrant in that line more cheaply, and a roadmapper who knows where the institution already holds depth should concentrate the next round of bets inside those categories. The premise is therefore not an idle belief. It is a sequencing rule. Sequencing rules allocate money.</w:t>
      </w:r>
    </w:p>
    <w:p>
      <w:pPr>
        <w:pStyle w:val="BodyText"/>
        <w:spacing w:line="480" w:lineRule="auto"/>
        <w:ind w:firstLine="720"/>
      </w:pPr>
      <w:r>
        <w:t xml:space="preserve">The institutional record reads, at first pass, as if the premise were settled. The SPIDER photonic-integrated-circuit interferometric imager appears across successive development years as a continuing line of work, each entrant promising substantial reductions in size, weight, power, and a corresponding reduction in cost</w:t>
      </w:r>
      <w:r>
        <w:t xml:space="preserve"> </w:t>
      </w:r>
      <w:hyperlink w:anchor="ref-1">
        <w:r>
          <w:rPr>
            <w:rStyle w:val="Hyperlink"/>
          </w:rPr>
          <w:t xml:space="preserve">[1]</w:t>
        </w:r>
      </w:hyperlink>
      <w:r>
        <w:t xml:space="preserve">[2][3]. Low-cost optical surveillance sensors are pursued explicitly as cheaper successors to heavier predecessors</w:t>
      </w:r>
      <w:r>
        <w:t xml:space="preserve"> </w:t>
      </w:r>
      <w:hyperlink w:anchor="ref-4">
        <w:r>
          <w:rPr>
            <w:rStyle w:val="Hyperlink"/>
          </w:rPr>
          <w:t xml:space="preserve">[4]</w:t>
        </w:r>
      </w:hyperlink>
      <w:r>
        <w:t xml:space="preserve">. Concept-stage cost methodology for advanced transportation systems goes further than anecdote and encodes the premise as a parameter, carrying an engineering-integration factor and a learning-curve factor inside the development-cost estimate of a single program</w:t>
      </w:r>
      <w:r>
        <w:t xml:space="preserve"> </w:t>
      </w:r>
      <w:hyperlink w:anchor="ref-5">
        <w:r>
          <w:rPr>
            <w:rStyle w:val="Hyperlink"/>
          </w:rPr>
          <w:t xml:space="preserve">[5]</w:t>
        </w:r>
      </w:hyperlink>
      <w:r>
        <w:t xml:space="preserve">. Economy-scale forecasts of the broader space sector attribute its growth to declining costs and accumulated technological advance</w:t>
      </w:r>
      <w:r>
        <w:t xml:space="preserve"> </w:t>
      </w:r>
      <w:hyperlink w:anchor="ref-6">
        <w:r>
          <w:rPr>
            <w:rStyle w:val="Hyperlink"/>
          </w:rPr>
          <w:t xml:space="preserve">[6]</w:t>
        </w:r>
      </w:hyperlink>
      <w:r>
        <w:t xml:space="preserve">[7]. The premise thus appears in three registers at once: asserted at the level of the sector, observed entrant by entrant within a single technology line, and formalized as an input to a single program’s cost model.</w:t>
      </w:r>
    </w:p>
    <w:p>
      <w:pPr>
        <w:pStyle w:val="BodyText"/>
        <w:spacing w:line="480" w:lineRule="auto"/>
        <w:ind w:firstLine="720"/>
      </w:pPr>
      <w:r>
        <w:t xml:space="preserve">The difficulty is that none of these three registers is the register in which the premise is actually invoked. A learning-curve factor assumed inside a cost model is a modeling choice, not a measurement. A cost reduction reported entrant by entrant within one line is a statement about a fixed problem advancing toward a fixed target, not about an institution accumulating transferable capability across a category. A sector-wide cost decline asserted in macro forecasts is a calendar-time trend that would lower costs whether or not any particular laboratory accumulated any particular experience. The premise that roadmaps actually price is none of these. It is a claim at the level of the institution and the technology category: that the Jet Propulsion Laboratory’s accumulated history inside a taxonomy family lowers the marginal cost of advancing the next project in that family. That claim sits in the missing middle. It lies between the single-program cost model and the sector-wide forecast, and it is the object this dissertation measures.</w:t>
      </w:r>
    </w:p>
    <w:bookmarkEnd w:id="61"/>
    <w:bookmarkStart w:id="62" w:name="X4eadb7c98a43edb3c61339d97014b9befbb92ba"/>
    <w:p>
      <w:pPr>
        <w:pStyle w:val="Heading2"/>
        <w:spacing w:line="480" w:lineRule="auto"/>
      </w:pPr>
      <w:r>
        <w:t xml:space="preserve">1.2 Why the Stakes Are Decision-Relevant for NASA and JPL</w:t>
      </w:r>
    </w:p>
    <w:p>
      <w:pPr>
        <w:pStyle w:val="FirstParagraph"/>
        <w:spacing w:line="480" w:lineRule="auto"/>
      </w:pPr>
      <w:r>
        <w:t xml:space="preserve">The Jet Propulsion Laboratory builds first-of-a-kind instruments and spacecraft, and its standing rests on flying capabilities that have never flown before. That ambition is expensive. The expense is specific and documented. Technologies that are still maturing when a project commits to a design are the technologies most likely to surprise the project later, and those surprises arrive as cost growth. The Government Accountability Office has restated across more than a decade of annual NASA assessments that maturing technology before a project enters product development reduces technology-related cost increases and schedule delays</w:t>
      </w:r>
      <w:r>
        <w:t xml:space="preserve"> </w:t>
      </w:r>
      <w:hyperlink w:anchor="ref-9">
        <w:r>
          <w:rPr>
            <w:rStyle w:val="Hyperlink"/>
          </w:rPr>
          <w:t xml:space="preserve">[9]</w:t>
        </w:r>
      </w:hyperlink>
      <w:r>
        <w:t xml:space="preserve">. The National Research Council’s study of cost growth in NASA Earth and space science missions documents the same pattern from the cost side, placing average mission cost growth between twenty-three and seventy-seven percent and attributing a disproportionate share to instrument and technology development, with a strongly skewed distribution in which a small minority of missions generates the great majority of dollar cost growth</w:t>
      </w:r>
      <w:r>
        <w:t xml:space="preserve"> </w:t>
      </w:r>
      <w:hyperlink w:anchor="ref-10">
        <w:r>
          <w:rPr>
            <w:rStyle w:val="Hyperlink"/>
          </w:rPr>
          <w:t xml:space="preserve">[10]</w:t>
        </w:r>
      </w:hyperlink>
      <w:r>
        <w:t xml:space="preserve">. Parametric cost-and-schedule modeling built on technology-readiness and system-hierarchy parameters treats readiness as a direct input to predicted cost risk, formalizing the intuition that lower readiness at a fixed milestone forecasts higher growth</w:t>
      </w:r>
      <w:r>
        <w:t xml:space="preserve"> </w:t>
      </w:r>
      <w:hyperlink w:anchor="ref-11">
        <w:r>
          <w:rPr>
            <w:rStyle w:val="Hyperlink"/>
          </w:rPr>
          <w:t xml:space="preserve">[11]</w:t>
        </w:r>
      </w:hyperlink>
      <w:r>
        <w:t xml:space="preserve">. The largest directed missions are the ones whose overruns draw the most scrutiny, and the National Research Council’s examination of NASA’s large strategic science missions devotes a chapter to the risks and realities of their cost overruns</w:t>
      </w:r>
      <w:r>
        <w:t xml:space="preserve"> </w:t>
      </w:r>
      <w:hyperlink w:anchor="ref-12">
        <w:r>
          <w:rPr>
            <w:rStyle w:val="Hyperlink"/>
          </w:rPr>
          <w:t xml:space="preserve">[12]</w:t>
        </w:r>
      </w:hyperlink>
      <w:r>
        <w:t xml:space="preserve">.</w:t>
      </w:r>
    </w:p>
    <w:p>
      <w:pPr>
        <w:pStyle w:val="BodyText"/>
        <w:spacing w:line="480" w:lineRule="auto"/>
        <w:ind w:firstLine="720"/>
      </w:pPr>
      <w:r>
        <w:t xml:space="preserve">If accumulated category experience is a genuine cost discount, then the sequencing and bundling of Advanced Technology Development investments is a lever on total maturation cost. Roadmaps should concentrate successive bets inside categories where the institution already holds experience, and an FFRDC advising a sponsor should counsel the sponsor to do so. If, on the other hand, no such discount is measurable once the size of an advancement and its vintage are held fixed, then the cost reduction that roadmappers implicitly book against institutional history is unfunded, and category history should not be treated as a price reduction. The two findings are not symmetric pieces of trivia. They point in opposite directions on the single most consequential question a technology-investment program faces, which is where to place the next dollar, and either finding changes how a national laboratory advises its sponsor. The contribution of this dissertation is to resolve that question against the program record rather than against intuition.</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The gap that motivates this work is not a gap of attention. Both the space-technology domain literature and the econometric experience-curve method literature are mature. The gap is that they have not been joined at the level where the premise lives.</w:t>
      </w:r>
    </w:p>
    <w:p>
      <w:pPr>
        <w:pStyle w:val="BodyText"/>
        <w:spacing w:line="480" w:lineRule="auto"/>
        <w:ind w:firstLine="720"/>
      </w:pPr>
      <w:r>
        <w:t xml:space="preserve">On the domain side, the retrieved record establishes every component of the claim except the claim itself. Individual technology lines document cost-and-SWaP reduction as a design aspiration and report progress entrant by entrant</w:t>
      </w:r>
      <w:r>
        <w:t xml:space="preserve"> </w:t>
      </w:r>
      <w:hyperlink w:anchor="ref-1">
        <w:r>
          <w:rPr>
            <w:rStyle w:val="Hyperlink"/>
          </w:rPr>
          <w:t xml:space="preserve">[1]</w:t>
        </w:r>
      </w:hyperlink>
      <w:r>
        <w:t xml:space="preserve">[2][3][4]. Technology-roadmapping methodology supplies the functional form by which experience is supposed to scale cost, but it does so as an input to a single program’s development-cost estimate rather than as a quantity estimated from a portfolio</w:t>
      </w:r>
      <w:r>
        <w:t xml:space="preserve"> </w:t>
      </w:r>
      <w:hyperlink w:anchor="ref-5">
        <w:r>
          <w:rPr>
            <w:rStyle w:val="Hyperlink"/>
          </w:rPr>
          <w:t xml:space="preserve">[5]</w:t>
        </w:r>
      </w:hyperlink>
      <w:r>
        <w:t xml:space="preserve">. Economy-scale forecasts assert that declining costs and accumulated advance drive sectoral growth, but they do not resolve that aggregate into project-level, category-conditioned learning</w:t>
      </w:r>
      <w:r>
        <w:t xml:space="preserve"> </w:t>
      </w:r>
      <w:hyperlink w:anchor="ref-6">
        <w:r>
          <w:rPr>
            <w:rStyle w:val="Hyperlink"/>
          </w:rPr>
          <w:t xml:space="preserve">[6]</w:t>
        </w:r>
      </w:hyperlink>
      <w:r>
        <w:t xml:space="preserve">[7]. The domain literature, in short, supplies the intuition, the formula, and the macro trend, but it does not supply a measurement of the parameter at the institution-and-category scale.</w:t>
      </w:r>
    </w:p>
    <w:p>
      <w:pPr>
        <w:pStyle w:val="BodyText"/>
        <w:spacing w:line="480" w:lineRule="auto"/>
        <w:ind w:firstLine="720"/>
      </w:pPr>
      <w:r>
        <w:t xml:space="preserve">On the method side, the experience-curve tradition is precise about what such a measurement would require. Cumulative output or cumulative development experience enters cost log-linearly; the slope of log cost on log cumulative experience is the experience elasticity; and a progress ratio translates a doubling of experience into a fractional cost change. The method literature knows how to identify this elasticity, how to partial out a confounding calendar-time trend with vintage fixed effects, how to absorb fixed cross-category cost differences with category fixed effects, and how to defend the estimate against selection into repeat investment. What the method literature has not been handed, in the space-technology setting, is the program-of-record panel on which to run the estimator. The two halves of the problem have therefore remained apart. The domain literature has the phenomenon without the parameter; the method literature has the estimator without the data. This dissertation closes the gap by constructing the panel from NASA TechPort, the agency’s public technology-portfolio system of record</w:t>
      </w:r>
      <w:r>
        <w:t xml:space="preserve"> </w:t>
      </w:r>
      <w:hyperlink w:anchor="ref-8">
        <w:r>
          <w:rPr>
            <w:rStyle w:val="Hyperlink"/>
          </w:rPr>
          <w:t xml:space="preserve">[8]</w:t>
        </w:r>
      </w:hyperlink>
      <w:r>
        <w:t xml:space="preserve">, and applying the experience-curve estimator to it under a pre-registered specification.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estimated quantity with a pre-committed sign: the within-category experience elasticity of per-step maturation cost for JPL-led Advanced Technology Development projects, denoted beta.</w:t>
      </w:r>
    </w:p>
    <w:p>
      <w:pPr>
        <w:pStyle w:val="BodyText"/>
        <w:spacing w:line="480" w:lineRule="auto"/>
        <w:ind w:firstLine="720"/>
      </w:pPr>
      <w:r>
        <w:t xml:space="preserve">Cumulative experience in a technology category is measured at a project’s start by the count, and where the public record permits the summed prior funding, of earlier JPL projects in the same taxonomy family. Per-step maturation cost is the project’s resource expenditure divided by the number of Technology Readiness Levels it advances. The study regresses log per-step cost on log cumulative category experience, conditioning on the scope of the advancement and on the project’s vintage, so that beta is read at a constant step size and net of any sector-wide cost-time trend. The hypotheses are stated so that the contribution can be falsified by the data and not merely illustrated by them.</w:t>
      </w:r>
    </w:p>
    <w:p>
      <w:pPr>
        <w:pStyle w:val="Compact"/>
        <w:spacing w:line="480" w:lineRule="auto"/>
        <w:numPr>
          <w:ilvl w:val="0"/>
          <w:numId w:val="1001"/>
        </w:numPr>
      </w:pPr>
      <w:r>
        <w:rPr>
          <w:b/>
          <w:bCs/>
        </w:rPr>
        <w:t xml:space="preserve">H0 (null):</w:t>
      </w:r>
      <w:r>
        <w:t xml:space="preserve"> </w:t>
      </w:r>
      <w:r>
        <w:t xml:space="preserve">beta is not distinguishable from zero. Cumulative prior investment in a technology category does not lower the marginal per-step cost of the next JPL project in that category once the size of the advancement and the project vintage are held fixed.</w:t>
      </w:r>
    </w:p>
    <w:p>
      <w:pPr>
        <w:pStyle w:val="Compact"/>
        <w:spacing w:line="480" w:lineRule="auto"/>
        <w:numPr>
          <w:ilvl w:val="0"/>
          <w:numId w:val="1001"/>
        </w:numPr>
      </w:pPr>
      <w:r>
        <w:rPr>
          <w:b/>
          <w:bCs/>
        </w:rPr>
        <w:t xml:space="preserve">H1 (alternative):</w:t>
      </w:r>
      <w:r>
        <w:t xml:space="preserve"> </w:t>
      </w:r>
      <w:r>
        <w:t xml:space="preserve">beta is negative and bounded away from zero. Each doubling of cumulative category experience is associated with a statistically reliable reduction in per-step maturation cost.</w:t>
      </w:r>
    </w:p>
    <w:p>
      <w:pPr>
        <w:pStyle w:val="FirstParagraph"/>
        <w:spacing w:line="480" w:lineRule="auto"/>
      </w:pPr>
      <w:r>
        <w:t xml:space="preserve">The contribution is falsified if beta is null or positive under the pre-registered specification, and it is confirmed, and quantified, if beta is negative and survives the robustness battery. This framing is deliberate. It commits the study in advance to a sign, so that the roadmapping premise is genuinely at risk and the exercise is a test rather than a demonstration.</w:t>
      </w:r>
    </w:p>
    <w:p>
      <w:pPr>
        <w:pStyle w:val="BodyText"/>
        <w:spacing w:line="480" w:lineRule="auto"/>
        <w:ind w:firstLine="720"/>
      </w:pPr>
      <w:r>
        <w:t xml:space="preserve">The decisive finding of this dissertation is that the estimated quantity does not carry the sign the roadmapping premise requires. On the JPL Advanced Technology Development portfolio assembled from TechPort, with the size of the advancement and the project vintage held fixed, the within-category experience elasticity is positive rather than negative, of the order of 0.20, bounded away from zero at conventional significance, with the strongest term in the model being the scope control on the number of Technology Readiness Levels advanced. Read as an elasticity, each doubling of accumulated within-category experience is associated with an increase, not a decrease, in per-step maturation span. H1, which required a negative beta, is rejected; H0 is also rejected, but on the side opposite to learning. The data do not merely fail to find a category-experience discount. They find a reliable experience penalty once scope and vintage are controlled. The premise that roadmaps price against institutional category history is, in this record, contradicted in sign.</w:t>
      </w:r>
    </w:p>
    <w:p>
      <w:pPr>
        <w:pStyle w:val="BodyText"/>
        <w:spacing w:line="480" w:lineRule="auto"/>
        <w:ind w:firstLine="720"/>
      </w:pPr>
      <w:r>
        <w:t xml:space="preserve">That result is disciplining rather than nihilistic, and the dissertation is careful to say what it does and does not overturn. Two readings reconcile the contrary estimate with the genuine, entrant-by-entrant progress visible inside individual technology lines. The first is selection on difficulty: JPL returns repeatedly to the categories that keep posing the hardest unsolved problems, precisely because those are the categories worth a national laboratory’s sustained attention, so accumulated family depth coincides with rising rather than falling per-step difficulty even while a fixed problem advances toward its target</w:t>
      </w:r>
      <w:r>
        <w:t xml:space="preserve"> </w:t>
      </w:r>
      <w:hyperlink w:anchor="ref-1">
        <w:r>
          <w:rPr>
            <w:rStyle w:val="Hyperlink"/>
          </w:rPr>
          <w:t xml:space="preserve">[1]</w:t>
        </w:r>
      </w:hyperlink>
      <w:r>
        <w:t xml:space="preserve">[2][3][4]. The second is that the public record measures span rather than dollars, and a laboratory grown experienced in a category may invest more deliberately in each later step than it dared on a first, riskier entrant. Both readings caution against carrying the embedded learning factor</w:t>
      </w:r>
      <w:r>
        <w:t xml:space="preserve"> </w:t>
      </w:r>
      <w:hyperlink w:anchor="ref-5">
        <w:r>
          <w:rPr>
            <w:rStyle w:val="Hyperlink"/>
          </w:rPr>
          <w:t xml:space="preserve">[5]</w:t>
        </w:r>
      </w:hyperlink>
      <w:r>
        <w:t xml:space="preserve"> </w:t>
      </w:r>
      <w:r>
        <w:t xml:space="preserve">unexamined from a single-program cost estimate to a portfolio sequencing rule.</w:t>
      </w:r>
    </w:p>
    <w:bookmarkEnd w:id="64"/>
    <w:bookmarkStart w:id="65" w:name="X235013ab8f52fbb072f4f6eaa377736c3cfedd9"/>
    <w:p>
      <w:pPr>
        <w:pStyle w:val="Heading2"/>
        <w:spacing w:line="480" w:lineRule="auto"/>
      </w:pPr>
      <w:r>
        <w:t xml:space="preserve">1.5 The Complementary Mechanism: Immaturity at the Design Freeze</w:t>
      </w:r>
    </w:p>
    <w:p>
      <w:pPr>
        <w:pStyle w:val="FirstParagraph"/>
        <w:spacing w:line="480" w:lineRule="auto"/>
      </w:pPr>
      <w:r>
        <w:t xml:space="preserve">A learning-curve account of JPL investment presumes that maturation is doing real work, and the integrity of that presumption can be tested at a second level. If maturing a technology before a project commits to a design does not measurably restrain cost growth, then the case for sustained, successive technology investment weakens regardless of what the category-experience elasticity turns out to be. This dissertation therefore pairs the portfolio-level experience estimate with a mission-level test of the complementary mechanism: the penalty a project pays when its enabling technology is not yet ready at the moment the design is frozen.</w:t>
      </w:r>
    </w:p>
    <w:p>
      <w:pPr>
        <w:pStyle w:val="BodyText"/>
        <w:spacing w:line="480" w:lineRule="auto"/>
        <w:ind w:firstLine="720"/>
      </w:pPr>
      <w:r>
        <w:t xml:space="preserve">Across a documented cross-section of NASA and JPL missions, the study asks a sharper question. Does carrying immature technology, below Technology Readiness Level 6, into the preliminary design review raise the development cost growth a project subsequently records, once the number of critical technologies and the mission’s flagship status are held fixed? The expectation is directional and is grounded in the institutional and parametric literatures alike</w:t>
      </w:r>
      <w:r>
        <w:t xml:space="preserve"> </w:t>
      </w:r>
      <w:hyperlink w:anchor="ref-9">
        <w:r>
          <w:rPr>
            <w:rStyle w:val="Hyperlink"/>
          </w:rPr>
          <w:t xml:space="preserve">[9]</w:t>
        </w:r>
      </w:hyperlink>
      <w:r>
        <w:t xml:space="preserve">[11]. The finding is that technology immaturity at the design freeze is associated with roughly nineteen additional percentage points of development cost growth, an estimate that is precise and that survives the controls. The count of critical technologies carries its own additive penalty, while the flagship indicator is an informative null: once readiness and breadth are held fixed, being a Category-1 directed mission carries no independent association with cost growth</w:t>
      </w:r>
      <w:r>
        <w:t xml:space="preserve"> </w:t>
      </w:r>
      <w:hyperlink w:anchor="ref-12">
        <w:r>
          <w:rPr>
            <w:rStyle w:val="Hyperlink"/>
          </w:rPr>
          <w:t xml:space="preserve">[12]</w:t>
        </w:r>
      </w:hyperlink>
      <w:r>
        <w:t xml:space="preserve">. The intuition that the largest directed missions overrun simply because they are large is not supported. What travels under the label of flagship cost growth is, in this sample, the readiness and breadth of the technology those missions attempt, not their budget category by itself.</w:t>
      </w:r>
    </w:p>
    <w:p>
      <w:pPr>
        <w:pStyle w:val="BodyText"/>
        <w:spacing w:line="480" w:lineRule="auto"/>
        <w:ind w:firstLine="720"/>
      </w:pPr>
      <w:r>
        <w:t xml:space="preserve">The two halves of the dissertation speak to one managerial question from two directions. The portfolio paper asks whether accumulated category experience cheapens the next maturation step, and finds, against the premise, that it does not. The mission paper asks whether finishing maturation before the design freeze restrains downstream cost growth, and finds, in support of the underlying logic of maturation, that it does. Read together, they relocate the policy lever. The lever is not the accumulation of category history by itself, which the program record does not price as a discount. The lever is the timing of maturation relative to the design milestone, which the program record prices at roughly nineteen points of cost growth. A sustained, successive technology-investment program is positioned to move that lever by pulling a capability to readiness before a project commits to it, converting a downstream cost-growth penalty into an upstream and typically cheaper maturation expense</w:t>
      </w:r>
      <w:r>
        <w:t xml:space="preserve"> </w:t>
      </w:r>
      <w:hyperlink w:anchor="ref-9">
        <w:r>
          <w:rPr>
            <w:rStyle w:val="Hyperlink"/>
          </w:rPr>
          <w:t xml:space="preserve">[9]</w:t>
        </w:r>
      </w:hyperlink>
      <w:r>
        <w:t xml:space="preserve">[11].</w:t>
      </w:r>
    </w:p>
    <w:bookmarkEnd w:id="65"/>
    <w:bookmarkStart w:id="66" w:name="scope-data-and-provenance"/>
    <w:p>
      <w:pPr>
        <w:pStyle w:val="Heading2"/>
        <w:spacing w:line="480" w:lineRule="auto"/>
      </w:pPr>
      <w:r>
        <w:t xml:space="preserve">1.6 Scope, Data, and Provenance</w:t>
      </w:r>
    </w:p>
    <w:p>
      <w:pPr>
        <w:pStyle w:val="FirstParagraph"/>
        <w:spacing w:line="480" w:lineRule="auto"/>
      </w:pPr>
      <w:r>
        <w:t xml:space="preserve">The empirical work is built on real, obtainable, public-release data. The portfolio analysis draws on NASA TechPort, the agency’s public technology-portfolio system of record, accessed through its public REST interface</w:t>
      </w:r>
      <w:r>
        <w:t xml:space="preserve"> </w:t>
      </w:r>
      <w:hyperlink w:anchor="ref-8">
        <w:r>
          <w:rPr>
            <w:rStyle w:val="Hyperlink"/>
          </w:rPr>
          <w:t xml:space="preserve">[8]</w:t>
        </w:r>
      </w:hyperlink>
      <w:r>
        <w:t xml:space="preserve">. TechPort exposes, per project, a stable identifier, a title, a lead organization that permits restriction to JPL-led work, start and end Technology Readiness Levels, start and end dates, and a NASA Technology Taxonomy classification that operationalizes the technology category. Projects are pulled, filtered to the Jet Propulsion Laboratory or its operating institution as lead, de-duplicated on project identifier, assigned to a taxonomy family, and ordered by start date so that each observation’s cumulative-experience regressor is built only from records that predate it. Every analyzed observation carries its own TechPort project URL as a source field, so each row is independently traceable to the public record. Because TechPort withholds project dollars in public release, the per-step resource is measured by the project’s span in years per Technology Readiness Level step, the fully observed surrogate the public record supports, with a funding-based replication left available to any successor study that gains access to project dollars.</w:t>
      </w:r>
    </w:p>
    <w:p>
      <w:pPr>
        <w:pStyle w:val="BodyText"/>
        <w:spacing w:line="480" w:lineRule="auto"/>
        <w:ind w:firstLine="720"/>
      </w:pPr>
      <w:r>
        <w:t xml:space="preserve">The mission-level analysis draws its cross-section from the GAO NASA major-project assessment series</w:t>
      </w:r>
      <w:r>
        <w:t xml:space="preserve"> </w:t>
      </w:r>
      <w:hyperlink w:anchor="ref-9">
        <w:r>
          <w:rPr>
            <w:rStyle w:val="Hyperlink"/>
          </w:rPr>
          <w:t xml:space="preserve">[9]</w:t>
        </w:r>
      </w:hyperlink>
      <w:r>
        <w:t xml:space="preserve">, the National Research Council’s cost-growth study</w:t>
      </w:r>
      <w:r>
        <w:t xml:space="preserve"> </w:t>
      </w:r>
      <w:hyperlink w:anchor="ref-10">
        <w:r>
          <w:rPr>
            <w:rStyle w:val="Hyperlink"/>
          </w:rPr>
          <w:t xml:space="preserve">[10]</w:t>
        </w:r>
      </w:hyperlink>
      <w:r>
        <w:t xml:space="preserve">, NASA Office of Inspector General audits, and compiled mission cost records, with each observation again carrying its source. Cost growth is measured against the project’s baseline or confirmation estimate, and the technology-maturity indicator follows the below-TRL-6-at-PDR criterion the GAO applies in each annual assessment</w:t>
      </w:r>
      <w:r>
        <w:t xml:space="preserve"> </w:t>
      </w:r>
      <w:hyperlink w:anchor="ref-9">
        <w:r>
          <w:rPr>
            <w:rStyle w:val="Hyperlink"/>
          </w:rPr>
          <w:t xml:space="preserve">[9]</w:t>
        </w:r>
      </w:hyperlink>
      <w:r>
        <w:t xml:space="preserve">. The sample mean cost growth tracks the portfolio-wide figure the GAO reported for its mid-decade NASA assessment, which provides external evidence that the cross-section is representative rather than selected</w:t>
      </w:r>
      <w:r>
        <w:t xml:space="preserve"> </w:t>
      </w:r>
      <w:hyperlink w:anchor="ref-9">
        <w:r>
          <w:rPr>
            <w:rStyle w:val="Hyperlink"/>
          </w:rPr>
          <w:t xml:space="preserve">[9]</w:t>
        </w:r>
      </w:hyperlink>
      <w:r>
        <w:t xml:space="preserve">.</w:t>
      </w:r>
    </w:p>
    <w:p>
      <w:pPr>
        <w:pStyle w:val="BodyText"/>
        <w:spacing w:line="480" w:lineRule="auto"/>
        <w:ind w:firstLine="720"/>
      </w:pPr>
      <w:r>
        <w:t xml:space="preserve">The threats to validity are confronted directly in the chapters that follow. Selection on maturability and on difficulty is the central concern for the portfolio estimate, and the within-category estimator with category and vintage fixed effects is the principal defense. A confounding sectoral cost decline</w:t>
      </w:r>
      <w:r>
        <w:t xml:space="preserve"> </w:t>
      </w:r>
      <w:hyperlink w:anchor="ref-6">
        <w:r>
          <w:rPr>
            <w:rStyle w:val="Hyperlink"/>
          </w:rPr>
          <w:t xml:space="preserve">[6]</w:t>
        </w:r>
      </w:hyperlink>
      <w:r>
        <w:t xml:space="preserve">[7] is partialled out by the vintage control. The ordinal, self-reported nature of the Technology Readiness Level scale, the instability of the NASA Technology Taxonomy across vintages, and the heterogeneity of funding fields are each addressed by a corresponding robustness specification. For the mission-level estimate, the modest sample, the binary maturity indicator, and the uneven publication of per-mission baseline-to-final accounting are stated as bounding limitations rather than hidden, and none of them overturns the central finding.</w:t>
      </w:r>
    </w:p>
    <w:bookmarkEnd w:id="66"/>
    <w:bookmarkStart w:id="67" w:name="roadmap-of-the-dissertation"/>
    <w:p>
      <w:pPr>
        <w:pStyle w:val="Heading2"/>
        <w:spacing w:line="480" w:lineRule="auto"/>
      </w:pPr>
      <w:r>
        <w:t xml:space="preserve">1.7 Roadmap of the Dissertation</w:t>
      </w:r>
    </w:p>
    <w:p>
      <w:pPr>
        <w:pStyle w:val="FirstParagraph"/>
        <w:spacing w:line="480" w:lineRule="auto"/>
      </w:pPr>
      <w:r>
        <w:t xml:space="preserve">The dissertation proceeds as follows. Chapter 2 reviews the two literatures the study joins: the space-technology domain literature that supplies the phenomenon and the learning-curve method literature that supplies the estimator, locating precisely the missing-middle parameter that no retrieved source measures. Chapter 3 develops the theory, lifting the experience-curve device from the single-program cost estimate</w:t>
      </w:r>
      <w:r>
        <w:t xml:space="preserve"> </w:t>
      </w:r>
      <w:hyperlink w:anchor="ref-5">
        <w:r>
          <w:rPr>
            <w:rStyle w:val="Hyperlink"/>
          </w:rPr>
          <w:t xml:space="preserve">[5]</w:t>
        </w:r>
      </w:hyperlink>
      <w:r>
        <w:t xml:space="preserve"> </w:t>
      </w:r>
      <w:r>
        <w:t xml:space="preserve">to the institution-and-category portfolio and stating the two competing readings of the institutional record, learning versus selection on difficulty, that the sign of beta adjudicates. Chapter 4 specifies the data and the construction of the TechPort panel</w:t>
      </w:r>
      <w:r>
        <w:t xml:space="preserve"> </w:t>
      </w:r>
      <w:hyperlink w:anchor="ref-8">
        <w:r>
          <w:rPr>
            <w:rStyle w:val="Hyperlink"/>
          </w:rPr>
          <w:t xml:space="preserve">[8]</w:t>
        </w:r>
      </w:hyperlink>
      <w:r>
        <w:t xml:space="preserve">, including the taxonomy harmonization, the JPL restriction, the date-ordered cumulative-experience regressor, and the span-per-step dependent variable. Chapter 5 reports the portfolio-level experience-curve estimate and its robustness battery, establishing the positive and statistically reliable elasticity that rejects H1 and rejects H0 on the side opposite to learning. Chapter 6 turns to the complementary mission-level mechanism, presenting the fixed-scope cross-section that quantifies the development cost-growth penalty of carrying immature technology into the preliminary design review</w:t>
      </w:r>
      <w:r>
        <w:t xml:space="preserve"> </w:t>
      </w:r>
      <w:hyperlink w:anchor="ref-9">
        <w:r>
          <w:rPr>
            <w:rStyle w:val="Hyperlink"/>
          </w:rPr>
          <w:t xml:space="preserve">[9]</w:t>
        </w:r>
      </w:hyperlink>
      <w:r>
        <w:t xml:space="preserve">[10][11][12]. Chapter 7 integrates the two findings, draws out their joint managerial reading for NASA and JPL technology investment, states the limitations that bound the claims, and identifies the funding-based replication and graded-readiness extensions that a successor study should pursue. The through-line is consistent across the chapters: at the level at which the roadmapping premise is actually invoked, the institution and the technology category, prior investment is not by itself a price reduction on the next step, and the lever that the program record does price is the timing of maturation relative to the design milestone rather than the depth of category history.</w:t>
      </w:r>
    </w:p>
    <w:bookmarkEnd w:id="67"/>
    <w:bookmarkEnd w:id="68"/>
    <w:bookmarkStart w:id="82" w:name="chapter-2.-literature-review"/>
    <w:p>
      <w:pPr>
        <w:pStyle w:val="Heading1"/>
        <w:spacing w:line="480" w:lineRule="auto"/>
      </w:pPr>
      <w:r>
        <w:t xml:space="preserve">Chapter 2. Literature Review</w:t>
      </w:r>
    </w:p>
    <w:bookmarkStart w:id="69" w:name="Xad3d49a2ec1eb099899367564b9440894d67f75"/>
    <w:p>
      <w:pPr>
        <w:pStyle w:val="Heading2"/>
        <w:spacing w:line="480" w:lineRule="auto"/>
      </w:pPr>
      <w:r>
        <w:t xml:space="preserve">2.1 Orientation: Two Literatures That Do Not Speak to One Another</w:t>
      </w:r>
    </w:p>
    <w:p>
      <w:pPr>
        <w:pStyle w:val="FirstParagraph"/>
        <w:spacing w:line="480" w:lineRule="auto"/>
      </w:pPr>
      <w:r>
        <w:t xml:space="preserve">The premise that motivates this dissertation is institutionally ordinary and empirically untested. Program managers, technology roadmappers, and the cost analysts who advise them routinely assume that an organization which has already advanced one member of a technology family will mature the next member more cheaply, because tooling, test infrastructure, and engineering judgment carry forward</w:t>
      </w:r>
      <w:r>
        <w:t xml:space="preserve"> </w:t>
      </w:r>
      <w:hyperlink w:anchor="ref-5">
        <w:r>
          <w:rPr>
            <w:rStyle w:val="Hyperlink"/>
          </w:rPr>
          <w:t xml:space="preserve">[5]</w:t>
        </w:r>
      </w:hyperlink>
      <w:r>
        <w:t xml:space="preserve">[6][7]. The assumption is so embedded in practice that it is rarely stated as a hypothesis; it functions instead as a background warrant for how investment is sequenced. The task of this chapter is to show that the warrant rests on two bodies of work that have grown up independently and have never been joined. The first is the domain technical literature: the engineering reports, technology-area roadmaps, and mission cost-growth studies that describe, entrant by entrant and mission by mission, how space technologies mature and what that maturation costs. The second is the cliometric and econometric methodology literature: the family of experience-curve, learning-curve, and fixed-effects estimators that quantify how cost responds to accumulated experience, and that supply the functional form into which the domain claim could, in principle, be poured. Each literature is internally mature. Neither has been asked to do the other’s work. The contribution of this study lives precisely in the seam between them, and the purpose of this review is to map that seam with enough rigor that the gap becomes a falsifiable target rather than a rhetorical gesture.</w:t>
      </w:r>
    </w:p>
    <w:p>
      <w:pPr>
        <w:pStyle w:val="BodyText"/>
        <w:spacing w:line="480" w:lineRule="auto"/>
        <w:ind w:firstLine="720"/>
      </w:pPr>
      <w:r>
        <w:t xml:space="preserve">The chapter proceeds in five movements. Section 2.2 reviews the domain technical literature on technology maturation in the space sector, organized around three strands: the entrant-by-entrant reporting of individual technology lines, the roadmapping and technology-readiness apparatus that governs how those lines are sequenced, and the mission-level cost-growth literature that documents what immature technology costs once a project commits to it. Section 2.3 reviews the cliometric and econometric methodology literature, tracing the experience curve from its industrial origins through its log-linear formalization to the panel and fixed-effects techniques that discipline its identification. Section 2.4 examines the one place where the two literatures touch, the embedded learning-curve and technology-readiness-level cost factors used in concept-stage cost estimation, and shows why that contact point is an assumption rather than an estimate. Section 2.5 synthesizes the two literatures and locates the gap with precision. Section 2.6 states how the present study, and the two companion papers that anchor it, close that gap.</w:t>
      </w:r>
    </w:p>
    <w:bookmarkEnd w:id="69"/>
    <w:bookmarkStart w:id="74" w:name="X8b164926475275c4838f924546790ca03d95ae2"/>
    <w:p>
      <w:pPr>
        <w:pStyle w:val="Heading2"/>
        <w:spacing w:line="480" w:lineRule="auto"/>
      </w:pPr>
      <w:r>
        <w:t xml:space="preserve">2.2 The Domain Technical Literature: Maturation, Roadmaps, and Cost Growth</w:t>
      </w:r>
    </w:p>
    <w:bookmarkStart w:id="70" w:name="X17b079ab9340f8f147b9409a6f719c0fd2f3310"/>
    <w:p>
      <w:pPr>
        <w:pStyle w:val="Heading3"/>
        <w:spacing w:line="480" w:lineRule="auto"/>
      </w:pPr>
      <w:r>
        <w:t xml:space="preserve">2.2.1 Technology Lines as Cumulative Progressions</w:t>
      </w:r>
    </w:p>
    <w:p>
      <w:pPr>
        <w:pStyle w:val="FirstParagraph"/>
        <w:spacing w:line="480" w:lineRule="auto"/>
      </w:pPr>
      <w:r>
        <w:t xml:space="preserve">The most immediate evidence for an institutional learning effect in space technology is the way individual technology lines are reported. A single capability is pursued across successive development cycles, and each entrant is presented as cheaper, smaller, or more capable than its predecessor. The SPIDER photonic-integrated-circuit interferometric imager is the canonical instance retrieved here. Across three consecutive development years the SPIDER line appears as a continuing program of work, each report advancing the same architecture and each promising substantial reductions in size, weight, power, and cost relative to the conventional telescope it would replace</w:t>
      </w:r>
      <w:r>
        <w:t xml:space="preserve"> </w:t>
      </w:r>
      <w:hyperlink w:anchor="ref-1">
        <w:r>
          <w:rPr>
            <w:rStyle w:val="Hyperlink"/>
          </w:rPr>
          <w:t xml:space="preserve">[1]</w:t>
        </w:r>
      </w:hyperlink>
      <w:r>
        <w:t xml:space="preserve">[2][3]. The 2015 and 2016 updates frame the chip-scale imaging sensor as a next-generation device whose value proposition is explicitly a reduction in the resources a comparable imaging mission would otherwise demand</w:t>
      </w:r>
      <w:r>
        <w:t xml:space="preserve"> </w:t>
      </w:r>
      <w:hyperlink w:anchor="ref-2">
        <w:r>
          <w:rPr>
            <w:rStyle w:val="Hyperlink"/>
          </w:rPr>
          <w:t xml:space="preserve">[2]</w:t>
        </w:r>
      </w:hyperlink>
      <w:r>
        <w:t xml:space="preserve">[3], and the 2017 testbed experiment reports empirical progress against that proposition</w:t>
      </w:r>
      <w:r>
        <w:t xml:space="preserve"> </w:t>
      </w:r>
      <w:hyperlink w:anchor="ref-1">
        <w:r>
          <w:rPr>
            <w:rStyle w:val="Hyperlink"/>
          </w:rPr>
          <w:t xml:space="preserve">[1]</w:t>
        </w:r>
      </w:hyperlink>
      <w:r>
        <w:t xml:space="preserve">. Read as a sequence, the three reports invite exactly the inference the roadmapping premise depends on: that the laboratory pursuing this line is descending a cost-and-resource curve as it accumulates experience with the architecture.</w:t>
      </w:r>
    </w:p>
    <w:p>
      <w:pPr>
        <w:pStyle w:val="BodyText"/>
        <w:spacing w:line="480" w:lineRule="auto"/>
        <w:ind w:firstLine="720"/>
      </w:pPr>
      <w:r>
        <w:t xml:space="preserve">The same pattern appears in the low-cost optical-surveillance sensor literature. A novel low-cost low-Earth-orbit optical surveillance sensor is developed and tested as a deliberately cheaper successor to heavier predecessors, with cost reduction framed not as an accident but as the design objective</w:t>
      </w:r>
      <w:r>
        <w:t xml:space="preserve"> </w:t>
      </w:r>
      <w:hyperlink w:anchor="ref-4">
        <w:r>
          <w:rPr>
            <w:rStyle w:val="Hyperlink"/>
          </w:rPr>
          <w:t xml:space="preserve">[4]</w:t>
        </w:r>
      </w:hyperlink>
      <w:r>
        <w:t xml:space="preserve">. The literature on space-surveillance instrumentation more broadly is replete with this framing: sensor and telescope capabilities are advanced through partnerships and iterative development, with each cycle positioned against the cost and performance of what came before</w:t>
      </w:r>
      <w:r>
        <w:t xml:space="preserve"> </w:t>
      </w:r>
      <w:hyperlink w:anchor="ref-13">
        <w:r>
          <w:rPr>
            <w:rStyle w:val="Hyperlink"/>
          </w:rPr>
          <w:t xml:space="preserve">[13]</w:t>
        </w:r>
      </w:hyperlink>
      <w:r>
        <w:t xml:space="preserve">[16]. University partnerships are reported as a mechanism by which the space-surveillance technology area accrues capability over time</w:t>
      </w:r>
      <w:r>
        <w:t xml:space="preserve"> </w:t>
      </w:r>
      <w:hyperlink w:anchor="ref-16">
        <w:r>
          <w:rPr>
            <w:rStyle w:val="Hyperlink"/>
          </w:rPr>
          <w:t xml:space="preserve">[16]</w:t>
        </w:r>
      </w:hyperlink>
      <w:r>
        <w:t xml:space="preserve">, and operational mission systems are advanced through staged application-development environments that presume cumulative institutional learning</w:t>
      </w:r>
      <w:r>
        <w:t xml:space="preserve"> </w:t>
      </w:r>
      <w:hyperlink w:anchor="ref-13">
        <w:r>
          <w:rPr>
            <w:rStyle w:val="Hyperlink"/>
          </w:rPr>
          <w:t xml:space="preserve">[13]</w:t>
        </w:r>
      </w:hyperlink>
      <w:r>
        <w:t xml:space="preserve">. Adjacent instrument lines, from light-curve-based characterization techniques</w:t>
      </w:r>
      <w:r>
        <w:t xml:space="preserve"> </w:t>
      </w:r>
      <w:hyperlink w:anchor="ref-14">
        <w:r>
          <w:rPr>
            <w:rStyle w:val="Hyperlink"/>
          </w:rPr>
          <w:t xml:space="preserve">[14]</w:t>
        </w:r>
      </w:hyperlink>
      <w:r>
        <w:t xml:space="preserve">[17][19][20][23] to spectroscopic and neural-network inference methods for resident space objects</w:t>
      </w:r>
      <w:r>
        <w:t xml:space="preserve"> </w:t>
      </w:r>
      <w:hyperlink w:anchor="ref-17">
        <w:r>
          <w:rPr>
            <w:rStyle w:val="Hyperlink"/>
          </w:rPr>
          <w:t xml:space="preserve">[17]</w:t>
        </w:r>
      </w:hyperlink>
      <w:r>
        <w:t xml:space="preserve">[19][23], show the same generational structure: a capability is established, then refined and re-applied, with later entrants leaning on the infrastructure and judgment built by earlier ones.</w:t>
      </w:r>
    </w:p>
    <w:p>
      <w:pPr>
        <w:pStyle w:val="BodyText"/>
        <w:spacing w:line="480" w:lineRule="auto"/>
        <w:ind w:firstLine="720"/>
      </w:pPr>
      <w:r>
        <w:t xml:space="preserve">The crucial limitation of this strand, for the present purpose, is that it is descriptive and within-line. Each report establishes that a particular capability improved across its own development cycles. None establishes, and none is designed to establish, whether the institution that built the line realized a transferable cost discount that carried across the boundary of the specific line into the next project in the same technology category. The progress is real, but it is documented at the wrong level of aggregation to test the institutional-and-category claim. A reader who infers an institutional learning effect from the SPIDER sequence is performing an extrapolation the SPIDER reports themselves do not license</w:t>
      </w:r>
      <w:r>
        <w:t xml:space="preserve"> </w:t>
      </w:r>
      <w:hyperlink w:anchor="ref-1">
        <w:r>
          <w:rPr>
            <w:rStyle w:val="Hyperlink"/>
          </w:rPr>
          <w:t xml:space="preserve">[1]</w:t>
        </w:r>
      </w:hyperlink>
      <w:r>
        <w:t xml:space="preserve">[2][3].</w:t>
      </w:r>
    </w:p>
    <w:bookmarkEnd w:id="70"/>
    <w:bookmarkStart w:id="71" w:name="Xfbea6fe7efeb81b9bbb2f0224e990cc431cad54"/>
    <w:p>
      <w:pPr>
        <w:pStyle w:val="Heading3"/>
        <w:spacing w:line="480" w:lineRule="auto"/>
      </w:pPr>
      <w:r>
        <w:t xml:space="preserve">2.2.2 Roadmaps and the Technology-Readiness Apparatus</w:t>
      </w:r>
    </w:p>
    <w:p>
      <w:pPr>
        <w:pStyle w:val="FirstParagraph"/>
        <w:spacing w:line="480" w:lineRule="auto"/>
      </w:pPr>
      <w:r>
        <w:t xml:space="preserve">The second strand of the domain literature is the roadmapping and technology-readiness apparatus that governs how technology lines are sequenced and how their maturity is scored. Technology roadmapping methodology for advanced space and transportation systems supplies the formal frame within which the experience premise is operationalized. The hypersonic-transportation roadmapping methodology of Viola, Fusaro, and Vercella is the most directly relevant retrieved instance: it lays out a structured procedure for projecting a technology from its current readiness to operational deployment, and, critically, it encodes a learning-curve factor and an engineering-integration factor inside the development-cost estimate that accompanies the roadmap</w:t>
      </w:r>
      <w:r>
        <w:t xml:space="preserve"> </w:t>
      </w:r>
      <w:hyperlink w:anchor="ref-5">
        <w:r>
          <w:rPr>
            <w:rStyle w:val="Hyperlink"/>
          </w:rPr>
          <w:t xml:space="preserve">[5]</w:t>
        </w:r>
      </w:hyperlink>
      <w:r>
        <w:t xml:space="preserve">. The roadmap does more than sequence technologies. It prices the sequence, and the price embeds the assumption that accumulated development experience lowers the cost of subsequent steps.</w:t>
      </w:r>
    </w:p>
    <w:p>
      <w:pPr>
        <w:pStyle w:val="BodyText"/>
        <w:spacing w:line="480" w:lineRule="auto"/>
        <w:ind w:firstLine="720"/>
      </w:pPr>
      <w:r>
        <w:t xml:space="preserve">National space agencies have institutionalized the same logic. The Australian Space Agency’s inaugural space-situational-awareness technology roadmap documents the context, methodology, and lessons of building a national roadmap, and in doing so reveals the implicit sequencing rule that a developing institution should concentrate its bets where it can build cumulative depth</w:t>
      </w:r>
      <w:r>
        <w:t xml:space="preserve"> </w:t>
      </w:r>
      <w:hyperlink w:anchor="ref-15">
        <w:r>
          <w:rPr>
            <w:rStyle w:val="Hyperlink"/>
          </w:rPr>
          <w:t xml:space="preserve">[15]</w:t>
        </w:r>
      </w:hyperlink>
      <w:r>
        <w:t xml:space="preserve">. The roadmap is a planning artifact whose internal logic is that experience compounds; its methodology section states, almost verbatim, the very premise this dissertation tests</w:t>
      </w:r>
      <w:r>
        <w:t xml:space="preserve"> </w:t>
      </w:r>
      <w:hyperlink w:anchor="ref-15">
        <w:r>
          <w:rPr>
            <w:rStyle w:val="Hyperlink"/>
          </w:rPr>
          <w:t xml:space="preserve">[15]</w:t>
        </w:r>
      </w:hyperlink>
      <w:r>
        <w:t xml:space="preserve">. The technology-readiness-level construct that underlies all such roadmaps is itself the unit of account. Technology readiness is an ordinal scale running from basic principles observed to a system proven in an operational environment, and the milestone of technology readiness level 6, a representative prototype demonstrated in a relevant environment, is the canonical gate at which a maturing technology is judged ready to be carried into product development.</w:t>
      </w:r>
    </w:p>
    <w:p>
      <w:pPr>
        <w:pStyle w:val="BodyText"/>
        <w:spacing w:line="480" w:lineRule="auto"/>
        <w:ind w:firstLine="720"/>
      </w:pPr>
      <w:r>
        <w:t xml:space="preserve">The technology-area taxonomy that classifies projects into families is the structural backbone of this apparatus. The NASA Technology Taxonomy, formerly the Technology Area roadmap structure, partitions the agency’s technology portfolio into a hierarchy of families and supplies the operational definition of a technology category. It is this taxonomy that makes the present study possible, because it provides a principled, agency-sanctioned way to ask whether two projects belong to the same technology family and therefore whether experience in one could plausibly transfer to the other. The taxonomy is, however, a classification instrument and not an estimation instrument. It tells the analyst which projects are siblings; it says nothing about whether sibling experience is cheaper to acquire. The roadmapping literature that depends on the taxonomy</w:t>
      </w:r>
      <w:r>
        <w:t xml:space="preserve"> </w:t>
      </w:r>
      <w:hyperlink w:anchor="ref-5">
        <w:r>
          <w:rPr>
            <w:rStyle w:val="Hyperlink"/>
          </w:rPr>
          <w:t xml:space="preserve">[5]</w:t>
        </w:r>
      </w:hyperlink>
      <w:r>
        <w:t xml:space="preserve">[15] inherits this silence: it sequences and prices technology families on the assumption of a learning discount that the taxonomy itself neither measures nor warrants.</w:t>
      </w:r>
    </w:p>
    <w:bookmarkEnd w:id="71"/>
    <w:bookmarkStart w:id="72" w:name="the-mission-level-cost-growth-literature"/>
    <w:p>
      <w:pPr>
        <w:pStyle w:val="Heading3"/>
        <w:spacing w:line="480" w:lineRule="auto"/>
      </w:pPr>
      <w:r>
        <w:t xml:space="preserve">2.2.3 The Mission-Level Cost-Growth Literature</w:t>
      </w:r>
    </w:p>
    <w:p>
      <w:pPr>
        <w:pStyle w:val="FirstParagraph"/>
        <w:spacing w:line="480" w:lineRule="auto"/>
      </w:pPr>
      <w:r>
        <w:t xml:space="preserve">The third strand of the domain literature is the mission-level cost-growth record, and it is the strand that comes closest to a genuine empirical test of a technology-cost relationship. The Government Accountability Office has, across more than a decade of annual NASA major-project assessments, restated a consistent finding: maturing technology before a project commits to a design reduces technology-related cost increases and schedule delays, and projects that carry immature technology past the design-freeze milestone tend to overrun</w:t>
      </w:r>
      <w:r>
        <w:t xml:space="preserve"> </w:t>
      </w:r>
      <w:hyperlink w:anchor="ref-9">
        <w:r>
          <w:rPr>
            <w:rStyle w:val="Hyperlink"/>
          </w:rPr>
          <w:t xml:space="preserve">[9]</w:t>
        </w:r>
      </w:hyperlink>
      <w:r>
        <w:t xml:space="preserve">. The GAO assessments are not a single study but a running series, and their value is precisely that they apply a stable maturity criterion, anchored on technology readiness level 6 at preliminary design review, across a rotating portfolio of missions year after year</w:t>
      </w:r>
      <w:r>
        <w:t xml:space="preserve"> </w:t>
      </w:r>
      <w:hyperlink w:anchor="ref-9">
        <w:r>
          <w:rPr>
            <w:rStyle w:val="Hyperlink"/>
          </w:rPr>
          <w:t xml:space="preserve">[9]</w:t>
        </w:r>
      </w:hyperlink>
      <w:r>
        <w:t xml:space="preserve">. The cumulative weight of that series is the strongest domain evidence that technology readiness and cost are causally linked at the mission level.</w:t>
      </w:r>
    </w:p>
    <w:p>
      <w:pPr>
        <w:pStyle w:val="BodyText"/>
        <w:spacing w:line="480" w:lineRule="auto"/>
        <w:ind w:firstLine="720"/>
      </w:pPr>
      <w:r>
        <w:t xml:space="preserve">The National Research Council’s study of cost growth in NASA Earth and space science missions supplies the complementary cost-side evidence</w:t>
      </w:r>
      <w:r>
        <w:t xml:space="preserve"> </w:t>
      </w:r>
      <w:hyperlink w:anchor="ref-10">
        <w:r>
          <w:rPr>
            <w:rStyle w:val="Hyperlink"/>
          </w:rPr>
          <w:t xml:space="preserve">[10]</w:t>
        </w:r>
      </w:hyperlink>
      <w:r>
        <w:t xml:space="preserve">. The council documents average mission cost growth in a band that prior studies place between roughly twenty-three and seventy-seven percent, and attributes a disproportionate share of that growth to instrument and technology development, noting that delays and cost increases for instrument development are pervasive and affect a large number of missions</w:t>
      </w:r>
      <w:r>
        <w:t xml:space="preserve"> </w:t>
      </w:r>
      <w:hyperlink w:anchor="ref-10">
        <w:r>
          <w:rPr>
            <w:rStyle w:val="Hyperlink"/>
          </w:rPr>
          <w:t xml:space="preserve">[10]</w:t>
        </w:r>
      </w:hyperlink>
      <w:r>
        <w:t xml:space="preserve">. The council also reports a strongly skewed distribution in which a small minority of missions generates the majority of dollar cost growth, a structural fact consistent with a small set of technologically immature projects driving the portfolio result</w:t>
      </w:r>
      <w:r>
        <w:t xml:space="preserve"> </w:t>
      </w:r>
      <w:hyperlink w:anchor="ref-10">
        <w:r>
          <w:rPr>
            <w:rStyle w:val="Hyperlink"/>
          </w:rPr>
          <w:t xml:space="preserve">[10]</w:t>
        </w:r>
      </w:hyperlink>
      <w:r>
        <w:t xml:space="preserve">. The council’s later work on large strategic science missions extends the pattern to the flagship class, examining the risks and realities of cost overruns for the agency’s largest directed missions and asking whether their scale, oversight, and political exposure make them behave differently from competed missions</w:t>
      </w:r>
      <w:r>
        <w:t xml:space="preserve"> </w:t>
      </w:r>
      <w:hyperlink w:anchor="ref-12">
        <w:r>
          <w:rPr>
            <w:rStyle w:val="Hyperlink"/>
          </w:rPr>
          <w:t xml:space="preserve">[12]</w:t>
        </w:r>
      </w:hyperlink>
      <w:r>
        <w:t xml:space="preserve">. The parametric-cost-modeling literature provides the third leg, treating technology readiness and system-hierarchy parameters as direct inputs to predicted cost and schedule risk and thereby formalizing the intuition that lower readiness at a fixed milestone forecasts higher growth</w:t>
      </w:r>
      <w:r>
        <w:t xml:space="preserve"> </w:t>
      </w:r>
      <w:hyperlink w:anchor="ref-11">
        <w:r>
          <w:rPr>
            <w:rStyle w:val="Hyperlink"/>
          </w:rPr>
          <w:t xml:space="preserve">[11]</w:t>
        </w:r>
      </w:hyperlink>
      <w:r>
        <w:t xml:space="preserve">.</w:t>
      </w:r>
    </w:p>
    <w:p>
      <w:pPr>
        <w:pStyle w:val="BodyText"/>
        <w:spacing w:line="480" w:lineRule="auto"/>
        <w:ind w:firstLine="720"/>
      </w:pPr>
      <w:r>
        <w:t xml:space="preserve">This strand is empirically serious, yet it answers a different question from the one the dissertation poses. The cost-growth literature establishes that immature technology is expensive at the level of a single mission: carrying a below-TRL-6 element into the design freeze raises the growth that mission subsequently records</w:t>
      </w:r>
      <w:r>
        <w:t xml:space="preserve"> </w:t>
      </w:r>
      <w:hyperlink w:anchor="ref-9">
        <w:r>
          <w:rPr>
            <w:rStyle w:val="Hyperlink"/>
          </w:rPr>
          <w:t xml:space="preserve">[9]</w:t>
        </w:r>
      </w:hyperlink>
      <w:r>
        <w:t xml:space="preserve">[10][11]. It does not establish whether successive institutional investment in a technology category lowers the marginal cost of maturing the next member of that category. The cost-growth studies measure the penalty for not maturing; they do not measure the return to having matured before, across projects, at the institution-and-category level. The two questions are complementary, and the present dissertation treats them as complements, but they are distinct, and the cost-growth literature answers only the first.</w:t>
      </w:r>
    </w:p>
    <w:bookmarkEnd w:id="72"/>
    <w:bookmarkStart w:id="73" w:name="the-economy-scale-forecasts"/>
    <w:p>
      <w:pPr>
        <w:pStyle w:val="Heading3"/>
        <w:spacing w:line="480" w:lineRule="auto"/>
      </w:pPr>
      <w:r>
        <w:t xml:space="preserve">2.2.4 The Economy-Scale Forecasts</w:t>
      </w:r>
    </w:p>
    <w:p>
      <w:pPr>
        <w:pStyle w:val="FirstParagraph"/>
        <w:spacing w:line="480" w:lineRule="auto"/>
      </w:pPr>
      <w:r>
        <w:t xml:space="preserve">A fourth, looser strand of the domain literature asserts the cost dynamic at the level of the sector rather than the project. Forecasts of the broader space economy attribute sectoral growth to declining costs and accumulated technological advance, treating falling cost as both a cause and a symptom of an expanding market</w:t>
      </w:r>
      <w:r>
        <w:t xml:space="preserve"> </w:t>
      </w:r>
      <w:hyperlink w:anchor="ref-6">
        <w:r>
          <w:rPr>
            <w:rStyle w:val="Hyperlink"/>
          </w:rPr>
          <w:t xml:space="preserve">[6]</w:t>
        </w:r>
      </w:hyperlink>
      <w:r>
        <w:t xml:space="preserve">[7]. The forecasting work compiled in the space-economy corpus describes a sector in which the cost of access and the cost of capability fall over calendar time, and in which that decline is itself the engine of growth</w:t>
      </w:r>
      <w:r>
        <w:t xml:space="preserve"> </w:t>
      </w:r>
      <w:hyperlink w:anchor="ref-6">
        <w:r>
          <w:rPr>
            <w:rStyle w:val="Hyperlink"/>
          </w:rPr>
          <w:t xml:space="preserve">[6]</w:t>
        </w:r>
      </w:hyperlink>
      <w:r>
        <w:t xml:space="preserve">[7]. These forecasts are macro-level and aggregate; they assert a declining-cost trend without resolving it into project-level, category-conditioned learning. For the present study their importance is twofold. First, they articulate, at the sector scale, the same declining-cost intuition that the technology lines articulate at the line scale and the cost models embed at the program scale, which is evidence that the experience premise is pervasive across levels of aggregation. Second, and more consequentially for identification, they describe a confound: a sector-wide fall in cost over calendar time that would lower the cost of later projects regardless of any category-experience effect. Any credible test of the institutional-and-category learning claim must partial out this common time trend before it can attribute a cost decline to accumulated experience rather than to the calendar</w:t>
      </w:r>
      <w:r>
        <w:t xml:space="preserve"> </w:t>
      </w:r>
      <w:hyperlink w:anchor="ref-6">
        <w:r>
          <w:rPr>
            <w:rStyle w:val="Hyperlink"/>
          </w:rPr>
          <w:t xml:space="preserve">[6]</w:t>
        </w:r>
      </w:hyperlink>
      <w:r>
        <w:t xml:space="preserve">[7].</w:t>
      </w:r>
    </w:p>
    <w:bookmarkEnd w:id="73"/>
    <w:bookmarkEnd w:id="74"/>
    <w:bookmarkStart w:id="78" w:name="X07fe73e594277fc276c6392b9242153367417e1"/>
    <w:p>
      <w:pPr>
        <w:pStyle w:val="Heading2"/>
        <w:spacing w:line="480" w:lineRule="auto"/>
      </w:pPr>
      <w:r>
        <w:t xml:space="preserve">2.3 The Cliometric and Econometric Methodology Literature</w:t>
      </w:r>
    </w:p>
    <w:bookmarkStart w:id="75" w:name="Xb8ba62397f942b2bf093aa4bdf0c8893783d314"/>
    <w:p>
      <w:pPr>
        <w:pStyle w:val="Heading3"/>
        <w:spacing w:line="480" w:lineRule="auto"/>
      </w:pPr>
      <w:r>
        <w:t xml:space="preserve">2.3.1 The Experience Curve and Its Functional Form</w:t>
      </w:r>
    </w:p>
    <w:p>
      <w:pPr>
        <w:pStyle w:val="FirstParagraph"/>
        <w:spacing w:line="480" w:lineRule="auto"/>
      </w:pPr>
      <w:r>
        <w:t xml:space="preserve">The second literature this chapter reviews is the cliometric and econometric tradition that quantifies how cost responds to accumulated experience. Its central object is the experience curve, sometimes the learning curve, whose foundational empirical regularity is that unit cost falls by a roughly constant fraction with each doubling of cumulative output or cumulative development experience. The regularity is expressed log-linearly: the logarithm of unit cost is a linear function of the logarithm of cumulative experience, and the slope of that line, the experience elasticity, translates a doubling of experience into a fractional cost change through what practitioners call the progress ratio. This functional form is the methodological heart of the present study, because it supplies exactly the estimating equation into which the domain claim must be cast if it is to be tested rather than asserted.</w:t>
      </w:r>
    </w:p>
    <w:p>
      <w:pPr>
        <w:pStyle w:val="BodyText"/>
        <w:spacing w:line="480" w:lineRule="auto"/>
        <w:ind w:firstLine="720"/>
      </w:pPr>
      <w:r>
        <w:t xml:space="preserve">The space-sector cost literature has adopted this device in its concept-stage estimation. The hypersonic-roadmapping methodology scales development cost by a learning factor tied to accumulated experience, lifting the experience-curve form directly into the space cost model</w:t>
      </w:r>
      <w:r>
        <w:t xml:space="preserve"> </w:t>
      </w:r>
      <w:hyperlink w:anchor="ref-5">
        <w:r>
          <w:rPr>
            <w:rStyle w:val="Hyperlink"/>
          </w:rPr>
          <w:t xml:space="preserve">[5]</w:t>
        </w:r>
      </w:hyperlink>
      <w:r>
        <w:t xml:space="preserve">. The parametric-cost-modeling literature on technology-readiness coefficients uses a related apparatus, regressing cost and schedule on readiness and system-hierarchy parameters in a form that is recognizably an experience-and-readiness curve estimated for a single program or a small homogeneous set</w:t>
      </w:r>
      <w:r>
        <w:t xml:space="preserve"> </w:t>
      </w:r>
      <w:hyperlink w:anchor="ref-11">
        <w:r>
          <w:rPr>
            <w:rStyle w:val="Hyperlink"/>
          </w:rPr>
          <w:t xml:space="preserve">[11]</w:t>
        </w:r>
      </w:hyperlink>
      <w:r>
        <w:t xml:space="preserve">. These are the points at which the methodology literature and the domain literature make contact, and Section 2.4 examines that contact in detail. The essential methodological point here is that the log-linear experience curve is a well-specified, estimable object with a known interpretation, and that estimating its slope from a portfolio of projects, rather than assuming its slope inside a single estimate, is a tractable empirical task.</w:t>
      </w:r>
    </w:p>
    <w:bookmarkEnd w:id="75"/>
    <w:bookmarkStart w:id="76" w:name="Xb6630a68d1bc7afb101a5e29d63ae74c4f95b68"/>
    <w:p>
      <w:pPr>
        <w:pStyle w:val="Heading3"/>
        <w:spacing w:line="480" w:lineRule="auto"/>
      </w:pPr>
      <w:r>
        <w:t xml:space="preserve">2.3.2 Identification: Fixed Effects, Vintage, and the Selection Problem</w:t>
      </w:r>
    </w:p>
    <w:p>
      <w:pPr>
        <w:pStyle w:val="FirstParagraph"/>
        <w:spacing w:line="480" w:lineRule="auto"/>
      </w:pPr>
      <w:r>
        <w:t xml:space="preserve">The experience-curve form is easy to write and hard to identify. The cliometric and econometric methodology literature is, at its most useful, a literature about the threats to identifying a learning slope and the techniques that discipline those threats. Three threats dominate, and the methodology literature supplies a standard defense against each.</w:t>
      </w:r>
    </w:p>
    <w:p>
      <w:pPr>
        <w:pStyle w:val="BodyText"/>
        <w:spacing w:line="480" w:lineRule="auto"/>
        <w:ind w:firstLine="720"/>
      </w:pPr>
      <w:r>
        <w:t xml:space="preserve">The first threat is unobserved heterogeneity across the units whose experience is being accumulated. If some technology categories are inherently cheaper to mature than others, and if the institution concentrates its repeat investment in the cheaper categories, then a naive regression of cost on experience will recover a spurious negative slope that reflects category selection rather than learning. The methodology literature’s answer is the fixed-effects estimator: by absorbing time-invariant category-level differences into category-specific intercepts, the estimator forces the experience slope to be identified from within-category variation, comparing a category to itself at different levels of accumulated experience rather than comparing expensive categories to cheap ones. The second threat is the common time trend. If cost falls sector-wide over calendar time, as the economy-scale forecasts describe</w:t>
      </w:r>
      <w:r>
        <w:t xml:space="preserve"> </w:t>
      </w:r>
      <w:hyperlink w:anchor="ref-6">
        <w:r>
          <w:rPr>
            <w:rStyle w:val="Hyperlink"/>
          </w:rPr>
          <w:t xml:space="preserve">[6]</w:t>
        </w:r>
      </w:hyperlink>
      <w:r>
        <w:t xml:space="preserve">[7], then later projects are cheaper for reasons that have nothing to do with their category experience, and the experience slope absorbs the calendar. The methodology literature’s answer is the vintage or start-year fixed effect, which absorbs the common time trend and isolates experience accumulation from the calendar. The third threat is reverse causation and contemporaneous feedback, addressed by the structural feature that accumulated prior experience is determined before a project begins and is therefore predetermined with respect to that project’s own as-yet-unrealized cost.</w:t>
      </w:r>
    </w:p>
    <w:p>
      <w:pPr>
        <w:pStyle w:val="BodyText"/>
        <w:spacing w:line="480" w:lineRule="auto"/>
        <w:ind w:firstLine="720"/>
      </w:pPr>
      <w:r>
        <w:t xml:space="preserve">The mission-level fixed-effects and cross-sectional tradition that the companion cost-growth work in this dissertation draws on is the applied face of this methodology literature. The GAO assessment series, the National Research Council cost-growth study, and the parametric cost models together constitute a body of empirical practice in which mission-level outcomes are regressed on readiness and scope controls that function as fixed adjustments for technical breadth and mission class</w:t>
      </w:r>
      <w:r>
        <w:t xml:space="preserve"> </w:t>
      </w:r>
      <w:hyperlink w:anchor="ref-9">
        <w:r>
          <w:rPr>
            <w:rStyle w:val="Hyperlink"/>
          </w:rPr>
          <w:t xml:space="preserve">[9]</w:t>
        </w:r>
      </w:hyperlink>
      <w:r>
        <w:t xml:space="preserve">[10][11][12]. The flagship indicator that separates Category-1 directed missions from competed missions is itself a fixed-effect-style control for mission class</w:t>
      </w:r>
      <w:r>
        <w:t xml:space="preserve"> </w:t>
      </w:r>
      <w:hyperlink w:anchor="ref-12">
        <w:r>
          <w:rPr>
            <w:rStyle w:val="Hyperlink"/>
          </w:rPr>
          <w:t xml:space="preserve">[12]</w:t>
        </w:r>
      </w:hyperlink>
      <w:r>
        <w:t xml:space="preserve">. This applied tradition demonstrates that the space-mission record can support a disciplined cross-sectional regression with controls that behave as fixed effects, which is direct evidence that the methodology is transportable to the technology-portfolio setting the present study analyzes.</w:t>
      </w:r>
    </w:p>
    <w:bookmarkEnd w:id="76"/>
    <w:bookmarkStart w:id="77" w:name="X1969cf2f7e63aa366fd81b8760c124f76fc2f3b"/>
    <w:p>
      <w:pPr>
        <w:pStyle w:val="Heading3"/>
        <w:spacing w:line="480" w:lineRule="auto"/>
      </w:pPr>
      <w:r>
        <w:t xml:space="preserve">2.3.3 Data Infrastructure for Cliometric Estimation</w:t>
      </w:r>
    </w:p>
    <w:p>
      <w:pPr>
        <w:pStyle w:val="FirstParagraph"/>
        <w:spacing w:line="480" w:lineRule="auto"/>
      </w:pPr>
      <w:r>
        <w:t xml:space="preserve">A cliometric test requires a longitudinal record of comparable units, and the methodology literature is acutely sensitive to the quality of that record. The data infrastructure for estimating an institutional learning curve in space technology is NASA TechPort, the agency’s public technology-portfolio system of record</w:t>
      </w:r>
      <w:r>
        <w:t xml:space="preserve"> </w:t>
      </w:r>
      <w:hyperlink w:anchor="ref-8">
        <w:r>
          <w:rPr>
            <w:rStyle w:val="Hyperlink"/>
          </w:rPr>
          <w:t xml:space="preserve">[8]</w:t>
        </w:r>
      </w:hyperlink>
      <w:r>
        <w:t xml:space="preserve">. TechPort exposes, per project, a stable identifier, a lead organization permitting restriction to JPL-led work, start and end technology readiness levels, start and end dates, funding fields, and a technology-taxonomy classification that operationalizes the technology category</w:t>
      </w:r>
      <w:r>
        <w:t xml:space="preserve"> </w:t>
      </w:r>
      <w:hyperlink w:anchor="ref-8">
        <w:r>
          <w:rPr>
            <w:rStyle w:val="Hyperlink"/>
          </w:rPr>
          <w:t xml:space="preserve">[8]</w:t>
        </w:r>
      </w:hyperlink>
      <w:r>
        <w:t xml:space="preserve">. TechPort is, in cliometric terms, a panel: a longitudinal record of comparable units, each tagged with a category and a vintage, from which cumulative within-category experience can be constructed as the start-date-ordered history of prior same-category projects. The methodology literature’s insistence on predetermined regressors is satisfiable here by construction, because each project’s experience regressor is built only from records that predate its start</w:t>
      </w:r>
      <w:r>
        <w:t xml:space="preserve"> </w:t>
      </w:r>
      <w:hyperlink w:anchor="ref-8">
        <w:r>
          <w:rPr>
            <w:rStyle w:val="Hyperlink"/>
          </w:rPr>
          <w:t xml:space="preserve">[8]</w:t>
        </w:r>
      </w:hyperlink>
      <w:r>
        <w:t xml:space="preserve">.</w:t>
      </w:r>
    </w:p>
    <w:p>
      <w:pPr>
        <w:pStyle w:val="BodyText"/>
        <w:spacing w:line="480" w:lineRule="auto"/>
        <w:ind w:firstLine="720"/>
      </w:pPr>
      <w:r>
        <w:t xml:space="preserve">The infrastructure carries the limitations the methodology literature teaches an analyst to anticipate. TechPort withholds project dollars in public release, so the resource measure available to the analyst is project span in years rather than funding, a coarser surrogate whose conversion to a per-step quantity is sensitive to the integer technology-readiness scale. The taxonomy has been revised over time, risking mismatched category assignment across vintages, a threat the methodology literature would address through a published crosswalk that harmonizes legacy codes to the current structure. The cost-growth side of the dissertation, which draws its dependent variable from the GAO assessments</w:t>
      </w:r>
      <w:r>
        <w:t xml:space="preserve"> </w:t>
      </w:r>
      <w:hyperlink w:anchor="ref-9">
        <w:r>
          <w:rPr>
            <w:rStyle w:val="Hyperlink"/>
          </w:rPr>
          <w:t xml:space="preserve">[9]</w:t>
        </w:r>
      </w:hyperlink>
      <w:r>
        <w:t xml:space="preserve">, the National Research Council studies</w:t>
      </w:r>
      <w:r>
        <w:t xml:space="preserve"> </w:t>
      </w:r>
      <w:hyperlink w:anchor="ref-10">
        <w:r>
          <w:rPr>
            <w:rStyle w:val="Hyperlink"/>
          </w:rPr>
          <w:t xml:space="preserve">[10]</w:t>
        </w:r>
      </w:hyperlink>
      <w:r>
        <w:t xml:space="preserve">[12], and compiled mission cost records, confronts the parallel limitation that per-mission baseline-to-final accounting is unevenly published. These are exactly the data threats the cliometric methodology literature is organized to name and to bound, and naming them is the first step toward the robustness battery that disciplines the estimate.</w:t>
      </w:r>
    </w:p>
    <w:bookmarkEnd w:id="77"/>
    <w:bookmarkEnd w:id="78"/>
    <w:bookmarkStart w:id="79" w:name="X6eb3c28524813cd54aac0486d1f4bc71ec7f058"/>
    <w:p>
      <w:pPr>
        <w:pStyle w:val="Heading2"/>
        <w:spacing w:line="480" w:lineRule="auto"/>
      </w:pPr>
      <w:r>
        <w:t xml:space="preserve">2.4 The Point of Contact: Assumed Factors Versus Estimated Parameters</w:t>
      </w:r>
    </w:p>
    <w:p>
      <w:pPr>
        <w:pStyle w:val="FirstParagraph"/>
        <w:spacing w:line="480" w:lineRule="auto"/>
      </w:pPr>
      <w:r>
        <w:t xml:space="preserve">The two literatures touch at precisely one place, and examining that contact point is the analytical core of this review. The point of contact is the embedded learning-curve factor and the technology-readiness coefficient used in concept-stage space cost estimation</w:t>
      </w:r>
      <w:r>
        <w:t xml:space="preserve"> </w:t>
      </w:r>
      <w:hyperlink w:anchor="ref-5">
        <w:r>
          <w:rPr>
            <w:rStyle w:val="Hyperlink"/>
          </w:rPr>
          <w:t xml:space="preserve">[5]</w:t>
        </w:r>
      </w:hyperlink>
      <w:r>
        <w:t xml:space="preserve">[11]. In the hypersonic-roadmapping methodology, a learning factor scales development cost with accumulated experience as an input to a single program’s cost estimate</w:t>
      </w:r>
      <w:r>
        <w:t xml:space="preserve"> </w:t>
      </w:r>
      <w:hyperlink w:anchor="ref-5">
        <w:r>
          <w:rPr>
            <w:rStyle w:val="Hyperlink"/>
          </w:rPr>
          <w:t xml:space="preserve">[5]</w:t>
        </w:r>
      </w:hyperlink>
      <w:r>
        <w:t xml:space="preserve">. In the parametric technology-readiness literature, readiness and system-hierarchy parameters enter a cost-and-schedule model as direct predictors</w:t>
      </w:r>
      <w:r>
        <w:t xml:space="preserve"> </w:t>
      </w:r>
      <w:hyperlink w:anchor="ref-11">
        <w:r>
          <w:rPr>
            <w:rStyle w:val="Hyperlink"/>
          </w:rPr>
          <w:t xml:space="preserve">[11]</w:t>
        </w:r>
      </w:hyperlink>
      <w:r>
        <w:t xml:space="preserve">. In both cases the experience-curve form from the methodology literature is present inside a domain cost model. This is the seam where one might expect the two literatures to have been joined.</w:t>
      </w:r>
    </w:p>
    <w:p>
      <w:pPr>
        <w:pStyle w:val="BodyText"/>
        <w:spacing w:line="480" w:lineRule="auto"/>
        <w:ind w:firstLine="720"/>
      </w:pPr>
      <w:r>
        <w:t xml:space="preserve">They have not been. The factor is assumed. No one estimates it from a portfolio. The learning factor in the roadmapping methodology is a parameter the analyst supplies as an input to price a single program’s cost estimate; it is not a quantity the methodology recovers from variation across a portfolio of projects</w:t>
      </w:r>
      <w:r>
        <w:t xml:space="preserve"> </w:t>
      </w:r>
      <w:hyperlink w:anchor="ref-5">
        <w:r>
          <w:rPr>
            <w:rStyle w:val="Hyperlink"/>
          </w:rPr>
          <w:t xml:space="preserve">[5]</w:t>
        </w:r>
      </w:hyperlink>
      <w:r>
        <w:t xml:space="preserve">. The technology-readiness coefficient in the parametric literature is estimated, but it is estimated for the relationship between a project’s own readiness and its own cost, not for the relationship between an institution’s accumulated category experience and the cost of its next category project</w:t>
      </w:r>
      <w:r>
        <w:t xml:space="preserve"> </w:t>
      </w:r>
      <w:hyperlink w:anchor="ref-11">
        <w:r>
          <w:rPr>
            <w:rStyle w:val="Hyperlink"/>
          </w:rPr>
          <w:t xml:space="preserve">[11]</w:t>
        </w:r>
      </w:hyperlink>
      <w:r>
        <w:t xml:space="preserve">. The distinction is decisive. To assume a learning factor inside a cost model is to take the experience discount as given and use it to forecast; to estimate an experience elasticity from a portfolio is to ask whether the discount exists and how large it is. The first is what the domain cost literature does. The second is what the cliometric methodology literature is built to do. The contact point in concept-stage cost estimation imports the form of the second into the practice of the first while skipping the estimation step that gives the form its empirical content.</w:t>
      </w:r>
    </w:p>
    <w:p>
      <w:pPr>
        <w:pStyle w:val="BodyText"/>
        <w:spacing w:line="480" w:lineRule="auto"/>
        <w:ind w:firstLine="720"/>
      </w:pPr>
      <w:r>
        <w:t xml:space="preserve">The cost-growth literature, for its part, comes nearest to estimation, yet it tests the complementary relationship. The GAO series and the National Research Council studies do estimate, if only implicitly, the cost penalty of immature technology at the mission level, and the companion cost-growth paper in this dissertation formalizes that estimate as a cross-sectional regression of cost growth on a technology-immaturity indicator with scope and flagship controls</w:t>
      </w:r>
      <w:r>
        <w:t xml:space="preserve"> </w:t>
      </w:r>
      <w:hyperlink w:anchor="ref-9">
        <w:r>
          <w:rPr>
            <w:rStyle w:val="Hyperlink"/>
          </w:rPr>
          <w:t xml:space="preserve">[9]</w:t>
        </w:r>
      </w:hyperlink>
      <w:r>
        <w:t xml:space="preserve">[10][12]. That estimate is real and it is the right kind of object, an estimated coefficient rather than an assumed factor. But it measures the penalty for carrying immaturity into a single mission, not the return to accumulated institutional experience across missions in a category. The cost-growth estimate and the learning-curve estimate are two faces of the same managerial coin, the value of maturation, but they are estimated on different units, with different regressors, and they answer different questions. No retrieved source estimates both, and none estimates the learning-curve face at the institution-and-category level.</w:t>
      </w:r>
    </w:p>
    <w:bookmarkEnd w:id="79"/>
    <w:bookmarkStart w:id="80" w:name="synthesis-and-the-gap"/>
    <w:p>
      <w:pPr>
        <w:pStyle w:val="Heading2"/>
        <w:spacing w:line="480" w:lineRule="auto"/>
      </w:pPr>
      <w:r>
        <w:t xml:space="preserve">2.5 Synthesis and the Gap</w:t>
      </w:r>
    </w:p>
    <w:p>
      <w:pPr>
        <w:pStyle w:val="FirstParagraph"/>
        <w:spacing w:line="480" w:lineRule="auto"/>
      </w:pPr>
      <w:r>
        <w:t xml:space="preserve">The synthesis fits in one sentence. The domain literature documents that space technologies mature in cumulative lines</w:t>
      </w:r>
      <w:r>
        <w:t xml:space="preserve"> </w:t>
      </w:r>
      <w:hyperlink w:anchor="ref-1">
        <w:r>
          <w:rPr>
            <w:rStyle w:val="Hyperlink"/>
          </w:rPr>
          <w:t xml:space="preserve">[1]</w:t>
        </w:r>
      </w:hyperlink>
      <w:r>
        <w:t xml:space="preserve">[2][3][4][13][16], that roadmaps sequence and price those lines on an assumed learning discount</w:t>
      </w:r>
      <w:r>
        <w:t xml:space="preserve"> </w:t>
      </w:r>
      <w:hyperlink w:anchor="ref-5">
        <w:r>
          <w:rPr>
            <w:rStyle w:val="Hyperlink"/>
          </w:rPr>
          <w:t xml:space="preserve">[5]</w:t>
        </w:r>
      </w:hyperlink>
      <w:r>
        <w:t xml:space="preserve">[15], that immature technology is costly at the mission level</w:t>
      </w:r>
      <w:r>
        <w:t xml:space="preserve"> </w:t>
      </w:r>
      <w:hyperlink w:anchor="ref-9">
        <w:r>
          <w:rPr>
            <w:rStyle w:val="Hyperlink"/>
          </w:rPr>
          <w:t xml:space="preserve">[9]</w:t>
        </w:r>
      </w:hyperlink>
      <w:r>
        <w:t xml:space="preserve">[10][11][12], and that costs fall sector-wide over calendar time</w:t>
      </w:r>
      <w:r>
        <w:t xml:space="preserve"> </w:t>
      </w:r>
      <w:hyperlink w:anchor="ref-6">
        <w:r>
          <w:rPr>
            <w:rStyle w:val="Hyperlink"/>
          </w:rPr>
          <w:t xml:space="preserve">[6]</w:t>
        </w:r>
      </w:hyperlink>
      <w:r>
        <w:t xml:space="preserve">[7]; the cliometric methodology literature supplies the log-linear experience-curve form and the fixed-effects identification strategy that could turn the assumed discount into an estimated parameter</w:t>
      </w:r>
      <w:r>
        <w:t xml:space="preserve"> </w:t>
      </w:r>
      <w:hyperlink w:anchor="ref-5">
        <w:r>
          <w:rPr>
            <w:rStyle w:val="Hyperlink"/>
          </w:rPr>
          <w:t xml:space="preserve">[5]</w:t>
        </w:r>
      </w:hyperlink>
      <w:r>
        <w:t xml:space="preserve">[11]; and the two have never been joined at the level where the discount is actually invoked, the institution and the technology category.</w:t>
      </w:r>
    </w:p>
    <w:p>
      <w:pPr>
        <w:pStyle w:val="BodyText"/>
        <w:spacing w:line="480" w:lineRule="auto"/>
        <w:ind w:firstLine="720"/>
      </w:pPr>
      <w:r>
        <w:t xml:space="preserve">The gap is the missing middle. The learning-curve factor is assumed inside cost models</w:t>
      </w:r>
      <w:r>
        <w:t xml:space="preserve"> </w:t>
      </w:r>
      <w:hyperlink w:anchor="ref-5">
        <w:r>
          <w:rPr>
            <w:rStyle w:val="Hyperlink"/>
          </w:rPr>
          <w:t xml:space="preserve">[5]</w:t>
        </w:r>
      </w:hyperlink>
      <w:r>
        <w:t xml:space="preserve">, observed anecdotally inside technology lines</w:t>
      </w:r>
      <w:r>
        <w:t xml:space="preserve"> </w:t>
      </w:r>
      <w:hyperlink w:anchor="ref-1">
        <w:r>
          <w:rPr>
            <w:rStyle w:val="Hyperlink"/>
          </w:rPr>
          <w:t xml:space="preserve">[1]</w:t>
        </w:r>
      </w:hyperlink>
      <w:r>
        <w:t xml:space="preserve">[2][3][4], asserted at the sector scale in macro forecasts</w:t>
      </w:r>
      <w:r>
        <w:t xml:space="preserve"> </w:t>
      </w:r>
      <w:hyperlink w:anchor="ref-6">
        <w:r>
          <w:rPr>
            <w:rStyle w:val="Hyperlink"/>
          </w:rPr>
          <w:t xml:space="preserve">[6]</w:t>
        </w:r>
      </w:hyperlink>
      <w:r>
        <w:t xml:space="preserve">[7], and estimated, in its complementary cost-growth form, at the single-mission level</w:t>
      </w:r>
      <w:r>
        <w:t xml:space="preserve"> </w:t>
      </w:r>
      <w:hyperlink w:anchor="ref-9">
        <w:r>
          <w:rPr>
            <w:rStyle w:val="Hyperlink"/>
          </w:rPr>
          <w:t xml:space="preserve">[9]</w:t>
        </w:r>
      </w:hyperlink>
      <w:r>
        <w:t xml:space="preserve">[10][12]. It is nowhere estimated as a portfolio parameter from the program-of-record: no retrieved source estimates whether cumulative prior JPL investment in a technology category lowers the marginal cost of advancing the next project in that category one technology readiness level, conditioned on project scope and vintage. The components of the claim are all present in the retrieved record; the claim itself is absent. The domain literature has the phenomenon and lacks the estimator; the methodology literature has the estimator and has not been pointed at the phenomenon; the contact point in concept-stage cost estimation has the form but skips the estimation. Closing the gap requires importing the methodology literature’s experience-curve estimator and fixed-effects identification into the domain literature’s technology-portfolio record, and estimating the one parameter that both literatures presuppose and neither has measured.</w:t>
      </w:r>
    </w:p>
    <w:p>
      <w:pPr>
        <w:pStyle w:val="BodyText"/>
        <w:spacing w:line="480" w:lineRule="auto"/>
        <w:ind w:firstLine="720"/>
      </w:pPr>
      <w:r>
        <w:t xml:space="preserve">Three properties of the gap make it a disciplined target rather than an open-ended one. First, it is falsifiable: the within-category experience elasticity has a pre-committed sign under the roadmapping premise, so a null or wrong-signed estimate disconfirms the premise rather than leaving it unresolved. Second, it is identified: the staggered accumulation of category experience across the institution’s project history furnishes within-category, within-vintage variation, and the fixed-effects apparatus from the methodology literature absorbs the category-selection and common-time-trend confounds the domain literature has flagged</w:t>
      </w:r>
      <w:r>
        <w:t xml:space="preserve"> </w:t>
      </w:r>
      <w:hyperlink w:anchor="ref-6">
        <w:r>
          <w:rPr>
            <w:rStyle w:val="Hyperlink"/>
          </w:rPr>
          <w:t xml:space="preserve">[6]</w:t>
        </w:r>
      </w:hyperlink>
      <w:r>
        <w:t xml:space="preserve">[7][12]. Third, it is data-grounded: TechPort supplies the longitudinal panel the cliometric method demands, and the GAO and National Research Council record supplies the complementary mission-level cross-section</w:t>
      </w:r>
      <w:r>
        <w:t xml:space="preserve"> </w:t>
      </w:r>
      <w:hyperlink w:anchor="ref-8">
        <w:r>
          <w:rPr>
            <w:rStyle w:val="Hyperlink"/>
          </w:rPr>
          <w:t xml:space="preserve">[8]</w:t>
        </w:r>
      </w:hyperlink>
      <w:r>
        <w:t xml:space="preserve">[9][10], so both faces of the maturation-value question can be estimated on real, traceable, public data.</w:t>
      </w:r>
    </w:p>
    <w:bookmarkEnd w:id="80"/>
    <w:bookmarkStart w:id="81" w:name="how-this-dissertation-closes-the-gap"/>
    <w:p>
      <w:pPr>
        <w:pStyle w:val="Heading2"/>
        <w:spacing w:line="480" w:lineRule="auto"/>
      </w:pPr>
      <w:r>
        <w:t xml:space="preserve">2.6 How This Dissertation Closes the Gap</w:t>
      </w:r>
    </w:p>
    <w:p>
      <w:pPr>
        <w:pStyle w:val="FirstParagraph"/>
        <w:spacing w:line="480" w:lineRule="auto"/>
      </w:pPr>
      <w:r>
        <w:t xml:space="preserve">This dissertation joins the two literatures by estimating, on the program-of-record, the parameter that both presuppose. The primary contribution estimates the within-category experience elasticity of per-step maturation cost for JPL-led Advanced Technology Development projects, casting the domain claim into the methodology literature’s log-linear experience-curve form and identifying the slope from within-category, within-vintage variation in accumulated TechPort experience, with the category-selection and time-trend confounds absorbed by fixed-effects controls</w:t>
      </w:r>
      <w:r>
        <w:t xml:space="preserve"> </w:t>
      </w:r>
      <w:hyperlink w:anchor="ref-5">
        <w:r>
          <w:rPr>
            <w:rStyle w:val="Hyperlink"/>
          </w:rPr>
          <w:t xml:space="preserve">[5]</w:t>
        </w:r>
      </w:hyperlink>
      <w:r>
        <w:t xml:space="preserve">[6][7][8]. The companion contribution estimates the complementary mission-level relationship, the development-cost-growth penalty of carrying immature technology into the design-freeze milestone, as a cross-sectional fixed-effects regression on the documented GAO and National Research Council mission record, with technical-breadth and flagship-class controls</w:t>
      </w:r>
      <w:r>
        <w:t xml:space="preserve"> </w:t>
      </w:r>
      <w:hyperlink w:anchor="ref-9">
        <w:r>
          <w:rPr>
            <w:rStyle w:val="Hyperlink"/>
          </w:rPr>
          <w:t xml:space="preserve">[9]</w:t>
        </w:r>
      </w:hyperlink>
      <w:r>
        <w:t xml:space="preserve">[10][11][12]. Together the two estimates measure both faces of the maturation-value question on real data: the return to accumulated category experience and the penalty for entering a milestone unmatured. The first speaks to whether sequencing investment inside a category is a lever on total maturation cost; the second speaks to whether the timing of maturation relative to the design freeze is a lever on mission cost growth. Neither has been estimated before at the level its respective literature invokes, and estimating them is the work the remaining chapters undertake.</w:t>
      </w:r>
    </w:p>
    <w:p>
      <w:pPr>
        <w:pStyle w:val="BodyText"/>
        <w:spacing w:line="480" w:lineRule="auto"/>
        <w:ind w:firstLine="720"/>
      </w:pPr>
      <w:r>
        <w:t xml:space="preserve">The methodological commitment that runs through both contributions is that an assumed factor and an estimated parameter are different objects, and that the roadmapping practice of treating institutional category history as a price reduction is a claim that should be tested against the program record rather than carried forward as a warrant</w:t>
      </w:r>
      <w:r>
        <w:t xml:space="preserve"> </w:t>
      </w:r>
      <w:hyperlink w:anchor="ref-5">
        <w:r>
          <w:rPr>
            <w:rStyle w:val="Hyperlink"/>
          </w:rPr>
          <w:t xml:space="preserve">[5]</w:t>
        </w:r>
      </w:hyperlink>
      <w:r>
        <w:t xml:space="preserve">[9]. The chapters that follow build the estimating equations, construct the panels from TechPort and the documented mission record</w:t>
      </w:r>
      <w:r>
        <w:t xml:space="preserve"> </w:t>
      </w:r>
      <w:hyperlink w:anchor="ref-8">
        <w:r>
          <w:rPr>
            <w:rStyle w:val="Hyperlink"/>
          </w:rPr>
          <w:t xml:space="preserve">[8]</w:t>
        </w:r>
      </w:hyperlink>
      <w:r>
        <w:t xml:space="preserve">[9][10], and report the estimates under a pre-registered robustness battery that confronts the selection, vintage, measurement, and taxonomy-stability threats this review has named</w:t>
      </w:r>
      <w:r>
        <w:t xml:space="preserve"> </w:t>
      </w:r>
      <w:hyperlink w:anchor="ref-6">
        <w:r>
          <w:rPr>
            <w:rStyle w:val="Hyperlink"/>
          </w:rPr>
          <w:t xml:space="preserve">[6]</w:t>
        </w:r>
      </w:hyperlink>
      <w:r>
        <w:t xml:space="preserve">[7][12]. The contribution is narrow by design: two estimated coefficients, each with a pre-committed sign, each identified from a defensible source of variation, each traceable to public data. Their value is that they replace, for the JPL Advanced Technology Development portfolio, an assumption that two literatures have shared without examining with a number that either confirms it, disciplines it, or contradicts it.</w:t>
      </w:r>
    </w:p>
    <w:bookmarkEnd w:id="81"/>
    <w:bookmarkEnd w:id="82"/>
    <w:bookmarkStart w:id="93" w:name="Xcfcc00a3ded59aed0c781c16bfc121f2a509603"/>
    <w:p>
      <w:pPr>
        <w:pStyle w:val="Heading1"/>
        <w:spacing w:line="480" w:lineRule="auto"/>
      </w:pPr>
      <w:r>
        <w:t xml:space="preserve">Chapter 3. Theoretical Framework and Hypotheses</w:t>
      </w:r>
    </w:p>
    <w:bookmarkStart w:id="83" w:name="purpose-and-position-of-the-chapter"/>
    <w:p>
      <w:pPr>
        <w:pStyle w:val="Heading2"/>
        <w:spacing w:line="480" w:lineRule="auto"/>
      </w:pPr>
      <w:r>
        <w:t xml:space="preserve">3.1 Purpose and Position of the Chapter</w:t>
      </w:r>
    </w:p>
    <w:p>
      <w:pPr>
        <w:pStyle w:val="FirstParagraph"/>
        <w:spacing w:line="480" w:lineRule="auto"/>
      </w:pPr>
      <w:r>
        <w:t xml:space="preserve">The preceding chapters established the empirical setting and the descriptive record. They documented that technology roadmaps for space systems are sequenced on an unstated cost dynamic, that the Jet Propulsion Laboratory returns repeatedly to coherent technology families, and that the public program-of-record in NASA TechPort is a tractable site for testing whether that repetition buys anything. This chapter supplies the theory that converts those observations into a falsifiable claim. Its task is threefold: to specify the causal mechanism the roadmapping premise assumes, to make explicit the competing mechanism that would generate the opposite sign, and to state the formal null and alternative hypotheses, H0 and H1, in terms a single estimated parameter can adjudicate.</w:t>
      </w:r>
    </w:p>
    <w:p>
      <w:pPr>
        <w:pStyle w:val="BodyText"/>
        <w:spacing w:line="480" w:lineRule="auto"/>
        <w:ind w:firstLine="720"/>
      </w:pPr>
      <w:r>
        <w:t xml:space="preserve">The chapter is deliberately disciplined in scope. It does not attempt a general theory of organizational learning, nor a comprehensive account of why space missions overrun. It isolates one parameter, the within-category experience elasticity of per-step maturation cost at JPL, denoted beta, and develops the theoretical reasoning that gives that parameter a determinate expected sign under each competing account. The two companion papers in this dissertation bracket the parameter from opposite directions. The first estimated the elasticity directly on TechPort maturation spans and found it positive, contrary to the learning premise. The second estimated, on a separate mission cross-section, that carrying immature technology into the preliminary design review is associated with roughly nineteen additional points of development cost growth, confirming that maturation does real downstream work</w:t>
      </w:r>
      <w:r>
        <w:t xml:space="preserve"> </w:t>
      </w:r>
      <w:hyperlink w:anchor="ref-9">
        <w:r>
          <w:rPr>
            <w:rStyle w:val="Hyperlink"/>
          </w:rPr>
          <w:t xml:space="preserve">[9]</w:t>
        </w:r>
      </w:hyperlink>
      <w:r>
        <w:t xml:space="preserve">[10][11]. The theoretical framework developed here must accommodate both results without contradiction. It does so by distinguishing two levels at which technology maturation operates: the within-mission level, where readiness before design-freeze restrains cost growth, and the across-mission, within-category level, where the laboratory’s accumulated family history may or may not lower the marginal cost of the next maturation step. The dissertation’s central hypothesis lives at the second level.</w:t>
      </w:r>
    </w:p>
    <w:bookmarkEnd w:id="83"/>
    <w:bookmarkStart w:id="84" w:name="the-experience-curve-mechanism"/>
    <w:p>
      <w:pPr>
        <w:pStyle w:val="Heading2"/>
        <w:spacing w:line="480" w:lineRule="auto"/>
      </w:pPr>
      <w:r>
        <w:t xml:space="preserve">3.2 The Experience-Curve Mechanism</w:t>
      </w:r>
    </w:p>
    <w:p>
      <w:pPr>
        <w:pStyle w:val="FirstParagraph"/>
        <w:spacing w:line="480" w:lineRule="auto"/>
      </w:pPr>
      <w:r>
        <w:t xml:space="preserve">The theoretical backbone of the learning premise is the experience curve. In its canonical form, unit cost falls as a log-linear function of cumulative output or cumulative development experience, so that each doubling of accumulated experience reduces unit cost by a fixed fraction, the complement of the progress ratio. The functional content of the curve is not a statistical convenience; it encodes a behavioral claim about where cost reductions come from. Repetition of a productive or developmental task generates transferable capability: workers and engineers refine procedures, tooling and test infrastructure amortize across successive units, design choices that failed once are not repeated, and tacit judgment accumulates in the institution that performs the work. Cost falls not because calendar time passes but because experience is acquired and retained. Time alone buys nothing. Experience does.</w:t>
      </w:r>
    </w:p>
    <w:p>
      <w:pPr>
        <w:pStyle w:val="BodyText"/>
        <w:spacing w:line="480" w:lineRule="auto"/>
        <w:ind w:firstLine="720"/>
      </w:pPr>
      <w:r>
        <w:t xml:space="preserve">Space cost methodology has already imported this device into the estimation of single-program development cost. The roadmapping methodology for hypersonic transportation systems carries an explicit learning-curve factor inside its development-cost estimate, scaling predicted cost by a function of accumulated development experience</w:t>
      </w:r>
      <w:r>
        <w:t xml:space="preserve"> </w:t>
      </w:r>
      <w:hyperlink w:anchor="ref-5">
        <w:r>
          <w:rPr>
            <w:rStyle w:val="Hyperlink"/>
          </w:rPr>
          <w:t xml:space="preserve">[5]</w:t>
        </w:r>
      </w:hyperlink>
      <w:r>
        <w:t xml:space="preserve">. The presence of that factor inside a sanctioned cost model is consequential for this dissertation, because it means the learning premise is not merely folk wisdom among roadmappers. It is a parameter that practitioners are willing to write into a cost equation and defend. The methodological move this dissertation makes is to lift that parameter out of the single-program estimate, where it is assumed, and to estimate it at the level at which roadmappers actually invoke it: the institution and the technology category.</w:t>
      </w:r>
    </w:p>
    <w:p>
      <w:pPr>
        <w:pStyle w:val="BodyText"/>
        <w:spacing w:line="480" w:lineRule="auto"/>
        <w:ind w:firstLine="720"/>
      </w:pPr>
      <w:r>
        <w:t xml:space="preserve">The lift changes the meaning of the parameter in a way the theory must register. Inside a single program, the learning-curve factor describes movement down a curve as successive units of one well-defined article are produced or developed. At the institution-and-category level, the relevant unit is not a repeated article but a successive project within a taxonomy family. The claim becomes that prior JPL projects in a category, the SPIDER photonic-imaging line and its successors being the motivating example</w:t>
      </w:r>
      <w:r>
        <w:t xml:space="preserve"> </w:t>
      </w:r>
      <w:hyperlink w:anchor="ref-1">
        <w:r>
          <w:rPr>
            <w:rStyle w:val="Hyperlink"/>
          </w:rPr>
          <w:t xml:space="preserve">[1]</w:t>
        </w:r>
      </w:hyperlink>
      <w:r>
        <w:t xml:space="preserve">[2][3], leave behind transferable capability that lowers the marginal cost of advancing the next project in that family by one Technology Readiness Level. The low-cost optical surveillance sensor case makes the same logic concrete in a second family: a later sensor is pursued explicitly as a cheaper successor that inherits the engineering of its predecessors</w:t>
      </w:r>
      <w:r>
        <w:t xml:space="preserve"> </w:t>
      </w:r>
      <w:hyperlink w:anchor="ref-4">
        <w:r>
          <w:rPr>
            <w:rStyle w:val="Hyperlink"/>
          </w:rPr>
          <w:t xml:space="preserve">[4]</w:t>
        </w:r>
      </w:hyperlink>
      <w:r>
        <w:t xml:space="preserve">. The experience-curve mechanism, transposed to the portfolio, predicts that the elasticity of per-step maturation cost with respect to accumulated same-category project experience is negative.</w:t>
      </w:r>
    </w:p>
    <w:bookmarkEnd w:id="84"/>
    <w:bookmarkStart w:id="85" w:name="Xe7747e78905a2d226aba12b3ef793a19d7fccfc"/>
    <w:p>
      <w:pPr>
        <w:pStyle w:val="Heading2"/>
        <w:spacing w:line="480" w:lineRule="auto"/>
      </w:pPr>
      <w:r>
        <w:t xml:space="preserve">3.3 The Causal Logic of Within-Category Learning</w:t>
      </w:r>
    </w:p>
    <w:p>
      <w:pPr>
        <w:pStyle w:val="FirstParagraph"/>
        <w:spacing w:line="480" w:lineRule="auto"/>
      </w:pPr>
      <w:r>
        <w:t xml:space="preserve">For the experience-curve mechanism to generate a negative beta, three causal links must hold in sequence, and it is worth making each explicit because each is a point at which the mechanism can fail.</w:t>
      </w:r>
    </w:p>
    <w:p>
      <w:pPr>
        <w:pStyle w:val="BodyText"/>
        <w:spacing w:line="480" w:lineRule="auto"/>
        <w:ind w:firstLine="720"/>
      </w:pPr>
      <w:r>
        <w:t xml:space="preserve">The first link is capability creation. Each completed project in a category must produce capability that did not exist before it: characterized components, qualified materials, validated test articles, calibrated facilities, and, less tangibly, engineers who now know which approaches do not work. This is the least controversial link. The technology-line record documents capability accumulating entrant by entrant within a fixed problem</w:t>
      </w:r>
      <w:r>
        <w:t xml:space="preserve"> </w:t>
      </w:r>
      <w:hyperlink w:anchor="ref-1">
        <w:r>
          <w:rPr>
            <w:rStyle w:val="Hyperlink"/>
          </w:rPr>
          <w:t xml:space="preserve">[1]</w:t>
        </w:r>
      </w:hyperlink>
      <w:r>
        <w:t xml:space="preserve">[2][3][4], and the parametric cost literature treats readiness itself as a state variable that a project either inherits or must build</w:t>
      </w:r>
      <w:r>
        <w:t xml:space="preserve"> </w:t>
      </w:r>
      <w:hyperlink w:anchor="ref-3">
        <w:r>
          <w:rPr>
            <w:rStyle w:val="Hyperlink"/>
          </w:rPr>
          <w:t xml:space="preserve">[3]</w:t>
        </w:r>
      </w:hyperlink>
      <w:r>
        <w:t xml:space="preserve">[11].</w:t>
      </w:r>
    </w:p>
    <w:p>
      <w:pPr>
        <w:pStyle w:val="BodyText"/>
        <w:spacing w:line="480" w:lineRule="auto"/>
        <w:ind w:firstLine="720"/>
      </w:pPr>
      <w:r>
        <w:t xml:space="preserve">The second link is capability transfer. The capability created by prior projects must actually flow to the next project in the same category at low cost. Transfer is not automatic. It has preconditions. It requires that the prior and successor projects share enough technical structure that the inherited tooling, test infrastructure, and judgment apply; it requires that the institution retain the people and artifacts across the gap between projects; and it requires that the taxonomy family, the operational definition of category in this study, group projects that are in fact technically adjacent rather than merely co-classified. Where transfer is high, the inherited capability discounts the successor’s maturation cost. Where transfer is low, the successor effectively starts from a blank state regardless of how much category history precedes it, and the experience regressor carries no causal force.</w:t>
      </w:r>
    </w:p>
    <w:p>
      <w:pPr>
        <w:pStyle w:val="BodyText"/>
        <w:spacing w:line="480" w:lineRule="auto"/>
        <w:ind w:firstLine="720"/>
      </w:pPr>
      <w:r>
        <w:t xml:space="preserve">The third link is cost realization. The transferred capability must lower the measured cost of the maturation step, not merely substitute for cost in some unmeasured dimension. This link is where the choice of dependent variable becomes theoretically load-bearing. If maturation cost is measured in dollars, transferred capability should reduce the dollars spent per TRL step. If, as the public TechPort record forces, cost is measured by the project’s span in years per step, then transferred capability lowers beta only if it shortens the calendar span of the next step rather than merely reducing its dollar intensity. A laboratory that has grown experienced in a category may rationally choose to spend more deliberate project time on each later, higher-stakes step even as it spends fewer dollars, which would break the cost-realization link for a time-based measure while leaving it intact for a dollar-based one. The theory must therefore carry both interpretations forward, because the sign of beta is informative about the mechanism only once the measure is fixed.</w:t>
      </w:r>
    </w:p>
    <w:p>
      <w:pPr>
        <w:pStyle w:val="BodyText"/>
        <w:spacing w:line="480" w:lineRule="auto"/>
        <w:ind w:firstLine="720"/>
      </w:pPr>
      <w:r>
        <w:t xml:space="preserve">The full causal chain that the roadmapping premise asserts is thus: prior category projects create capability, capability transfers to the next project at low cost, and transferred capability is realized as a lower measured maturation cost for that next project. A negative beta is the joint product of all three links holding. A null or positive beta indicates that at least one link fails, and the structure above is what lets the empirical estimate be read as a statement about the mechanism rather than as an uninterpreted correlation.</w:t>
      </w:r>
    </w:p>
    <w:bookmarkEnd w:id="85"/>
    <w:bookmarkStart w:id="86" w:name="X8523dc5e4bd374156d4ca01fb80e9dabf79d3d9"/>
    <w:p>
      <w:pPr>
        <w:pStyle w:val="Heading2"/>
        <w:spacing w:line="480" w:lineRule="auto"/>
      </w:pPr>
      <w:r>
        <w:t xml:space="preserve">3.4 The Competing Mechanism: Selection on Difficulty</w:t>
      </w:r>
    </w:p>
    <w:p>
      <w:pPr>
        <w:pStyle w:val="FirstParagraph"/>
        <w:spacing w:line="480" w:lineRule="auto"/>
      </w:pPr>
      <w:r>
        <w:t xml:space="preserve">A theory that admits only the learning mechanism would be untestable, because any negative association could be claimed as confirmation and any non-negative one dismissed as noise. The framework therefore specifies, with equal precision, the mechanism that generates the opposite sign. Call it selection on difficulty. The name is the argument in miniature.</w:t>
      </w:r>
    </w:p>
    <w:p>
      <w:pPr>
        <w:pStyle w:val="BodyText"/>
        <w:spacing w:line="480" w:lineRule="auto"/>
        <w:ind w:firstLine="720"/>
      </w:pPr>
      <w:r>
        <w:t xml:space="preserve">The selection account begins from a different premise about why an institution returns to a category. A national laboratory does not distribute its repeat investment at random across technology families. It concentrates successive bets in the categories that continue to pose the hardest unsolved problems, precisely because those are the categories whose advancement is worth a national laboratory’s sustained attention. Under this premise, accumulated category history is not a marker of acquired ease but a marker of persistent, escalating difficulty. The families to which JPL returns most often are the families where each new step reaches toward a harder target than the last, so that per-step maturation cost rises, not falls, as the count of prior family projects accumulates.</w:t>
      </w:r>
    </w:p>
    <w:p>
      <w:pPr>
        <w:pStyle w:val="BodyText"/>
        <w:spacing w:line="480" w:lineRule="auto"/>
        <w:ind w:firstLine="720"/>
      </w:pPr>
      <w:r>
        <w:t xml:space="preserve">The selection mechanism is fully compatible with the genuine, documented progress inside individual technology lines. A SPIDER successor can report real per-entrant reductions in size, weight, power, and cost against the entrant before it</w:t>
      </w:r>
      <w:r>
        <w:t xml:space="preserve"> </w:t>
      </w:r>
      <w:hyperlink w:anchor="ref-1">
        <w:r>
          <w:rPr>
            <w:rStyle w:val="Hyperlink"/>
          </w:rPr>
          <w:t xml:space="preserve">[1]</w:t>
        </w:r>
      </w:hyperlink>
      <w:r>
        <w:t xml:space="preserve">[2][3], while the family as a whole drifts toward more demanding objectives that lengthen and complicate the next maturation step. The two facts coexist because they are measured against different baselines: the entrant gain is measured against its immediate predecessor at a fixed problem, while beta is measured across the family as its problem frontier advances. This is the reconciliation that the first companion paper invoked to explain its positive elasticity, and it is the reason a positive beta does not refute the technology-line record but instead relocates the learning to a within-problem level that the across-family parameter does not capture.</w:t>
      </w:r>
    </w:p>
    <w:p>
      <w:pPr>
        <w:pStyle w:val="BodyText"/>
        <w:spacing w:line="480" w:lineRule="auto"/>
        <w:ind w:firstLine="720"/>
      </w:pPr>
      <w:r>
        <w:t xml:space="preserve">Selection on difficulty has a sharp methodological consequence that the framework must address before any hypothesis is testable. If JPL concentrates repeat investment in categories that are intrinsically more expensive to mature, then a naive regression of cost on experience would conflate the learning question with a category-composition question. The defense is the within-category estimator. Category fixed effects, or their reduced-form equivalents, absorb the time-invariant component of how expensive a family is to mature, so that beta is identified only from variation in accumulated experience inside a family, holding the family’s intrinsic difficulty fixed. What selection on difficulty cannot be fully purged of, and what the threats-to-validity treatment must concede, is the possibility that difficulty escalates within a family over its own history; the within-category estimator removes the cross-family component of selection but not the within-family drift. The framework records this as the principal interpretive caution attached to a non-negative estimate.</w:t>
      </w:r>
    </w:p>
    <w:bookmarkEnd w:id="86"/>
    <w:bookmarkStart w:id="87" w:name="X68846d52a30570a854d4efdd13ecab9bd1f1e20"/>
    <w:p>
      <w:pPr>
        <w:pStyle w:val="Heading2"/>
        <w:spacing w:line="480" w:lineRule="auto"/>
      </w:pPr>
      <w:r>
        <w:t xml:space="preserve">3.5 The Confounding Force: Sector-Wide Cost Decline</w:t>
      </w:r>
    </w:p>
    <w:p>
      <w:pPr>
        <w:pStyle w:val="FirstParagraph"/>
        <w:spacing w:line="480" w:lineRule="auto"/>
      </w:pPr>
      <w:r>
        <w:t xml:space="preserve">Beyond the two competing within-laboratory mechanisms sits a third force that operates regardless of category experience and that must be partialled out before either mechanism can be read from the data. The economy-scale forecasts describe a broad, secular decline in space-system costs driven by accumulated technological advance across the whole sector and by falling launch and component prices</w:t>
      </w:r>
      <w:r>
        <w:t xml:space="preserve"> </w:t>
      </w:r>
      <w:hyperlink w:anchor="ref-6">
        <w:r>
          <w:rPr>
            <w:rStyle w:val="Hyperlink"/>
          </w:rPr>
          <w:t xml:space="preserve">[6]</w:t>
        </w:r>
      </w:hyperlink>
      <w:r>
        <w:t xml:space="preserve">[7]. This decline would lower the measured cost of later projects in any category simply because later projects are executed in a cheaper sector-wide environment, not because the laboratory learned anything category-specific. Left uncontrolled, the sector trend would manufacture a spurious negative beta and counterfeit confirmation of the learning premise.</w:t>
      </w:r>
    </w:p>
    <w:p>
      <w:pPr>
        <w:pStyle w:val="BodyText"/>
        <w:spacing w:line="480" w:lineRule="auto"/>
        <w:ind w:firstLine="720"/>
      </w:pPr>
      <w:r>
        <w:t xml:space="preserve">The theoretical status of this force is that of a common time trend orthogonal to the experience question. The framework neutralizes it with start-year conditioning, either as vintage fixed effects in the panel specification or as a centered start-year control in the cross-section. With calendar time absorbed, the experience elasticity is identified from variation in accumulated category experience among projects of the same vintage, which is the comparison the roadmapping assumption actually invokes when it claims that history, not the era, discounts the next step. The first companion paper found this vintage control statistically null in its instrument-weighted sample, which is itself informative: in that record the sector decline did not register once experience and scope were in the model, so the positive elasticity it recovered cannot be attributed to a failure to control calendar time. The framework retains the control on theoretical grounds regardless, because its absence is a known route to a false positive and its presence costs nothing under the null.</w:t>
      </w:r>
    </w:p>
    <w:bookmarkEnd w:id="87"/>
    <w:bookmarkStart w:id="88" w:name="reconciling-the-two-companion-results"/>
    <w:p>
      <w:pPr>
        <w:pStyle w:val="Heading2"/>
        <w:spacing w:line="480" w:lineRule="auto"/>
      </w:pPr>
      <w:r>
        <w:t xml:space="preserve">3.6 Reconciling the Two Companion Results</w:t>
      </w:r>
    </w:p>
    <w:p>
      <w:pPr>
        <w:pStyle w:val="FirstParagraph"/>
        <w:spacing w:line="480" w:lineRule="auto"/>
      </w:pPr>
      <w:r>
        <w:t xml:space="preserve">The framework must hold two empirical findings from the companion papers in a single coherent structure, because a dissertation whose central parameter contradicts one of its own supporting results would be internally incoherent. The findings appear, on the surface, to pull in opposite directions. The mission cross-section found that technology immaturity at the preliminary design review raises development cost growth substantially and reliably, which reads as strong evidence that maturation lowers cost</w:t>
      </w:r>
      <w:r>
        <w:t xml:space="preserve"> </w:t>
      </w:r>
      <w:hyperlink w:anchor="ref-9">
        <w:r>
          <w:rPr>
            <w:rStyle w:val="Hyperlink"/>
          </w:rPr>
          <w:t xml:space="preserve">[9]</w:t>
        </w:r>
      </w:hyperlink>
      <w:r>
        <w:t xml:space="preserve">[10][11]. The TechPort cross-section found that accumulated within-category experience raises, rather than lowers, per-step maturation span, which reads as evidence that category history does not lower cost. Both cannot be surface readings of the same parameter.</w:t>
      </w:r>
    </w:p>
    <w:p>
      <w:pPr>
        <w:pStyle w:val="BodyText"/>
        <w:spacing w:line="480" w:lineRule="auto"/>
        <w:ind w:firstLine="720"/>
      </w:pPr>
      <w:r>
        <w:t xml:space="preserve">The resolution is that they are not the same parameter, and the theoretical contribution of this chapter is to keep them distinct. The mission-level result concerns the within-project timing of maturation: given a single mission, finishing maturation before the design freeze converts a downstream cost-growth penalty into an upstream maturation expense</w:t>
      </w:r>
      <w:r>
        <w:t xml:space="preserve"> </w:t>
      </w:r>
      <w:hyperlink w:anchor="ref-9">
        <w:r>
          <w:rPr>
            <w:rStyle w:val="Hyperlink"/>
          </w:rPr>
          <w:t xml:space="preserve">[9]</w:t>
        </w:r>
      </w:hyperlink>
      <w:r>
        <w:t xml:space="preserve">[11]. It says nothing about whether the laboratory’s prior projects in the same family made that upstream maturation cheaper. The dissertation’s central parameter, beta, concerns exactly that across-project question: whether the accumulated family history lowers the marginal cost of the next maturation step. The two are logically independent. It is entirely consistent for maturation to be valuable within a mission, because it averts a large cost-growth penalty, and for accumulated category experience to fail to make that maturation cheaper across missions, because the family keeps advancing toward harder problems. The first companion paper’s positive elasticity and the second’s confirmed immaturity penalty are reconciled precisely by separating the level at which each operates. The framework thereby preserves the dissertation’s motivating claim, that sustained technology investment is worth making, while subjecting to falsification the distinct claim that the investment compounds into a per-step discount.</w:t>
      </w:r>
    </w:p>
    <w:bookmarkEnd w:id="88"/>
    <w:bookmarkStart w:id="89" w:name="from-mechanism-to-estimable-parameter"/>
    <w:p>
      <w:pPr>
        <w:pStyle w:val="Heading2"/>
        <w:spacing w:line="480" w:lineRule="auto"/>
      </w:pPr>
      <w:r>
        <w:t xml:space="preserve">3.7 From Mechanism to Estimable Parameter</w:t>
      </w:r>
    </w:p>
    <w:p>
      <w:pPr>
        <w:pStyle w:val="FirstParagraph"/>
        <w:spacing w:line="480" w:lineRule="auto"/>
      </w:pPr>
      <w:r>
        <w:t xml:space="preserve">The competing mechanisms reduce to a single contest. The whole dispute turns on the sign of one elasticity. Let cumulative experience in a technology category, measured at a project’s start by the count and the summed prior funding of earlier same-category JPL projects, enter a log-linear cost equation, and let per-step maturation cost be the project’s resource expenditure per unit of TRL advancement. Regressing log per-step cost on log cumulative category experience, conditioned on project scope and vintage, yields beta as the coefficient of interest. The log-log form is not chosen for tractability alone; it is the form the experience-curve tradition specifies and the form space cost methodology already adopts when it scales development cost by a learning factor</w:t>
      </w:r>
      <w:r>
        <w:t xml:space="preserve"> </w:t>
      </w:r>
      <w:hyperlink w:anchor="ref-5">
        <w:r>
          <w:rPr>
            <w:rStyle w:val="Hyperlink"/>
          </w:rPr>
          <w:t xml:space="preserve">[5]</w:t>
        </w:r>
      </w:hyperlink>
      <w:r>
        <w:t xml:space="preserve">. Reading beta as an elasticity, its magnitude states the fractional change in per-step cost associated with each doubling of accumulated category experience, and its sign states which mechanism governs the portfolio.</w:t>
      </w:r>
    </w:p>
    <w:p>
      <w:pPr>
        <w:pStyle w:val="BodyText"/>
        <w:spacing w:line="480" w:lineRule="auto"/>
        <w:ind w:firstLine="720"/>
      </w:pPr>
      <w:r>
        <w:t xml:space="preserve">The learning mechanism predicts beta negative and bounded away from zero. The selection-on-difficulty mechanism predicts beta non-negative, either null if the within-category estimator fully absorbs the difficulty composition or positive if difficulty escalates within families over their own histories. The sector-wide decline predicts a spurious negative contribution that the vintage control is designed to remove, so that any negative beta surviving the vintage control must be attributed to learning rather than to calendar time. These predictions are mutually exclusive in sign at the parameter the study estimates, which is what makes the test falsifiable rather than merely descriptive.</w:t>
      </w:r>
    </w:p>
    <w:bookmarkEnd w:id="89"/>
    <w:bookmarkStart w:id="90" w:name="formal-hypotheses"/>
    <w:p>
      <w:pPr>
        <w:pStyle w:val="Heading2"/>
        <w:spacing w:line="480" w:lineRule="auto"/>
      </w:pPr>
      <w:r>
        <w:t xml:space="preserve">3.8 Formal Hypotheses</w:t>
      </w:r>
    </w:p>
    <w:p>
      <w:pPr>
        <w:pStyle w:val="FirstParagraph"/>
        <w:spacing w:line="480" w:lineRule="auto"/>
      </w:pPr>
      <w:r>
        <w:t xml:space="preserve">The contribution of the dissertation is a single estimated quantity with a pre-committed expected sign, and the hypotheses are stated so that the data can confirm, quantify, or falsify the roadmapping premise without interpretive latitude after the fact.</w:t>
      </w:r>
    </w:p>
    <w:p>
      <w:pPr>
        <w:pStyle w:val="BodyText"/>
        <w:spacing w:line="480" w:lineRule="auto"/>
        <w:ind w:firstLine="720"/>
      </w:pPr>
      <w:r>
        <w:rPr>
          <w:b/>
          <w:bCs/>
        </w:rPr>
        <w:t xml:space="preserve">H0 (null hypothesis).</w:t>
      </w:r>
      <w:r>
        <w:t xml:space="preserve"> </w:t>
      </w:r>
      <w:r>
        <w:t xml:space="preserve">The within-category experience elasticity beta is statistically indistinguishable from zero. Cumulative prior investment in a technology category does not lower the marginal per-step maturation cost of the next JPL project in that category once project scope and vintage are held fixed. Under H0, accumulated category history carries no measurable per-step cost discount, and the roadmapping practice of treating institutional category depth as a price reduction on the next maturation step is unfunded by the program record.</w:t>
      </w:r>
    </w:p>
    <w:p>
      <w:pPr>
        <w:pStyle w:val="BodyText"/>
        <w:spacing w:line="480" w:lineRule="auto"/>
        <w:ind w:firstLine="720"/>
      </w:pPr>
      <w:r>
        <w:rPr>
          <w:b/>
          <w:bCs/>
        </w:rPr>
        <w:t xml:space="preserve">H1 (alternative hypothesis).</w:t>
      </w:r>
      <w:r>
        <w:t xml:space="preserve"> </w:t>
      </w:r>
      <w:r>
        <w:t xml:space="preserve">The within-category experience elasticity beta is negative and bounded away from zero. Each doubling of cumulative category experience is associated with a statistically reliable reduction in per-step maturation cost, holding scope and vintage fixed. Under H1, the sequencing and bundling of Advanced Technology Development investments is a measurable lever on total maturation cost, and roadmaps that concentrate successive bets inside categories where the laboratory already holds depth are pricing a discount the program record supports.</w:t>
      </w:r>
    </w:p>
    <w:p>
      <w:pPr>
        <w:pStyle w:val="BodyText"/>
        <w:spacing w:line="480" w:lineRule="auto"/>
        <w:ind w:firstLine="720"/>
      </w:pPr>
      <w:r>
        <w:t xml:space="preserve">The decision rule is pre-registered and one-directional in its substantive interpretation. A negative, statistically reliable beta that survives the robustness battery confirms H1 and quantifies the discount. A beta that is null or positive under the pre-registered specification fails to confirm H1 and, in the positive case, indicates a per-step experience penalty rather than a discount. The framework deliberately distinguishes these two non-confirming outcomes, because they differ in their managerial reading: a null beta disciplines the roadmapping premise by removing the unfunded discount, while a positive beta contradicts the premise in sign and points to selection on difficulty as the governing mechanism. The first companion paper’s recovery of a positive, significant elasticity on the time-based measure is the live possibility the dissertation’s central estimate must take seriously, and the dollar-based replication that a future TechPort release would permit is the test that would discriminate a genuine cost penalty from a deliberate-investment pattern in project span.</w:t>
      </w:r>
    </w:p>
    <w:bookmarkEnd w:id="90"/>
    <w:bookmarkStart w:id="91" w:name="X9f061ac8d0d663bb2ea908a654e3fd21f71ec90"/>
    <w:p>
      <w:pPr>
        <w:pStyle w:val="Heading2"/>
        <w:spacing w:line="480" w:lineRule="auto"/>
      </w:pPr>
      <w:r>
        <w:t xml:space="preserve">3.9 Scope Conditions and Theoretical Boundaries</w:t>
      </w:r>
    </w:p>
    <w:p>
      <w:pPr>
        <w:pStyle w:val="FirstParagraph"/>
        <w:spacing w:line="480" w:lineRule="auto"/>
      </w:pPr>
      <w:r>
        <w:t xml:space="preserve">The hypotheses carry boundary conditions that limit the population to which a confirmed or falsified beta speaks, and stating them is part of the theoretical specification rather than an afterthought. The parameter is defined for JPL-led Advanced Technology Development projects classified within a coherent NASA Technology Taxonomy family, which restricts the inference to one laboratory’s portfolio and to maturation work rather than flight-mission execution. The category operationalization inherits whatever grouping error the taxonomy carries, so that beta estimates learning across projects the taxonomy treats as adjacent, which may be coarser or finer than true technical adjacency. The cost measure determines whether beta tests a dollar discount or a span discount, and the two are not interchangeable under the deliberate-investment reading developed in Section 3.3. Finally, the within-category estimator identifies beta from accumulated-experience variation net of fixed category difficulty and common vintage, which means the parameter answers the roadmapping question as roadmappers pose it, holding the family and the era fixed, but does not by itself purge within-family difficulty escalation. These boundaries do not weaken the test; they fix exactly what a confirming or disconfirming estimate is entitled to claim, and they make the eventual finding portable to the sponsor-advisory context that motivates the dissertation, where an FFRDC must tell a sponsor whether the next technology dollar is cheaper inside a category the laboratory already knows.</w:t>
      </w:r>
    </w:p>
    <w:bookmarkEnd w:id="91"/>
    <w:bookmarkStart w:id="92" w:name="summary"/>
    <w:p>
      <w:pPr>
        <w:pStyle w:val="Heading2"/>
        <w:spacing w:line="480" w:lineRule="auto"/>
      </w:pPr>
      <w:r>
        <w:t xml:space="preserve">3.10 Summary</w:t>
      </w:r>
    </w:p>
    <w:p>
      <w:pPr>
        <w:pStyle w:val="FirstParagraph"/>
        <w:spacing w:line="480" w:lineRule="auto"/>
      </w:pPr>
      <w:r>
        <w:t xml:space="preserve">This chapter has specified the causal mechanism the roadmapping premise assumes, named the competing mechanism that would reverse its sign, and isolated the confounding sector trend that would counterfeit its confirmation. The experience-curve account predicts that accumulated within-category project experience transfers capability that lowers the marginal cost of the next maturation step, yielding a negative elasticity beta. The selection-on-difficulty account predicts that an institution returns to its hardest categories, so that accumulated history coincides with rising per-step difficulty and a non-negative beta. The sector-wide cost decline predicts a spurious negative contribution removed by vintage conditioning. The two companion results are reconciled by separating the within-mission value of maturation, which the mission cross-section confirmed, from the across-mission, within-category discount, which the central parameter tests and the time-based companion estimate placed in doubt. The contest reduces to the sign of one elasticity, stated formally as H0, that beta is indistinguishable from zero, against H1, that beta is negative and bounded away from zero. The chapters that follow operationalize this parameter on the NASA TechPort program-of-record and submit it to the pre-registered decision rule.</w:t>
      </w:r>
    </w:p>
    <w:bookmarkEnd w:id="92"/>
    <w:bookmarkEnd w:id="93"/>
    <w:bookmarkStart w:id="112" w:name="chapter-4.-data-and-measurement"/>
    <w:p>
      <w:pPr>
        <w:pStyle w:val="Heading1"/>
        <w:spacing w:line="480" w:lineRule="auto"/>
      </w:pPr>
      <w:r>
        <w:t xml:space="preserve">Chapter 4. Data and Measurement</w:t>
      </w:r>
    </w:p>
    <w:bookmarkStart w:id="94"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two studies of this dissertation rest. It does three things in order. First, it identifies the authoritative datasets behind each study, names their custodians, and documents the channel through which each record was obtained. Second, it fixes the unit of analysis for each study and explains why the unit is the project in the first study and the mission in the second. Third, it traces every analytic variable back to the primary record from which it is built, distinguishing fields that are read directly from the source from fields that are derived by ordered construction over the source. The chapter is deliberately conservative about what the public record supports. Where the system of record withholds a quantity that the dissertation’s conceptual framework would prefer, that withholding is reported plainly and the measurement is rebuilt on the field that is in fact observed, rather than imputed. The aim is that a reader holding only the public sources named here, and the construction rules stated here, could reproduce both analysis files without access to any restricted or proprietary holding.</w:t>
      </w:r>
    </w:p>
    <w:p>
      <w:pPr>
        <w:pStyle w:val="BodyText"/>
        <w:spacing w:line="480" w:lineRule="auto"/>
        <w:ind w:firstLine="720"/>
      </w:pPr>
      <w:r>
        <w:t xml:space="preserve">The two studies draw on two different authoritative sources because they ask two different questions. The first study asks whether accumulated within-category experience at the Jet Propulsion Laboratory lowers the per-step cost of advancing the next project in that category. That question is a question about a portfolio of technology-development projects, and the only public system that catalogs NASA technology-development projects at the project level, with readiness, dates, lead organization, and a taxonomy classification, is NASA TechPort</w:t>
      </w:r>
      <w:r>
        <w:t xml:space="preserve"> </w:t>
      </w:r>
      <w:hyperlink w:anchor="ref-8">
        <w:r>
          <w:rPr>
            <w:rStyle w:val="Hyperlink"/>
          </w:rPr>
          <w:t xml:space="preserve">[8]</w:t>
        </w:r>
      </w:hyperlink>
      <w:r>
        <w:t xml:space="preserve">. The second study asks whether carrying immature technology into a project’s design-freeze milestone raises the development cost growth the project subsequently records. That question is a question about flight missions and their baseline-to-final cost accounting, and the authoritative public record for that accounting is the Government Accountability Office’s annual assessment of NASA major projects</w:t>
      </w:r>
      <w:r>
        <w:t xml:space="preserve"> </w:t>
      </w:r>
      <w:hyperlink w:anchor="ref-9">
        <w:r>
          <w:rPr>
            <w:rStyle w:val="Hyperlink"/>
          </w:rPr>
          <w:t xml:space="preserve">[9]</w:t>
        </w:r>
      </w:hyperlink>
      <w:r>
        <w:t xml:space="preserve">, supplemented by the National Research Council’s cost-growth study</w:t>
      </w:r>
      <w:r>
        <w:t xml:space="preserve"> </w:t>
      </w:r>
      <w:hyperlink w:anchor="ref-10">
        <w:r>
          <w:rPr>
            <w:rStyle w:val="Hyperlink"/>
          </w:rPr>
          <w:t xml:space="preserve">[10]</w:t>
        </w:r>
      </w:hyperlink>
      <w:r>
        <w:t xml:space="preserve"> </w:t>
      </w:r>
      <w:r>
        <w:t xml:space="preserve">and by audited mission cost compilations. The two sources are complementary, not interchangeable. The chapter treats them separately.</w:t>
      </w:r>
    </w:p>
    <w:bookmarkEnd w:id="94"/>
    <w:bookmarkStart w:id="103" w:name="study-one-nasa-techport"/>
    <w:p>
      <w:pPr>
        <w:pStyle w:val="Heading2"/>
        <w:spacing w:line="480" w:lineRule="auto"/>
      </w:pPr>
      <w:r>
        <w:t xml:space="preserve">4.2 Study One: NASA TechPort</w:t>
      </w:r>
    </w:p>
    <w:bookmarkStart w:id="95" w:name="the-authoritative-source"/>
    <w:p>
      <w:pPr>
        <w:pStyle w:val="Heading3"/>
        <w:spacing w:line="480" w:lineRule="auto"/>
      </w:pPr>
      <w:r>
        <w:t xml:space="preserve">4.2.1 The Authoritative Source</w:t>
      </w:r>
    </w:p>
    <w:p>
      <w:pPr>
        <w:pStyle w:val="FirstParagraph"/>
        <w:spacing w:line="480" w:lineRule="auto"/>
      </w:pPr>
      <w:r>
        <w:t xml:space="preserve">The first study draws its data from NASA TechPort, the agency’s public technology-portfolio system of record</w:t>
      </w:r>
      <w:r>
        <w:t xml:space="preserve"> </w:t>
      </w:r>
      <w:hyperlink w:anchor="ref-8">
        <w:r>
          <w:rPr>
            <w:rStyle w:val="Hyperlink"/>
          </w:rPr>
          <w:t xml:space="preserve">[8]</w:t>
        </w:r>
      </w:hyperlink>
      <w:r>
        <w:t xml:space="preserve">. TechPort is maintained by NASA as the canonical inventory of the agency’s technology-development activities, and it is exposed publicly through a REST application programming interface and project-detail records served from techport.nasa.gov</w:t>
      </w:r>
      <w:r>
        <w:t xml:space="preserve"> </w:t>
      </w:r>
      <w:hyperlink w:anchor="ref-8">
        <w:r>
          <w:rPr>
            <w:rStyle w:val="Hyperlink"/>
          </w:rPr>
          <w:t xml:space="preserve">[8]</w:t>
        </w:r>
      </w:hyperlink>
      <w:r>
        <w:t xml:space="preserve">. The system was selected because it is the only public holding that simultaneously satisfies the four requirements the study’s design imposes. It records technology-development work at the level of the individual project, which is the unit at which a learning effect would accrue. It reports a lead organization for each project, which permits restriction to the Jet Propulsion Laboratory. It reports start and end Technology Readiness Level, which is the scale on which maturation is measured. And it classifies every project against the NASA Technology Taxonomy, which supplies the technology category whose accumulated experience the study tracks. No alternative public source combines these four fields at the project level. TechPort is not merely convenient. It is the necessary source for the question as posed.</w:t>
      </w:r>
    </w:p>
    <w:bookmarkEnd w:id="95"/>
    <w:bookmarkStart w:id="96" w:name="fields-exposed-by-the-source"/>
    <w:p>
      <w:pPr>
        <w:pStyle w:val="Heading3"/>
        <w:spacing w:line="480" w:lineRule="auto"/>
      </w:pPr>
      <w:r>
        <w:t xml:space="preserve">4.2.2 Fields Exposed by the Source</w:t>
      </w:r>
    </w:p>
    <w:p>
      <w:pPr>
        <w:pStyle w:val="FirstParagraph"/>
        <w:spacing w:line="480" w:lineRule="auto"/>
      </w:pPr>
      <w:r>
        <w:t xml:space="preserve">TechPort exposes, per project, a stable project identifier, a project title, the lead organization, the start and end Technology Readiness Level, the start and end years, and a NASA Technology Taxonomy classification</w:t>
      </w:r>
      <w:r>
        <w:t xml:space="preserve"> </w:t>
      </w:r>
      <w:hyperlink w:anchor="ref-8">
        <w:r>
          <w:rPr>
            <w:rStyle w:val="Hyperlink"/>
          </w:rPr>
          <w:t xml:space="preserve">[8]</w:t>
        </w:r>
      </w:hyperlink>
      <w:r>
        <w:t xml:space="preserve">. The stable identifier is the key on which records are de-duplicated and to which each analytic observation is traced. The lead-organization field is the instrument by which the JPL restriction is operationalized. The Technology Readiness Level fields are ordinal markers on the standard nine-level NASA readiness scale, and they bound the maturation that a project records over its life. The taxonomy classification assigns each project to a technology family, and that family is the category construct on which the entire experience argument turns. The taxonomy field carries the current Technology Taxonomy structure, organized into numbered technology areas including TX04, TX05, TX08, and TX09, which name Entry-Descent-Landing, Communications and Navigation, Sensors and Instruments, and Science Instruments and Observatories respectively.</w:t>
      </w:r>
    </w:p>
    <w:bookmarkEnd w:id="96"/>
    <w:bookmarkStart w:id="97" w:name="Xebe25b0556bd528311eab209553da368c843ab3"/>
    <w:p>
      <w:pPr>
        <w:pStyle w:val="Heading3"/>
        <w:spacing w:line="480" w:lineRule="auto"/>
      </w:pPr>
      <w:r>
        <w:t xml:space="preserve">4.2.3 The Withheld Field and Its Consequence for Measurement</w:t>
      </w:r>
    </w:p>
    <w:p>
      <w:pPr>
        <w:pStyle w:val="FirstParagraph"/>
        <w:spacing w:line="480" w:lineRule="auto"/>
      </w:pPr>
      <w:r>
        <w:t xml:space="preserve">The prospectus for this dissertation anticipated measuring per-step maturation cost in dollars, dividing a project’s total funding by its Technology Readiness Level advancement. That construction presumes that the public TechPort release exposes project dollars. It does not. In its public release, TechPort withholds project funding</w:t>
      </w:r>
      <w:r>
        <w:t xml:space="preserve"> </w:t>
      </w:r>
      <w:hyperlink w:anchor="ref-8">
        <w:r>
          <w:rPr>
            <w:rStyle w:val="Hyperlink"/>
          </w:rPr>
          <w:t xml:space="preserve">[8]</w:t>
        </w:r>
      </w:hyperlink>
      <w:r>
        <w:t xml:space="preserve">. This is the single most consequential fact about the first study’s measurement, and the study confronts it directly rather than imputing a figure the source does not publish. Because dollars are unobserved in the public record, the per-step cost is measured by the project’s span in years per Technology Readiness Level step rather than by funding. The span in years is fully observed in the public release, since the start and end years are exposed for every retained project, and it is therefore the resource surrogate that the public record actually supports. The substitution is not cosmetic. It changes the dependent variable from a cost-per-step quantity to a time-per-step quantity, and the chapter is explicit that the first study estimates an experience elasticity of maturation time, not of maturation dollars. The discussion of that study treats the gap between span and dollars as a live limitation, and a funding-based replication is named as available only if TechPort or a successor system releases project dollars.</w:t>
      </w:r>
    </w:p>
    <w:bookmarkEnd w:id="97"/>
    <w:bookmarkStart w:id="98" w:name="extraction-and-provenance"/>
    <w:p>
      <w:pPr>
        <w:pStyle w:val="Heading3"/>
        <w:spacing w:line="480" w:lineRule="auto"/>
      </w:pPr>
      <w:r>
        <w:t xml:space="preserve">4.2.4 Extraction and Provenance</w:t>
      </w:r>
    </w:p>
    <w:p>
      <w:pPr>
        <w:pStyle w:val="FirstParagraph"/>
        <w:spacing w:line="480" w:lineRule="auto"/>
      </w:pPr>
      <w:r>
        <w:t xml:space="preserve">The analysis file was constructed by a documented extraction procedure over the public interface</w:t>
      </w:r>
      <w:r>
        <w:t xml:space="preserve"> </w:t>
      </w:r>
      <w:hyperlink w:anchor="ref-8">
        <w:r>
          <w:rPr>
            <w:rStyle w:val="Hyperlink"/>
          </w:rPr>
          <w:t xml:space="preserve">[8]</w:t>
        </w:r>
      </w:hyperlink>
      <w:r>
        <w:t xml:space="preserve">. Projects were pulled from the TechPort search interface across the instrument, sensor, optical, communications, and entry-descent-landing taxonomy areas, which are the families in which JPL’s relevant technology-development work concentrates. For each project returned by the search, the project’s detail record was fetched, and the record was retained only if three conditions held. The lead organization had to be the Jet Propulsion Laboratory or its operating institution, the California Institute of Technology, which is the form under which JPL’s parent appears in the lead-organization field. The project had to report a positive Technology Readiness Level advancement, since a project that did not advance has no defined per-step quantity. And the project had to report complete start and end years, since the span that becomes the resource surrogate is undefined without both endpoints. Records were de-duplicated on the stable project identifier so that no project entered the panel twice.</w:t>
      </w:r>
    </w:p>
    <w:p>
      <w:pPr>
        <w:pStyle w:val="BodyText"/>
        <w:spacing w:line="480" w:lineRule="auto"/>
        <w:ind w:firstLine="720"/>
      </w:pPr>
      <w:r>
        <w:t xml:space="preserve">The procedure yields forty-five JPL-led projects. The retained set is dominated by the Sensors and Instruments family, TX08, with smaller groups in Communications and Navigation, TX05, in Entry-Descent-Landing, TX04, and in Science Instruments and Observatories, TX09. The instrument weighting of the portfolio is itself a feature of the data rather than an artifact of the extraction, since JPL’s technology-development record is genuinely instrument-heavy, and the study reports its estimate as speaking to JPL’s Sensors and Instruments experience rather than to the agency at large. Provenance is preserved at the row level. Every row in the analysis file carries its own TechPort project URL in the source field, so each of the forty-five observations is independently traceable back to the public detail record from which it was built. The replication record retains the API query parameters and the pull date alongside the derived panel, so that a reader can reconstruct both the raw pull and the constructed file.</w:t>
      </w:r>
    </w:p>
    <w:bookmarkEnd w:id="98"/>
    <w:bookmarkStart w:id="99" w:name="unit-of-analysis"/>
    <w:p>
      <w:pPr>
        <w:pStyle w:val="Heading3"/>
        <w:spacing w:line="480" w:lineRule="auto"/>
      </w:pPr>
      <w:r>
        <w:t xml:space="preserve">4.2.5 Unit of Analysis</w:t>
      </w:r>
    </w:p>
    <w:p>
      <w:pPr>
        <w:pStyle w:val="FirstParagraph"/>
        <w:spacing w:line="480" w:lineRule="auto"/>
      </w:pPr>
      <w:r>
        <w:t xml:space="preserve">The unit of analysis in the first study is the JPL-led technology-development project, indexed as a single row in the panel. This is the level at which a within-category learning effect would, if it exists, be realized, because it is the level at which one project either does or does not benefit from the accumulated experience of the projects that preceded it in its taxonomy family. The project is also the level at which the source publishes readiness, dates, lead organization, and taxonomy, so the unit of analysis coincides with the unit of the record. There is no aggregation across projects in the dependent variable, and no project is split across rows. The forty-five projects are forty-five observations.</w:t>
      </w:r>
    </w:p>
    <w:bookmarkEnd w:id="99"/>
    <w:bookmarkStart w:id="100" w:name="construction-of-the-dependent-variable"/>
    <w:p>
      <w:pPr>
        <w:pStyle w:val="Heading3"/>
        <w:spacing w:line="480" w:lineRule="auto"/>
      </w:pPr>
      <w:r>
        <w:t xml:space="preserve">4.2.6 Construction of the Dependent Variable</w:t>
      </w:r>
    </w:p>
    <w:p>
      <w:pPr>
        <w:pStyle w:val="FirstParagraph"/>
        <w:spacing w:line="480" w:lineRule="auto"/>
      </w:pPr>
      <w:r>
        <w:t xml:space="preserve">The dependent variable is per-Technology-Readiness-Level maturation time, measured as the project’s span in years divided by the number of Technology Readiness Level steps it advanced. The span in years is the difference between the end year and the start year, both read directly from the source. The steps advanced is the difference between the end Technology Readiness Level and the start Technology Readiness Level, both read directly from the source, and it is positive by the retention rule. The ratio of span to steps is the time booked per individual level of advancement, and it is the time-domain surrogate for the cost-per-step quantity the prospectus originally framed. The model is estimated on the natural logarithm of this ratio, consistent with the log-linear experience-curve form that the study inherits from space cost methodology</w:t>
      </w:r>
      <w:r>
        <w:t xml:space="preserve"> </w:t>
      </w:r>
      <w:hyperlink w:anchor="ref-5">
        <w:r>
          <w:rPr>
            <w:rStyle w:val="Hyperlink"/>
          </w:rPr>
          <w:t xml:space="preserve">[5]</w:t>
        </w:r>
      </w:hyperlink>
      <w:r>
        <w:t xml:space="preserve">. The logarithmic transform is the standard device by which an experience curve renders the elasticity as the slope of log cost, here log time, on log accumulated experience.</w:t>
      </w:r>
    </w:p>
    <w:bookmarkEnd w:id="100"/>
    <w:bookmarkStart w:id="101" w:name="construction-of-the-experience-regressor"/>
    <w:p>
      <w:pPr>
        <w:pStyle w:val="Heading3"/>
        <w:spacing w:line="480" w:lineRule="auto"/>
      </w:pPr>
      <w:r>
        <w:t xml:space="preserve">4.2.7 Construction of the Experience Regressor</w:t>
      </w:r>
    </w:p>
    <w:p>
      <w:pPr>
        <w:pStyle w:val="FirstParagraph"/>
        <w:spacing w:line="480" w:lineRule="auto"/>
      </w:pPr>
      <w:r>
        <w:t xml:space="preserve">The independent variable of central interest is the project’s accumulated within-category experience, and it is a derived field rather than a field read from the source. For each project, the regressor is the count of earlier same-family JPL projects, computed from the start-year-ordered history of the family to which the project belongs. The ordering is the protection against contamination by the future. Because the count is built only from projects that began before the focal project, each observation’s regressor is determined entirely by records that predate it, and is therefore not a function of the focal project’s own as-yet-unrealized span. This temporal construction is what makes the regressor an experience measure rather than a contemporaneous correlate. The accumulated count ranges from zero, for the first JPL project observed in a family, to thirty-five, for the most recent entrant in the Sensors and Instruments family. The wide range within the dominant family is what supplies the within-category variation from which the experience elasticity is identified. The model is estimated on the logarithm of accumulated experience, again following the experience-curve form</w:t>
      </w:r>
      <w:r>
        <w:t xml:space="preserve"> </w:t>
      </w:r>
      <w:hyperlink w:anchor="ref-5">
        <w:r>
          <w:rPr>
            <w:rStyle w:val="Hyperlink"/>
          </w:rPr>
          <w:t xml:space="preserve">[5]</w:t>
        </w:r>
      </w:hyperlink>
      <w:r>
        <w:t xml:space="preserve">, so that the coefficient is read as an elasticity.</w:t>
      </w:r>
    </w:p>
    <w:bookmarkEnd w:id="101"/>
    <w:bookmarkStart w:id="102" w:name="construction-of-the-control-variables"/>
    <w:p>
      <w:pPr>
        <w:pStyle w:val="Heading3"/>
        <w:spacing w:line="480" w:lineRule="auto"/>
      </w:pPr>
      <w:r>
        <w:t xml:space="preserve">4.2.8 Construction of the Control Variables</w:t>
      </w:r>
    </w:p>
    <w:p>
      <w:pPr>
        <w:pStyle w:val="FirstParagraph"/>
        <w:spacing w:line="480" w:lineRule="auto"/>
      </w:pPr>
      <w:r>
        <w:t xml:space="preserve">Two controls enter the first study, and both are constructed from fields read directly from the source. The first control is the number of Technology Readiness Level steps advanced, entered in logarithm. This control fixes the scope of the advancement so that the experience coefficient is read at a constant step size rather than confounded with whether a project moved one level or four levels. Because the dependent variable is span per step, the scope control absorbs the granularity of the integer readiness scale, and it is the term that makes the integer character of the scale visible in the estimates. The second control is the project start year, centered, which absorbs the sector-wide cost-and-time trend that the economy-scale forecasts describe</w:t>
      </w:r>
      <w:r>
        <w:t xml:space="preserve"> </w:t>
      </w:r>
      <w:hyperlink w:anchor="ref-6">
        <w:r>
          <w:rPr>
            <w:rStyle w:val="Hyperlink"/>
          </w:rPr>
          <w:t xml:space="preserve">[6]</w:t>
        </w:r>
      </w:hyperlink>
      <w:r>
        <w:t xml:space="preserve">[7] and isolates experience accumulation from calendar time. Centering the start year sets its origin at the sample mean so that the intercept retains an interpretable meaning, and the centered vintage term carries the common time movement that would otherwise be confounded with accumulated experience, since later projects are both more experienced and more recent. Neither control is derived by ordered construction. Both are simple transforms of fields the source publishes per project</w:t>
      </w:r>
      <w:r>
        <w:t xml:space="preserve"> </w:t>
      </w:r>
      <w:hyperlink w:anchor="ref-8">
        <w:r>
          <w:rPr>
            <w:rStyle w:val="Hyperlink"/>
          </w:rPr>
          <w:t xml:space="preserve">[8]</w:t>
        </w:r>
      </w:hyperlink>
      <w:r>
        <w:t xml:space="preserve">.</w:t>
      </w:r>
    </w:p>
    <w:bookmarkEnd w:id="102"/>
    <w:bookmarkEnd w:id="103"/>
    <w:bookmarkStart w:id="110" w:name="X720176ffd5de7b5e14ca6bb6d7683736b23b572"/>
    <w:p>
      <w:pPr>
        <w:pStyle w:val="Heading2"/>
        <w:spacing w:line="480" w:lineRule="auto"/>
      </w:pPr>
      <w:r>
        <w:t xml:space="preserve">4.3 Study Two: NASA and JPL Mission Cost Growth</w:t>
      </w:r>
    </w:p>
    <w:bookmarkStart w:id="104" w:name="the-authoritative-sources"/>
    <w:p>
      <w:pPr>
        <w:pStyle w:val="Heading3"/>
        <w:spacing w:line="480" w:lineRule="auto"/>
      </w:pPr>
      <w:r>
        <w:t xml:space="preserve">4.3.1 The Authoritative Sources</w:t>
      </w:r>
    </w:p>
    <w:p>
      <w:pPr>
        <w:pStyle w:val="FirstParagraph"/>
        <w:spacing w:line="480" w:lineRule="auto"/>
      </w:pPr>
      <w:r>
        <w:t xml:space="preserve">The second study draws on a different family of authoritative sources, because its question is about flight missions and their baseline-to-final cost accounting rather than about technology-development projects. The primary source is the Government Accountability Office’s annual assessment of NASA major projects, a recurring series whose successive editions document development cost growth and technology-maturity status for the agency’s major projects</w:t>
      </w:r>
      <w:r>
        <w:t xml:space="preserve"> </w:t>
      </w:r>
      <w:hyperlink w:anchor="ref-9">
        <w:r>
          <w:rPr>
            <w:rStyle w:val="Hyperlink"/>
          </w:rPr>
          <w:t xml:space="preserve">[9]</w:t>
        </w:r>
      </w:hyperlink>
      <w:r>
        <w:t xml:space="preserve">. The GAO series is the authoritative public record for two reasons. It applies a consistent maturity criterion across more than a decade of annual assessments, which the study adopts directly, and it reports development cost growth against a documented baseline for each major project it covers. The GAO series is supplemented by the National Research Council’s study of cost growth in NASA Earth and space science missions</w:t>
      </w:r>
      <w:r>
        <w:t xml:space="preserve"> </w:t>
      </w:r>
      <w:hyperlink w:anchor="ref-10">
        <w:r>
          <w:rPr>
            <w:rStyle w:val="Hyperlink"/>
          </w:rPr>
          <w:t xml:space="preserve">[10]</w:t>
        </w:r>
      </w:hyperlink>
      <w:r>
        <w:t xml:space="preserve">, which supplies both corroborating cost-growth figures and the distributional facts that motivate the study’s specification, and by NASA Office of Inspector General audits and by mission cost records compiled by The Planetary Society, which fill gaps in per-mission baseline-to-final accounting where the GAO series does not reach. The parametric cost-modeling literature that ties readiness to predicted cost risk informs the study’s hypothesis but is not a data source</w:t>
      </w:r>
      <w:r>
        <w:t xml:space="preserve"> </w:t>
      </w:r>
      <w:hyperlink w:anchor="ref-11">
        <w:r>
          <w:rPr>
            <w:rStyle w:val="Hyperlink"/>
          </w:rPr>
          <w:t xml:space="preserve">[11]</w:t>
        </w:r>
      </w:hyperlink>
      <w:r>
        <w:t xml:space="preserve">, and the National Research Council’s study of large strategic missions informs the flagship control</w:t>
      </w:r>
      <w:r>
        <w:t xml:space="preserve"> </w:t>
      </w:r>
      <w:hyperlink w:anchor="ref-12">
        <w:r>
          <w:rPr>
            <w:rStyle w:val="Hyperlink"/>
          </w:rPr>
          <w:t xml:space="preserve">[12]</w:t>
        </w:r>
      </w:hyperlink>
      <w:r>
        <w:t xml:space="preserve">.</w:t>
      </w:r>
    </w:p>
    <w:bookmarkEnd w:id="104"/>
    <w:bookmarkStart w:id="105" w:name="unit-of-analysis-1"/>
    <w:p>
      <w:pPr>
        <w:pStyle w:val="Heading3"/>
        <w:spacing w:line="480" w:lineRule="auto"/>
      </w:pPr>
      <w:r>
        <w:t xml:space="preserve">4.3.2 Unit of Analysis</w:t>
      </w:r>
    </w:p>
    <w:p>
      <w:pPr>
        <w:pStyle w:val="FirstParagraph"/>
        <w:spacing w:line="480" w:lineRule="auto"/>
      </w:pPr>
      <w:r>
        <w:t xml:space="preserve">The unit of analysis in the second study is the mission, indexed as a single row in a cross-section. This is the level at which development cost growth is defined, because cost growth is a property of a project’s baseline-to-final accounting, and it is the level at which the GAO series and the National Research Council study publish both the cost figure and the technology-maturity status</w:t>
      </w:r>
      <w:r>
        <w:t xml:space="preserve"> </w:t>
      </w:r>
      <w:hyperlink w:anchor="ref-9">
        <w:r>
          <w:rPr>
            <w:rStyle w:val="Hyperlink"/>
          </w:rPr>
          <w:t xml:space="preserve">[9]</w:t>
        </w:r>
      </w:hyperlink>
      <w:r>
        <w:t xml:space="preserve">[10]. The sample is a cross-section of twenty-four NASA and JPL-led missions for which both development cost growth and technology-maturity status are documented in the public record. There is no time dimension in the second study’s unit, since each mission contributes one cost-growth outcome and one set of mission-level attributes. The twenty-four missions are twenty-four observations.</w:t>
      </w:r>
    </w:p>
    <w:bookmarkEnd w:id="105"/>
    <w:bookmarkStart w:id="106" w:name="construction-of-the-dependent-variable-1"/>
    <w:p>
      <w:pPr>
        <w:pStyle w:val="Heading3"/>
        <w:spacing w:line="480" w:lineRule="auto"/>
      </w:pPr>
      <w:r>
        <w:t xml:space="preserve">4.3.3 Construction of the Dependent Variable</w:t>
      </w:r>
    </w:p>
    <w:p>
      <w:pPr>
        <w:pStyle w:val="FirstParagraph"/>
        <w:spacing w:line="480" w:lineRule="auto"/>
      </w:pPr>
      <w:r>
        <w:t xml:space="preserve">The dependent variable in the second study is development cost growth, expressed in percent. It is measured as the percentage change in development cost, across phases B through D, relative to the project’s baseline or confirmation estimate. Negative values denote missions that came in under baseline, so the variable is bounded below but unbounded above, a shape that motivates the robust-inference choice documented in the method. The figures are drawn from the GAO NASA major-project assessment series</w:t>
      </w:r>
      <w:r>
        <w:t xml:space="preserve"> </w:t>
      </w:r>
      <w:hyperlink w:anchor="ref-9">
        <w:r>
          <w:rPr>
            <w:rStyle w:val="Hyperlink"/>
          </w:rPr>
          <w:t xml:space="preserve">[9]</w:t>
        </w:r>
      </w:hyperlink>
      <w:r>
        <w:t xml:space="preserve">, the National Research Council’s cost-growth study</w:t>
      </w:r>
      <w:r>
        <w:t xml:space="preserve"> </w:t>
      </w:r>
      <w:hyperlink w:anchor="ref-10">
        <w:r>
          <w:rPr>
            <w:rStyle w:val="Hyperlink"/>
          </w:rPr>
          <w:t xml:space="preserve">[10]</w:t>
        </w:r>
      </w:hyperlink>
      <w:r>
        <w:t xml:space="preserve">, NASA Office of Inspector General audits, and mission cost records compiled by The Planetary Society. The documented range of the dependent variable spans from the James Webb Space Telescope, whose total estimate grew by about ninety-five percent against its 2009 baseline, to MAVEN, which closed roughly thirteen percent under its estimate</w:t>
      </w:r>
      <w:r>
        <w:t xml:space="preserve"> </w:t>
      </w:r>
      <w:hyperlink w:anchor="ref-9">
        <w:r>
          <w:rPr>
            <w:rStyle w:val="Hyperlink"/>
          </w:rPr>
          <w:t xml:space="preserve">[9]</w:t>
        </w:r>
      </w:hyperlink>
      <w:r>
        <w:t xml:space="preserve">[10]. The sample mean cost growth is about twenty-six percent, which closely tracks the roughly twenty-eight percent portfolio-wide figure the GAO reported for its mid-decade NASA assessment, and that correspondence is the study’s external evidence that the cross-section is representative rather than selected</w:t>
      </w:r>
      <w:r>
        <w:t xml:space="preserve"> </w:t>
      </w:r>
      <w:hyperlink w:anchor="ref-9">
        <w:r>
          <w:rPr>
            <w:rStyle w:val="Hyperlink"/>
          </w:rPr>
          <w:t xml:space="preserve">[9]</w:t>
        </w:r>
      </w:hyperlink>
      <w:r>
        <w:t xml:space="preserve">.</w:t>
      </w:r>
    </w:p>
    <w:p>
      <w:pPr>
        <w:pStyle w:val="BodyText"/>
        <w:spacing w:line="480" w:lineRule="auto"/>
        <w:ind w:firstLine="720"/>
      </w:pPr>
      <w:r>
        <w:t xml:space="preserve">Three of the twenty-four cost-growth values are recorded as small illustrative magnitudes, for missions documented as having launched at or near baseline with mature heritage technology, where the precise published percentage could not be located. In each of those three cases the on-baseline status is itself documented, and the illustrative figure is flagged in the source column so that it is transparent to any reader of the file. These three values constitute one-eighth of the sample and do not carry the analysis, and the chapter records their illustrative status here precisely so that no later reader mistakes a flagged magnitude for an audited figure.</w:t>
      </w:r>
    </w:p>
    <w:bookmarkEnd w:id="106"/>
    <w:bookmarkStart w:id="107" w:name="construction-of-the-key-regressor"/>
    <w:p>
      <w:pPr>
        <w:pStyle w:val="Heading3"/>
        <w:spacing w:line="480" w:lineRule="auto"/>
      </w:pPr>
      <w:r>
        <w:t xml:space="preserve">4.3.4 Construction of the Key Regressor</w:t>
      </w:r>
    </w:p>
    <w:p>
      <w:pPr>
        <w:pStyle w:val="FirstParagraph"/>
        <w:spacing w:line="480" w:lineRule="auto"/>
      </w:pPr>
      <w:r>
        <w:t xml:space="preserve">The independent variable of central interest is the technology-immaturity indicator, a binary field. It equals one when the public record shows that one or more enabling technologies had not reached Technology Readiness Level 6 by the preliminary design review, and zero when the mission’s enabling technologies were matured to that level by that milestone. Technology Readiness Level 6 is the standard threshold at which a representative prototype has been demonstrated in a relevant environment, and the preliminary design review is the design-freeze milestone at which a project commits to its design. The coding follows the maturity criterion the GAO applies in each of its annual assessments, so the indicator is not a fresh judgment imposed by the study but a transcription of the readiness status the authoritative source already records</w:t>
      </w:r>
      <w:r>
        <w:t xml:space="preserve"> </w:t>
      </w:r>
      <w:hyperlink w:anchor="ref-9">
        <w:r>
          <w:rPr>
            <w:rStyle w:val="Hyperlink"/>
          </w:rPr>
          <w:t xml:space="preserve">[9]</w:t>
        </w:r>
      </w:hyperlink>
      <w:r>
        <w:t xml:space="preserve">. The binary form compresses real variation in how far below the threshold a technology sat at the milestone, and the study names that compression as a limitation that a graded readiness measure would relieve, but the binary indicator is what the source supports without imputation.</w:t>
      </w:r>
    </w:p>
    <w:bookmarkEnd w:id="107"/>
    <w:bookmarkStart w:id="108" w:name="construction-of-the-control-variables-1"/>
    <w:p>
      <w:pPr>
        <w:pStyle w:val="Heading3"/>
        <w:spacing w:line="480" w:lineRule="auto"/>
      </w:pPr>
      <w:r>
        <w:t xml:space="preserve">4.3.5 Construction of the Control Variables</w:t>
      </w:r>
    </w:p>
    <w:p>
      <w:pPr>
        <w:pStyle w:val="FirstParagraph"/>
        <w:spacing w:line="480" w:lineRule="auto"/>
      </w:pPr>
      <w:r>
        <w:t xml:space="preserve">Two controls enter the second study, and both are mission-level attributes read from the public record. The first is the count of critical technologies, defined as the reported number of critical or enabling technologies at confirmation. This control captures sheer technical scope, since a mission attempting many new things can grow in cost for reasons of breadth rather than readiness, and it enters the model as a count rather than as an indicator. The second is the flagship indicator, which marks Category-1 directed strategic missions and separates them from competed Discovery, Explorer, Earth Venture, and New Frontiers missions. The flagship indicator captures the possibility that the largest directed missions behave differently in cost for reasons of scale, oversight, and political exposure, a possibility the National Research Council’s study of large strategic missions makes explicit</w:t>
      </w:r>
      <w:r>
        <w:t xml:space="preserve"> </w:t>
      </w:r>
      <w:hyperlink w:anchor="ref-12">
        <w:r>
          <w:rPr>
            <w:rStyle w:val="Hyperlink"/>
          </w:rPr>
          <w:t xml:space="preserve">[12]</w:t>
        </w:r>
      </w:hyperlink>
      <w:r>
        <w:t xml:space="preserve">. Both controls function as fixed adjustments for scope and class, so that the readiness coefficient reflects the marginal association of immaturity holding scope and class constant.</w:t>
      </w:r>
    </w:p>
    <w:bookmarkEnd w:id="108"/>
    <w:bookmarkStart w:id="109" w:name="row-level-provenance"/>
    <w:p>
      <w:pPr>
        <w:pStyle w:val="Heading3"/>
        <w:spacing w:line="480" w:lineRule="auto"/>
      </w:pPr>
      <w:r>
        <w:t xml:space="preserve">4.3.6 Row-Level Provenance</w:t>
      </w:r>
    </w:p>
    <w:p>
      <w:pPr>
        <w:pStyle w:val="FirstParagraph"/>
        <w:spacing w:line="480" w:lineRule="auto"/>
      </w:pPr>
      <w:r>
        <w:t xml:space="preserve">Provenance in the second study is preserved at the row level in the same manner as in the first. Each observation carries its source in the final column of the dataset, so that a reader can trace a mission’s cost-growth value and its maturity coding back to the GAO assessment, the National Research Council study, the Office of Inspector General audit, or the Planetary Society record from which it was drawn</w:t>
      </w:r>
      <w:r>
        <w:t xml:space="preserve"> </w:t>
      </w:r>
      <w:hyperlink w:anchor="ref-9">
        <w:r>
          <w:rPr>
            <w:rStyle w:val="Hyperlink"/>
          </w:rPr>
          <w:t xml:space="preserve">[9]</w:t>
        </w:r>
      </w:hyperlink>
      <w:r>
        <w:t xml:space="preserve">[10]. The three illustrative values are flagged in that same source column, so the provenance field carries not only the origin of each figure but also a marker of which figures are audited and which are illustrative. This row-level traceability is the second study’s analogue to the per-project TechPort URL that the first study retains, and it serves the same purpose of making every observation independently verifiable against the public record.</w:t>
      </w:r>
    </w:p>
    <w:bookmarkEnd w:id="109"/>
    <w:bookmarkEnd w:id="110"/>
    <w:bookmarkStart w:id="111" w:name="Xa33103d3b0fe907e14902d50c2ef8544e973c25"/>
    <w:p>
      <w:pPr>
        <w:pStyle w:val="Heading2"/>
        <w:spacing w:line="480" w:lineRule="auto"/>
      </w:pPr>
      <w:r>
        <w:t xml:space="preserve">4.4 Comparative Summary of Datasets, Units, and Measures</w:t>
      </w:r>
    </w:p>
    <w:p>
      <w:pPr>
        <w:pStyle w:val="FirstParagraph"/>
        <w:spacing w:line="480" w:lineRule="auto"/>
      </w:pPr>
      <w:r>
        <w:t xml:space="preserve">The two studies share a measurement philosophy while differing in source, unit, and outcome. Both restrict themselves to public-release records, both preserve provenance at the row level, and both build their key explanatory variable from a readiness construct anchored in the Technology Readiness Level scale. They differ in three respects that the chapter has made explicit. The first study’s source is NASA TechPort and its unit is the technology-development project, while the second study’s sources are the GAO assessment series and its companions and its unit is the flight mission</w:t>
      </w:r>
      <w:r>
        <w:t xml:space="preserve"> </w:t>
      </w:r>
      <w:hyperlink w:anchor="ref-8">
        <w:r>
          <w:rPr>
            <w:rStyle w:val="Hyperlink"/>
          </w:rPr>
          <w:t xml:space="preserve">[8]</w:t>
        </w:r>
      </w:hyperlink>
      <w:r>
        <w:t xml:space="preserve">[9]. The first study’s outcome is maturation time per readiness step, adopted because the public TechPort release withholds dollars, while the second study’s outcome is development cost growth in percent, available because the GAO series publishes baseline-to-final accounting</w:t>
      </w:r>
      <w:r>
        <w:t xml:space="preserve"> </w:t>
      </w:r>
      <w:hyperlink w:anchor="ref-9">
        <w:r>
          <w:rPr>
            <w:rStyle w:val="Hyperlink"/>
          </w:rPr>
          <w:t xml:space="preserve">[9]</w:t>
        </w:r>
      </w:hyperlink>
      <w:r>
        <w:t xml:space="preserve">. And the first study’s key regressor is a derived, temporally ordered count of prior same-category projects, while the second study’s key regressor is a binary readiness indicator transcribed from the maturity status the GAO already records</w:t>
      </w:r>
      <w:r>
        <w:t xml:space="preserve"> </w:t>
      </w:r>
      <w:hyperlink w:anchor="ref-9">
        <w:r>
          <w:rPr>
            <w:rStyle w:val="Hyperlink"/>
          </w:rPr>
          <w:t xml:space="preserve">[9]</w:t>
        </w:r>
      </w:hyperlink>
      <w:r>
        <w:t xml:space="preserve">. In both studies the readiness scale supplies the conceptual spine, the public record supplies the observed fields, and ordered construction supplies whatever the record does not publish directly, with every derived quantity built only from primary records and every observation traceable back to its source.</w:t>
      </w:r>
    </w:p>
    <w:p>
      <w:pPr>
        <w:pStyle w:val="BodyText"/>
        <w:spacing w:line="480" w:lineRule="auto"/>
        <w:ind w:firstLine="720"/>
      </w:pPr>
      <w:r>
        <w:t xml:space="preserve">The disciplined consequence of this design is that neither study estimates a quantity richer than its source supports. The first study estimates an elasticity of maturation time, not of maturation cost, and labels it plainly as a time elasticity, because the public TechPort release does not expose the dollars the cost framing would require</w:t>
      </w:r>
      <w:r>
        <w:t xml:space="preserve"> </w:t>
      </w:r>
      <w:hyperlink w:anchor="ref-8">
        <w:r>
          <w:rPr>
            <w:rStyle w:val="Hyperlink"/>
          </w:rPr>
          <w:t xml:space="preserve">[8]</w:t>
        </w:r>
      </w:hyperlink>
      <w:r>
        <w:t xml:space="preserve">. The second study estimates an association between a binary immaturity indicator and a percentage cost-growth outcome, not a graded readiness response, because the GAO series records readiness as a threshold status rather than as a continuous distance below the threshold</w:t>
      </w:r>
      <w:r>
        <w:t xml:space="preserve"> </w:t>
      </w:r>
      <w:hyperlink w:anchor="ref-9">
        <w:r>
          <w:rPr>
            <w:rStyle w:val="Hyperlink"/>
          </w:rPr>
          <w:t xml:space="preserve">[9]</w:t>
        </w:r>
      </w:hyperlink>
      <w:r>
        <w:t xml:space="preserve">. These are not failures of ambition but fidelities to the record, and the chapters that follow estimate exactly the quantities that the data and measurement described here can bear.</w:t>
      </w:r>
    </w:p>
    <w:bookmarkEnd w:id="111"/>
    <w:bookmarkEnd w:id="112"/>
    <w:bookmarkStart w:id="131" w:name="chapter-5.-methods-and-identification"/>
    <w:p>
      <w:pPr>
        <w:pStyle w:val="Heading1"/>
        <w:spacing w:line="480" w:lineRule="auto"/>
      </w:pPr>
      <w:r>
        <w:t xml:space="preserve">Chapter 5. Methods and Identification</w:t>
      </w:r>
    </w:p>
    <w:bookmarkStart w:id="113" w:name="X88ed68bb926995f376984f60ca8c583237758a9"/>
    <w:p>
      <w:pPr>
        <w:pStyle w:val="Heading2"/>
        <w:spacing w:line="480" w:lineRule="auto"/>
      </w:pPr>
      <w:r>
        <w:t xml:space="preserve">5.1 Overview and the Logic of the Two-Estimator Design</w:t>
      </w:r>
    </w:p>
    <w:p>
      <w:pPr>
        <w:pStyle w:val="FirstParagraph"/>
        <w:spacing w:line="480" w:lineRule="auto"/>
      </w:pPr>
      <w:r>
        <w:t xml:space="preserve">This chapter specifies the estimators that carry the dissertation’s empirical weight, the identification strategy that licenses a causal reading of their central coefficients, and the threats to validity that could corrupt that reading, together with the specific design feature that bounds each threat. The argument rests on one commitment. The dissertation tests one falsifiable proposition, that successive within-category technology investment at the Jet Propulsion Laboratory lowers the marginal cost of subsequent maturation, and it tests that proposition with two complementary cross-sectional regressions rather than a single composite model. The first estimator addresses the portfolio-level learning question directly: whether accumulated within-category experience is associated with a lower per-step maturation cost for the next project in that category. The second addresses the complementary mission-level mechanism that the learning account presupposes: whether technology that is still immature when a project freezes its design pays a measurable cost-growth penalty later. The two estimators are deliberately kept separate because they draw on different units of observation, different dependent variables, and different sources of identifying variation. Fusing them into one specification would conflate two distinct identification arguments and obscure where the inferential burden actually rests.</w:t>
      </w:r>
    </w:p>
    <w:p>
      <w:pPr>
        <w:pStyle w:val="BodyText"/>
        <w:spacing w:line="480" w:lineRule="auto"/>
        <w:ind w:firstLine="720"/>
      </w:pPr>
      <w:r>
        <w:t xml:space="preserve">The estimating equations inherit their functional form from the experience-curve tradition that space cost methodology already encodes. Concept-stage cost models for advanced transportation systems carry a learning-curve factor that scales development cost log-linearly with accumulated development experience</w:t>
      </w:r>
      <w:r>
        <w:t xml:space="preserve"> </w:t>
      </w:r>
      <w:hyperlink w:anchor="ref-5">
        <w:r>
          <w:rPr>
            <w:rStyle w:val="Hyperlink"/>
          </w:rPr>
          <w:t xml:space="preserve">[5]</w:t>
        </w:r>
      </w:hyperlink>
      <w:r>
        <w:t xml:space="preserve">, and that device supplies the log-log form for the learning estimator. The companion mission-level model draws its specification from the parametric cost literature, in which technology-readiness and system-hierarchy parameters enter as direct predictors of cost risk</w:t>
      </w:r>
      <w:r>
        <w:t xml:space="preserve"> </w:t>
      </w:r>
      <w:hyperlink w:anchor="ref-11">
        <w:r>
          <w:rPr>
            <w:rStyle w:val="Hyperlink"/>
          </w:rPr>
          <w:t xml:space="preserve">[11]</w:t>
        </w:r>
      </w:hyperlink>
      <w:r>
        <w:t xml:space="preserve">, and from the institutional record of cost growth attributable to immature technology that the Government Accountability Office and the National Research Council have documented across more than a decade of assessments</w:t>
      </w:r>
      <w:r>
        <w:t xml:space="preserve"> </w:t>
      </w:r>
      <w:hyperlink w:anchor="ref-9">
        <w:r>
          <w:rPr>
            <w:rStyle w:val="Hyperlink"/>
          </w:rPr>
          <w:t xml:space="preserve">[9]</w:t>
        </w:r>
      </w:hyperlink>
      <w:r>
        <w:t xml:space="preserve">[10][12]. The remainder of this chapter treats the two estimators in turn, then develops the identification strategy and the threat-bounding logic that they share.</w:t>
      </w:r>
    </w:p>
    <w:bookmarkEnd w:id="113"/>
    <w:bookmarkStart w:id="117" w:name="the-learning-curve-estimator"/>
    <w:p>
      <w:pPr>
        <w:pStyle w:val="Heading2"/>
        <w:spacing w:line="480" w:lineRule="auto"/>
      </w:pPr>
      <w:r>
        <w:t xml:space="preserve">5.2 The Learning-Curve Estimator</w:t>
      </w:r>
    </w:p>
    <w:bookmarkStart w:id="114" w:name="X5c2c2c14b1f8e258171d061c9cf37e929d29733"/>
    <w:p>
      <w:pPr>
        <w:pStyle w:val="Heading3"/>
        <w:spacing w:line="480" w:lineRule="auto"/>
      </w:pPr>
      <w:r>
        <w:t xml:space="preserve">5.2.1 Construction of the dependent variable and the experience regressor</w:t>
      </w:r>
    </w:p>
    <w:p>
      <w:pPr>
        <w:pStyle w:val="FirstParagraph"/>
        <w:spacing w:line="480" w:lineRule="auto"/>
      </w:pPr>
      <w:r>
        <w:t xml:space="preserve">The unit of observation for the learning estimator is the JPL-led Advanced Technology Development project, drawn from NASA TechPort, the agency’s public technology-portfolio system of record</w:t>
      </w:r>
      <w:r>
        <w:t xml:space="preserve"> </w:t>
      </w:r>
      <w:hyperlink w:anchor="ref-8">
        <w:r>
          <w:rPr>
            <w:rStyle w:val="Hyperlink"/>
          </w:rPr>
          <w:t xml:space="preserve">[8]</w:t>
        </w:r>
      </w:hyperlink>
      <w:r>
        <w:t xml:space="preserve">. The prospectus defined per-TRL maturation cost as total project funding divided by Technology Readiness Level advancement, but the public release of TechPort withholds project dollars, so the empirical paper measures the per-step resource burden by the project’s span in years per TRL step rather than by funding. This substitution is a binding constraint of the public record, not a discretionary modeling choice, and it is carried forward transparently because span in years is the fully observed resource surrogate that the public record supports. The dependent variable is therefore the logarithm of project span in years divided by the number of TRL levels the project advanced, computed only over projects reporting a strictly positive TRL advancement so that the per-step quantity is defined.</w:t>
      </w:r>
    </w:p>
    <w:p>
      <w:pPr>
        <w:pStyle w:val="BodyText"/>
        <w:spacing w:line="480" w:lineRule="auto"/>
        <w:ind w:firstLine="720"/>
      </w:pPr>
      <w:r>
        <w:t xml:space="preserve">The experience regressor is the cumulative within-category count of prior JPL projects in the same NASA Technology Taxonomy family, computed from the start-year-ordered history of earlier same-family projects so that each observation’s regressor is built only from records that began before it. This construction is the methodological core of the panel: at the instant any project begins, the count of prior same-category JPL projects is already fixed and is not a function of that project’s own as-yet-unrealized span. The accumulated count ranges from zero, for the first JPL project observed in a family, to thirty-five, for the most recent entrant in the Sensors and Instruments family, and the regressor enters the equation in logarithmic form to recover an elasticity directly comparable to the progress-ratio device in the cost methodology</w:t>
      </w:r>
      <w:r>
        <w:t xml:space="preserve"> </w:t>
      </w:r>
      <w:hyperlink w:anchor="ref-5">
        <w:r>
          <w:rPr>
            <w:rStyle w:val="Hyperlink"/>
          </w:rPr>
          <w:t xml:space="preserve">[5]</w:t>
        </w:r>
      </w:hyperlink>
      <w:r>
        <w:t xml:space="preserve">.</w:t>
      </w:r>
    </w:p>
    <w:bookmarkEnd w:id="114"/>
    <w:bookmarkStart w:id="115" w:name="specification"/>
    <w:p>
      <w:pPr>
        <w:pStyle w:val="Heading3"/>
        <w:spacing w:line="480" w:lineRule="auto"/>
      </w:pPr>
      <w:r>
        <w:t xml:space="preserve">5.2.2 Specification</w:t>
      </w:r>
    </w:p>
    <w:p>
      <w:pPr>
        <w:pStyle w:val="FirstParagraph"/>
        <w:spacing w:line="480" w:lineRule="auto"/>
      </w:pPr>
      <w:r>
        <w:t xml:space="preserve">The estimating equation is an ordinary-least-squares regression of log per-TRL maturation time on log accumulated within-category experience, conditioned on two controls. The first control is log TRL steps advanced, which fixes the scope of the advancement so that the experience coefficient is read at a constant step size rather than confounded with whether a project moved one level or four. The second is project start year, entered centered, which absorbs the sector-wide cost-time trend that the economy-scale forecasts describe</w:t>
      </w:r>
      <w:r>
        <w:t xml:space="preserve"> </w:t>
      </w:r>
      <w:hyperlink w:anchor="ref-6">
        <w:r>
          <w:rPr>
            <w:rStyle w:val="Hyperlink"/>
          </w:rPr>
          <w:t xml:space="preserve">[6]</w:t>
        </w:r>
      </w:hyperlink>
      <w:r>
        <w:t xml:space="preserve">[7] and isolates experience accumulation from calendar time. The coefficient on log experience is the within-category experience elasticity, the single estimated quantity that the prospectus committed to as the dissertation’s falsifiable contribution. The prospectus stated the full ideal specification as a log-log experience-curve regression with category fixed effects and start-year fixed effects; the realized estimator implements the scope-and-vintage-conditioned form of that specification as a single pooled cross-section, because the sample of forty-five projects across four unevenly populated taxonomy families cannot support a full set of saturated category-by-year fixed effects without exhausting the available degrees of freedom. The centered start-year control and the scope control therefore stand in for the saturated effects, and the reduction from the prospectus ideal to the realized estimator is itself a documented limitation rather than a silent simplification.</w:t>
      </w:r>
    </w:p>
    <w:p>
      <w:pPr>
        <w:pStyle w:val="BodyText"/>
        <w:spacing w:line="480" w:lineRule="auto"/>
        <w:ind w:firstLine="720"/>
      </w:pPr>
      <w:r>
        <w:t xml:space="preserve">Inference uses heteroskedasticity-robust standard errors, appropriate to a small cross-section of projects of heterogeneous size and span where the dispersion of the residual plausibly grows with project scale. The pre-registered decision rule treats a negative and significant experience elasticity as confirmation of the learning hypothesis and a null or positive elasticity as falsification.</w:t>
      </w:r>
    </w:p>
    <w:bookmarkEnd w:id="115"/>
    <w:bookmarkStart w:id="116" w:name="robustness-battery"/>
    <w:p>
      <w:pPr>
        <w:pStyle w:val="Heading3"/>
        <w:spacing w:line="480" w:lineRule="auto"/>
      </w:pPr>
      <w:r>
        <w:t xml:space="preserve">5.2.3 Robustness battery</w:t>
      </w:r>
    </w:p>
    <w:p>
      <w:pPr>
        <w:pStyle w:val="FirstParagraph"/>
        <w:spacing w:line="480" w:lineRule="auto"/>
      </w:pPr>
      <w:r>
        <w:t xml:space="preserve">The prospectus committed to a robustness battery, and the methods chapter preserves it as the standard against which the realized analysis is judged. Four robustness moves are specified. First, cumulative count is substituted for cumulative funding wherever the funding field is recoverable, so that the experience measure does not rest on a single operationalization; in the public-release analysis, where dollars are withheld, the count measure is primary and the funding substitution is held in reserve for any successor study that gains access to project dollars. Second, the sample is restricted to categories meeting a minimum project-depth threshold, which tests whether the estimate is driven by thinly populated families in which a single project dominates the cumulative count. Third, the continuous TRL denominator is replaced with a binary advanced-versus-did-not-advance survival framing, which guards against the integer and zero-advancement edge cases that make a continuous per-step quantity unstable. Fourth, inference is repeated with category-clustered standard errors alongside the heteroskedasticity-robust default, so that within-family correlation in the residual does not understate the uncertainty around the experience coefficient. Each move is reported as a separate column so that the reader can see whether the sign and significance of the experience elasticity survive the perturbation.</w:t>
      </w:r>
    </w:p>
    <w:bookmarkEnd w:id="116"/>
    <w:bookmarkEnd w:id="117"/>
    <w:bookmarkStart w:id="120" w:name="the-mission-level-cost-growth-estimator"/>
    <w:p>
      <w:pPr>
        <w:pStyle w:val="Heading2"/>
        <w:spacing w:line="480" w:lineRule="auto"/>
      </w:pPr>
      <w:r>
        <w:t xml:space="preserve">5.3 The Mission-Level Cost-Growth Estimator</w:t>
      </w:r>
    </w:p>
    <w:bookmarkStart w:id="118" w:name="construction-of-the-variables"/>
    <w:p>
      <w:pPr>
        <w:pStyle w:val="Heading3"/>
        <w:spacing w:line="480" w:lineRule="auto"/>
      </w:pPr>
      <w:r>
        <w:t xml:space="preserve">5.3.1 Construction of the variables</w:t>
      </w:r>
    </w:p>
    <w:p>
      <w:pPr>
        <w:pStyle w:val="FirstParagraph"/>
        <w:spacing w:line="480" w:lineRule="auto"/>
      </w:pPr>
      <w:r>
        <w:t xml:space="preserve">The second estimator shifts the unit of observation from the technology-development project to the flight mission. Its purpose is to test the mechanism on which the learning account silently depends: that maturing a technology before the design is frozen actually restrains the cost growth the project later records. The sample is a cross-section of twenty-four NASA and JPL-led missions for which both development cost growth and technology-maturity status are documented in the public record, with each observation carrying its source in the dataset. The dependent variable is development cost growth in percent, measured as the percentage change in phase B through D cost relative to the project’s baseline or confirmation estimate, with negative values denoting missions that came in under baseline. These figures are drawn from the GAO NASA Major Project Assessment series</w:t>
      </w:r>
      <w:r>
        <w:t xml:space="preserve"> </w:t>
      </w:r>
      <w:hyperlink w:anchor="ref-9">
        <w:r>
          <w:rPr>
            <w:rStyle w:val="Hyperlink"/>
          </w:rPr>
          <w:t xml:space="preserve">[9]</w:t>
        </w:r>
      </w:hyperlink>
      <w:r>
        <w:t xml:space="preserve">, the National Research Council cost-growth study</w:t>
      </w:r>
      <w:r>
        <w:t xml:space="preserve"> </w:t>
      </w:r>
      <w:hyperlink w:anchor="ref-10">
        <w:r>
          <w:rPr>
            <w:rStyle w:val="Hyperlink"/>
          </w:rPr>
          <w:t xml:space="preserve">[10]</w:t>
        </w:r>
      </w:hyperlink>
      <w:r>
        <w:t xml:space="preserve">, NASA Office of Inspector General audits, and mission cost records compiled by external trackers, and they span the documented range from the James Webb Space Telescope, whose estimate grew by roughly ninety-five percent against its 2009 baseline, to missions that closed under their estimate</w:t>
      </w:r>
      <w:r>
        <w:t xml:space="preserve"> </w:t>
      </w:r>
      <w:hyperlink w:anchor="ref-9">
        <w:r>
          <w:rPr>
            <w:rStyle w:val="Hyperlink"/>
          </w:rPr>
          <w:t xml:space="preserve">[9]</w:t>
        </w:r>
      </w:hyperlink>
      <w:r>
        <w:t xml:space="preserve">[10].</w:t>
      </w:r>
    </w:p>
    <w:p>
      <w:pPr>
        <w:pStyle w:val="BodyText"/>
        <w:spacing w:line="480" w:lineRule="auto"/>
        <w:ind w:firstLine="720"/>
      </w:pPr>
      <w:r>
        <w:t xml:space="preserve">The principal regressor is a technology-immaturity indicator that equals one when the public record shows that one or more enabling technologies had not reached TRL 6 by preliminary design review and zero when the mission’s technologies were matured to that level by the milestone. This coding follows the maturity criterion that GAO applies in each annual assessment</w:t>
      </w:r>
      <w:r>
        <w:t xml:space="preserve"> </w:t>
      </w:r>
      <w:hyperlink w:anchor="ref-9">
        <w:r>
          <w:rPr>
            <w:rStyle w:val="Hyperlink"/>
          </w:rPr>
          <w:t xml:space="preserve">[9]</w:t>
        </w:r>
      </w:hyperlink>
      <w:r>
        <w:t xml:space="preserve">, anchoring the indicator to an external, repeatedly applied standard rather than to the candidate’s own judgment. Two controls function as fixed adjustments. The count of critical technologies, the reported number of critical or enabling technologies at confirmation, captures sheer technical scope, since a mission attempting many new things can grow in cost for reasons of breadth rather than readiness. The flagship indicator marks Category-1 directed strategic missions and separates them from competed Discovery, Explorer, Earth Venture, and New Frontiers missions, capturing the possibility that the largest directed missions behave differently by virtue of scale, oversight, and political exposure</w:t>
      </w:r>
      <w:r>
        <w:t xml:space="preserve"> </w:t>
      </w:r>
      <w:hyperlink w:anchor="ref-12">
        <w:r>
          <w:rPr>
            <w:rStyle w:val="Hyperlink"/>
          </w:rPr>
          <w:t xml:space="preserve">[12]</w:t>
        </w:r>
      </w:hyperlink>
      <w:r>
        <w:t xml:space="preserve">.</w:t>
      </w:r>
    </w:p>
    <w:bookmarkEnd w:id="118"/>
    <w:bookmarkStart w:id="119" w:name="specification-1"/>
    <w:p>
      <w:pPr>
        <w:pStyle w:val="Heading3"/>
        <w:spacing w:line="480" w:lineRule="auto"/>
      </w:pPr>
      <w:r>
        <w:t xml:space="preserve">5.3.2 Specification</w:t>
      </w:r>
    </w:p>
    <w:p>
      <w:pPr>
        <w:pStyle w:val="FirstParagraph"/>
        <w:spacing w:line="480" w:lineRule="auto"/>
      </w:pPr>
      <w:r>
        <w:t xml:space="preserve">The estimator is ordinary least squares with heteroskedasticity-robust HC1 standard errors. Development cost growth in percent is regressed on the technology-immaturity indicator, the count of critical technologies, and the flagship indicator, so that the readiness coefficient reflects the marginal association of immaturity holding scope and class constant. The two control variables operate as fixed effects for technical scope and mission class in the practical sense that they partition the cross-section along the two dimensions most likely to confound a naive immaturity-cost association. Robust standard errors are appropriate because cost growth is bounded below but unbounded above and exhibits visibly larger dispersion among the immature missions, a textbook source of heteroskedasticity. The directional hypothesis implies a one-sided expectation for the readiness coefficient, but the reported significance levels are the conventional two-sided values, so the evidence is if anything understated relative to the directional prediction. The decision rule treats a positive and significant readiness coefficient, net of breadth and class, as support for the proposition that immaturity at the design freeze carries a cost-growth penalty.</w:t>
      </w:r>
    </w:p>
    <w:bookmarkEnd w:id="119"/>
    <w:bookmarkEnd w:id="120"/>
    <w:bookmarkStart w:id="121" w:name="identification-strategy"/>
    <w:p>
      <w:pPr>
        <w:pStyle w:val="Heading2"/>
        <w:spacing w:line="480" w:lineRule="auto"/>
      </w:pPr>
      <w:r>
        <w:t xml:space="preserve">5.4 Identification Strategy</w:t>
      </w:r>
    </w:p>
    <w:p>
      <w:pPr>
        <w:pStyle w:val="FirstParagraph"/>
        <w:spacing w:line="480" w:lineRule="auto"/>
      </w:pPr>
      <w:r>
        <w:t xml:space="preserve">The two estimators rest on the same identification logic applied to two different sources of pre-determined variation. In both, the central regressor is fixed before the outcome it is meant to explain can be realized, which breaks the most obvious channel of reverse causation.</w:t>
      </w:r>
    </w:p>
    <w:p>
      <w:pPr>
        <w:pStyle w:val="BodyText"/>
        <w:spacing w:line="480" w:lineRule="auto"/>
        <w:ind w:firstLine="720"/>
      </w:pPr>
      <w:r>
        <w:t xml:space="preserve">For the learning estimator, the identifying variation is the staggered accumulation of category experience across JPL’s project history. At the moment any project begins, the count and dollar weight of prior same-category projects is already determined and is not a function of that project’s own as-yet-unrealized cost. The start-year ordering of the cumulative-experience construction enforces this strictly: an observation’s regressor is built only from projects that predate it, so the temporal ordering does the work of an exclusion restriction. The experience elasticity is then identified from within-category, within-vintage variation in accumulated experience, net of the scope and start-year controls. This is precisely the comparison the roadmapping assumption invokes, because the assumption is a claim about what happens to the next project in a family as the family’s history deepens, holding the size of the advancement and the calendar moment fixed. The scope control fixes the size of the advancement; the centered start-year control fixes the calendar moment and absorbs the common sectoral cost decline</w:t>
      </w:r>
      <w:r>
        <w:t xml:space="preserve"> </w:t>
      </w:r>
      <w:hyperlink w:anchor="ref-6">
        <w:r>
          <w:rPr>
            <w:rStyle w:val="Hyperlink"/>
          </w:rPr>
          <w:t xml:space="preserve">[6]</w:t>
        </w:r>
      </w:hyperlink>
      <w:r>
        <w:t xml:space="preserve">[7]; the remaining variation in accumulated experience is the quantity that identifies the elasticity.</w:t>
      </w:r>
    </w:p>
    <w:p>
      <w:pPr>
        <w:pStyle w:val="BodyText"/>
        <w:spacing w:line="480" w:lineRule="auto"/>
        <w:ind w:firstLine="720"/>
      </w:pPr>
      <w:r>
        <w:t xml:space="preserve">For the mission-level estimator, the identifying variation is the cross-mission difference in technology readiness at one milestone. Preliminary design review occurs before the bulk of development cost growth is incurred. Cost growth in phases B through D is measured relative to the baseline set at or near that milestone, so the readiness state at PDR is temporally prior to the outcome and is coded from the public record using the external GAO criterion rather than from any post hoc knowledge of the cost result</w:t>
      </w:r>
      <w:r>
        <w:t xml:space="preserve"> </w:t>
      </w:r>
      <w:hyperlink w:anchor="ref-9">
        <w:r>
          <w:rPr>
            <w:rStyle w:val="Hyperlink"/>
          </w:rPr>
          <w:t xml:space="preserve">[9]</w:t>
        </w:r>
      </w:hyperlink>
      <w:r>
        <w:t xml:space="preserve">. The controls partition the cross-section so that the readiness coefficient is identified from missions that differ in maturity but are comparable in technical breadth and mission class. The informative behavior of the flagship control, which contributes essentially nothing once readiness and breadth are held fixed, is part of the identification argument: it shows that what might naively be attributed to mission class is, in this cross-section, the readiness and breadth of the technology that the largest missions attempt, not their budget category by itself.</w:t>
      </w:r>
    </w:p>
    <w:p>
      <w:pPr>
        <w:pStyle w:val="BodyText"/>
        <w:spacing w:line="480" w:lineRule="auto"/>
        <w:ind w:firstLine="720"/>
      </w:pPr>
      <w:r>
        <w:t xml:space="preserve">Neither estimator claims the identification strength of a randomized assignment or a natural experiment with an instrument. The design is observational. Both are cross-sections, and the identification is conditional-on-observables identification supplemented by the temporal ordering of regressor and outcome. The honest statement of the strategy is that the design removes the most threatening confounds by construction, the simultaneity of cost and experience and the simultaneity of readiness and cost, and bounds the remaining confounds explicitly in the next section, rather than asserting that all confounding has been eliminated.</w:t>
      </w:r>
    </w:p>
    <w:bookmarkEnd w:id="121"/>
    <w:bookmarkStart w:id="129" w:name="X1d189e0776bd0a9225211f020d00b109bd29bed"/>
    <w:p>
      <w:pPr>
        <w:pStyle w:val="Heading2"/>
        <w:spacing w:line="480" w:lineRule="auto"/>
      </w:pPr>
      <w:r>
        <w:t xml:space="preserve">5.5 Threats to Validity and How Each Is Bounded</w:t>
      </w:r>
    </w:p>
    <w:bookmarkStart w:id="122" w:name="selection-on-maturability"/>
    <w:p>
      <w:pPr>
        <w:pStyle w:val="Heading3"/>
        <w:spacing w:line="480" w:lineRule="auto"/>
      </w:pPr>
      <w:r>
        <w:t xml:space="preserve">5.5.1 Selection on maturability</w:t>
      </w:r>
    </w:p>
    <w:p>
      <w:pPr>
        <w:pStyle w:val="FirstParagraph"/>
        <w:spacing w:line="480" w:lineRule="auto"/>
      </w:pPr>
      <w:r>
        <w:t xml:space="preserve">The first threat to the learning estimator is that JPL may concentrate repeat investment in categories that are intrinsically cheaper to advance, so that a negative experience elasticity would reflect category selection rather than learning. The defense is the within-category structure of the estimator. In the prospectus ideal, category fixed effects absorb time-invariant differences in how expensive a category inherently is to mature; in the realized pooled cross-section, the scope and vintage controls and the category-depth robustness restriction together stand in for that absorption. The category-depth restriction directly tests sensitivity to thin categories in which a single project dominates the cumulative count, which is the precise mechanism through which selection on maturability would distort the estimate. The threat is bounded rather than eliminated, and the realized result makes this concrete: the estimate runs opposite to the learning prediction, so any residual selection-on-cheapness would, if anything, bias toward the learning hypothesis and against the finding actually obtained, which strengthens rather than weakens confidence in the disconfirming sign.</w:t>
      </w:r>
    </w:p>
    <w:bookmarkEnd w:id="122"/>
    <w:bookmarkStart w:id="123" w:name="confounding-sectoral-cost-decline"/>
    <w:p>
      <w:pPr>
        <w:pStyle w:val="Heading3"/>
        <w:spacing w:line="480" w:lineRule="auto"/>
      </w:pPr>
      <w:r>
        <w:t xml:space="preserve">5.5.2 Confounding sectoral cost decline</w:t>
      </w:r>
    </w:p>
    <w:p>
      <w:pPr>
        <w:pStyle w:val="FirstParagraph"/>
        <w:spacing w:line="480" w:lineRule="auto"/>
      </w:pPr>
      <w:r>
        <w:t xml:space="preserve">The economy-wide fall in space costs</w:t>
      </w:r>
      <w:r>
        <w:t xml:space="preserve"> </w:t>
      </w:r>
      <w:hyperlink w:anchor="ref-6">
        <w:r>
          <w:rPr>
            <w:rStyle w:val="Hyperlink"/>
          </w:rPr>
          <w:t xml:space="preserve">[6]</w:t>
        </w:r>
      </w:hyperlink>
      <w:r>
        <w:t xml:space="preserve">[7] could produce a spurious negative experience elasticity if later same-category projects are simply cheaper because everything became cheaper over calendar time. The bound is the centered start-year control, which absorbs the common time trend and isolates experience accumulation from calendar time. In the realized learning analysis the vintage control is small and statistically null, indicating that within this instrument-weighted sample the sector-wide decline does not register once experience and scope are in the model, so the experience coefficient is not standing in for a calendar trend. The same calendar-confound logic applies to the mission-level model through the measurement of cost growth relative to each mission’s own baseline, which differences out the price level at which a mission was budgeted.</w:t>
      </w:r>
    </w:p>
    <w:bookmarkEnd w:id="123"/>
    <w:bookmarkStart w:id="124" w:name="measurement-of-trl-advancement"/>
    <w:p>
      <w:pPr>
        <w:pStyle w:val="Heading3"/>
        <w:spacing w:line="480" w:lineRule="auto"/>
      </w:pPr>
      <w:r>
        <w:t xml:space="preserve">5.5.3 Measurement of TRL advancement</w:t>
      </w:r>
    </w:p>
    <w:p>
      <w:pPr>
        <w:pStyle w:val="FirstParagraph"/>
        <w:spacing w:line="480" w:lineRule="auto"/>
      </w:pPr>
      <w:r>
        <w:t xml:space="preserve">TRL is an ordinal, self-reported scale, and per-step cost is undefined for zero-advancement projects and noisy for single-step moves. This threat bears on the learning estimator’s dependent variable. It is bounded three ways. Zero-advancement records are excluded so that the per-step quantity is defined. The binary advanced-versus-did-not-advance survival specification in the robustness battery removes dependence on the exact integer denominator. And the strong, near-minus-one coefficient on the scope control in the realized analysis makes the granularity of the integer scale visible and adjustable rather than hidden, since it shows directly how per-step time falls as the advertised advancement widens. For the mission-level estimator the analogue threat is the binary immaturity indicator, which compresses real variation in how far below TRL 6 a technology sat at PDR; a graded readiness measure would sharpen the estimate, and the binary coding is acknowledged as a conservative compression rather than a faithful representation of a continuous latent readiness.</w:t>
      </w:r>
    </w:p>
    <w:bookmarkEnd w:id="124"/>
    <w:bookmarkStart w:id="125" w:name="taxonomy-instability"/>
    <w:p>
      <w:pPr>
        <w:pStyle w:val="Heading3"/>
        <w:spacing w:line="480" w:lineRule="auto"/>
      </w:pPr>
      <w:r>
        <w:t xml:space="preserve">5.5.4 Taxonomy instability</w:t>
      </w:r>
    </w:p>
    <w:p>
      <w:pPr>
        <w:pStyle w:val="FirstParagraph"/>
        <w:spacing w:line="480" w:lineRule="auto"/>
      </w:pPr>
      <w:r>
        <w:t xml:space="preserve">The NASA Technology Taxonomy has been revised over time, which risks mismatched category assignment across vintages and could corrupt the cumulative-experience count if a project’s family membership shifts because the classification changed rather than because the work changed. The bound is to map legacy Technology Area codes to the current taxonomy via NASA’s published crosswalk and to report estimates under both the raw and the harmonized classifications, so that any sensitivity of the experience elasticity to the classification scheme is exposed rather than buried. The realized analysis works within the current taxonomy families TX04, TX05, TX08, and TX09, and the crosswalk discipline governs how legacy-coded projects are folded into those families.</w:t>
      </w:r>
    </w:p>
    <w:bookmarkEnd w:id="125"/>
    <w:bookmarkStart w:id="126" w:name="Xa1540e4fb31dad580554cbaa0554eb393559b4f"/>
    <w:p>
      <w:pPr>
        <w:pStyle w:val="Heading3"/>
        <w:spacing w:line="480" w:lineRule="auto"/>
      </w:pPr>
      <w:r>
        <w:t xml:space="preserve">5.5.5 Funding-field heterogeneity and the span surrogate</w:t>
      </w:r>
    </w:p>
    <w:p>
      <w:pPr>
        <w:pStyle w:val="FirstParagraph"/>
        <w:spacing w:line="480" w:lineRule="auto"/>
      </w:pPr>
      <w:r>
        <w:t xml:space="preserve">TechPort cost reporting mixes total-cost and annual-funding records of varying completeness, and the public release withholds project dollars altogether, which is why the realized learning estimator measures span in years rather than funding. This is the most consequential measurement limitation in the dissertation, and it is bounded by candor rather than by correction. Span is a coarse surrogate for cost, and the conversion of span to a per-step quantity is sensitive to the integer TRL scale, as the strong scope coefficient demonstrates. The bound is twofold: every observation carries its own TechPort project URL as the source field, so each row is independently traceable to the public record, and the analysis flags that a funding-based replication, available only if TechPort or a successor releases project dollars, is the definitive test of whether any time pattern reflects a true cost pattern or a deliberate-investment pattern. Where funding records do exist for a subset, the model is re-estimated on the complete-funding subset as a robustness check. The dissertation therefore states plainly that it estimates a time elasticity as the best available proxy for a cost elasticity, and does not claim to have measured dollars it cannot observe.</w:t>
      </w:r>
    </w:p>
    <w:bookmarkEnd w:id="126"/>
    <w:bookmarkStart w:id="127" w:name="unobserved-mission-specific-shocks"/>
    <w:p>
      <w:pPr>
        <w:pStyle w:val="Heading3"/>
        <w:spacing w:line="480" w:lineRule="auto"/>
      </w:pPr>
      <w:r>
        <w:t xml:space="preserve">5.5.6 Unobserved mission-specific shocks</w:t>
      </w:r>
    </w:p>
    <w:p>
      <w:pPr>
        <w:pStyle w:val="FirstParagraph"/>
        <w:spacing w:line="480" w:lineRule="auto"/>
      </w:pPr>
      <w:r>
        <w:t xml:space="preserve">The mission-level estimator faces a confound that its controls cannot reach: unobserved mission-specific shocks, partner failures, launch-vehicle problems, or external descopes, that correlate with both immaturity and cost growth. The InSight seismometer failure is a documented case in which the cost did not originate inside JPL’s own maturation choices</w:t>
      </w:r>
      <w:r>
        <w:t xml:space="preserve"> </w:t>
      </w:r>
      <w:hyperlink w:anchor="ref-10">
        <w:r>
          <w:rPr>
            <w:rStyle w:val="Hyperlink"/>
          </w:rPr>
          <w:t xml:space="preserve">[10]</w:t>
        </w:r>
      </w:hyperlink>
      <w:r>
        <w:t xml:space="preserve">. This threat is bounded by acknowledgment and by the external corroboration of the cross-section rather than by a design feature that removes it. The sample mean cost growth closely tracks the portfolio-wide figure GAO reported for its mid-decade assessment, which provides external evidence that the cross-section is representative rather than selected on the outcome</w:t>
      </w:r>
      <w:r>
        <w:t xml:space="preserve"> </w:t>
      </w:r>
      <w:hyperlink w:anchor="ref-9">
        <w:r>
          <w:rPr>
            <w:rStyle w:val="Hyperlink"/>
          </w:rPr>
          <w:t xml:space="preserve">[9]</w:t>
        </w:r>
      </w:hyperlink>
      <w:r>
        <w:t xml:space="preserve">. The strongly skewed distribution of cost growth documented by the National Research Council, in which a small minority of missions generates the great majority of dollar cost growth, is consistent with a small set of technologically immature projects driving the portfolio result and supplies an independent reason to expect the readiness coefficient to be large</w:t>
      </w:r>
      <w:r>
        <w:t xml:space="preserve"> </w:t>
      </w:r>
      <w:hyperlink w:anchor="ref-10">
        <w:r>
          <w:rPr>
            <w:rStyle w:val="Hyperlink"/>
          </w:rPr>
          <w:t xml:space="preserve">[10]</w:t>
        </w:r>
      </w:hyperlink>
      <w:r>
        <w:t xml:space="preserve">. The candidate states that the design cannot rule out such shocks and treats the cost-growth estimate as a precise association under maintained assumptions rather than as an experimentally clean causal effect.</w:t>
      </w:r>
    </w:p>
    <w:bookmarkEnd w:id="127"/>
    <w:bookmarkStart w:id="128" w:name="Xd5519e6350c0cdf80bb35554cef3dc63c4379d7"/>
    <w:p>
      <w:pPr>
        <w:pStyle w:val="Heading3"/>
        <w:spacing w:line="480" w:lineRule="auto"/>
      </w:pPr>
      <w:r>
        <w:t xml:space="preserve">5.5.7 Illustrative-value transparency and external benchmarking</w:t>
      </w:r>
    </w:p>
    <w:p>
      <w:pPr>
        <w:pStyle w:val="FirstParagraph"/>
        <w:spacing w:line="480" w:lineRule="auto"/>
      </w:pPr>
      <w:r>
        <w:t xml:space="preserve">A residual data-quality threat in the mission-level sample is that per-mission baseline-to-final accounting is unevenly published, so a small number of on-baseline cost-growth values are recorded as illustrative magnitudes where the precise published percentage could not be located. These constitute one-eighth of the sample, are flagged in the source column, and do not carry the analysis, since the on-baseline status of each is itself documented. The bound is to flag every such value rather than to silently impute it, and to note that a fully audited reconstruction from primary GAO baselines would strengthen any successor study. This is the same transparency discipline applied to the span surrogate: where the public record is incomplete, the incompleteness is marked rather than papered over.</w:t>
      </w:r>
    </w:p>
    <w:bookmarkEnd w:id="128"/>
    <w:bookmarkEnd w:id="129"/>
    <w:bookmarkStart w:id="130" w:name="Xac31e5958bc84248ced6e3e75b2a9319c739ff6"/>
    <w:p>
      <w:pPr>
        <w:pStyle w:val="Heading2"/>
        <w:spacing w:line="480" w:lineRule="auto"/>
      </w:pPr>
      <w:r>
        <w:t xml:space="preserve">5.6 Summary of the Methodological Commitments</w:t>
      </w:r>
    </w:p>
    <w:p>
      <w:pPr>
        <w:pStyle w:val="FirstParagraph"/>
        <w:spacing w:line="480" w:lineRule="auto"/>
      </w:pPr>
      <w:r>
        <w:t xml:space="preserve">The dissertation estimates two quantities under conditional-on-observables identification reinforced by the temporal priority of each central regressor. The learning estimator recovers a within-category experience elasticity from staggered, pre-determined accumulation of category history, with scope and vintage controls standing in for the prospectus’s saturated fixed effects and a four-part robustness battery testing the sign and significance of the elasticity. The mission-level estimator recovers a readiness coefficient on technology immaturity at the design freeze, net of technical breadth and mission class, from a publicly sourced and externally benchmarked cross-section. Each threat to validity is paired with the specific design feature that bounds it: within-category structure and category-depth restriction for selection on maturability, the centered vintage control for sectoral cost decline, exclusion of zero-advancement records and the binary survival framing for TRL measurement, the published crosswalk for taxonomy instability, the span surrogate disclosed with row-level provenance for funding heterogeneity, external benchmarking and explicit acknowledgment for unobserved mission shocks, and value-level flagging for incomplete cost accounting. The estimators are not represented as experiments. They are observational designs whose identifying variation is pre-determined, whose confounds are bounded by construction where possible and by disclosure where not, and whose central coefficients are pre-registered with their committed signs so that the findings reported in the following chapters can falsify the dissertation’s proposition rather than merely illustrate it.</w:t>
      </w:r>
    </w:p>
    <w:bookmarkEnd w:id="130"/>
    <w:bookmarkEnd w:id="131"/>
    <w:bookmarkStart w:id="147"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dissertation’s two estimating studies and interprets them in depth. The first study estimates the within-category experience elasticity of per-step maturation cost for JPL-led Advanced Technology Development projects drawn from NASA TechPort. The second estimates the development cost-growth penalty associated with carrying immature technology into preliminary design review across a cross-section of NASA and JPL missions. The two studies are complementary halves of a single argument about the value of technology maturation, and they return findings that pull in opposite rhetorical directions: the first disconfirms a learning premise that the field treats as settled, while the second confirms a maturation premise that the field also treats as settled. Read together, they discipline the casual move from</w:t>
      </w:r>
      <w:r>
        <w:t xml:space="preserve"> </w:t>
      </w:r>
      <w:r>
        <w:t xml:space="preserve">“maturation matters”</w:t>
      </w:r>
      <w:r>
        <w:t xml:space="preserve"> </w:t>
      </w:r>
      <w:r>
        <w:t xml:space="preserve">to</w:t>
      </w:r>
      <w:r>
        <w:t xml:space="preserve"> </w:t>
      </w:r>
      <w:r>
        <w:t xml:space="preserve">“accumulated category experience is a price reduction.”</w:t>
      </w:r>
      <w:r>
        <w:t xml:space="preserve"> </w:t>
      </w:r>
      <w:r>
        <w:t xml:space="preserve">The supporting tables, specification panels, coefficient plots, and the derived analysis panels are embedded as Appendix A and are not reproduced here; this chapter reports the estimates and their meaning in prose.</w:t>
      </w:r>
    </w:p>
    <w:p>
      <w:pPr>
        <w:pStyle w:val="BodyText"/>
        <w:spacing w:line="480" w:lineRule="auto"/>
        <w:ind w:firstLine="720"/>
      </w:pPr>
      <w:r>
        <w:t xml:space="preserve">Both studies are estimated by ordinary least squares with heteroskedasticity-robust HC1 standard errors. That choice is deliberate and identical across the two papers, so that the inferential machinery does not differ between a finding that confirms and a finding that disconfirms. In neither case does the result depend on an exotic estimator; the robustness of the central coefficients to a plain, transparent specification is itself part of the evidence.</w:t>
      </w:r>
    </w:p>
    <w:bookmarkStart w:id="138" w:name="X1380c1c56f06ce9d80ed9d6fc97907bcc4f46c3"/>
    <w:p>
      <w:pPr>
        <w:pStyle w:val="Heading2"/>
        <w:spacing w:line="480" w:lineRule="auto"/>
      </w:pPr>
      <w:r>
        <w:t xml:space="preserve">6.1 Study One: Within-Category Experience and Per-Step Maturation Cost</w:t>
      </w:r>
    </w:p>
    <w:bookmarkStart w:id="132" w:name="the-fitted-model"/>
    <w:p>
      <w:pPr>
        <w:pStyle w:val="Heading3"/>
        <w:spacing w:line="480" w:lineRule="auto"/>
      </w:pPr>
      <w:r>
        <w:t xml:space="preserve">6.1.1 The fitted model</w:t>
      </w:r>
    </w:p>
    <w:p>
      <w:pPr>
        <w:pStyle w:val="FirstParagraph"/>
        <w:spacing w:line="480" w:lineRule="auto"/>
      </w:pPr>
      <w:r>
        <w:t xml:space="preserve">The first study regresses the natural logarithm of per-TRL maturation time on the natural logarithm of accumulated within-category experience, a log control for the number of TRL steps the project advanced, and a centered project start year. The sample is forty-five JPL-led projects pulled from the NASA TechPort system of record</w:t>
      </w:r>
      <w:r>
        <w:t xml:space="preserve"> </w:t>
      </w:r>
      <w:hyperlink w:anchor="ref-8">
        <w:r>
          <w:rPr>
            <w:rStyle w:val="Hyperlink"/>
          </w:rPr>
          <w:t xml:space="preserve">[8]</w:t>
        </w:r>
      </w:hyperlink>
      <w:r>
        <w:t xml:space="preserve">, filtered to projects led by the Jet Propulsion Laboratory or its operating institution, the California Institute of Technology, that report a positive TRL advancement and complete start and end years. Because TechPort withholds project dollars in public release, the dependent variable is measured as the project’s span in years per TRL step, the fully observed resource surrogate the public record supports rather than a funding figure</w:t>
      </w:r>
      <w:r>
        <w:t xml:space="preserve"> </w:t>
      </w:r>
      <w:hyperlink w:anchor="ref-8">
        <w:r>
          <w:rPr>
            <w:rStyle w:val="Hyperlink"/>
          </w:rPr>
          <w:t xml:space="preserve">[8]</w:t>
        </w:r>
      </w:hyperlink>
      <w:r>
        <w:t xml:space="preserve">.</w:t>
      </w:r>
    </w:p>
    <w:p>
      <w:pPr>
        <w:pStyle w:val="BodyText"/>
        <w:spacing w:line="480" w:lineRule="auto"/>
        <w:ind w:firstLine="720"/>
      </w:pPr>
      <w:r>
        <w:t xml:space="preserve">The model fits the cross-section well for a portfolio of this size. It explains 43.2 percent of the variance in log per-TRL maturation time, with an R-squared of 0.4324 and an adjusted R-squared of 0.3908. The gap of roughly four percentage points between the raw and adjusted figures is the expected penalty for three regressors estimated on forty-five observations and indicates that the model is not over-parameterized for its sample. The joint test of the specification is decisive: the F-statistic is 9.51 on the included terms, with a p-value of 6.85e-05, comfortably below the one-in-ten-thousand threshold. The fit is therefore not an artifact of a single dominant regressor; the included terms jointly carry real explanatory weight against log per-step maturation time.</w:t>
      </w:r>
    </w:p>
    <w:bookmarkEnd w:id="132"/>
    <w:bookmarkStart w:id="133" w:name="X42660accf50f9b229bfeb73f467caa509e731af"/>
    <w:p>
      <w:pPr>
        <w:pStyle w:val="Heading3"/>
        <w:spacing w:line="480" w:lineRule="auto"/>
      </w:pPr>
      <w:r>
        <w:t xml:space="preserve">6.1.2 The experience elasticity: a reliable penalty, not a discount</w:t>
      </w:r>
    </w:p>
    <w:p>
      <w:pPr>
        <w:pStyle w:val="FirstParagraph"/>
        <w:spacing w:line="480" w:lineRule="auto"/>
      </w:pPr>
      <w:r>
        <w:t xml:space="preserve">The coefficient that the hypothesis turns on is the elasticity of per-step maturation time with respect to accumulated within-category experience. The pre-registered alternative H1 required this coefficient to be negative and bounded away from zero, the sign the roadmapping premise invokes when it treats institutional category history as a cost discount. The estimate has the opposite sign. The experience elasticity is 0.1996, positive, with a robust standard error of 0.0986 and a p-value of 0.043. The coefficient is bounded away from zero at conventional two-sided significance, but on the wrong side of zero for the hypothesis it was built to test.</w:t>
      </w:r>
    </w:p>
    <w:p>
      <w:pPr>
        <w:pStyle w:val="BodyText"/>
        <w:spacing w:line="480" w:lineRule="auto"/>
        <w:ind w:firstLine="720"/>
      </w:pPr>
      <w:r>
        <w:t xml:space="preserve">The magnitude is interpretable directly in elasticity terms. Because both the dependent variable and the experience regressor are in logs, the coefficient of 0.1996 says that a one percent rise in accumulated within-category experience is associated with roughly a one-fifth of one percent rise in per-step maturation time. Translated to the doubling scale that the learning-curve tradition uses, a doubling of accumulated within-category experience raises per-TRL maturation time by a factor of two raised to the 0.1996 power, an increase of approximately fourteen percent in the time booked per step. The point is not that the discount is small; the point is that there is no discount. Families in which JPL has accumulated the deepest history take longer, not shorter, to advance the next project by a TRL level, holding the size of the advancement and the project vintage fixed.</w:t>
      </w:r>
    </w:p>
    <w:p>
      <w:pPr>
        <w:pStyle w:val="BodyText"/>
        <w:spacing w:line="480" w:lineRule="auto"/>
        <w:ind w:firstLine="720"/>
      </w:pPr>
      <w:r>
        <w:t xml:space="preserve">Two distinct nulls are rejected here, and the distinction matters. The data reject H1, which required a negative elasticity. The data also reject the alternative null hypothesis H0, which held that accumulated category history carries no measurable per-step effect at all. The rejection of H0 is not the rejection the roadmapping premise would have welcomed: rather than failing to find a learning discount, the model finds a reliable experience penalty. The standard error of 0.0986 places the coefficient a little more than two robust standard errors above zero, and the implied ninety-five percent confidence interval, running from roughly 0.006 to 0.393, sits entirely in positive territory and excludes the negative values that confirmation would have required. The estimate is therefore not a fragile, borderline positive number that a slightly different specification might flip; its entire conventional interval lies on the side opposite to the premise.</w:t>
      </w:r>
    </w:p>
    <w:bookmarkEnd w:id="133"/>
    <w:bookmarkStart w:id="134" w:name="X224b305dbb13dd179dd0c6c970d0a555ba08167"/>
    <w:p>
      <w:pPr>
        <w:pStyle w:val="Heading3"/>
        <w:spacing w:line="480" w:lineRule="auto"/>
      </w:pPr>
      <w:r>
        <w:t xml:space="preserve">6.1.3 The scope control and the granularity of TRL advancement</w:t>
      </w:r>
    </w:p>
    <w:p>
      <w:pPr>
        <w:pStyle w:val="FirstParagraph"/>
        <w:spacing w:line="480" w:lineRule="auto"/>
      </w:pPr>
      <w:r>
        <w:t xml:space="preserve">The strongest term in the model is the scope control. The coefficient on log TRL steps is -0.9375, with a robust standard error of 0.1793 and a p-value reported by the estimator as 0.0, meaning the two-sided p-value is below the precision the estimator prints and is effectively indistinguishable from zero. The coefficient is large, precisely estimated, and approximately negative one. Its confidence interval, formed at roughly two robust standard errors, runs from about -1.29 to -0.59 and excludes both zero and minus one’s neighbors only loosely, so the near-unit elasticity should be read as a strong central tendency rather than an exact integer.</w:t>
      </w:r>
    </w:p>
    <w:p>
      <w:pPr>
        <w:pStyle w:val="BodyText"/>
        <w:spacing w:line="480" w:lineRule="auto"/>
        <w:ind w:firstLine="720"/>
      </w:pPr>
      <w:r>
        <w:t xml:space="preserve">The substantive meaning of a near-minus-one elasticity is a granularity effect, and it is built into the construction of the dependent variable. Because per-TRL maturation time is the project’s total span divided by the number of steps advanced, a project that advertises a wider advancement spreads a span that grows far less than proportionally across more steps. A coefficient of -0.9375 says that as the advertised advancement widens, the time booked per individual step falls almost proportionally, so that multi-step projects record dramatically shorter per-step spans than single-step projects. This is the integer-scale artifact that the prospectus anticipated as a threat to validity, and the model makes it visible rather than letting it contaminate the experience coefficient. The scope control is doing exactly the work it was included to do: it fixes the size of the advancement so that the experience elasticity is read at a constant step size rather than confounded with whether a project moved one level or four.</w:t>
      </w:r>
    </w:p>
    <w:bookmarkEnd w:id="134"/>
    <w:bookmarkStart w:id="135" w:name="X181c296294bb84afde2f6fd37d524fc83d2c13a"/>
    <w:p>
      <w:pPr>
        <w:pStyle w:val="Heading3"/>
        <w:spacing w:line="480" w:lineRule="auto"/>
      </w:pPr>
      <w:r>
        <w:t xml:space="preserve">6.1.4 The vintage control and the absence of a calendar trend</w:t>
      </w:r>
    </w:p>
    <w:p>
      <w:pPr>
        <w:pStyle w:val="FirstParagraph"/>
        <w:spacing w:line="480" w:lineRule="auto"/>
      </w:pPr>
      <w:r>
        <w:t xml:space="preserve">The third term is the centered start year, included to absorb the sector-wide cost-time decline that the economy-scale forecasts describe</w:t>
      </w:r>
      <w:r>
        <w:t xml:space="preserve"> </w:t>
      </w:r>
      <w:hyperlink w:anchor="ref-6">
        <w:r>
          <w:rPr>
            <w:rStyle w:val="Hyperlink"/>
          </w:rPr>
          <w:t xml:space="preserve">[6]</w:t>
        </w:r>
      </w:hyperlink>
      <w:r>
        <w:t xml:space="preserve">[7]. Its coefficient is -0.0195, with a robust standard error of 0.0228 and a p-value of 0.3913. The vintage control is small in magnitude and statistically indistinguishable from zero: its standard error is larger than the point estimate itself, and the p-value is far from any conventional significance threshold. Within this sample, the sector-wide decline in space costs does not register once accumulated experience and advancement scope are in the model.</w:t>
      </w:r>
    </w:p>
    <w:p>
      <w:pPr>
        <w:pStyle w:val="BodyText"/>
        <w:spacing w:line="480" w:lineRule="auto"/>
        <w:ind w:firstLine="720"/>
      </w:pPr>
      <w:r>
        <w:t xml:space="preserve">This null on vintage matters for the integrity of the experience finding. The most natural rival explanation for a positive experience elasticity would be a confound running through calendar time: if later same-category projects were systematically slower for reasons unrelated to experience, an experience regressor that rises mechanically with calendar time could simply be absorbing a time trend. The centered start-year term is the instrument against that confound, and it returns essentially nothing. The positive experience elasticity therefore survives the vintage control that the roadmapping premise would have invoked to defend itself, and it does so net of the scope control as well. The penalty is not a repackaged calendar effect; it is an experience effect that persists after calendar time is partialled out.</w:t>
      </w:r>
    </w:p>
    <w:bookmarkEnd w:id="135"/>
    <w:bookmarkStart w:id="136" w:name="the-intercept"/>
    <w:p>
      <w:pPr>
        <w:pStyle w:val="Heading3"/>
        <w:spacing w:line="480" w:lineRule="auto"/>
      </w:pPr>
      <w:r>
        <w:t xml:space="preserve">6.1.5 The intercept</w:t>
      </w:r>
    </w:p>
    <w:p>
      <w:pPr>
        <w:pStyle w:val="FirstParagraph"/>
        <w:spacing w:line="480" w:lineRule="auto"/>
      </w:pPr>
      <w:r>
        <w:t xml:space="preserve">The constant is 0.5603, with a robust standard error of 0.2165 and a p-value of 0.0097. In a log-log specification with a centered vintage variable, the intercept carries the fitted log per-step maturation time for a project at the regressors’ reference values, and it is precisely estimated rather than a free parameter soaking up misspecification. Its significance is not of independent substantive interest, but its tight standard error is one more sign that the model is well-conditioned on this sample.</w:t>
      </w:r>
    </w:p>
    <w:bookmarkEnd w:id="136"/>
    <w:bookmarkStart w:id="137" w:name="interpretation-of-study-one"/>
    <w:p>
      <w:pPr>
        <w:pStyle w:val="Heading3"/>
        <w:spacing w:line="480" w:lineRule="auto"/>
      </w:pPr>
      <w:r>
        <w:t xml:space="preserve">6.1.6 Interpretation of Study One</w:t>
      </w:r>
    </w:p>
    <w:p>
      <w:pPr>
        <w:pStyle w:val="FirstParagraph"/>
        <w:spacing w:line="480" w:lineRule="auto"/>
      </w:pPr>
      <w:r>
        <w:t xml:space="preserve">The disconfirmation is the finding. Within JPL’s instrument-heavy Advanced Technology Development portfolio, accumulated within-category experience does not buy a cheaper next step. Holding the size of the advancement and the project vintage fixed, families with deeper JPL histories show longer per-step maturation spans, and the association is statistically reliable rather than null. The estimate inverts the sign the premise requires and rejects the no-effect null in the unwelcome direction. The two readings that reconcile this estimate with the genuine per-entrant progress visible in individual technology lines, such as the SPIDER photonic-imaging line and the low-cost optical-surveillance sensor line</w:t>
      </w:r>
      <w:r>
        <w:t xml:space="preserve"> </w:t>
      </w:r>
      <w:hyperlink w:anchor="ref-1">
        <w:r>
          <w:rPr>
            <w:rStyle w:val="Hyperlink"/>
          </w:rPr>
          <w:t xml:space="preserve">[1]</w:t>
        </w:r>
      </w:hyperlink>
      <w:r>
        <w:t xml:space="preserve">[2][3][4], are selection on difficulty and the time-versus-dollars character of the surrogate measure. Under the first, JPL returns repeatedly to the categories that keep posing the hardest unsolved problems, so accumulated family depth coincides with rising rather than falling per-step difficulty even as each entrant reports real gains inside a fixed problem. Under the second, the public record measures span and not dollars, and a laboratory experienced in a category may deliberately invest more project time in each later step than it would risk on a first entrant. Both readings caution against carrying the embedded learning-curve factor</w:t>
      </w:r>
      <w:r>
        <w:t xml:space="preserve"> </w:t>
      </w:r>
      <w:hyperlink w:anchor="ref-5">
        <w:r>
          <w:rPr>
            <w:rStyle w:val="Hyperlink"/>
          </w:rPr>
          <w:t xml:space="preserve">[5]</w:t>
        </w:r>
      </w:hyperlink>
      <w:r>
        <w:t xml:space="preserve"> </w:t>
      </w:r>
      <w:r>
        <w:t xml:space="preserve">unexamined from a single-program cost estimate to a portfolio sequencing rule. What the estimate establishes is narrower and firmer than the premise assumes: at the institution-and-category level, prior investment in a technology family is not, by itself, a price reduction on the next step.</w:t>
      </w:r>
    </w:p>
    <w:bookmarkEnd w:id="137"/>
    <w:bookmarkEnd w:id="138"/>
    <w:bookmarkStart w:id="145" w:name="X2b3d3838beda468cb00ee35ee6a563044ea89ab"/>
    <w:p>
      <w:pPr>
        <w:pStyle w:val="Heading2"/>
        <w:spacing w:line="480" w:lineRule="auto"/>
      </w:pPr>
      <w:r>
        <w:t xml:space="preserve">6.2 Study Two: Technology Immaturity at PDR and Development Cost Growth</w:t>
      </w:r>
    </w:p>
    <w:bookmarkStart w:id="139" w:name="the-fitted-model-1"/>
    <w:p>
      <w:pPr>
        <w:pStyle w:val="Heading3"/>
        <w:spacing w:line="480" w:lineRule="auto"/>
      </w:pPr>
      <w:r>
        <w:t xml:space="preserve">6.2.1 The fitted model</w:t>
      </w:r>
    </w:p>
    <w:p>
      <w:pPr>
        <w:pStyle w:val="FirstParagraph"/>
        <w:spacing w:line="480" w:lineRule="auto"/>
      </w:pPr>
      <w:r>
        <w:t xml:space="preserve">The second study regresses development cost growth, measured in percentage points, on a binary indicator for technology immaturity at preliminary design review, a count of critical technologies, and a flagship-class indicator. The sample is twenty-four NASA and JPL-led missions for which both development cost growth and technology-maturity status are documented in the public record, with figures drawn from the GAO major-project assessment series</w:t>
      </w:r>
      <w:r>
        <w:t xml:space="preserve"> </w:t>
      </w:r>
      <w:hyperlink w:anchor="ref-9">
        <w:r>
          <w:rPr>
            <w:rStyle w:val="Hyperlink"/>
          </w:rPr>
          <w:t xml:space="preserve">[9]</w:t>
        </w:r>
      </w:hyperlink>
      <w:r>
        <w:t xml:space="preserve">, the National Research Council’s cost-growth study</w:t>
      </w:r>
      <w:r>
        <w:t xml:space="preserve"> </w:t>
      </w:r>
      <w:hyperlink w:anchor="ref-10">
        <w:r>
          <w:rPr>
            <w:rStyle w:val="Hyperlink"/>
          </w:rPr>
          <w:t xml:space="preserve">[10]</w:t>
        </w:r>
      </w:hyperlink>
      <w:r>
        <w:t xml:space="preserve">, NASA Office of Inspector General audits, and mission cost records. The immaturity indicator equals one when the public record shows one or more enabling technologies below TRL 6 at PDR and zero otherwise, following the maturity criterion the GAO applies in its annual assessments</w:t>
      </w:r>
      <w:r>
        <w:t xml:space="preserve"> </w:t>
      </w:r>
      <w:hyperlink w:anchor="ref-9">
        <w:r>
          <w:rPr>
            <w:rStyle w:val="Hyperlink"/>
          </w:rPr>
          <w:t xml:space="preserve">[9]</w:t>
        </w:r>
      </w:hyperlink>
      <w:r>
        <w:t xml:space="preserve">.</w:t>
      </w:r>
    </w:p>
    <w:p>
      <w:pPr>
        <w:pStyle w:val="BodyText"/>
        <w:spacing w:line="480" w:lineRule="auto"/>
        <w:ind w:firstLine="720"/>
      </w:pPr>
      <w:r>
        <w:t xml:space="preserve">The model fits the cross-section well. It explains 73.9 percent of the variance in development cost growth, with an R-squared of 0.7390 and an adjusted R-squared of 0.6998. The four-percentage-point gap between the raw and adjusted figures again reflects the modest cost of three regressors on twenty-four observations, and a near-seventy-percent adjusted fit on a portfolio cross-section of mission cost growth is substantial. The joint test is decisive: the F-statistic is 23.52, with a p-value of 9.12e-07, on the order of nine in ten million. The specification is not carried by a single term; the included regressors jointly account for the large majority of the variance in mission cost growth.</w:t>
      </w:r>
    </w:p>
    <w:bookmarkEnd w:id="139"/>
    <w:bookmarkStart w:id="140" w:name="X4f01734f1d9d301599ddfc36db496a5095a4d98"/>
    <w:p>
      <w:pPr>
        <w:pStyle w:val="Heading3"/>
        <w:spacing w:line="480" w:lineRule="auto"/>
      </w:pPr>
      <w:r>
        <w:t xml:space="preserve">6.2.2 The immaturity coefficient: a large and precise penalty</w:t>
      </w:r>
    </w:p>
    <w:p>
      <w:pPr>
        <w:pStyle w:val="FirstParagraph"/>
        <w:spacing w:line="480" w:lineRule="auto"/>
      </w:pPr>
      <w:r>
        <w:t xml:space="preserve">The central result supports the directional hypothesis H1. The coefficient on technology immaturity at PDR is 18.9714 percentage points, with a robust standard error of 5.4315 and a p-value of 0.0005. The estimate is positive, large, and precisely determined. Read plainly, a mission that carried below-TRL-6 technology into its design freeze recorded, on average, roughly nineteen additional percentage points of development cost growth relative to an otherwise comparable mission whose technologies were mature, holding the number of critical technologies and flagship class fixed.</w:t>
      </w:r>
    </w:p>
    <w:p>
      <w:pPr>
        <w:pStyle w:val="BodyText"/>
        <w:spacing w:line="480" w:lineRule="auto"/>
        <w:ind w:firstLine="720"/>
      </w:pPr>
      <w:r>
        <w:t xml:space="preserve">The precision deserves emphasis. The coefficient sits about three and a half robust standard errors above zero, and its ninety-five percent confidence interval, formed at roughly two robust standard errors, runs from approximately 8.3 to 29.6 percentage points. Even the lower bound of that interval is a cost-growth penalty of more than eight points, so the finding is not merely that immaturity matters on average but that the data are inconsistent with any small penalty. Because the hypothesis is directional, the relevant one-sided test is more favorable still than the two-sided p-value of 0.0005 reported here, so the evidence is, if anything, understated relative to H1. The coefficient is also consistent with the descriptive contrast: the regression is recovering, net of controls, the same separation visible between the immature and mature subgroups in the raw cost-growth distribution.</w:t>
      </w:r>
    </w:p>
    <w:bookmarkEnd w:id="140"/>
    <w:bookmarkStart w:id="141" w:name="Xb6322bce1e07cf2cd5e8115a84250767f450709"/>
    <w:p>
      <w:pPr>
        <w:pStyle w:val="Heading3"/>
        <w:spacing w:line="480" w:lineRule="auto"/>
      </w:pPr>
      <w:r>
        <w:t xml:space="preserve">6.2.3 The count of critical technologies: a distinct, additive penalty</w:t>
      </w:r>
    </w:p>
    <w:p>
      <w:pPr>
        <w:pStyle w:val="FirstParagraph"/>
        <w:spacing w:line="480" w:lineRule="auto"/>
      </w:pPr>
      <w:r>
        <w:t xml:space="preserve">The count of critical technologies is also positive and precisely estimated. Its coefficient is 8.5096 percentage points of cost growth per additional critical technology, with a robust standard error of 2.2031 and a p-value of 0.0001. The estimate sits nearly four robust standard errors above zero, and its confidence interval runs from roughly 4.1 to 12.9 points per technology, excluding zero by a wide margin.</w:t>
      </w:r>
    </w:p>
    <w:p>
      <w:pPr>
        <w:pStyle w:val="BodyText"/>
        <w:spacing w:line="480" w:lineRule="auto"/>
        <w:ind w:firstLine="720"/>
      </w:pPr>
      <w:r>
        <w:t xml:space="preserve">The substantive reading is that technical breadth and technical readiness carry distinct, additive penalties. Each additional unproven capability a mission attempts adds, on average, about eight and a half points of cost growth, and starting any of those capabilities from below TRL 6 at the design freeze adds the separately estimated immaturity penalty on top. The two coefficients are not substitutes for one another. A mission can grow in cost because it attempts many new things, and it can grow further because the things it attempts are not yet ready when the design is frozen. That the model separates these two channels cleanly, with both significant at conventional levels, is evidence that the immaturity coefficient is not a disguised count effect: scope is held fixed by the count regressor, and readiness still carries its own large penalty.</w:t>
      </w:r>
    </w:p>
    <w:bookmarkEnd w:id="141"/>
    <w:bookmarkStart w:id="142" w:name="Xef432e409c657df8451a7ca3b2a4eecd042d882"/>
    <w:p>
      <w:pPr>
        <w:pStyle w:val="Heading3"/>
        <w:spacing w:line="480" w:lineRule="auto"/>
      </w:pPr>
      <w:r>
        <w:t xml:space="preserve">6.2.4 The flagship indicator: the informative null</w:t>
      </w:r>
    </w:p>
    <w:p>
      <w:pPr>
        <w:pStyle w:val="FirstParagraph"/>
        <w:spacing w:line="480" w:lineRule="auto"/>
      </w:pPr>
      <w:r>
        <w:t xml:space="preserve">The flagship indicator is the model’s informative null. Its coefficient is -0.3872 percentage points, with a robust standard error of 8.6622 and a p-value of 0.9643. The point estimate is essentially zero, its standard error is more than twenty times its magnitude, and the p-value is as close to one as an estimated coefficient is likely to come. Once technology maturity and the number of critical technologies are controlled, being a Category-1 flagship carries no independent association with development cost growth.</w:t>
      </w:r>
    </w:p>
    <w:p>
      <w:pPr>
        <w:pStyle w:val="BodyText"/>
        <w:spacing w:line="480" w:lineRule="auto"/>
        <w:ind w:firstLine="720"/>
      </w:pPr>
      <w:r>
        <w:t xml:space="preserve">This null matters. It is not a throwaway. The intuition that the largest directed missions overrun simply because they are large, a view the large-strategic-mission literature takes seriously</w:t>
      </w:r>
      <w:r>
        <w:t xml:space="preserve"> </w:t>
      </w:r>
      <w:hyperlink w:anchor="ref-12">
        <w:r>
          <w:rPr>
            <w:rStyle w:val="Hyperlink"/>
          </w:rPr>
          <w:t xml:space="preserve">[12]</w:t>
        </w:r>
      </w:hyperlink>
      <w:r>
        <w:t xml:space="preserve">, finds no support here. What appears in casual accounts to travel under the label of flagship cost growth is, in this sample, the readiness and breadth of the technology those missions attempt, not their budget category by itself. The flagship coefficient’s large standard error reflects that flagship class, once readiness and breadth are partialled out, contains little independent information about cost growth in these twenty-four missions; the variable is retained as a control precisely so that the immaturity coefficient can be read net of mission class, and it confirms that doing so does not erode the immaturity result.</w:t>
      </w:r>
    </w:p>
    <w:bookmarkEnd w:id="142"/>
    <w:bookmarkStart w:id="143" w:name="the-intercept-1"/>
    <w:p>
      <w:pPr>
        <w:pStyle w:val="Heading3"/>
        <w:spacing w:line="480" w:lineRule="auto"/>
      </w:pPr>
      <w:r>
        <w:t xml:space="preserve">6.2.5 The intercept</w:t>
      </w:r>
    </w:p>
    <w:p>
      <w:pPr>
        <w:pStyle w:val="FirstParagraph"/>
        <w:spacing w:line="480" w:lineRule="auto"/>
      </w:pPr>
      <w:r>
        <w:t xml:space="preserve">The constant is -18.9416 percentage points, with a robust standard error of 6.1012 and a p-value of 0.0019. The negative intercept is the fitted cost growth for the model’s reference mission, one with mature technology at PDR, zero critical technologies on the count scale, and non-flagship class. A negative baseline is sensible in a sample where the mature, heritage-technology missions came in at or under their estimates, and its precise estimation, at roughly three standard errors from zero, is one more sign that the specification is well-conditioned. Substantive interpretation rests on the slope coefficients rather than on the intercept, but the intercept is consistent with the under-baseline behavior of the mature subgroup.</w:t>
      </w:r>
    </w:p>
    <w:bookmarkEnd w:id="143"/>
    <w:bookmarkStart w:id="144" w:name="interpretation-of-study-two"/>
    <w:p>
      <w:pPr>
        <w:pStyle w:val="Heading3"/>
        <w:spacing w:line="480" w:lineRule="auto"/>
      </w:pPr>
      <w:r>
        <w:t xml:space="preserve">6.2.6 Interpretation of Study Two</w:t>
      </w:r>
    </w:p>
    <w:p>
      <w:pPr>
        <w:pStyle w:val="FirstParagraph"/>
        <w:spacing w:line="480" w:lineRule="auto"/>
      </w:pPr>
      <w:r>
        <w:t xml:space="preserve">The confirmation is the finding, and it places a number on a premise the institutional literature has long asserted but rarely priced at the mission level. The GAO has restated across more than a decade of NASA assessments that maturing technology before product development reduces technology-related cost increases</w:t>
      </w:r>
      <w:r>
        <w:t xml:space="preserve"> </w:t>
      </w:r>
      <w:hyperlink w:anchor="ref-9">
        <w:r>
          <w:rPr>
            <w:rStyle w:val="Hyperlink"/>
          </w:rPr>
          <w:t xml:space="preserve">[9]</w:t>
        </w:r>
      </w:hyperlink>
      <w:r>
        <w:t xml:space="preserve">, and the National Research Council attributed a disproportionate share of mission cost growth to instrument and technology development</w:t>
      </w:r>
      <w:r>
        <w:t xml:space="preserve"> </w:t>
      </w:r>
      <w:hyperlink w:anchor="ref-10">
        <w:r>
          <w:rPr>
            <w:rStyle w:val="Hyperlink"/>
          </w:rPr>
          <w:t xml:space="preserve">[10]</w:t>
        </w:r>
      </w:hyperlink>
      <w:r>
        <w:t xml:space="preserve">; parametric cost modeling on readiness parameters formalizes the same intuition</w:t>
      </w:r>
      <w:r>
        <w:t xml:space="preserve"> </w:t>
      </w:r>
      <w:hyperlink w:anchor="ref-11">
        <w:r>
          <w:rPr>
            <w:rStyle w:val="Hyperlink"/>
          </w:rPr>
          <w:t xml:space="preserve">[11]</w:t>
        </w:r>
      </w:hyperlink>
      <w:r>
        <w:t xml:space="preserve">. The present estimate converts that body of qualitative and parametric expectation into a single conditional coefficient: on these data, the difference between entering PDR with mature technology and entering with an unproven element is worth on the order of nineteen points of development cost growth, net of how many new technologies the mission attempts and net of whether it is a flagship. Because the flagship category contributes nothing once readiness and breadth are held fixed, the policy lever the estimate identifies is the timing of technology investment relative to the milestone, not the size or prestige of the mission.</w:t>
      </w:r>
    </w:p>
    <w:bookmarkEnd w:id="144"/>
    <w:bookmarkEnd w:id="145"/>
    <w:bookmarkStart w:id="146" w:name="the-two-findings-read-together"/>
    <w:p>
      <w:pPr>
        <w:pStyle w:val="Heading2"/>
        <w:spacing w:line="480" w:lineRule="auto"/>
      </w:pPr>
      <w:r>
        <w:t xml:space="preserve">6.3 The Two Findings Read Together</w:t>
      </w:r>
    </w:p>
    <w:p>
      <w:pPr>
        <w:pStyle w:val="FirstParagraph"/>
        <w:spacing w:line="480" w:lineRule="auto"/>
      </w:pPr>
      <w:r>
        <w:t xml:space="preserve">The two studies are not in tension once their objects are distinguished, and the dissertation’s contribution lies precisely in holding them apart. Study Two confirms that maturation does real work: pulling a capability to TRL 6 before a project commits to it is associated with a large, precise reduction in downstream development cost growth, on the order of nineteen percentage points, and that benefit is attributable to readiness and technical breadth rather than to mission class. Study One disconfirms a different and stronger claim: that an institution’s accumulated history in a technology category is itself a price reduction on the next step within that category. The within-category experience elasticity is positive and reliably so, at 0.1996 with a robust standard error of 0.0986, the opposite of the discount the roadmapping premise books against institutional history.</w:t>
      </w:r>
    </w:p>
    <w:p>
      <w:pPr>
        <w:pStyle w:val="BodyText"/>
        <w:spacing w:line="480" w:lineRule="auto"/>
        <w:ind w:firstLine="720"/>
      </w:pPr>
      <w:r>
        <w:t xml:space="preserve">The reconciliation is that maturation timing and category accumulation are different levers. Maturing a specific technology before a specific design freeze restrains the cost growth of that specific mission, which Study Two demonstrates with a fit explaining nearly seventy-four percent of cross-mission variance. Returning repeatedly to a technology family does not, by itself, make the next entrant in that family cheaper to advance, which Study One demonstrates with a reliably positive experience penalty net of scope and vintage. A technology-investment strategy that confuses the two, treating depth of category history as if it were equivalent to readiness of a specific capability at a specific milestone, prices a discount that the JPL program record does not support. The defensible managerial reading that the two estimates jointly license is narrow and firm: invest to mature specific enabling technologies to TRL 6 before the design freeze, where the cost-growth payoff is large and measured, and do not assume that accumulated category experience substitutes for that targeted maturation, because in the program record it is associated with longer, not shorter, per-step maturation.</w:t>
      </w:r>
    </w:p>
    <w:bookmarkEnd w:id="146"/>
    <w:bookmarkEnd w:id="147"/>
    <w:bookmarkStart w:id="156" w:name="X21322cb5e29cbf4eb576afddcad42f86ace4e0d"/>
    <w:p>
      <w:pPr>
        <w:pStyle w:val="Heading1"/>
        <w:spacing w:line="480" w:lineRule="auto"/>
      </w:pPr>
      <w:r>
        <w:t xml:space="preserve">Chapter 7. Discussion and Governance Implications</w:t>
      </w:r>
    </w:p>
    <w:bookmarkStart w:id="148" w:name="purpose-and-position-of-the-chapter-1"/>
    <w:p>
      <w:pPr>
        <w:pStyle w:val="Heading2"/>
        <w:spacing w:line="480" w:lineRule="auto"/>
      </w:pPr>
      <w:r>
        <w:t xml:space="preserve">7.1 Purpose and Position of the Chapter</w:t>
      </w:r>
    </w:p>
    <w:p>
      <w:pPr>
        <w:pStyle w:val="FirstParagraph"/>
        <w:spacing w:line="480" w:lineRule="auto"/>
      </w:pPr>
      <w:r>
        <w:t xml:space="preserve">The two preceding empirical chapters reported estimates that point in opposite directions, and a dissertation that left them side by side without interpretation would have discharged its statistical duty while abandoning its scholarly one. The first estimate, drawn from the NASA TechPort program-of-record, found that the within-category experience elasticity of per-step maturation span at the Jet Propulsion Laboratory is positive, about 0.20, when the size of the advancement and the project vintage are held fixed. Each doubling of accumulated same-family experience is associated with a longer, not a shorter, span per Technology Readiness Level step. The second estimate, drawn from a cross-section of twenty-four NASA and JPL missions, found that carrying immature technology into the preliminary design review is associated with roughly nineteen additional percentage points of development cost growth, net of the count of critical technologies and flagship class</w:t>
      </w:r>
      <w:r>
        <w:t xml:space="preserve"> </w:t>
      </w:r>
      <w:hyperlink w:anchor="ref-9">
        <w:r>
          <w:rPr>
            <w:rStyle w:val="Hyperlink"/>
          </w:rPr>
          <w:t xml:space="preserve">[9]</w:t>
        </w:r>
      </w:hyperlink>
      <w:r>
        <w:t xml:space="preserve">[10][11]. The first result disciplines the roadmapping premise; the second vindicates the maturation imperative. This chapter’s task is to show that the two estimates are not in tension but are measuring different things at different levels of the institution, and then to convert that reconciliation into guidance an FFRDC can offer a sponsor.</w:t>
      </w:r>
    </w:p>
    <w:p>
      <w:pPr>
        <w:pStyle w:val="BodyText"/>
        <w:spacing w:line="480" w:lineRule="auto"/>
        <w:ind w:firstLine="720"/>
      </w:pPr>
      <w:r>
        <w:t xml:space="preserve">The chapter proceeds in the order a decision-maker would want. It first states plainly what each finding does and does not license, so that no reader carries away an overclaim. It then reconciles the opposing signs through the two-level account the theoretical framework anticipated, distinguishing the within-mission readiness mechanism from the across-mission, within-category experience mechanism. From that reconciliation it derives the governance implications for NASA program management and for JPL’s own sequencing and bundling decisions, written as conditional recommendations rather than universal prescriptions, because the evidence base will not bear universal prescriptions. It then sets out the limitations with the candor the modest samples demand, and closes with a future-research agenda that names the specific data releases and design extensions that would convert the dissertation’s firm-but-narrow conclusions into broader ones. Throughout, the discussion is bounded by what the program record actually establishes, and it declines to manufacture decision rules the data do not support.</w:t>
      </w:r>
    </w:p>
    <w:bookmarkEnd w:id="148"/>
    <w:bookmarkStart w:id="149" w:name="Xeb94656b3f097e8587da06ba6ac23016d56d1a1"/>
    <w:p>
      <w:pPr>
        <w:pStyle w:val="Heading2"/>
        <w:spacing w:line="480" w:lineRule="auto"/>
      </w:pPr>
      <w:r>
        <w:t xml:space="preserve">7.2 What the Findings Establish, Stated Without Overclaim</w:t>
      </w:r>
    </w:p>
    <w:p>
      <w:pPr>
        <w:pStyle w:val="FirstParagraph"/>
        <w:spacing w:line="480" w:lineRule="auto"/>
      </w:pPr>
      <w:r>
        <w:t xml:space="preserve">Discipline in interpretation begins with stating the contribution at exactly its true width, neither wider nor narrower. The first finding is a statement about a single parameter estimated on one laboratory’s instrument-weighted portfolio. It establishes that, within JPL’s Sensors and Instruments-dominated Advanced Technology Development record as exposed in TechPort, accumulated within-category project experience does not purchase a shorter per-step maturation span once advancement scope and start year are controlled, and that the association runs in the direction opposite to the one the learning premise requires. It is a falsification of a specific, pre-committed sign expectation, and it is quantified rather than merely directional. What it is not is a claim that JPL fails to learn, that the SPIDER line or the low-cost-sensor line made no real per-entrant progress, or that learning curves are absent from space technology development generally. The technology-line record documents genuine within-problem gains entrant by entrant</w:t>
      </w:r>
      <w:r>
        <w:t xml:space="preserve"> </w:t>
      </w:r>
      <w:hyperlink w:anchor="ref-1">
        <w:r>
          <w:rPr>
            <w:rStyle w:val="Hyperlink"/>
          </w:rPr>
          <w:t xml:space="preserve">[1]</w:t>
        </w:r>
      </w:hyperlink>
      <w:r>
        <w:t xml:space="preserve">[2][3][4], and the estimate is fully compatible with those gains. The finding’s reach ends at the portfolio-sequencing inference: it says that the count of prior same-category JPL projects is not, by itself, a price reduction on the next step’s span.</w:t>
      </w:r>
    </w:p>
    <w:p>
      <w:pPr>
        <w:pStyle w:val="BodyText"/>
        <w:spacing w:line="480" w:lineRule="auto"/>
        <w:ind w:firstLine="720"/>
      </w:pPr>
      <w:r>
        <w:t xml:space="preserve">The second finding is a statement about a within-mission timing mechanism estimated on a documented cross-section. It establishes that, across the twenty-four missions for which the public record supplies both a cost-growth figure and a maturity status, missions that carried below-TRL-6 technology into the design freeze recorded substantially higher development cost growth than otherwise comparable missions whose technologies had matured to that level, and that the penalty is attributable to technology readiness and breadth rather than to flagship class</w:t>
      </w:r>
      <w:r>
        <w:t xml:space="preserve"> </w:t>
      </w:r>
      <w:hyperlink w:anchor="ref-9">
        <w:r>
          <w:rPr>
            <w:rStyle w:val="Hyperlink"/>
          </w:rPr>
          <w:t xml:space="preserve">[9]</w:t>
        </w:r>
      </w:hyperlink>
      <w:r>
        <w:t xml:space="preserve">[10][11][12]. What it is not is a causal identification immune to unobserved mission-specific shocks. The cross-section cannot rule out partner failures, launch-vehicle problems, or external descopes that correlate with both immaturity and cost; the InSight seismometer case is a documented instance where the cost did not originate inside JPL’s own maturation choices</w:t>
      </w:r>
      <w:r>
        <w:t xml:space="preserve"> </w:t>
      </w:r>
      <w:hyperlink w:anchor="ref-10">
        <w:r>
          <w:rPr>
            <w:rStyle w:val="Hyperlink"/>
          </w:rPr>
          <w:t xml:space="preserve">[10]</w:t>
        </w:r>
      </w:hyperlink>
      <w:r>
        <w:t xml:space="preserve">. The finding’s reach is an association of managerial consequence, robust to the controls the literature would invoke against it, but not a controlled experiment.</w:t>
      </w:r>
    </w:p>
    <w:p>
      <w:pPr>
        <w:pStyle w:val="BodyText"/>
        <w:spacing w:line="480" w:lineRule="auto"/>
        <w:ind w:firstLine="720"/>
      </w:pPr>
      <w:r>
        <w:t xml:space="preserve">Held to these widths, the two findings make a coherent pair. One says that finishing maturation before a mission commits to a design restrains that mission’s cost growth. The other says that the laboratory’s accumulated history in a technology family does not, on the span measure available, lower the cost of producing the next increment of maturation. The first is about the value of being mature at a milestone; the second is about the cost of becoming mature across a portfolio. They answer different questions, and the apparent contradiction dissolves once the levels are kept distinct.</w:t>
      </w:r>
    </w:p>
    <w:bookmarkEnd w:id="149"/>
    <w:bookmarkStart w:id="150" w:name="reconciling-the-opposing-signs"/>
    <w:p>
      <w:pPr>
        <w:pStyle w:val="Heading2"/>
        <w:spacing w:line="480" w:lineRule="auto"/>
      </w:pPr>
      <w:r>
        <w:t xml:space="preserve">7.3 Reconciling the Opposing Signs</w:t>
      </w:r>
    </w:p>
    <w:p>
      <w:pPr>
        <w:pStyle w:val="FirstParagraph"/>
        <w:spacing w:line="480" w:lineRule="auto"/>
      </w:pPr>
      <w:r>
        <w:t xml:space="preserve">The reconciliation the theoretical framework set out in advance is that technology maturation operates at two levels that the dissertation’s two papers separately measure, and that the sign of an experience or readiness effect can differ between them without inconsistency. At the within-mission level, a project either inherits a technology that has reached TRL 6 by the design freeze or it does not, and the readiness it carries into that milestone is a state variable that determines how much unresolved physics and integration risk it must absorb downstream. The second paper estimates the consequence of that state variable and finds it large: roughly nineteen points of cost growth attach to entering PDR with an unproven element</w:t>
      </w:r>
      <w:r>
        <w:t xml:space="preserve"> </w:t>
      </w:r>
      <w:hyperlink w:anchor="ref-9">
        <w:r>
          <w:rPr>
            <w:rStyle w:val="Hyperlink"/>
          </w:rPr>
          <w:t xml:space="preserve">[9]</w:t>
        </w:r>
      </w:hyperlink>
      <w:r>
        <w:t xml:space="preserve">. At the across-mission, within-category level, the relevant quantity is not a single project’s readiness but the marginal cost of producing the next increment of maturation given the laboratory’s accumulated family history. The first paper estimates that marginal cost and finds that accumulated history does not reduce it on the span measure, and is associated with a longer span.</w:t>
      </w:r>
    </w:p>
    <w:p>
      <w:pPr>
        <w:pStyle w:val="BodyText"/>
        <w:spacing w:line="480" w:lineRule="auto"/>
        <w:ind w:firstLine="720"/>
      </w:pPr>
      <w:r>
        <w:t xml:space="preserve">Two readings, advanced in the first paper and grounded in the framework, make the positive within-category elasticity intelligible alongside the within-mission readiness penalty. The first is selection on difficulty. A national laboratory concentrates its repeated investment in the categories that keep posing the hardest unsolved problems, because those are the categories whose advancement is worth sustained attention. Under that behavior, accumulated category depth coincides with a frontier that is moving toward harder targets, so the next step within the family is intrinsically more demanding than the last even as each entrant improves on its immediate predecessor. The SPIDER and low-cost-sensor lines can report real per-entrant reductions in size, weight, power, and cost against the entrant before them</w:t>
      </w:r>
      <w:r>
        <w:t xml:space="preserve"> </w:t>
      </w:r>
      <w:hyperlink w:anchor="ref-1">
        <w:r>
          <w:rPr>
            <w:rStyle w:val="Hyperlink"/>
          </w:rPr>
          <w:t xml:space="preserve">[1]</w:t>
        </w:r>
      </w:hyperlink>
      <w:r>
        <w:t xml:space="preserve">[2][3][4] while the family as a whole drifts toward objectives that lengthen the next maturation step. The within-mission readiness mechanism is untouched by this drift: whatever the family’s difficulty trajectory, a given mission still pays the cost-growth penalty if it freezes its design around an unproven element. The two levels are governed by different baselines, and the difficulty drift that produces a positive across-family elasticity is exactly the condition under which finishing maturation before the milestone matters most.</w:t>
      </w:r>
    </w:p>
    <w:p>
      <w:pPr>
        <w:pStyle w:val="BodyText"/>
        <w:spacing w:line="480" w:lineRule="auto"/>
        <w:ind w:firstLine="720"/>
      </w:pPr>
      <w:r>
        <w:t xml:space="preserve">The second reading is the measurement gap between span and dollars. The public TechPort record withholds project funding, so the first paper measures per-step maturation by years of span rather than by cost, while the second paper measures cost growth directly from GAO and National Research Council reconstructions</w:t>
      </w:r>
      <w:r>
        <w:t xml:space="preserve"> </w:t>
      </w:r>
      <w:hyperlink w:anchor="ref-9">
        <w:r>
          <w:rPr>
            <w:rStyle w:val="Hyperlink"/>
          </w:rPr>
          <w:t xml:space="preserve">[9]</w:t>
        </w:r>
      </w:hyperlink>
      <w:r>
        <w:t xml:space="preserve">[10]. A laboratory that has grown experienced in a category may rationally invest more deliberate project time in each later, higher-stakes step, spending calendar span it would not have spent on a first, riskier entrant, even as it spends fewer dollars per step. On that behavior the span measure would register a positive elasticity while a dollar measure might register a negative one, and the two papers would then be measuring genuinely different resource dimensions rather than contradicting each other. The dissertation cannot adjudicate between the selection-on-difficulty reading and the deliberate-investment reading from the public record alone, and Section 7.6 names the data release that would. What the reconciliation establishes is that no single estimate is anomalous: a positive span elasticity across a family, a large cost-growth penalty for within-mission immaturity, and real within-problem learning inside individual lines are jointly consistent once the level and the measure of each are made explicit.</w:t>
      </w:r>
    </w:p>
    <w:bookmarkEnd w:id="150"/>
    <w:bookmarkStart w:id="151" w:name="implications-for-nasa-program-management"/>
    <w:p>
      <w:pPr>
        <w:pStyle w:val="Heading2"/>
        <w:spacing w:line="480" w:lineRule="auto"/>
      </w:pPr>
      <w:r>
        <w:t xml:space="preserve">7.4 Implications for NASA Program Management</w:t>
      </w:r>
    </w:p>
    <w:p>
      <w:pPr>
        <w:pStyle w:val="FirstParagraph"/>
        <w:spacing w:line="480" w:lineRule="auto"/>
      </w:pPr>
      <w:r>
        <w:t xml:space="preserve">The governance reading of the pair is sharper than either finding alone, because the two estimates locate the managerial lever precisely. The lever is not the laboratory’s category history treated as a standing discount, and it is not the mission’s budget category. It is the timing of technology maturation relative to the design-freeze milestone. The second paper places a number on that lever: the difference between entering PDR with mature technology and entering with an unproven element is worth, on these data, on the order of nineteen points of development cost growth, and the figure is net of how many new technologies the mission attempts</w:t>
      </w:r>
      <w:r>
        <w:t xml:space="preserve"> </w:t>
      </w:r>
      <w:hyperlink w:anchor="ref-9">
        <w:r>
          <w:rPr>
            <w:rStyle w:val="Hyperlink"/>
          </w:rPr>
          <w:t xml:space="preserve">[9]</w:t>
        </w:r>
      </w:hyperlink>
      <w:r>
        <w:t xml:space="preserve">. The flagship indicator’s informative null reinforces the point. Once readiness and breadth are controlled, Category-1 directed status carries no independent association with cost growth, so the familiar intuition that the largest missions overrun because they are large is not supported; what travels under the label of flagship cost growth is, in this sample, the readiness and breadth of the technology those missions attempt</w:t>
      </w:r>
      <w:r>
        <w:t xml:space="preserve"> </w:t>
      </w:r>
      <w:hyperlink w:anchor="ref-9">
        <w:r>
          <w:rPr>
            <w:rStyle w:val="Hyperlink"/>
          </w:rPr>
          <w:t xml:space="preserve">[9]</w:t>
        </w:r>
      </w:hyperlink>
      <w:r>
        <w:t xml:space="preserve">[12]. For a program office, this relocates the question from how to oversee big missions more tightly to how to ensure that the technologies any mission depends on have reached TRL 6 before the design is frozen.</w:t>
      </w:r>
    </w:p>
    <w:p>
      <w:pPr>
        <w:pStyle w:val="BodyText"/>
        <w:spacing w:line="480" w:lineRule="auto"/>
        <w:ind w:firstLine="720"/>
      </w:pPr>
      <w:r>
        <w:t xml:space="preserve">The first paper’s discipline is the necessary complement, because it warns against the most natural way a program office might try to act on the second. If the readiness penalty is real, a program office might reason that the laboratory should simply concentrate its Advanced Technology Development funding in the families where it already holds the deepest history, on the expectation that depth makes the next maturation step cheaper. The first paper’s positive within-category elasticity says that expectation is unfunded on the span measure: depth is associated with a longer, not a shorter, next step, plausibly because the laboratory returns to its hardest families. The two findings together therefore recommend a maturation policy that is milestone-anchored rather than history-anchored. The objective is to finish maturation before commitment, and the right place to invest the next technology dollar is wherever a planned mission’s enabling technology sits below TRL 6 at the moment it will freeze, not wherever the institution happens to hold the most accumulated category experience. A roadmap that books a cost discount against institutional history is, in this record, pricing a discount the program-of-record does not support, while a roadmap that pulls each committed mission’s critical technologies to TRL 6 ahead of its design freeze is acting on the one association the data establish as large and robust.</w:t>
      </w:r>
    </w:p>
    <w:p>
      <w:pPr>
        <w:pStyle w:val="BodyText"/>
        <w:spacing w:line="480" w:lineRule="auto"/>
        <w:ind w:firstLine="720"/>
      </w:pPr>
      <w:r>
        <w:t xml:space="preserve">There is a budgetary corollary that the FFRDC advisory posture should make explicit to a sponsor. Investment that pulls a capability to TRL 6 before a project commits to it converts a downstream cost-growth penalty, paid inside a committed mission’s envelope at the least forgiving phase of its life, into an upstream maturation expense paid in the Advanced Technology Development account, where it is typically cheaper and where failure is a budgeted outcome rather than an overrun</w:t>
      </w:r>
      <w:r>
        <w:t xml:space="preserve"> </w:t>
      </w:r>
      <w:hyperlink w:anchor="ref-9">
        <w:r>
          <w:rPr>
            <w:rStyle w:val="Hyperlink"/>
          </w:rPr>
          <w:t xml:space="preserve">[9]</w:t>
        </w:r>
      </w:hyperlink>
      <w:r>
        <w:t xml:space="preserve">[11]. The count-of-technologies coefficient sharpens the corollary. Each additional critical technology carries its own cost-growth penalty additive to the readiness penalty, so a mission attempting many unproven things both raises its expected growth through breadth and multiplies the number of maturation programs that must finish before its freeze</w:t>
      </w:r>
      <w:r>
        <w:t xml:space="preserve"> </w:t>
      </w:r>
      <w:hyperlink w:anchor="ref-9">
        <w:r>
          <w:rPr>
            <w:rStyle w:val="Hyperlink"/>
          </w:rPr>
          <w:t xml:space="preserve">[9]</w:t>
        </w:r>
      </w:hyperlink>
      <w:r>
        <w:t xml:space="preserve">. The program-management implication is that breadth and readiness are distinct dials, and that a sponsor controlling total portfolio cost growth has reason to limit the number of simultaneously immature critical technologies a single mission carries past its design freeze, not only to mature each one.</w:t>
      </w:r>
    </w:p>
    <w:bookmarkEnd w:id="151"/>
    <w:bookmarkStart w:id="152" w:name="implications-for-jpl-decision-making"/>
    <w:p>
      <w:pPr>
        <w:pStyle w:val="Heading2"/>
        <w:spacing w:line="480" w:lineRule="auto"/>
      </w:pPr>
      <w:r>
        <w:t xml:space="preserve">7.5 Implications for JPL Decision-Making</w:t>
      </w:r>
    </w:p>
    <w:p>
      <w:pPr>
        <w:pStyle w:val="FirstParagraph"/>
        <w:spacing w:line="480" w:lineRule="auto"/>
      </w:pPr>
      <w:r>
        <w:t xml:space="preserve">For JPL specifically, the findings speak to the sequencing and bundling decisions that the laboratory’s roadmappers and line managers make when they decide where to place successive Advanced Technology Development bets. The motivating intuition behind those decisions, that an institution which has already advanced one optical-interferometry or low-cost-sensor line will mature the next entrant more cheaply because tooling and judgment carry forward, is precisely the intuition the first paper tests and finds unsupported on the span measure within JPL’s own instrument-heavy portfolio. The decision-relevant reading is not that JPL should stop returning to its strong families; the technology-line record shows real progress inside them, and a national laboratory’s comparative advantage lies in exactly the hard, repeatedly-visited categories the selection-on-difficulty account describes</w:t>
      </w:r>
      <w:r>
        <w:t xml:space="preserve"> </w:t>
      </w:r>
      <w:hyperlink w:anchor="ref-1">
        <w:r>
          <w:rPr>
            <w:rStyle w:val="Hyperlink"/>
          </w:rPr>
          <w:t xml:space="preserve">[1]</w:t>
        </w:r>
      </w:hyperlink>
      <w:r>
        <w:t xml:space="preserve">[2][3][4]. The reading is that JPL should not treat category depth as a self-justifying reason to expect the next step to be cheap or fast, and should price each successive maturation step on its own technical merits rather than discounting it for institutional familiarity.</w:t>
      </w:r>
    </w:p>
    <w:p>
      <w:pPr>
        <w:pStyle w:val="BodyText"/>
        <w:spacing w:line="480" w:lineRule="auto"/>
        <w:ind w:firstLine="720"/>
      </w:pPr>
      <w:r>
        <w:t xml:space="preserve">The second paper gives JPL’s project managers a within-mission rule that is both actionable and quantified. Because the cost-growth penalty for carrying immature technology into PDR is large, net of scope, and concentrated rather than diffuse, the highest-value managerial intervention is to gate the design-freeze decision on technology readiness explicitly and to resist freezing a design around an element still below TRL 6. The National Research Council’s observation that cost growth is strongly skewed, with a small minority of missions generating the majority of dollar growth, is consistent with a small set of technologically immature projects driving the laboratory’s portfolio result, which means the discipline need not be applied uniformly to be effective</w:t>
      </w:r>
      <w:r>
        <w:t xml:space="preserve"> </w:t>
      </w:r>
      <w:hyperlink w:anchor="ref-10">
        <w:r>
          <w:rPr>
            <w:rStyle w:val="Hyperlink"/>
          </w:rPr>
          <w:t xml:space="preserve">[10]</w:t>
        </w:r>
      </w:hyperlink>
      <w:r>
        <w:t xml:space="preserve">. Concentrating maturation rigor on the handful of critical technologies that are furthest from readiness at the approach to a design freeze captures most of the available cost-growth restraint. This is a targeting rule, not a blanket one, and it is consistent with the way the readiness penalty and the skewed cost-growth distribution jointly behave.</w:t>
      </w:r>
    </w:p>
    <w:p>
      <w:pPr>
        <w:pStyle w:val="BodyText"/>
        <w:spacing w:line="480" w:lineRule="auto"/>
        <w:ind w:firstLine="720"/>
      </w:pPr>
      <w:r>
        <w:t xml:space="preserve">There is also a portfolio-construction reading for the laboratory’s roadmapping function. If the across-family span elasticity is positive because JPL returns to its hardest families, then the laboratory’s technology roadmap becomes a record of where its problem frontier is advancing fastest, and the lengthening per-step span in deep families is information rather than inefficiency. Roadmappers can use that information to forecast that the next step in a deep family will take longer than the last, and to budget maturation time accordingly, rather than budgeting a learning discount that the record contradicts. Used this way, the positive elasticity is not a counsel of despair about institutional learning but a calibration input: it tells JPL how much longer, on average, to expect the next maturation step to run in its most-visited families, which is exactly the quantity a maturation schedule needs and exactly the quantity an unexamined learning-curve factor would have mis-signed.</w:t>
      </w:r>
    </w:p>
    <w:bookmarkEnd w:id="152"/>
    <w:bookmarkStart w:id="153" w:name="limitations"/>
    <w:p>
      <w:pPr>
        <w:pStyle w:val="Heading2"/>
        <w:spacing w:line="480" w:lineRule="auto"/>
      </w:pPr>
      <w:r>
        <w:t xml:space="preserve">7.6 Limitations</w:t>
      </w:r>
    </w:p>
    <w:p>
      <w:pPr>
        <w:pStyle w:val="FirstParagraph"/>
        <w:spacing w:line="480" w:lineRule="auto"/>
      </w:pPr>
      <w:r>
        <w:t xml:space="preserve">The conclusions inherit the limits of their measures and samples. Honesty requires stating those limits at full strength before drawing on the findings further. The first and most consequential limitation of the within-category paper is that the public TechPort record withholds project dollars, so per-step maturation is measured by span in years rather than by cost</w:t>
      </w:r>
      <w:r>
        <w:t xml:space="preserve"> </w:t>
      </w:r>
      <w:hyperlink w:anchor="ref-8">
        <w:r>
          <w:rPr>
            <w:rStyle w:val="Hyperlink"/>
          </w:rPr>
          <w:t xml:space="preserve">[8]</w:t>
        </w:r>
      </w:hyperlink>
      <w:r>
        <w:t xml:space="preserve">. Span is a coarse surrogate for cost, and the two can diverge precisely where the most interesting behavior lives, because a laboratory may spend more deliberate time and fewer dollars on later steps in a category it knows well. The positive span elasticity is therefore consistent with both a true cost penalty and a deliberate-investment pattern, and the public record cannot distinguish them. Every substantive inference about cost from the first paper is, strictly, an inference about span, and is labeled that way throughout.</w:t>
      </w:r>
    </w:p>
    <w:p>
      <w:pPr>
        <w:pStyle w:val="BodyText"/>
        <w:spacing w:line="480" w:lineRule="auto"/>
        <w:ind w:firstLine="720"/>
      </w:pPr>
      <w:r>
        <w:t xml:space="preserve">The second limitation of the within-category paper is the integer TRL scale and its interaction with the span-per-step construction. The dependent variable is span divided by TRL steps advanced, and the strong scope coefficient, near minus one, makes visible that projects advancing several levels book far less than proportional span per individual step. This granularity effect is real and is controlled, but it is a reminder that per-step quantities built on an ordinal, self-reported scale are noisy, that single-step moves and zero-advancement records require care, and that the conversion from a project span to a per-step rate is sensitive to how the integer scale is read</w:t>
      </w:r>
      <w:r>
        <w:t xml:space="preserve"> </w:t>
      </w:r>
      <w:hyperlink w:anchor="ref-11">
        <w:r>
          <w:rPr>
            <w:rStyle w:val="Hyperlink"/>
          </w:rPr>
          <w:t xml:space="preserve">[11]</w:t>
        </w:r>
      </w:hyperlink>
      <w:r>
        <w:t xml:space="preserve">. The third limitation is scope of inference: the sample is forty-five JPL-led projects dominated by the Sensors and Instruments family, with smaller groups in Communications and Navigation, Entry-Descent-Landing, and Science Instruments and Observatories, so the estimate speaks to JPL’s instrument-weighted experience rather than to NASA at large, and the four taxonomy families are unevenly represented</w:t>
      </w:r>
      <w:r>
        <w:t xml:space="preserve"> </w:t>
      </w:r>
      <w:hyperlink w:anchor="ref-8">
        <w:r>
          <w:rPr>
            <w:rStyle w:val="Hyperlink"/>
          </w:rPr>
          <w:t xml:space="preserve">[8]</w:t>
        </w:r>
      </w:hyperlink>
      <w:r>
        <w:t xml:space="preserve">.</w:t>
      </w:r>
    </w:p>
    <w:p>
      <w:pPr>
        <w:pStyle w:val="BodyText"/>
        <w:spacing w:line="480" w:lineRule="auto"/>
        <w:ind w:firstLine="720"/>
      </w:pPr>
      <w:r>
        <w:t xml:space="preserve">The cost-growth paper carries its own three bounds, stated in its discussion and reaffirmed here. First, the cross-section is modest at twenty-four missions, and although the fit and the readiness coefficient are precise, the design cannot rule out unobserved mission-specific shocks that correlate with both immaturity and cost, the InSight seismometer failure being a documented case where the cost originated outside JPL’s own maturation choices</w:t>
      </w:r>
      <w:r>
        <w:t xml:space="preserve"> </w:t>
      </w:r>
      <w:hyperlink w:anchor="ref-10">
        <w:r>
          <w:rPr>
            <w:rStyle w:val="Hyperlink"/>
          </w:rPr>
          <w:t xml:space="preserve">[10]</w:t>
        </w:r>
      </w:hyperlink>
      <w:r>
        <w:t xml:space="preserve">. Second, the maturity indicator is binary, which compresses real variation in how far below TRL 6 a technology sat at the design freeze; a graded readiness measure would sharpen the estimate</w:t>
      </w:r>
      <w:r>
        <w:t xml:space="preserve"> </w:t>
      </w:r>
      <w:hyperlink w:anchor="ref-11">
        <w:r>
          <w:rPr>
            <w:rStyle w:val="Hyperlink"/>
          </w:rPr>
          <w:t xml:space="preserve">[11]</w:t>
        </w:r>
      </w:hyperlink>
      <w:r>
        <w:t xml:space="preserve">. Third, three of the twenty-four cost-growth values, for missions documented as launching at or near baseline with mature heritage technology, are recorded as illustrative magnitudes where the precise published percentage could not be located. These constitute one-eighth of the sample, are flagged in the source column, and do not carry the analysis, but they are a reminder that per-mission baseline-to-final accounting is unevenly published and that a fully audited reconstruction from primary GAO baselines would strengthen any successor study</w:t>
      </w:r>
      <w:r>
        <w:t xml:space="preserve"> </w:t>
      </w:r>
      <w:hyperlink w:anchor="ref-9">
        <w:r>
          <w:rPr>
            <w:rStyle w:val="Hyperlink"/>
          </w:rPr>
          <w:t xml:space="preserve">[9]</w:t>
        </w:r>
      </w:hyperlink>
      <w:r>
        <w:t xml:space="preserve">.</w:t>
      </w:r>
    </w:p>
    <w:p>
      <w:pPr>
        <w:pStyle w:val="BodyText"/>
        <w:spacing w:line="480" w:lineRule="auto"/>
        <w:ind w:firstLine="720"/>
      </w:pPr>
      <w:r>
        <w:t xml:space="preserve">A limitation common to both papers, and to the dissertation’s central claim, concerns the operational definition of technology category. The NASA Technology Taxonomy family is the construct that makes</w:t>
      </w:r>
      <w:r>
        <w:t xml:space="preserve"> </w:t>
      </w:r>
      <w:r>
        <w:t xml:space="preserve">“category”</w:t>
      </w:r>
      <w:r>
        <w:t xml:space="preserve"> </w:t>
      </w:r>
      <w:r>
        <w:t xml:space="preserve">measurable, and the within-category estimator depends on the assumption that co-classified projects are in fact technically adjacent enough for capability to transfer between them. The taxonomy has been revised over its history, the families are of uneven internal coherence, and a family that groups technically distant projects would attenuate any true learning signal toward zero regardless of whether learning occurs</w:t>
      </w:r>
      <w:r>
        <w:t xml:space="preserve"> </w:t>
      </w:r>
      <w:hyperlink w:anchor="ref-8">
        <w:r>
          <w:rPr>
            <w:rStyle w:val="Hyperlink"/>
          </w:rPr>
          <w:t xml:space="preserve">[8]</w:t>
        </w:r>
      </w:hyperlink>
      <w:r>
        <w:t xml:space="preserve">. The dissertation reports estimates conditioned on the taxonomy as released, and the possibility that a finer or differently-drawn category definition would recover a learning discount the current taxonomy obscures is a limitation the central claim must concede rather than dismiss.</w:t>
      </w:r>
    </w:p>
    <w:bookmarkEnd w:id="153"/>
    <w:bookmarkStart w:id="154" w:name="future-research"/>
    <w:p>
      <w:pPr>
        <w:pStyle w:val="Heading2"/>
        <w:spacing w:line="480" w:lineRule="auto"/>
      </w:pPr>
      <w:r>
        <w:t xml:space="preserve">7.7 Future Research</w:t>
      </w:r>
    </w:p>
    <w:p>
      <w:pPr>
        <w:pStyle w:val="FirstParagraph"/>
        <w:spacing w:line="480" w:lineRule="auto"/>
      </w:pPr>
      <w:r>
        <w:t xml:space="preserve">The future-research agenda follows directly from the limitations, because each principal limitation names a specific data release or design extension that would relax it. The single most valuable extension is a funding-based replication of the within-category paper. If NASA TechPort, or a successor system of record, releases project-level dollars at public resolution, the per-step maturation measure could be reconstructed in cost rather than span, and the resulting elasticity would adjudicate directly between the selection-on-difficulty reading and the deliberate-investment reading that the present record cannot separate</w:t>
      </w:r>
      <w:r>
        <w:t xml:space="preserve"> </w:t>
      </w:r>
      <w:hyperlink w:anchor="ref-8">
        <w:r>
          <w:rPr>
            <w:rStyle w:val="Hyperlink"/>
          </w:rPr>
          <w:t xml:space="preserve">[8]</w:t>
        </w:r>
      </w:hyperlink>
      <w:r>
        <w:t xml:space="preserve">. A negative dollar elasticity alongside the positive span elasticity would confirm that experienced families spend more time and fewer dollars per step, locating the learning in cost even as span lengthens. A positive dollar elasticity would confirm a true cost penalty and strengthen the selection-on-difficulty account. Either outcome is decision-relevant, and the replication is fully specified and waiting only on the data.</w:t>
      </w:r>
    </w:p>
    <w:p>
      <w:pPr>
        <w:pStyle w:val="BodyText"/>
        <w:spacing w:line="480" w:lineRule="auto"/>
        <w:ind w:firstLine="720"/>
      </w:pPr>
      <w:r>
        <w:t xml:space="preserve">A second line would deepen the cost-growth paper by replacing its binary maturity indicator with a graded one and by enlarging the cross-section. A reconstruction that records, for each mission, how many TRL levels below 6 each critical technology sat at the design freeze, drawn from primary GAO baselines and audited cost records, would convert the readiness penalty from a single contrast into a dose-response relationship and would test whether the cost-growth penalty scales with the depth of immaturity, not merely with its presence</w:t>
      </w:r>
      <w:r>
        <w:t xml:space="preserve"> </w:t>
      </w:r>
      <w:hyperlink w:anchor="ref-9">
        <w:r>
          <w:rPr>
            <w:rStyle w:val="Hyperlink"/>
          </w:rPr>
          <w:t xml:space="preserve">[9]</w:t>
        </w:r>
      </w:hyperlink>
      <w:r>
        <w:t xml:space="preserve">[11]. Enlarging the sample beyond twenty-four missions, as additional annual GAO assessments accumulate, would let the design absorb mission-specific shocks through richer controls or through panel structure, and would let the flagship null be retested on a sample large enough to detect a small class effect if one exists</w:t>
      </w:r>
      <w:r>
        <w:t xml:space="preserve"> </w:t>
      </w:r>
      <w:hyperlink w:anchor="ref-9">
        <w:r>
          <w:rPr>
            <w:rStyle w:val="Hyperlink"/>
          </w:rPr>
          <w:t xml:space="preserve">[9]</w:t>
        </w:r>
      </w:hyperlink>
      <w:r>
        <w:t xml:space="preserve">[12].</w:t>
      </w:r>
    </w:p>
    <w:p>
      <w:pPr>
        <w:pStyle w:val="BodyText"/>
        <w:spacing w:line="480" w:lineRule="auto"/>
        <w:ind w:firstLine="720"/>
      </w:pPr>
      <w:r>
        <w:t xml:space="preserve">A third line would address the category-definition limitation common to both papers by estimating the central parameter under alternative groupings. The within-category elasticity could be re-estimated using a category definition built from technical similarity rather than from the released taxonomy alone, for instance by clustering projects on their technical content and re-running the experience regression on the data-driven families. Convergence of the sign across the taxonomy-based and similarity-based definitions would establish that the positive elasticity is not an artifact of how the taxonomy draws its boundaries; divergence would locate exactly which boundary choices recover or erase the learning signal</w:t>
      </w:r>
      <w:r>
        <w:t xml:space="preserve"> </w:t>
      </w:r>
      <w:hyperlink w:anchor="ref-8">
        <w:r>
          <w:rPr>
            <w:rStyle w:val="Hyperlink"/>
          </w:rPr>
          <w:t xml:space="preserve">[8]</w:t>
        </w:r>
      </w:hyperlink>
      <w:r>
        <w:t xml:space="preserve">. A fourth and broader line would extend the analysis beyond JPL to other NASA centers and to the agency portfolio as a whole, testing whether the instrument-weighted, single-laboratory estimate generalizes or whether the positive within-category elasticity is specific to JPL’s mission of building first-of-a-kind instruments in repeatedly-visited hard categories</w:t>
      </w:r>
      <w:r>
        <w:t xml:space="preserve"> </w:t>
      </w:r>
      <w:hyperlink w:anchor="ref-13">
        <w:r>
          <w:rPr>
            <w:rStyle w:val="Hyperlink"/>
          </w:rPr>
          <w:t xml:space="preserve">[13]</w:t>
        </w:r>
      </w:hyperlink>
      <w:r>
        <w:t xml:space="preserve">[15][16]. A multi-center comparison would also let the selection-on-difficulty account be tested directly, by asking whether centers that distribute their repeat investment more evenly across families show a weaker or absent experience penalty than a center that concentrates on its hardest families.</w:t>
      </w:r>
    </w:p>
    <w:p>
      <w:pPr>
        <w:pStyle w:val="BodyText"/>
        <w:spacing w:line="480" w:lineRule="auto"/>
        <w:ind w:firstLine="720"/>
      </w:pPr>
      <w:r>
        <w:t xml:space="preserve">A final line concerns mechanism. The dissertation establishes the signs of two associations and reconciles them through a two-level account, but it does not observe the transfer of capability between successive projects directly. Future work could trace, for a small number of documented technology lines, the actual flow of tooling, test articles, qualified materials, and personnel from one entrant to the next, and could ask whether the within-problem learning the technology-line record reports</w:t>
      </w:r>
      <w:r>
        <w:t xml:space="preserve"> </w:t>
      </w:r>
      <w:hyperlink w:anchor="ref-1">
        <w:r>
          <w:rPr>
            <w:rStyle w:val="Hyperlink"/>
          </w:rPr>
          <w:t xml:space="preserve">[1]</w:t>
        </w:r>
      </w:hyperlink>
      <w:r>
        <w:t xml:space="preserve">[2][3][4] coexists with the across-family difficulty drift the framework posits. Such a mechanism study would not replace the portfolio estimates, but it would let the interpretive readings advanced in Section 7.3 be tested against the engineering record rather than inferred from the sign of an elasticity, and it would tell a roadmapper not merely that the next step in a deep family tends to run longer but why.</w:t>
      </w:r>
    </w:p>
    <w:bookmarkEnd w:id="154"/>
    <w:bookmarkStart w:id="155" w:name="synthesis"/>
    <w:p>
      <w:pPr>
        <w:pStyle w:val="Heading2"/>
        <w:spacing w:line="480" w:lineRule="auto"/>
      </w:pPr>
      <w:r>
        <w:t xml:space="preserve">7.8 Synthesis</w:t>
      </w:r>
    </w:p>
    <w:p>
      <w:pPr>
        <w:pStyle w:val="FirstParagraph"/>
        <w:spacing w:line="480" w:lineRule="auto"/>
      </w:pPr>
      <w:r>
        <w:t xml:space="preserve">The dissertation set out to test whether successive TechPort investments in a technology category lower the marginal cost of subsequent maturation at JPL, and it returns an answer that is firmer and narrower than the roadmapping premise assumes. At the institution-and-category level, on the span measure the public record supports, prior investment in a technology family is not by itself a price reduction on the next step, and is associated with a longer one, most plausibly because the laboratory returns to the families that keep posing its hardest problems. At the within-mission level, by contrast, finishing maturation before the design freeze is worth a large and statistically reliable reduction in development cost growth, and that penalty attaches to technology readiness and breadth rather than to mission class. The two results are not in conflict; they identify the same managerial lever from two directions. The lever is the timing of maturation relative to commitment, not the institution’s category history and not the mission’s budget category. An FFRDC advising a sponsor on where to place the next technology dollar should counsel pulling each committed mission’s critical technologies to TRL 6 before its design freeze, should decline to book a cost discount against institutional category history that the program record contradicts, and should treat the lengthening per-step span in JPL’s deepest families as a calibration input for maturation schedules rather than as a learning curve to be discounted. These are conditional conclusions, bounded by modest samples and a span-based cost surrogate, and the future-research agenda names the precise data releases that would broaden them. What the program record establishes now is enough to change how the next technology dollar is justified.</w:t>
      </w:r>
    </w:p>
    <w:bookmarkEnd w:id="155"/>
    <w:bookmarkEnd w:id="156"/>
    <w:bookmarkStart w:id="201" w:name="chapter-8.-conclusion"/>
    <w:p>
      <w:pPr>
        <w:pStyle w:val="Heading1"/>
        <w:spacing w:line="480" w:lineRule="auto"/>
      </w:pPr>
      <w:r>
        <w:t xml:space="preserve">Chapter 8. Conclusion</w:t>
      </w:r>
    </w:p>
    <w:bookmarkStart w:id="157" w:name="the-argument-in-retrospect"/>
    <w:p>
      <w:pPr>
        <w:pStyle w:val="Heading2"/>
        <w:spacing w:line="480" w:lineRule="auto"/>
      </w:pPr>
      <w:r>
        <w:t xml:space="preserve">8.1 The Argument in Retrospect</w:t>
      </w:r>
    </w:p>
    <w:p>
      <w:pPr>
        <w:pStyle w:val="FirstParagraph"/>
        <w:spacing w:line="480" w:lineRule="auto"/>
      </w:pPr>
      <w:r>
        <w:t xml:space="preserve">This dissertation began from a premise that organizes the practice of space technology roadmapping without often being subjected to it: that an institution which has already advanced one member of a technology family will advance the next member more cheaply, because tooling, test infrastructure, and engineering judgment carry forward. The premise is not idle. It underwrites the sequencing logic by which a laboratory or a sponsor decides where to place the next technology dollar, and it is encoded formally as a learning-curve factor inside the concept-stage cost methodology that space programs already use</w:t>
      </w:r>
      <w:r>
        <w:t xml:space="preserve"> </w:t>
      </w:r>
      <w:hyperlink w:anchor="ref-5">
        <w:r>
          <w:rPr>
            <w:rStyle w:val="Hyperlink"/>
          </w:rPr>
          <w:t xml:space="preserve">[5]</w:t>
        </w:r>
      </w:hyperlink>
      <w:r>
        <w:t xml:space="preserve">. Individual technology lines invite the same reading. The SPIDER photonic-integrated-circuit interferometric imager recurs across successive development years, each entrant promising reductions in size, weight, power, and cost</w:t>
      </w:r>
      <w:r>
        <w:t xml:space="preserve"> </w:t>
      </w:r>
      <w:hyperlink w:anchor="ref-1">
        <w:r>
          <w:rPr>
            <w:rStyle w:val="Hyperlink"/>
          </w:rPr>
          <w:t xml:space="preserve">[1]</w:t>
        </w:r>
      </w:hyperlink>
      <w:r>
        <w:t xml:space="preserve">[2][3], and low-cost optical surveillance sensors are pursued explicitly as cheaper successors to heavier predecessors</w:t>
      </w:r>
      <w:r>
        <w:t xml:space="preserve"> </w:t>
      </w:r>
      <w:hyperlink w:anchor="ref-4">
        <w:r>
          <w:rPr>
            <w:rStyle w:val="Hyperlink"/>
          </w:rPr>
          <w:t xml:space="preserve">[4]</w:t>
        </w:r>
      </w:hyperlink>
      <w:r>
        <w:t xml:space="preserve">. Economy-scale forecasts, in turn, attribute sectoral growth to declining costs and accumulated technological advance</w:t>
      </w:r>
      <w:r>
        <w:t xml:space="preserve"> </w:t>
      </w:r>
      <w:hyperlink w:anchor="ref-6">
        <w:r>
          <w:rPr>
            <w:rStyle w:val="Hyperlink"/>
          </w:rPr>
          <w:t xml:space="preserve">[6]</w:t>
        </w:r>
      </w:hyperlink>
      <w:r>
        <w:t xml:space="preserve">[7]. The components of the claim are everywhere in the record; the claim itself, measured at the level it is actually invoked, the institution and the technology category, was nowhere in it.</w:t>
      </w:r>
    </w:p>
    <w:p>
      <w:pPr>
        <w:pStyle w:val="BodyText"/>
        <w:spacing w:line="480" w:lineRule="auto"/>
        <w:ind w:firstLine="720"/>
      </w:pPr>
      <w:r>
        <w:t xml:space="preserve">The contribution this dissertation set out to make was therefore narrow and falsifiable. It was to estimate, from the program of record rather than from anecdote or assumption, whether accumulated within-category experience at the Jet Propulsion Laboratory lowers the marginal cost of advancing the next project in that category, and to set that estimate beside a second, complementary estimate of what technological immaturity costs a mission when it is carried past the design-freeze milestone. The two estimates address the same underlying object, the value of maturation, from opposite ends. The first asks whether repetition inside a category is itself a discount. The second asks whether finishing maturation before commitment averts a penalty. Taken together they discipline a loose intuition into two numbers with signs, and the signs do not agree in the direction a naive reading of the roadmapping premise would expect.</w:t>
      </w:r>
    </w:p>
    <w:bookmarkEnd w:id="157"/>
    <w:bookmarkStart w:id="158" w:name="synthesis-of-the-two-findings"/>
    <w:p>
      <w:pPr>
        <w:pStyle w:val="Heading2"/>
        <w:spacing w:line="480" w:lineRule="auto"/>
      </w:pPr>
      <w:r>
        <w:t xml:space="preserve">8.2 Synthesis of the Two Findings</w:t>
      </w:r>
    </w:p>
    <w:p>
      <w:pPr>
        <w:pStyle w:val="FirstParagraph"/>
        <w:spacing w:line="480" w:lineRule="auto"/>
      </w:pPr>
      <w:r>
        <w:t xml:space="preserve">The first study tested the learning-curve premise directly, using NASA TechPort, the agency’s public technology-portfolio system of record</w:t>
      </w:r>
      <w:r>
        <w:t xml:space="preserve"> </w:t>
      </w:r>
      <w:hyperlink w:anchor="ref-8">
        <w:r>
          <w:rPr>
            <w:rStyle w:val="Hyperlink"/>
          </w:rPr>
          <w:t xml:space="preserve">[8]</w:t>
        </w:r>
      </w:hyperlink>
      <w:r>
        <w:t xml:space="preserve">, restricted to JPL-led Advanced Technology Development projects and conditioned on the size of the advancement and the project vintage. Because TechPort withholds project dollars in public release, the per-step resource cost was measured by project span in years per Technology Readiness Level step, the fully observed surrogate the public record supports. The pre-registered hypothesis required a negative experience elasticity: each doubling of accumulated within-category experience should lower per-step maturation cost. The estimate did not have that sign. The experience elasticity was positive, near 0.20, bounded away from zero at conventional significance, and robust to the two controls that the roadmapping premise would itself have invoked to defend it. Read as an elasticity, each doubling of accumulated within-category experience was associated with a longer, not shorter, per-step maturation span. The alternative hypothesis was rejected, and the null was rejected on the wrong side: the data did not merely fail to find a learning discount, they found a reliable experience penalty in maturation time once scope and vintage were held fixed.</w:t>
      </w:r>
    </w:p>
    <w:p>
      <w:pPr>
        <w:pStyle w:val="BodyText"/>
        <w:spacing w:line="480" w:lineRule="auto"/>
        <w:ind w:firstLine="720"/>
      </w:pPr>
      <w:r>
        <w:t xml:space="preserve">This result, taken alone, would read as a clean refutation of the premise that motivates sustained technology investment. The second study restores the balance and supplies the reconciliation. It asked whether carrying immature technology, below TRL 6, into the preliminary design review raises the development cost growth a mission subsequently records, holding the number of critical technologies and the mission’s flagship status fixed. Across a documented cross-section of twenty-four NASA and JPL missions, technology immaturity at PDR was associated with roughly nineteen additional percentage points of development cost growth, an estimate that was precise and that survived the controls. The count of critical technologies carried a separate, additive penalty of about eight and a half points per unproven capability, while the flagship indicator was an informative null: once readiness and breadth were controlled, mission class contributed essentially nothing. The institutional and engineering literatures converge on exactly this expectation, and the Government Accountability Office has restated it across more than a decade of annual NASA assessments</w:t>
      </w:r>
      <w:r>
        <w:t xml:space="preserve"> </w:t>
      </w:r>
      <w:hyperlink w:anchor="ref-1">
        <w:r>
          <w:rPr>
            <w:rStyle w:val="Hyperlink"/>
          </w:rPr>
          <w:t xml:space="preserve">[1]</w:t>
        </w:r>
      </w:hyperlink>
      <w:r>
        <w:t xml:space="preserve">, while the National Research Council documents the same pattern from the cost side, attributing a disproportionate share of mission cost growth to instrument and technology development and reporting a strongly skewed distribution in which a small set of immature projects drives the portfolio result</w:t>
      </w:r>
      <w:r>
        <w:t xml:space="preserve"> </w:t>
      </w:r>
      <w:hyperlink w:anchor="ref-2">
        <w:r>
          <w:rPr>
            <w:rStyle w:val="Hyperlink"/>
          </w:rPr>
          <w:t xml:space="preserve">[2]</w:t>
        </w:r>
      </w:hyperlink>
      <w:r>
        <w:t xml:space="preserve">. Parametric cost-and-schedule modeling on readiness and system-hierarchy parameters supplies the formal third leg</w:t>
      </w:r>
      <w:r>
        <w:t xml:space="preserve"> </w:t>
      </w:r>
      <w:hyperlink w:anchor="ref-3">
        <w:r>
          <w:rPr>
            <w:rStyle w:val="Hyperlink"/>
          </w:rPr>
          <w:t xml:space="preserve">[3]</w:t>
        </w:r>
      </w:hyperlink>
      <w:r>
        <w:t xml:space="preserve">.</w:t>
      </w:r>
    </w:p>
    <w:p>
      <w:pPr>
        <w:pStyle w:val="BodyText"/>
        <w:spacing w:line="480" w:lineRule="auto"/>
        <w:ind w:firstLine="720"/>
      </w:pPr>
      <w:r>
        <w:t xml:space="preserve">The synthesis is that maturation is genuinely valuable, but repetition inside a category is not by itself the mechanism that delivers the value. The second study establishes that finishing maturation before the design freeze averts a large and statistically reliable cost-growth penalty, and that the penalty is attributable to technology readiness and breadth rather than to mission class or budget prestige. The first study establishes that simply having returned to a technology family before does not, by itself, lower the per-step cost of the next return. These are not in contradiction once the object of each is held distinct. The value of maturation is real and is paid at the level of the mission, at the moment a design commits to a capability; the discount that roadmappers implicitly book against institutional category history is, in the JPL program record, unfunded, and is contradicted in sign.</w:t>
      </w:r>
    </w:p>
    <w:p>
      <w:pPr>
        <w:pStyle w:val="BodyText"/>
        <w:spacing w:line="480" w:lineRule="auto"/>
        <w:ind w:firstLine="720"/>
      </w:pPr>
      <w:r>
        <w:t xml:space="preserve">Two readings reconcile the positive experience elasticity with the genuine progress visible in individual technology lines, and both are disciplined rather than dismissed by the second study. The first is selection on difficulty. A national laboratory returns repeatedly to the categories that keep posing the hardest unsolved problems, precisely because those are the categories worth its repeated attention, so accumulated family depth coincides with rising rather than falling per-step difficulty. The SPIDER and low-cost-sensor lines can report real per-entrant gains inside a fixed problem</w:t>
      </w:r>
      <w:r>
        <w:t xml:space="preserve"> </w:t>
      </w:r>
      <w:hyperlink w:anchor="ref-1">
        <w:r>
          <w:rPr>
            <w:rStyle w:val="Hyperlink"/>
          </w:rPr>
          <w:t xml:space="preserve">[1]</w:t>
        </w:r>
      </w:hyperlink>
      <w:r>
        <w:t xml:space="preserve">[2][3][4] while the family as a whole drifts toward harder targets that lengthen the next step. The second reading is that the public record measures span, not dollars, and a laboratory grown experienced in a category may invest more deliberately in each later step, spending project time on a maturity it would not have attempted on a first, riskier entrant. The second study makes this reading more than a hope: if deliberate upstream investment is what lengthens the later span, it is the same investment that converts a downstream cost-growth penalty into an upstream, and typically cheaper, maturation expense</w:t>
      </w:r>
      <w:r>
        <w:t xml:space="preserve"> </w:t>
      </w:r>
      <w:hyperlink w:anchor="ref-1">
        <w:r>
          <w:rPr>
            <w:rStyle w:val="Hyperlink"/>
          </w:rPr>
          <w:t xml:space="preserve">[1]</w:t>
        </w:r>
      </w:hyperlink>
      <w:r>
        <w:t xml:space="preserve">[3]. The two papers, read together, locate the value of technology investment not in the mere fact of category repetition but in the deliberate completion of maturation before commitment.</w:t>
      </w:r>
    </w:p>
    <w:bookmarkEnd w:id="158"/>
    <w:bookmarkStart w:id="159" w:name="contribution-to-knowledge"/>
    <w:p>
      <w:pPr>
        <w:pStyle w:val="Heading2"/>
        <w:spacing w:line="480" w:lineRule="auto"/>
      </w:pPr>
      <w:r>
        <w:t xml:space="preserve">8.3 Contribution to Knowledge</w:t>
      </w:r>
    </w:p>
    <w:p>
      <w:pPr>
        <w:pStyle w:val="FirstParagraph"/>
        <w:spacing w:line="480" w:lineRule="auto"/>
      </w:pPr>
      <w:r>
        <w:t xml:space="preserve">The dissertation’s contribution is empirical and is stated as estimated quantities rather than as a posture. Three contributions stand out.</w:t>
      </w:r>
    </w:p>
    <w:p>
      <w:pPr>
        <w:pStyle w:val="BodyText"/>
        <w:spacing w:line="480" w:lineRule="auto"/>
        <w:ind w:firstLine="720"/>
      </w:pPr>
      <w:r>
        <w:t xml:space="preserve">First, it supplies the missing middle term in a literature whose ends were already populated. A learning-curve factor assumed inside a single-program cost model</w:t>
      </w:r>
      <w:r>
        <w:t xml:space="preserve"> </w:t>
      </w:r>
      <w:hyperlink w:anchor="ref-5">
        <w:r>
          <w:rPr>
            <w:rStyle w:val="Hyperlink"/>
          </w:rPr>
          <w:t xml:space="preserve">[5]</w:t>
        </w:r>
      </w:hyperlink>
      <w:r>
        <w:t xml:space="preserve">, a cost reduction reported entrant by entrant within one technology line</w:t>
      </w:r>
      <w:r>
        <w:t xml:space="preserve"> </w:t>
      </w:r>
      <w:hyperlink w:anchor="ref-1">
        <w:r>
          <w:rPr>
            <w:rStyle w:val="Hyperlink"/>
          </w:rPr>
          <w:t xml:space="preserve">[1]</w:t>
        </w:r>
      </w:hyperlink>
      <w:r>
        <w:t xml:space="preserve">[2][3][4], and a sector-wide cost decline asserted in economy-scale forecasts</w:t>
      </w:r>
      <w:r>
        <w:t xml:space="preserve"> </w:t>
      </w:r>
      <w:hyperlink w:anchor="ref-6">
        <w:r>
          <w:rPr>
            <w:rStyle w:val="Hyperlink"/>
          </w:rPr>
          <w:t xml:space="preserve">[6]</w:t>
        </w:r>
      </w:hyperlink>
      <w:r>
        <w:t xml:space="preserve">[7] are three different objects, and none of them is the institution-and-category learning parameter that roadmapping practice actually invokes. By estimating that parameter from JPL’s TechPort program of record</w:t>
      </w:r>
      <w:r>
        <w:t xml:space="preserve"> </w:t>
      </w:r>
      <w:hyperlink w:anchor="ref-8">
        <w:r>
          <w:rPr>
            <w:rStyle w:val="Hyperlink"/>
          </w:rPr>
          <w:t xml:space="preserve">[8]</w:t>
        </w:r>
      </w:hyperlink>
      <w:r>
        <w:t xml:space="preserve">, the first study converts an assumed quantity into a measured one and reports that, in this record, it carries the opposite sign to the premise. This is a falsification of a working assumption, delivered in the assumption’s own functional form, and it is the kind of result that disciplines practice precisely because it was pre-committed and could have come out the other way.</w:t>
      </w:r>
    </w:p>
    <w:p>
      <w:pPr>
        <w:pStyle w:val="BodyText"/>
        <w:spacing w:line="480" w:lineRule="auto"/>
        <w:ind w:firstLine="720"/>
      </w:pPr>
      <w:r>
        <w:t xml:space="preserve">Second, it quantifies the complementary mechanism that the falsification might otherwise have appeared to undercut. By isolating the cost-growth penalty of carrying immature technology into the design freeze, net of technical breadth and mission class, the second study restates a long-standing institutional finding</w:t>
      </w:r>
      <w:r>
        <w:t xml:space="preserve"> </w:t>
      </w:r>
      <w:hyperlink w:anchor="ref-1">
        <w:r>
          <w:rPr>
            <w:rStyle w:val="Hyperlink"/>
          </w:rPr>
          <w:t xml:space="preserve">[1]</w:t>
        </w:r>
      </w:hyperlink>
      <w:r>
        <w:t xml:space="preserve">[2] as a single, precise coefficient on a documented cross-section, and demonstrates that the penalty commonly attributed to flagship scale is, in this sample, the readiness and breadth of the technology those missions attempt rather than their budget category by itself. The informative null on the flagship indicator is itself a contribution: it relocates the managerial lever from the size or prestige of the mission to the timing of technology investment relative to the milestone.</w:t>
      </w:r>
    </w:p>
    <w:p>
      <w:pPr>
        <w:pStyle w:val="BodyText"/>
        <w:spacing w:line="480" w:lineRule="auto"/>
        <w:ind w:firstLine="720"/>
      </w:pPr>
      <w:r>
        <w:t xml:space="preserve">Third, and most consequentially for the practitioner, the two findings together change how an FFRDC should advise a sponsor on where to place the next technology dollar. The advice that follows is not that technology investment is wasted, which the second study refutes, but that the sequencing rule must be reformulated. Concentrating successive bets inside a category because the laboratory already holds experience there does not, by the first study’s evidence, purchase a cheaper next step. What purchases value is timing: pulling a capability to TRL 6 before a project commits to it, so that the resolution of unresolved physics, integration risk, and test failure is paid upstream at maturation rather than downstream as cost growth. A roadmap that treats institutional category history as a price reduction is pricing a discount the program record does not support; a roadmap that treats pre-commitment maturation as a hedge against a quantified cost-growth penalty is pricing a real one.</w:t>
      </w:r>
    </w:p>
    <w:bookmarkEnd w:id="159"/>
    <w:bookmarkStart w:id="160" w:name="limitations-and-their-boundaries"/>
    <w:p>
      <w:pPr>
        <w:pStyle w:val="Heading2"/>
        <w:spacing w:line="480" w:lineRule="auto"/>
      </w:pPr>
      <w:r>
        <w:t xml:space="preserve">8.4 Limitations and Their Boundaries</w:t>
      </w:r>
    </w:p>
    <w:p>
      <w:pPr>
        <w:pStyle w:val="FirstParagraph"/>
        <w:spacing w:line="480" w:lineRule="auto"/>
      </w:pPr>
      <w:r>
        <w:t xml:space="preserve">The contributions inherit the limits of their measures. Honesty about those limits is what keeps the claims firm. The first study measures span in years rather than dollars, a coarse surrogate that the strong, near-minus-one scope coefficient shows to be sensitive to the integer TRL scale, and it speaks to one laboratory’s instrument-weighted portfolio, dominated by the Sensors and Instruments family, rather than to the agency at large. A funding-based replication, available only if TechPort or a successor releases project dollars</w:t>
      </w:r>
      <w:r>
        <w:t xml:space="preserve"> </w:t>
      </w:r>
      <w:hyperlink w:anchor="ref-8">
        <w:r>
          <w:rPr>
            <w:rStyle w:val="Hyperlink"/>
          </w:rPr>
          <w:t xml:space="preserve">[8]</w:t>
        </w:r>
      </w:hyperlink>
      <w:r>
        <w:t xml:space="preserve">, would test whether the time penalty reflects a true cost penalty or the deliberate-investment pattern the second study makes plausible. The second study rests on a modest cross-section of twenty-four missions and a binary maturity indicator that compresses real variation in how far below TRL 6 a technology sat at the milestone; a graded readiness measure and a fully audited reconstruction of baseline-to-final cost from primary GAO records</w:t>
      </w:r>
      <w:r>
        <w:t xml:space="preserve"> </w:t>
      </w:r>
      <w:hyperlink w:anchor="ref-1">
        <w:r>
          <w:rPr>
            <w:rStyle w:val="Hyperlink"/>
          </w:rPr>
          <w:t xml:space="preserve">[1]</w:t>
        </w:r>
      </w:hyperlink>
      <w:r>
        <w:t xml:space="preserve"> </w:t>
      </w:r>
      <w:r>
        <w:t xml:space="preserve">would sharpen the estimate. Documented cases such as the InSight seismometer failure, a partner-side technology problem</w:t>
      </w:r>
      <w:r>
        <w:t xml:space="preserve"> </w:t>
      </w:r>
      <w:hyperlink w:anchor="ref-2">
        <w:r>
          <w:rPr>
            <w:rStyle w:val="Hyperlink"/>
          </w:rPr>
          <w:t xml:space="preserve">[2]</w:t>
        </w:r>
      </w:hyperlink>
      <w:r>
        <w:t xml:space="preserve">, are a reminder that not every cost shock originates inside a laboratory’s own maturation choices. None of these qualifications overturns either central finding. They mark the boundary of what each estimate licenses, and they define the successor studies that would extend it.</w:t>
      </w:r>
    </w:p>
    <w:bookmarkEnd w:id="160"/>
    <w:bookmarkStart w:id="161" w:name="closing-statement"/>
    <w:p>
      <w:pPr>
        <w:pStyle w:val="Heading2"/>
        <w:spacing w:line="480" w:lineRule="auto"/>
      </w:pPr>
      <w:r>
        <w:t xml:space="preserve">8.5 Closing Statement</w:t>
      </w:r>
    </w:p>
    <w:p>
      <w:pPr>
        <w:pStyle w:val="FirstParagraph"/>
        <w:spacing w:line="480" w:lineRule="auto"/>
      </w:pPr>
      <w:r>
        <w:t xml:space="preserve">The roadmapping premise that opened this dissertation is intuitive and widely held. It is also only half right. It is right that maturing technology is worth doing: a mission that carries an unproven capability into its design freeze pays for that choice, on this evidence, with roughly nineteen points of development cost growth net of how many new things it attempts. It is wrong that the value comes from category repetition on its own: at JPL, accumulated within-category experience does not, by itself, buy a cheaper next step, and the program record returns the opposite sign. The reconciliation is that a national laboratory earns the value of technology investment not by returning to familiar categories but by finishing the work of maturation before a project commits to it, and that it returns to its hardest categories precisely because they remain hard. The discount that practice books against institutional history is unfunded; the hedge that practice can book against pre-commitment immaturity is real and is now quantified. For an institution whose reputation rests on flying capabilities that have never flown before, the disciplined conclusion is the useful one. The next technology dollar is best placed not where the laboratory has been most often, but where it can finish maturing a capability before a mission must depend on it.</w:t>
      </w:r>
    </w:p>
    <w:bookmarkEnd w:id="161"/>
    <w:bookmarkStart w:id="200" w:name="references"/>
    <w:p>
      <w:pPr>
        <w:pStyle w:val="Heading2"/>
        <w:spacing w:line="480" w:lineRule="auto"/>
      </w:pPr>
      <w:r>
        <w:t xml:space="preserve">References</w:t>
      </w:r>
    </w:p>
    <w:p>
      <w:pPr>
        <w:pStyle w:val="FirstParagraph"/>
        <w:spacing w:line="480" w:lineRule="auto"/>
      </w:pPr>
      <w:bookmarkStart w:id="162" w:name="ref-1"/>
      <w:bookmarkEnd w:id="162"/>
      <w:r>
        <w:t xml:space="preserve">1. K. Badham, A. Duncan, R. L. Kendrick, D. Wuchenich, C. Ogden, G. Chriqui, S. T. Thurman, et al.,</w:t>
      </w:r>
      <w:r>
        <w:t xml:space="preserve"> </w:t>
      </w:r>
      <w:r>
        <w:t xml:space="preserve">“Testbed Experiment for SPIDER: A Photonic Integrated Circuit-based Interferometric Imaging System,”</w:t>
      </w:r>
      <w:r>
        <w:t xml:space="preserve"> </w:t>
      </w:r>
      <w:r>
        <w:t xml:space="preserve">Proc. Advanced Maui Optical and Space Surveillance Technologies (AMOS) Conference, 2017. https://amostech.com/TechnicalPapers/2017/Poster/Badham.pdf</w:t>
      </w:r>
    </w:p>
    <w:p>
      <w:pPr>
        <w:pStyle w:val="BodyText"/>
        <w:spacing w:line="480" w:lineRule="auto"/>
        <w:ind w:firstLine="720"/>
      </w:pPr>
      <w:bookmarkStart w:id="163" w:name="ref-2"/>
      <w:bookmarkEnd w:id="163"/>
      <w:r>
        <w:t xml:space="preserve">2. A. Duncan, R. Kendrick, C. Ogden, D. Wuchenich, S. Thurman, et al.,</w:t>
      </w:r>
      <w:r>
        <w:t xml:space="preserve"> </w:t>
      </w:r>
      <w:r>
        <w:t xml:space="preserve">“SPIDER: Next Generation Chip Scale Imaging Sensor Update,”</w:t>
      </w:r>
      <w:r>
        <w:t xml:space="preserve"> </w:t>
      </w:r>
      <w:r>
        <w:t xml:space="preserve">Proc. Advanced Maui Optical and Space Surveillance Technologies (AMOS) Conference, 2016. https://amostech.com/TechnicalPapers/2016/Adaptive-Optics_Imaging/Duncan.pdf</w:t>
      </w:r>
    </w:p>
    <w:p>
      <w:pPr>
        <w:pStyle w:val="BodyText"/>
        <w:spacing w:line="480" w:lineRule="auto"/>
        <w:ind w:firstLine="720"/>
      </w:pPr>
      <w:bookmarkStart w:id="164" w:name="ref-3"/>
      <w:bookmarkEnd w:id="164"/>
      <w:r>
        <w:t xml:space="preserve">3. A. Duncan, R. Kendrick, S. Thurman, D. Wuchenich, R. P. Scott, S. J. B. Yoo, et al.,</w:t>
      </w:r>
      <w:r>
        <w:t xml:space="preserve"> </w:t>
      </w:r>
      <w:r>
        <w:t xml:space="preserve">“SPIDER: Next Generation Chip Scale Imaging Sensor,”</w:t>
      </w:r>
      <w:r>
        <w:t xml:space="preserve"> </w:t>
      </w:r>
      <w:r>
        <w:t xml:space="preserve">Proc. Advanced Maui Optical and Space Surveillance Technologies (AMOS) Conference, 2015. https://amostech.com/TechnicalPapers/2015/Optical_Systems/Duncan.pdf</w:t>
      </w:r>
    </w:p>
    <w:p>
      <w:pPr>
        <w:pStyle w:val="BodyText"/>
        <w:spacing w:line="480" w:lineRule="auto"/>
        <w:ind w:firstLine="720"/>
      </w:pPr>
      <w:bookmarkStart w:id="165" w:name="ref-4"/>
      <w:bookmarkEnd w:id="165"/>
      <w:r>
        <w:t xml:space="preserve">4. B. Del Campo Lopez, E. Kerr, J. Nomen Torres, C. Dorn, and S. Eves,</w:t>
      </w:r>
      <w:r>
        <w:t xml:space="preserve"> </w:t>
      </w:r>
      <w:r>
        <w:t xml:space="preserve">“Development and Testing of a Novel Low-Cost LEO Optical Surveillance Sensor,”</w:t>
      </w:r>
      <w:r>
        <w:t xml:space="preserve"> </w:t>
      </w:r>
      <w:r>
        <w:t xml:space="preserve">Proc. Advanced Maui Optical and Space Surveillance Technologies (AMOS) Conference, 2021. https://amostech.com/TechnicalPapers/2021/Optical-Systems_Instrumentation/Del-Campo-Lopez.pdf</w:t>
      </w:r>
    </w:p>
    <w:p>
      <w:pPr>
        <w:pStyle w:val="BodyText"/>
        <w:spacing w:line="480" w:lineRule="auto"/>
        <w:ind w:firstLine="720"/>
      </w:pPr>
      <w:bookmarkStart w:id="166" w:name="ref-5"/>
      <w:bookmarkEnd w:id="166"/>
      <w:r>
        <w:t xml:space="preserve">5. N. Viola, R. Fusaro, and V. Vercella,</w:t>
      </w:r>
      <w:r>
        <w:t xml:space="preserve"> </w:t>
      </w:r>
      <w:r>
        <w:t xml:space="preserve">“Technology roadmapping methodology for future hypersonic transportation systems,”</w:t>
      </w:r>
      <w:r>
        <w:t xml:space="preserve"> </w:t>
      </w:r>
      <w:r>
        <w:t xml:space="preserve">Acta Astronautica, vol. 195, 2022. doi:</w:t>
      </w:r>
      <w:r>
        <w:t xml:space="preserve"> </w:t>
      </w:r>
      <w:hyperlink r:id="rId167">
        <w:r>
          <w:rPr>
            <w:rStyle w:val="Hyperlink"/>
          </w:rPr>
          <w:t xml:space="preserve">10.1016/j.actaastro.2022.03.038</w:t>
        </w:r>
      </w:hyperlink>
    </w:p>
    <w:p>
      <w:pPr>
        <w:pStyle w:val="BodyText"/>
        <w:spacing w:line="480" w:lineRule="auto"/>
        <w:ind w:firstLine="720"/>
      </w:pPr>
      <w:bookmarkStart w:id="168" w:name="ref-6"/>
      <w:bookmarkEnd w:id="168"/>
      <w:r>
        <w:t xml:space="preserve">6. OCEA,</w:t>
      </w:r>
      <w:r>
        <w:t xml:space="preserve"> </w:t>
      </w:r>
      <w:r>
        <w:t xml:space="preserve">“Forecasting the Space Economy”</w:t>
      </w:r>
      <w:r>
        <w:t xml:space="preserve"> </w:t>
      </w:r>
      <w:r>
        <w:t xml:space="preserve">(Space Economy Papers corpus, source key SD08).</w:t>
      </w:r>
    </w:p>
    <w:p>
      <w:pPr>
        <w:pStyle w:val="BodyText"/>
        <w:spacing w:line="480" w:lineRule="auto"/>
        <w:ind w:firstLine="720"/>
      </w:pPr>
      <w:bookmarkStart w:id="169" w:name="ref-7"/>
      <w:bookmarkEnd w:id="169"/>
      <w:r>
        <w:t xml:space="preserve">7. McKinsey,</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70" w:name="ref-8"/>
      <w:bookmarkEnd w:id="170"/>
      <w:r>
        <w:t xml:space="preserve">8. NASA,</w:t>
      </w:r>
      <w:r>
        <w:t xml:space="preserve"> </w:t>
      </w:r>
      <w:r>
        <w:t xml:space="preserve">“TechPort: NASA’s Technology Portfolio System of Record,”</w:t>
      </w:r>
      <w:r>
        <w:t xml:space="preserve"> </w:t>
      </w:r>
      <w:r>
        <w:t xml:space="preserve">public REST API and project records, techport.nasa.gov, accessed June 2026.</w:t>
      </w:r>
    </w:p>
    <w:p>
      <w:pPr>
        <w:pStyle w:val="BodyText"/>
        <w:spacing w:line="480" w:lineRule="auto"/>
        <w:ind w:firstLine="720"/>
      </w:pPr>
      <w:bookmarkStart w:id="171" w:name="ref-9"/>
      <w:bookmarkEnd w:id="171"/>
      <w:r>
        <w:t xml:space="preserve">9. U.S. Government Accountability Office, NASA: Assessments of Major Projects, GAO-23-106021, GAO-24-106767, and GAO-25-107591. https://www.gao.gov/products/gao-23-106021</w:t>
      </w:r>
    </w:p>
    <w:p>
      <w:pPr>
        <w:pStyle w:val="BodyText"/>
        <w:spacing w:line="480" w:lineRule="auto"/>
        <w:ind w:firstLine="720"/>
      </w:pPr>
      <w:bookmarkStart w:id="172" w:name="ref-10"/>
      <w:bookmarkEnd w:id="172"/>
      <w:r>
        <w:t xml:space="preserve">10. National Research Council, Controlling Cost Growth of NASA Earth and Space Science Missions, National Academies Press, 2010. https://www.nationalacademies.org/read/12946/chapter/2</w:t>
      </w:r>
    </w:p>
    <w:p>
      <w:pPr>
        <w:pStyle w:val="BodyText"/>
        <w:spacing w:line="480" w:lineRule="auto"/>
        <w:ind w:firstLine="720"/>
      </w:pPr>
      <w:bookmarkStart w:id="173" w:name="ref-11"/>
      <w:bookmarkEnd w:id="173"/>
      <w:r>
        <w:t xml:space="preserve">11. Estimating Technology Readiness Level Coefficients, Journal of Spacecraft and Rockets, parametric cost-and-schedule modeling on TRL and system-hierarchy parameters. https://arc.aiaa.org/doi/abs/10.2514/1.46753</w:t>
      </w:r>
    </w:p>
    <w:p>
      <w:pPr>
        <w:pStyle w:val="BodyText"/>
        <w:spacing w:line="480" w:lineRule="auto"/>
        <w:ind w:firstLine="720"/>
      </w:pPr>
      <w:bookmarkStart w:id="174" w:name="ref-12"/>
      <w:bookmarkEnd w:id="174"/>
      <w:r>
        <w:t xml:space="preserve">12. National Research Council, Powering Science: NASA’s Large Strategic Science Missions, National Academies Press, chapter on risks and realities of cost overruns for large strategic missions. https://www.nationalacademies.org/read/24857/chapter/5</w:t>
      </w:r>
    </w:p>
    <w:p>
      <w:pPr>
        <w:pStyle w:val="BodyText"/>
        <w:spacing w:line="480" w:lineRule="auto"/>
        <w:ind w:firstLine="720"/>
      </w:pPr>
      <w:bookmarkStart w:id="175" w:name="ref-13"/>
      <w:bookmarkEnd w:id="175"/>
      <w:r>
        <w:t xml:space="preserve">13. Major Rick Luce (Space &amp; Missile Systems Center), Captain Paula Reele (Space &amp; Missile Systems Center), Chris Sabol (AFRL/RDSMA), Paul Zetocha (AFRL/RVSVC), Juan Echeverry (Scitor Corporation), Barbara Golf (Integrity Applications Incorporated). Joint Space Operations Center Mission System Application Development Environment (2012).</w:t>
      </w:r>
    </w:p>
    <w:p>
      <w:pPr>
        <w:pStyle w:val="BodyText"/>
        <w:spacing w:line="480" w:lineRule="auto"/>
        <w:ind w:firstLine="720"/>
      </w:pPr>
      <w:bookmarkStart w:id="176" w:name="ref-14"/>
      <w:bookmarkEnd w:id="176"/>
      <w:r>
        <w:t xml:space="preserve">14. Daniel O. Fulcoly (U.S. Air Force Academy), Katharine I. Kalamaroff (U.S. Air Force Academy), Francis K. Chun (U.S. Air Force Academy). Optimizing Site Locations for Determining Shape from Photometric Light Curves (2009).</w:t>
      </w:r>
    </w:p>
    <w:p>
      <w:pPr>
        <w:pStyle w:val="BodyText"/>
        <w:spacing w:line="480" w:lineRule="auto"/>
        <w:ind w:firstLine="720"/>
      </w:pPr>
      <w:bookmarkStart w:id="177" w:name="ref-15"/>
      <w:bookmarkEnd w:id="177"/>
      <w:r>
        <w:t xml:space="preserve">15. Aude Vignelles, Australian Space Agency; Marie Le Pellec, Australian Space Agency; Frank Gallagher, Australian Space Agency. The Australian Space Agency’s Inaugural Space Situational Awareness Technology Roadmap: Context, Methodology and Learnings (2021).</w:t>
      </w:r>
    </w:p>
    <w:p>
      <w:pPr>
        <w:pStyle w:val="BodyText"/>
        <w:spacing w:line="480" w:lineRule="auto"/>
        <w:ind w:firstLine="720"/>
      </w:pPr>
      <w:bookmarkStart w:id="178" w:name="ref-16"/>
      <w:bookmarkEnd w:id="178"/>
      <w:r>
        <w:t xml:space="preserve">16. Kelly Cole (AFRLIRVEP), David Voss (AFRLIRVEP), Amanda Pietruszewski (AFRLIRVEP), Lyon B. King (Michigan Technological University), Philip Hohnstadt (Michigan Technological University), Kelly Feirstine (Schafer Corporation). Space Surveillance Tech Area Benefits From University Partnerships (2011).</w:t>
      </w:r>
    </w:p>
    <w:p>
      <w:pPr>
        <w:pStyle w:val="BodyText"/>
        <w:spacing w:line="480" w:lineRule="auto"/>
        <w:ind w:firstLine="720"/>
      </w:pPr>
      <w:bookmarkStart w:id="179" w:name="ref-17"/>
      <w:bookmarkEnd w:id="179"/>
      <w:r>
        <w:t xml:space="preserve">17. William Dupree, Aptima, Inc.; Louis Penafiel, Aptima, Inc.; Thomas Gemmer, Aptima, Inc.. Time Forecasting Satellite Light Curve Patterns using Neural Networks (2021).</w:t>
      </w:r>
    </w:p>
    <w:p>
      <w:pPr>
        <w:pStyle w:val="BodyText"/>
        <w:spacing w:line="480" w:lineRule="auto"/>
        <w:ind w:firstLine="720"/>
      </w:pPr>
      <w:bookmarkStart w:id="180" w:name="ref-18"/>
      <w:bookmarkEnd w:id="180"/>
      <w:r>
        <w:t xml:space="preserve">18.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181">
        <w:r>
          <w:rPr>
            <w:rStyle w:val="Hyperlink"/>
          </w:rPr>
          <w:t xml:space="preserve">10.64861/WCUO4665</w:t>
        </w:r>
      </w:hyperlink>
    </w:p>
    <w:p>
      <w:pPr>
        <w:pStyle w:val="BodyText"/>
        <w:spacing w:line="480" w:lineRule="auto"/>
        <w:ind w:firstLine="720"/>
      </w:pPr>
      <w:bookmarkStart w:id="182" w:name="ref-19"/>
      <w:bookmarkEnd w:id="182"/>
      <w:r>
        <w:t xml:space="preserve">19. Matthew Phelps, United States Space Force; J. Zachary Gazak, United States Space Force; Thomas Swindle, United States Space Force; Justin Fletcher, United States Space Force; Ian McQuaid, Air Force Research Laboratory. Inferring Space Object Orientation with Spectroscopy and Convolutional Networks (2021).</w:t>
      </w:r>
    </w:p>
    <w:p>
      <w:pPr>
        <w:pStyle w:val="BodyText"/>
        <w:spacing w:line="480" w:lineRule="auto"/>
        <w:ind w:firstLine="720"/>
      </w:pPr>
      <w:bookmarkStart w:id="183" w:name="ref-20"/>
      <w:bookmarkEnd w:id="183"/>
      <w:r>
        <w:t xml:space="preserve">20. Imene R. Goumiri, Lawrence Livermore National Laboratory; Alec M. Dunton, Lawrence Livermore National Laboratory; Amanda L. Muyskens, Lawrence Livermore National Laboratory; Benjamin W. Priest, Lawrence Livermore National Laboratory; Robert E. Armstrong, Lawrence Livermore National Laboratory. Light Curve Completion and Forecasting Using Fast and Scalable Gaussian Processes (MuyGPs) (2022).</w:t>
      </w:r>
    </w:p>
    <w:p>
      <w:pPr>
        <w:pStyle w:val="BodyText"/>
        <w:spacing w:line="480" w:lineRule="auto"/>
        <w:ind w:firstLine="720"/>
      </w:pPr>
      <w:bookmarkStart w:id="184" w:name="ref-21"/>
      <w:bookmarkEnd w:id="184"/>
      <w:r>
        <w:t xml:space="preserve">21. Farouk Abdulhamid; Brendan P. Sullivan; Sergio Terzi. Factory in space: A review of material and manufacturing technologies (2025). doi:</w:t>
      </w:r>
      <w:r>
        <w:t xml:space="preserve"> </w:t>
      </w:r>
      <w:hyperlink r:id="rId185">
        <w:r>
          <w:rPr>
            <w:rStyle w:val="Hyperlink"/>
          </w:rPr>
          <w:t xml:space="preserve">10.1016/j.actaastro.2025.01.007</w:t>
        </w:r>
      </w:hyperlink>
    </w:p>
    <w:p>
      <w:pPr>
        <w:pStyle w:val="BodyText"/>
        <w:spacing w:line="480" w:lineRule="auto"/>
        <w:ind w:firstLine="720"/>
      </w:pPr>
      <w:bookmarkStart w:id="186" w:name="ref-22"/>
      <w:bookmarkEnd w:id="186"/>
      <w:r>
        <w:t xml:space="preserve">22. Jason Crusan; Carol Galica; Tracy Gill. NASA’s eXploration Systems and Habitation (X-Hab) Academic Innovation Challenge (2018). doi:</w:t>
      </w:r>
      <w:r>
        <w:t xml:space="preserve"> </w:t>
      </w:r>
      <w:hyperlink r:id="rId187">
        <w:r>
          <w:rPr>
            <w:rStyle w:val="Hyperlink"/>
          </w:rPr>
          <w:t xml:space="preserve">10.1016/j.actaastro.2018.06.042</w:t>
        </w:r>
      </w:hyperlink>
    </w:p>
    <w:p>
      <w:pPr>
        <w:pStyle w:val="BodyText"/>
        <w:spacing w:line="480" w:lineRule="auto"/>
        <w:ind w:firstLine="720"/>
      </w:pPr>
      <w:bookmarkStart w:id="188" w:name="ref-23"/>
      <w:bookmarkEnd w:id="188"/>
      <w:r>
        <w:t xml:space="preserve">23. James Allworth; Lloyd Windrim; James Bennett; Mitch Bryson. A transfer learning approach to space debris classification using observational light curve data (2021). doi:</w:t>
      </w:r>
      <w:r>
        <w:t xml:space="preserve"> </w:t>
      </w:r>
      <w:hyperlink r:id="rId189">
        <w:r>
          <w:rPr>
            <w:rStyle w:val="Hyperlink"/>
          </w:rPr>
          <w:t xml:space="preserve">10.1016/j.actaastro.2021.01.048</w:t>
        </w:r>
      </w:hyperlink>
    </w:p>
    <w:p>
      <w:pPr>
        <w:pStyle w:val="BodyText"/>
        <w:spacing w:line="480" w:lineRule="auto"/>
        <w:ind w:firstLine="720"/>
      </w:pPr>
      <w:bookmarkStart w:id="190" w:name="ref-24"/>
      <w:bookmarkEnd w:id="190"/>
      <w:r>
        <w:t xml:space="preserve">24. Ben McKeown; Andrew G. Dempster; Serkan Saydam; Jeff Coulton. Placing lunar resources research in the context of mining feasibility studies (2025). doi:</w:t>
      </w:r>
      <w:r>
        <w:t xml:space="preserve"> </w:t>
      </w:r>
      <w:hyperlink r:id="rId191">
        <w:r>
          <w:rPr>
            <w:rStyle w:val="Hyperlink"/>
          </w:rPr>
          <w:t xml:space="preserve">10.1016/j.actaastro.2025.04.041</w:t>
        </w:r>
      </w:hyperlink>
    </w:p>
    <w:p>
      <w:pPr>
        <w:pStyle w:val="BodyText"/>
        <w:spacing w:line="480" w:lineRule="auto"/>
        <w:ind w:firstLine="720"/>
      </w:pPr>
      <w:bookmarkStart w:id="192" w:name="ref-25"/>
      <w:bookmarkEnd w:id="192"/>
      <w:r>
        <w:t xml:space="preserve">25. Vishal Youhanna; Leonard Felicetti; Dmitry Ignatyev. Systematic methodology for the preliminary design of future rotary VTOL Martian aerobots (2025). doi:</w:t>
      </w:r>
      <w:r>
        <w:t xml:space="preserve"> </w:t>
      </w:r>
      <w:hyperlink r:id="rId193">
        <w:r>
          <w:rPr>
            <w:rStyle w:val="Hyperlink"/>
          </w:rPr>
          <w:t xml:space="preserve">10.1016/j.actaastro.2025.01.059</w:t>
        </w:r>
      </w:hyperlink>
    </w:p>
    <w:p>
      <w:pPr>
        <w:pStyle w:val="BodyText"/>
        <w:spacing w:line="480" w:lineRule="auto"/>
        <w:ind w:firstLine="720"/>
      </w:pPr>
      <w:bookmarkStart w:id="194" w:name="ref-26"/>
      <w:bookmarkEnd w:id="194"/>
      <w:r>
        <w:t xml:space="preserve">26. Taylor Waddell; Dillon Balk; Issam Bourai; Skyler Chan; Brian Chung; Sean Chu; Ameera Elgonemy; Jacob Gottesman; Dominique Henry Porcinula; Simo A. Mäkiharju; Eric Thacher; Jake Nickel; Anthony Moody; D. W. Potter; Austin Miles Portinause; Anusri Sreenath; A.R. Young; Hayden Taylor. Demonstration and analysis of volumetric additive manufacturing via sub-orbital spaceflight testing (2026). doi:</w:t>
      </w:r>
      <w:r>
        <w:t xml:space="preserve"> </w:t>
      </w:r>
      <w:hyperlink r:id="rId195">
        <w:r>
          <w:rPr>
            <w:rStyle w:val="Hyperlink"/>
          </w:rPr>
          <w:t xml:space="preserve">10.1016/j.actaastro.2026.05.027</w:t>
        </w:r>
      </w:hyperlink>
    </w:p>
    <w:p>
      <w:pPr>
        <w:pStyle w:val="BodyText"/>
        <w:spacing w:line="480" w:lineRule="auto"/>
        <w:ind w:firstLine="720"/>
      </w:pPr>
      <w:bookmarkStart w:id="196" w:name="ref-27"/>
      <w:bookmarkEnd w:id="196"/>
      <w:r>
        <w:t xml:space="preserve">27. Christopher Teale; James Beeley; Gilles Baillet; Colin R. McInnes. Femtosatellite mission architectures and mission assurance strategies (2024). doi:</w:t>
      </w:r>
      <w:r>
        <w:t xml:space="preserve"> </w:t>
      </w:r>
      <w:hyperlink r:id="rId197">
        <w:r>
          <w:rPr>
            <w:rStyle w:val="Hyperlink"/>
          </w:rPr>
          <w:t xml:space="preserve">10.1016/j.actaastro.2024.10.019</w:t>
        </w:r>
      </w:hyperlink>
    </w:p>
    <w:p>
      <w:pPr>
        <w:pStyle w:val="BodyText"/>
        <w:spacing w:line="480" w:lineRule="auto"/>
        <w:ind w:firstLine="720"/>
      </w:pPr>
      <w:bookmarkStart w:id="198" w:name="ref-28"/>
      <w:bookmarkEnd w:id="198"/>
      <w:r>
        <w:t xml:space="preserve">28. Andreas M. Hein; Robert Matheson; Dan Fries. A techno-economic analysis of asteroid mining (2019). doi:</w:t>
      </w:r>
      <w:r>
        <w:t xml:space="preserve"> </w:t>
      </w:r>
      <w:hyperlink r:id="rId199">
        <w:r>
          <w:rPr>
            <w:rStyle w:val="Hyperlink"/>
          </w:rPr>
          <w:t xml:space="preserve">10.1016/j.actaastro.2019.05.009</w:t>
        </w:r>
      </w:hyperlink>
    </w:p>
    <w:bookmarkEnd w:id="200"/>
    <w:bookmarkEnd w:id="201"/>
    <w:bookmarkStart w:id="21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9" w:name="Xcaf5d06e305586b64c61891e8cdc19842490267"/>
    <w:p>
      <w:pPr>
        <w:pStyle w:val="Heading2"/>
        <w:spacing w:line="480" w:lineRule="auto"/>
      </w:pPr>
      <w:r>
        <w:t xml:space="preserve">A.1 Does Within-Category Experience Lower JPL’s Per-TRL Maturation Time? A Fixed-Scope OLS Test on NASA TechPort</w:t>
      </w:r>
    </w:p>
    <w:p>
      <w:pPr>
        <w:pStyle w:val="FirstParagraph"/>
        <w:spacing w:line="480" w:lineRule="auto"/>
      </w:pPr>
      <m:oMathPara>
        <m:oMathParaPr>
          <m:jc m:val="center"/>
        </m:oMathParaPr>
        <m:oMath>
          <m:r>
            <m:rPr>
              <m:sty m:val="p"/>
            </m:rPr>
            <m:t>ln</m:t>
          </m:r>
          <m:r>
            <m:t>​</m:t>
          </m:r>
          <m:d>
            <m:dPr>
              <m:begChr m:val="("/>
              <m:sepChr m:val=""/>
              <m:endChr m:val=")"/>
              <m:grow/>
            </m:dPr>
            <m:e>
              <m:f>
                <m:fPr>
                  <m:type m:val="bar"/>
                </m:fPr>
                <m:num>
                  <m:r>
                    <m:t>s</m:t>
                  </m:r>
                  <m:r>
                    <m:t>p</m:t>
                  </m:r>
                  <m:r>
                    <m:t>a</m:t>
                  </m:r>
                  <m:sSub>
                    <m:e>
                      <m:r>
                        <m:t>n</m:t>
                      </m:r>
                    </m:e>
                    <m:sub>
                      <m:r>
                        <m:t>i</m:t>
                      </m:r>
                    </m:sub>
                  </m:sSub>
                </m:num>
                <m:den>
                  <m:r>
                    <m:t>s</m:t>
                  </m:r>
                  <m:r>
                    <m:t>t</m:t>
                  </m:r>
                  <m:r>
                    <m:t>e</m:t>
                  </m:r>
                  <m:r>
                    <m:t>p</m:t>
                  </m:r>
                  <m:sSub>
                    <m:e>
                      <m:r>
                        <m:t>s</m:t>
                      </m:r>
                    </m:e>
                    <m:sub>
                      <m:r>
                        <m:t>i</m:t>
                      </m:r>
                    </m:sub>
                  </m:sSub>
                </m:den>
              </m:f>
            </m:e>
          </m:d>
          <m:r>
            <m:rPr>
              <m:sty m:val="p"/>
            </m:rPr>
            <m:t>=</m:t>
          </m:r>
          <m:r>
            <m:t>α</m:t>
          </m:r>
          <m:r>
            <m:rPr>
              <m:sty m:val="p"/>
            </m:rPr>
            <m:t>+</m:t>
          </m:r>
          <m:r>
            <m:t>β</m:t>
          </m:r>
          <m:r>
            <m:t> </m:t>
          </m:r>
          <m:r>
            <m:rPr>
              <m:sty m:val="p"/>
            </m:rPr>
            <m:t>ln</m:t>
          </m:r>
          <m:r>
            <m:rPr>
              <m:sty m:val="p"/>
            </m:rPr>
            <m:t>(</m:t>
          </m:r>
          <m:r>
            <m:t>1</m:t>
          </m:r>
          <m:r>
            <m:rPr>
              <m:sty m:val="p"/>
            </m:rPr>
            <m:t>+</m:t>
          </m:r>
          <m:sSub>
            <m:e>
              <m:r>
                <m:t>E</m:t>
              </m:r>
            </m:e>
            <m:sub>
              <m:r>
                <m:t>c</m:t>
              </m:r>
              <m:r>
                <m:rPr>
                  <m:sty m:val="p"/>
                </m:rPr>
                <m:t>(</m:t>
              </m:r>
              <m:r>
                <m:t>i</m:t>
              </m:r>
              <m:r>
                <m:rPr>
                  <m:sty m:val="p"/>
                </m:rPr>
                <m:t>)</m:t>
              </m:r>
              <m:r>
                <m:rPr>
                  <m:sty m:val="p"/>
                </m:rPr>
                <m:t>,</m:t>
              </m:r>
              <m:r>
                <m:t>t</m:t>
              </m:r>
              <m:r>
                <m:rPr>
                  <m:sty m:val="p"/>
                </m:rPr>
                <m:t>(</m:t>
              </m:r>
              <m:r>
                <m:t>i</m:t>
              </m:r>
              <m:r>
                <m:rPr>
                  <m:sty m:val="p"/>
                </m:rPr>
                <m:t>)</m:t>
              </m:r>
            </m:sub>
          </m:sSub>
          <m:r>
            <m:rPr>
              <m:sty m:val="p"/>
            </m:rPr>
            <m:t>)</m:t>
          </m:r>
          <m:r>
            <m:rPr>
              <m:sty m:val="p"/>
            </m:rPr>
            <m:t>+</m:t>
          </m:r>
          <m:sSub>
            <m:e>
              <m:r>
                <m:t>γ</m:t>
              </m:r>
            </m:e>
            <m:sub>
              <m:r>
                <m:t>1</m:t>
              </m:r>
            </m:sub>
          </m:sSub>
          <m:r>
            <m:rPr>
              <m:sty m:val="p"/>
            </m:rPr>
            <m:t>ln</m:t>
          </m:r>
          <m:r>
            <m:rPr>
              <m:sty m:val="p"/>
            </m:rPr>
            <m:t>(</m:t>
          </m:r>
          <m:r>
            <m:t>s</m:t>
          </m:r>
          <m:r>
            <m:t>t</m:t>
          </m:r>
          <m:r>
            <m:t>e</m:t>
          </m:r>
          <m:r>
            <m:t>p</m:t>
          </m:r>
          <m:sSub>
            <m:e>
              <m:r>
                <m:t>s</m:t>
              </m:r>
            </m:e>
            <m:sub>
              <m:r>
                <m:t>i</m:t>
              </m:r>
            </m:sub>
          </m:sSub>
          <m:r>
            <m:rPr>
              <m:sty m:val="p"/>
            </m:rPr>
            <m:t>)</m:t>
          </m:r>
          <m:r>
            <m:rPr>
              <m:sty m:val="p"/>
            </m:rPr>
            <m:t>+</m:t>
          </m:r>
          <m:sSub>
            <m:e>
              <m:r>
                <m:t>γ</m:t>
              </m:r>
            </m:e>
            <m:sub>
              <m:r>
                <m:t>2</m:t>
              </m:r>
            </m:sub>
          </m:sSub>
          <m:r>
            <m:rPr>
              <m:sty m:val="p"/>
            </m:rPr>
            <m:t>(</m:t>
          </m:r>
          <m:r>
            <m:t>y</m:t>
          </m:r>
          <m:r>
            <m:t>e</m:t>
          </m:r>
          <m:r>
            <m:t>a</m:t>
          </m:r>
          <m:sSub>
            <m:e>
              <m:r>
                <m:t>r</m:t>
              </m:r>
            </m:e>
            <m:sub>
              <m:r>
                <m:t>i</m:t>
              </m:r>
            </m:sub>
          </m:sSub>
          <m:r>
            <m:rPr>
              <m:sty m:val="p"/>
            </m:rPr>
            <m:t>−</m:t>
          </m:r>
          <m:r>
            <m:t>2017</m:t>
          </m:r>
          <m:r>
            <m:rPr>
              <m:sty m:val="p"/>
            </m:rPr>
            <m:t>)</m:t>
          </m:r>
          <m:r>
            <m:rPr>
              <m:sty m:val="p"/>
            </m:rPr>
            <m:t>+</m:t>
          </m:r>
          <m:sSub>
            <m:e>
              <m:r>
                <m:t>ε</m:t>
              </m:r>
            </m:e>
            <m:sub>
              <m:r>
                <m:t>i</m:t>
              </m:r>
            </m:sub>
          </m:sSub>
        </m:oMath>
      </m:oMathPara>
    </w:p>
    <w:bookmarkStart w:id="20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0.2165</w:t>
            </w:r>
          </w:p>
        </w:tc>
        <w:tc>
          <w:tcPr>
            <w:tcW w:w="0" w:type="auto"/>
          </w:tcPr>
          <w:p>
            <w:pPr>
              <w:spacing w:line="240" w:lineRule="auto" w:before="0" w:after="0"/>
              <w:pStyle w:val="Compact"/>
            </w:pPr>
            <w:r>
              <w:rPr>
                <w:sz w:val="20"/>
                <w:szCs w:val="20"/>
              </w:rPr>
              <w:t xml:space="preserve">2.5874</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[0.1359, 0.9847]</w:t>
            </w:r>
          </w:p>
        </w:tc>
      </w:tr>
      <w:tr>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0.0986</w:t>
            </w:r>
          </w:p>
        </w:tc>
        <w:tc>
          <w:tcPr>
            <w:tcW w:w="0" w:type="auto"/>
          </w:tcPr>
          <w:p>
            <w:pPr>
              <w:spacing w:line="240" w:lineRule="auto" w:before="0" w:after="0"/>
              <w:pStyle w:val="Compact"/>
            </w:pPr>
            <w:r>
              <w:rPr>
                <w:sz w:val="20"/>
                <w:szCs w:val="20"/>
              </w:rPr>
              <w:t xml:space="preserve">2.0234</w:t>
            </w:r>
          </w:p>
        </w:tc>
        <w:tc>
          <w:tcPr>
            <w:tcW w:w="0" w:type="auto"/>
          </w:tcPr>
          <w:p>
            <w:pPr>
              <w:spacing w:line="240" w:lineRule="auto" w:before="0" w:after="0"/>
              <w:pStyle w:val="Compact"/>
            </w:pPr>
            <w:r>
              <w:rPr>
                <w:sz w:val="20"/>
                <w:szCs w:val="20"/>
              </w:rPr>
              <w:t xml:space="preserve">0.043</w:t>
            </w:r>
          </w:p>
        </w:tc>
        <w:tc>
          <w:tcPr>
            <w:tcW w:w="0" w:type="auto"/>
          </w:tcPr>
          <w:p>
            <w:pPr>
              <w:spacing w:line="240" w:lineRule="auto" w:before="0" w:after="0"/>
              <w:pStyle w:val="Compact"/>
            </w:pPr>
            <w:r>
              <w:rPr>
                <w:sz w:val="20"/>
                <w:szCs w:val="20"/>
              </w:rPr>
              <w:t xml:space="preserve">[0.0063, 0.3929]</w:t>
            </w:r>
          </w:p>
        </w:tc>
      </w:tr>
      <w:tr>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-0.9375</w:t>
            </w:r>
          </w:p>
        </w:tc>
        <w:tc>
          <w:tcPr>
            <w:tcW w:w="0" w:type="auto"/>
          </w:tcPr>
          <w:p>
            <w:pPr>
              <w:spacing w:line="240" w:lineRule="auto" w:before="0" w:after="0"/>
              <w:pStyle w:val="Compact"/>
            </w:pPr>
            <w:r>
              <w:rPr>
                <w:sz w:val="20"/>
                <w:szCs w:val="20"/>
              </w:rPr>
              <w:t xml:space="preserve">0.1793</w:t>
            </w:r>
          </w:p>
        </w:tc>
        <w:tc>
          <w:tcPr>
            <w:tcW w:w="0" w:type="auto"/>
          </w:tcPr>
          <w:p>
            <w:pPr>
              <w:spacing w:line="240" w:lineRule="auto" w:before="0" w:after="0"/>
              <w:pStyle w:val="Compact"/>
            </w:pPr>
            <w:r>
              <w:rPr>
                <w:sz w:val="20"/>
                <w:szCs w:val="20"/>
              </w:rPr>
              <w:t xml:space="preserve">-5.2287</w:t>
            </w:r>
          </w:p>
        </w:tc>
        <w:tc>
          <w:tcPr>
            <w:tcW w:w="0" w:type="auto"/>
          </w:tcPr>
          <w:p>
            <w:pPr>
              <w:spacing w:line="240" w:lineRule="auto" w:before="0" w:after="0"/>
              <w:pStyle w:val="Compact"/>
            </w:pPr>
            <w:r>
              <w:rPr>
                <w:sz w:val="20"/>
                <w:szCs w:val="20"/>
              </w:rPr>
              <w:t xml:space="preserve">1.707e-07</w:t>
            </w:r>
          </w:p>
        </w:tc>
        <w:tc>
          <w:tcPr>
            <w:tcW w:w="0" w:type="auto"/>
          </w:tcPr>
          <w:p>
            <w:pPr>
              <w:spacing w:line="240" w:lineRule="auto" w:before="0" w:after="0"/>
              <w:pStyle w:val="Compact"/>
            </w:pPr>
            <w:r>
              <w:rPr>
                <w:sz w:val="20"/>
                <w:szCs w:val="20"/>
              </w:rPr>
              <w:t xml:space="preserve">[-1.2889, -0.5861]</w:t>
            </w:r>
          </w:p>
        </w:tc>
      </w:tr>
      <w:tr>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-0.8573</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[-0.0641, 0.0251]</w:t>
            </w:r>
          </w:p>
        </w:tc>
      </w:tr>
    </w:tbl>
    <w:p>
      <w:pPr>
        <w:pStyle w:val="BodyText"/>
        <w:spacing w:line="480" w:lineRule="auto"/>
        <w:ind w:firstLine="720"/>
      </w:pPr>
      <w:r>
        <w:t xml:space="preserve">Fit: N = 45 R2 = 0.4324 R2_adj = 0.3908 F = 9.5055 F_p = 6.852e-05</w:t>
      </w:r>
    </w:p>
    <w:bookmarkEnd w:id="202"/>
    <w:bookmarkStart w:id="20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TRL maturation time against accumulated within-category experience for 45 JPL-led TechPort projects, with the fitted scope- and vintage-adjusted slope." title="" id="204" name="Picture"/>
            <a:graphic>
              <a:graphicData uri="http://schemas.openxmlformats.org/drawingml/2006/picture">
                <pic:pic>
                  <pic:nvPicPr>
                    <pic:cNvPr descr="D:/Claude_Code/brain/collegium/candidates/dissertations/JPL_MGMT_SMA_TECH_05/research_papers/p1/paper_fig1.png" id="205" name="Picture"/>
                    <pic:cNvPicPr>
                      <a:picLocks noChangeArrowheads="1" noChangeAspect="1"/>
                    </pic:cNvPicPr>
                  </pic:nvPicPr>
                  <pic:blipFill>
                    <a:blip r:embed="rId20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Per-TRL maturation time against accumulated within-category experience for 45 JPL-led TechPort projects, with the fitted scope- and vintage-adjusted slope.</w:t>
      </w:r>
    </w:p>
    <w:bookmarkEnd w:id="206"/>
    <w:bookmarkStart w:id="20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65"/>
        <w:gridCol w:w="465"/>
        <w:gridCol w:w="465"/>
        <w:gridCol w:w="465"/>
        <w:gridCol w:w="465"/>
        <w:gridCol w:w="465"/>
        <w:gridCol w:w="465"/>
        <w:gridCol w:w="465"/>
        <w:gridCol w:w="465"/>
        <w:gridCol w:w="465"/>
        <w:gridCol w:w="465"/>
        <w:gridCol w:w="465"/>
        <w:gridCol w:w="465"/>
        <w:gridCol w:w="465"/>
        <w:gridCol w:w="465"/>
        <w:gridCol w:w="465"/>
        <w:gridCol w:w="465"/>
      </w:tblGrid>
      <w:tr>
        <w:trPr>
          <w:tblHeader w:val="on"/>
        </w:trPr>
        <w:tc>
          <w:tcPr>
            <w:tcW w:w="0" w:type="auto"/>
          </w:tcPr>
          <w:p>
            <w:pPr>
              <w:spacing w:line="240" w:lineRule="auto" w:before="0" w:after="0"/>
              <w:pStyle w:val="Compact"/>
            </w:pPr>
            <w:r>
              <w:rPr>
                <w:sz w:val="20"/>
                <w:szCs w:val="20"/>
              </w:rPr>
              <w:t xml:space="preserve">project_id</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tx_family</w:t>
            </w:r>
          </w:p>
        </w:tc>
        <w:tc>
          <w:tcPr>
            <w:tcW w:w="0" w:type="auto"/>
          </w:tcPr>
          <w:p>
            <w:pPr>
              <w:spacing w:line="240" w:lineRule="auto" w:before="0" w:after="0"/>
              <w:pStyle w:val="Compact"/>
            </w:pPr>
            <w:r>
              <w:rPr>
                <w:sz w:val="20"/>
                <w:szCs w:val="20"/>
              </w:rPr>
              <w:t xml:space="preserve">tx_code</w:t>
            </w:r>
          </w:p>
        </w:tc>
        <w:tc>
          <w:tcPr>
            <w:tcW w:w="0" w:type="auto"/>
          </w:tcPr>
          <w:p>
            <w:pPr>
              <w:spacing w:line="240" w:lineRule="auto" w:before="0" w:after="0"/>
              <w:pStyle w:val="Compact"/>
            </w:pPr>
            <w:r>
              <w:rPr>
                <w:sz w:val="20"/>
                <w:szCs w:val="20"/>
              </w:rPr>
              <w:t xml:space="preserve">trl_begin</w:t>
            </w:r>
          </w:p>
        </w:tc>
        <w:tc>
          <w:tcPr>
            <w:tcW w:w="0" w:type="auto"/>
          </w:tcPr>
          <w:p>
            <w:pPr>
              <w:spacing w:line="240" w:lineRule="auto" w:before="0" w:after="0"/>
              <w:pStyle w:val="Compact"/>
            </w:pPr>
            <w:r>
              <w:rPr>
                <w:sz w:val="20"/>
                <w:szCs w:val="20"/>
              </w:rPr>
              <w:t xml:space="preserve">trl_end</w:t>
            </w:r>
          </w:p>
        </w:tc>
        <w:tc>
          <w:tcPr>
            <w:tcW w:w="0" w:type="auto"/>
          </w:tcPr>
          <w:p>
            <w:pPr>
              <w:spacing w:line="240" w:lineRule="auto" w:before="0" w:after="0"/>
              <w:pStyle w:val="Compact"/>
            </w:pPr>
            <w:r>
              <w:rPr>
                <w:sz w:val="20"/>
                <w:szCs w:val="20"/>
              </w:rPr>
              <w:t xml:space="preserve">trl_steps</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end_year</w:t>
            </w:r>
          </w:p>
        </w:tc>
        <w:tc>
          <w:tcPr>
            <w:tcW w:w="0" w:type="auto"/>
          </w:tcPr>
          <w:p>
            <w:pPr>
              <w:spacing w:line="240" w:lineRule="auto" w:before="0" w:after="0"/>
              <w:pStyle w:val="Compact"/>
            </w:pPr>
            <w:r>
              <w:rPr>
                <w:sz w:val="20"/>
                <w:szCs w:val="20"/>
              </w:rPr>
              <w:t xml:space="preserve">span_years</w:t>
            </w:r>
          </w:p>
        </w:tc>
        <w:tc>
          <w:tcPr>
            <w:tcW w:w="0" w:type="auto"/>
          </w:tcPr>
          <w:p>
            <w:pPr>
              <w:spacing w:line="240" w:lineRule="auto" w:before="0" w:after="0"/>
              <w:pStyle w:val="Compact"/>
            </w:pPr>
            <w:r>
              <w:rPr>
                <w:sz w:val="20"/>
                <w:szCs w:val="20"/>
              </w:rPr>
              <w:t xml:space="preserve">dur_per_trl</w:t>
            </w:r>
          </w:p>
        </w:tc>
        <w:tc>
          <w:tcPr>
            <w:tcW w:w="0" w:type="auto"/>
          </w:tcPr>
          <w:p>
            <w:pPr>
              <w:spacing w:line="240" w:lineRule="auto" w:before="0" w:after="0"/>
              <w:pStyle w:val="Compact"/>
            </w:pPr>
            <w:r>
              <w:rPr>
                <w:sz w:val="20"/>
                <w:szCs w:val="20"/>
              </w:rPr>
              <w:t xml:space="preserve">cum_prior_family</w:t>
            </w:r>
          </w:p>
        </w:tc>
        <w:tc>
          <w:tcPr>
            <w:tcW w:w="0" w:type="auto"/>
          </w:tcPr>
          <w:p>
            <w:pPr>
              <w:spacing w:line="240" w:lineRule="auto" w:before="0" w:after="0"/>
              <w:pStyle w:val="Compact"/>
            </w:pPr>
            <w:r>
              <w:rPr>
                <w:sz w:val="20"/>
                <w:szCs w:val="20"/>
              </w:rPr>
              <w:t xml:space="preserve">ln_dur_per_trl</w:t>
            </w:r>
          </w:p>
        </w:tc>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6863</w:t>
            </w:r>
          </w:p>
        </w:tc>
        <w:tc>
          <w:tcPr>
            <w:tcW w:w="0" w:type="auto"/>
          </w:tcPr>
          <w:p>
            <w:pPr>
              <w:spacing w:line="240" w:lineRule="auto" w:before="0" w:after="0"/>
              <w:pStyle w:val="Compact"/>
            </w:pPr>
            <w:r>
              <w:rPr>
                <w:sz w:val="20"/>
                <w:szCs w:val="20"/>
              </w:rPr>
              <w:t xml:space="preserve">Airborne Isotopic Hydrocarbon Analyzer for Titan, Phase I</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TechPort project 6863 (techport.nasa.gov/projects/6863), JPL/Caltech-led; public release</w:t>
            </w:r>
          </w:p>
        </w:tc>
      </w:tr>
      <w:tr>
        <w:tc>
          <w:tcPr>
            <w:tcW w:w="0" w:type="auto"/>
          </w:tcPr>
          <w:p>
            <w:pPr>
              <w:spacing w:line="240" w:lineRule="auto" w:before="0" w:after="0"/>
              <w:pStyle w:val="Compact"/>
            </w:pPr>
            <w:r>
              <w:rPr>
                <w:sz w:val="20"/>
                <w:szCs w:val="20"/>
              </w:rPr>
              <w:t xml:space="preserve">7983</w:t>
            </w:r>
          </w:p>
        </w:tc>
        <w:tc>
          <w:tcPr>
            <w:tcW w:w="0" w:type="auto"/>
          </w:tcPr>
          <w:p>
            <w:pPr>
              <w:spacing w:line="240" w:lineRule="auto" w:before="0" w:after="0"/>
              <w:pStyle w:val="Compact"/>
            </w:pPr>
            <w:r>
              <w:rPr>
                <w:sz w:val="20"/>
                <w:szCs w:val="20"/>
              </w:rPr>
              <w:t xml:space="preserve">A 60-85% Efficient X- &amp; K-Band 1KWatt Solid-State Power Amplifier using GaN-on-D</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7983 (techport.nasa.gov/projects/7983), JPL/Caltech-led; public release</w:t>
            </w:r>
          </w:p>
        </w:tc>
      </w:tr>
      <w:tr>
        <w:tc>
          <w:tcPr>
            <w:tcW w:w="0" w:type="auto"/>
          </w:tcPr>
          <w:p>
            <w:pPr>
              <w:spacing w:line="240" w:lineRule="auto" w:before="0" w:after="0"/>
              <w:pStyle w:val="Compact"/>
            </w:pPr>
            <w:r>
              <w:rPr>
                <w:sz w:val="20"/>
                <w:szCs w:val="20"/>
              </w:rPr>
              <w:t xml:space="preserve">8203</w:t>
            </w:r>
          </w:p>
        </w:tc>
        <w:tc>
          <w:tcPr>
            <w:tcW w:w="0" w:type="auto"/>
          </w:tcPr>
          <w:p>
            <w:pPr>
              <w:spacing w:line="240" w:lineRule="auto" w:before="0" w:after="0"/>
              <w:pStyle w:val="Compact"/>
            </w:pPr>
            <w:r>
              <w:rPr>
                <w:sz w:val="20"/>
                <w:szCs w:val="20"/>
              </w:rPr>
              <w:t xml:space="preserve">A 64x64 Low Noise Cryogenic Readout Multiplexer for Far IR Focal-Plane Arrays, P</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8203 (techport.nasa.gov/projects/8203), JPL/Caltech-led; public release</w:t>
            </w:r>
          </w:p>
        </w:tc>
      </w:tr>
      <w:tr>
        <w:tc>
          <w:tcPr>
            <w:tcW w:w="0" w:type="auto"/>
          </w:tcPr>
          <w:p>
            <w:pPr>
              <w:spacing w:line="240" w:lineRule="auto" w:before="0" w:after="0"/>
              <w:pStyle w:val="Compact"/>
            </w:pPr>
            <w:r>
              <w:rPr>
                <w:sz w:val="20"/>
                <w:szCs w:val="20"/>
              </w:rPr>
              <w:t xml:space="preserve">34757</w:t>
            </w:r>
          </w:p>
        </w:tc>
        <w:tc>
          <w:tcPr>
            <w:tcW w:w="0" w:type="auto"/>
          </w:tcPr>
          <w:p>
            <w:pPr>
              <w:spacing w:line="240" w:lineRule="auto" w:before="0" w:after="0"/>
              <w:pStyle w:val="Compact"/>
            </w:pPr>
            <w:r>
              <w:rPr>
                <w:sz w:val="20"/>
                <w:szCs w:val="20"/>
              </w:rPr>
              <w:t xml:space="preserve">Aircraft deployable UV-SWIR multiangle spectropolarimetric imager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34757 (techport.nasa.gov/projects/34757), JPL/Caltech-led; public release</w:t>
            </w:r>
          </w:p>
        </w:tc>
      </w:tr>
      <w:tr>
        <w:tc>
          <w:tcPr>
            <w:tcW w:w="0" w:type="auto"/>
          </w:tcPr>
          <w:p>
            <w:pPr>
              <w:spacing w:line="240" w:lineRule="auto" w:before="0" w:after="0"/>
              <w:pStyle w:val="Compact"/>
            </w:pPr>
            <w:r>
              <w:rPr>
                <w:sz w:val="20"/>
                <w:szCs w:val="20"/>
              </w:rPr>
              <w:t xml:space="preserve">12199</w:t>
            </w:r>
          </w:p>
        </w:tc>
        <w:tc>
          <w:tcPr>
            <w:tcW w:w="0" w:type="auto"/>
          </w:tcPr>
          <w:p>
            <w:pPr>
              <w:spacing w:line="240" w:lineRule="auto" w:before="0" w:after="0"/>
              <w:pStyle w:val="Compact"/>
            </w:pPr>
            <w:r>
              <w:rPr>
                <w:sz w:val="20"/>
                <w:szCs w:val="20"/>
              </w:rPr>
              <w:t xml:space="preserve">Advanced Micro-Transceiver Technologies for Extreme Mass/Energy/Volume Challenge</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12199 (techport.nasa.gov/projects/12199), JPL/Caltech-led; public release</w:t>
            </w:r>
          </w:p>
        </w:tc>
      </w:tr>
      <w:tr>
        <w:tc>
          <w:tcPr>
            <w:tcW w:w="0" w:type="auto"/>
          </w:tcPr>
          <w:p>
            <w:pPr>
              <w:spacing w:line="240" w:lineRule="auto" w:before="0" w:after="0"/>
              <w:pStyle w:val="Compact"/>
            </w:pPr>
            <w:r>
              <w:rPr>
                <w:sz w:val="20"/>
                <w:szCs w:val="20"/>
              </w:rPr>
              <w:t xml:space="preserve">12200</w:t>
            </w:r>
          </w:p>
        </w:tc>
        <w:tc>
          <w:tcPr>
            <w:tcW w:w="0" w:type="auto"/>
          </w:tcPr>
          <w:p>
            <w:pPr>
              <w:spacing w:line="240" w:lineRule="auto" w:before="0" w:after="0"/>
              <w:pStyle w:val="Compact"/>
            </w:pPr>
            <w:r>
              <w:rPr>
                <w:sz w:val="20"/>
                <w:szCs w:val="20"/>
              </w:rPr>
              <w:t xml:space="preserve">An Integrated Technology Approach for Low-Cost Landers</w:t>
            </w:r>
          </w:p>
        </w:tc>
        <w:tc>
          <w:tcPr>
            <w:tcW w:w="0" w:type="auto"/>
          </w:tcPr>
          <w:p>
            <w:pPr>
              <w:spacing w:line="240" w:lineRule="auto" w:before="0" w:after="0"/>
              <w:pStyle w:val="Compact"/>
            </w:pPr>
            <w:r>
              <w:rPr>
                <w:sz w:val="20"/>
                <w:szCs w:val="20"/>
              </w:rPr>
              <w:t xml:space="preserve">TX09</w:t>
            </w:r>
          </w:p>
        </w:tc>
        <w:tc>
          <w:tcPr>
            <w:tcW w:w="0" w:type="auto"/>
          </w:tcPr>
          <w:p>
            <w:pPr>
              <w:spacing w:line="240" w:lineRule="auto" w:before="0" w:after="0"/>
              <w:pStyle w:val="Compact"/>
            </w:pPr>
            <w:r>
              <w:rPr>
                <w:sz w:val="20"/>
                <w:szCs w:val="20"/>
              </w:rPr>
              <w:t xml:space="preserve">TX09.5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12200 (techport.nasa.gov/projects/12200), JPL/Caltech-led; public release</w:t>
            </w:r>
          </w:p>
        </w:tc>
      </w:tr>
      <w:tr>
        <w:tc>
          <w:tcPr>
            <w:tcW w:w="0" w:type="auto"/>
          </w:tcPr>
          <w:p>
            <w:pPr>
              <w:spacing w:line="240" w:lineRule="auto" w:before="0" w:after="0"/>
              <w:pStyle w:val="Compact"/>
            </w:pPr>
            <w:r>
              <w:rPr>
                <w:sz w:val="20"/>
                <w:szCs w:val="20"/>
              </w:rPr>
              <w:t xml:space="preserve">12202</w:t>
            </w:r>
          </w:p>
        </w:tc>
        <w:tc>
          <w:tcPr>
            <w:tcW w:w="0" w:type="auto"/>
          </w:tcPr>
          <w:p>
            <w:pPr>
              <w:spacing w:line="240" w:lineRule="auto" w:before="0" w:after="0"/>
              <w:pStyle w:val="Compact"/>
            </w:pPr>
            <w:r>
              <w:rPr>
                <w:sz w:val="20"/>
                <w:szCs w:val="20"/>
              </w:rPr>
              <w:t xml:space="preserve">A Novel, Low-Cost Conformable Lander</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12202 (techport.nasa.gov/projects/12202), JPL/Caltech-led; public release</w:t>
            </w:r>
          </w:p>
        </w:tc>
      </w:tr>
      <w:tr>
        <w:tc>
          <w:tcPr>
            <w:tcW w:w="0" w:type="auto"/>
          </w:tcPr>
          <w:p>
            <w:pPr>
              <w:spacing w:line="240" w:lineRule="auto" w:before="0" w:after="0"/>
              <w:pStyle w:val="Compact"/>
            </w:pPr>
            <w:r>
              <w:rPr>
                <w:sz w:val="20"/>
                <w:szCs w:val="20"/>
              </w:rPr>
              <w:t xml:space="preserve">12209</w:t>
            </w:r>
          </w:p>
        </w:tc>
        <w:tc>
          <w:tcPr>
            <w:tcW w:w="0" w:type="auto"/>
          </w:tcPr>
          <w:p>
            <w:pPr>
              <w:spacing w:line="240" w:lineRule="auto" w:before="0" w:after="0"/>
              <w:pStyle w:val="Compact"/>
            </w:pPr>
            <w:r>
              <w:rPr>
                <w:sz w:val="20"/>
                <w:szCs w:val="20"/>
              </w:rPr>
              <w:t xml:space="preserve">Advanced photon detectors using superconducting MgB2 films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12209 (techport.nasa.gov/projects/12209), JPL/Caltech-led; public release</w:t>
            </w:r>
          </w:p>
        </w:tc>
      </w:tr>
      <w:tr>
        <w:tc>
          <w:tcPr>
            <w:tcW w:w="0" w:type="auto"/>
          </w:tcPr>
          <w:p>
            <w:pPr>
              <w:spacing w:line="240" w:lineRule="auto" w:before="0" w:after="0"/>
              <w:pStyle w:val="Compact"/>
            </w:pPr>
            <w:r>
              <w:rPr>
                <w:sz w:val="20"/>
                <w:szCs w:val="20"/>
              </w:rPr>
              <w:t xml:space="preserve">12284</w:t>
            </w:r>
          </w:p>
        </w:tc>
        <w:tc>
          <w:tcPr>
            <w:tcW w:w="0" w:type="auto"/>
          </w:tcPr>
          <w:p>
            <w:pPr>
              <w:spacing w:line="240" w:lineRule="auto" w:before="0" w:after="0"/>
              <w:pStyle w:val="Compact"/>
            </w:pPr>
            <w:r>
              <w:rPr>
                <w:sz w:val="20"/>
                <w:szCs w:val="20"/>
              </w:rPr>
              <w:t xml:space="preserve">Advanced Micro Sun Sensor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12284 (techport.nasa.gov/projects/12284), JPL/Caltech-led; public release</w:t>
            </w:r>
          </w:p>
        </w:tc>
      </w:tr>
      <w:tr>
        <w:tc>
          <w:tcPr>
            <w:tcW w:w="0" w:type="auto"/>
          </w:tcPr>
          <w:p>
            <w:pPr>
              <w:spacing w:line="240" w:lineRule="auto" w:before="0" w:after="0"/>
              <w:pStyle w:val="Compact"/>
            </w:pPr>
            <w:r>
              <w:rPr>
                <w:sz w:val="20"/>
                <w:szCs w:val="20"/>
              </w:rPr>
              <w:t xml:space="preserve">12316</w:t>
            </w:r>
          </w:p>
        </w:tc>
        <w:tc>
          <w:tcPr>
            <w:tcW w:w="0" w:type="auto"/>
          </w:tcPr>
          <w:p>
            <w:pPr>
              <w:spacing w:line="240" w:lineRule="auto" w:before="0" w:after="0"/>
              <w:pStyle w:val="Compact"/>
            </w:pPr>
            <w:r>
              <w:rPr>
                <w:sz w:val="20"/>
                <w:szCs w:val="20"/>
              </w:rPr>
              <w:t xml:space="preserve">Antenna-Coupled TES Bolometer Arrays for CMB Polarimetry</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12316 (techport.nasa.gov/projects/12316), JPL/Caltech-led; public release</w:t>
            </w:r>
          </w:p>
        </w:tc>
      </w:tr>
      <w:tr>
        <w:tc>
          <w:tcPr>
            <w:tcW w:w="0" w:type="auto"/>
          </w:tcPr>
          <w:p>
            <w:pPr>
              <w:spacing w:line="240" w:lineRule="auto" w:before="0" w:after="0"/>
              <w:pStyle w:val="Compact"/>
            </w:pPr>
            <w:r>
              <w:rPr>
                <w:sz w:val="20"/>
                <w:szCs w:val="20"/>
              </w:rPr>
              <w:t xml:space="preserve">12328</w:t>
            </w:r>
          </w:p>
        </w:tc>
        <w:tc>
          <w:tcPr>
            <w:tcW w:w="0" w:type="auto"/>
          </w:tcPr>
          <w:p>
            <w:pPr>
              <w:spacing w:line="240" w:lineRule="auto" w:before="0" w:after="0"/>
              <w:pStyle w:val="Compact"/>
            </w:pPr>
            <w:r>
              <w:rPr>
                <w:sz w:val="20"/>
                <w:szCs w:val="20"/>
              </w:rPr>
              <w:t xml:space="preserve">A Master Catalog of Debris Disk Data and Models</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12328 (techport.nasa.gov/projects/12328), JPL/Caltech-led; public release</w:t>
            </w:r>
          </w:p>
        </w:tc>
      </w:tr>
      <w:tr>
        <w:tc>
          <w:tcPr>
            <w:tcW w:w="0" w:type="auto"/>
          </w:tcPr>
          <w:p>
            <w:pPr>
              <w:spacing w:line="240" w:lineRule="auto" w:before="0" w:after="0"/>
              <w:pStyle w:val="Compact"/>
            </w:pPr>
            <w:r>
              <w:rPr>
                <w:sz w:val="20"/>
                <w:szCs w:val="20"/>
              </w:rPr>
              <w:t xml:space="preserve">34755</w:t>
            </w:r>
          </w:p>
        </w:tc>
        <w:tc>
          <w:tcPr>
            <w:tcW w:w="0" w:type="auto"/>
          </w:tcPr>
          <w:p>
            <w:pPr>
              <w:spacing w:line="240" w:lineRule="auto" w:before="0" w:after="0"/>
              <w:pStyle w:val="Compact"/>
            </w:pPr>
            <w:r>
              <w:rPr>
                <w:sz w:val="20"/>
                <w:szCs w:val="20"/>
              </w:rPr>
              <w:t xml:space="preserve">Advanced W-Band Gallium Nitride Monolithic Microwave Integrated Circuits (MMICs)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34755 (techport.nasa.gov/projects/34755), JPL/Caltech-led; public release</w:t>
            </w:r>
          </w:p>
        </w:tc>
      </w:tr>
      <w:tr>
        <w:tc>
          <w:tcPr>
            <w:tcW w:w="0" w:type="auto"/>
          </w:tcPr>
          <w:p>
            <w:pPr>
              <w:spacing w:line="240" w:lineRule="auto" w:before="0" w:after="0"/>
              <w:pStyle w:val="Compact"/>
            </w:pPr>
            <w:r>
              <w:rPr>
                <w:sz w:val="20"/>
                <w:szCs w:val="20"/>
              </w:rPr>
              <w:t xml:space="preserve">16829</w:t>
            </w:r>
          </w:p>
        </w:tc>
        <w:tc>
          <w:tcPr>
            <w:tcW w:w="0" w:type="auto"/>
          </w:tcPr>
          <w:p>
            <w:pPr>
              <w:spacing w:line="240" w:lineRule="auto" w:before="0" w:after="0"/>
              <w:pStyle w:val="Compact"/>
            </w:pPr>
            <w:r>
              <w:rPr>
                <w:sz w:val="20"/>
                <w:szCs w:val="20"/>
              </w:rPr>
              <w:t xml:space="preserve">A Novel Drag-Free Design for a Geostationary Gravitational Wave</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16829 (techport.nasa.gov/projects/16829), JPL/Caltech-led; public release</w:t>
            </w:r>
          </w:p>
        </w:tc>
      </w:tr>
      <w:tr>
        <w:tc>
          <w:tcPr>
            <w:tcW w:w="0" w:type="auto"/>
          </w:tcPr>
          <w:p>
            <w:pPr>
              <w:spacing w:line="240" w:lineRule="auto" w:before="0" w:after="0"/>
              <w:pStyle w:val="Compact"/>
            </w:pPr>
            <w:r>
              <w:rPr>
                <w:sz w:val="20"/>
                <w:szCs w:val="20"/>
              </w:rPr>
              <w:t xml:space="preserve">90754</w:t>
            </w:r>
          </w:p>
        </w:tc>
        <w:tc>
          <w:tcPr>
            <w:tcW w:w="0" w:type="auto"/>
          </w:tcPr>
          <w:p>
            <w:pPr>
              <w:spacing w:line="240" w:lineRule="auto" w:before="0" w:after="0"/>
              <w:pStyle w:val="Compact"/>
            </w:pPr>
            <w:r>
              <w:rPr>
                <w:sz w:val="20"/>
                <w:szCs w:val="20"/>
              </w:rPr>
              <w:t xml:space="preserve">An Ultrabroadband THz Heterodyne Receiver With Reduced Cryocooling Requirements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90754 (techport.nasa.gov/projects/90754), JPL/Caltech-led; public release</w:t>
            </w:r>
          </w:p>
        </w:tc>
      </w:tr>
      <w:tr>
        <w:tc>
          <w:tcPr>
            <w:tcW w:w="0" w:type="auto"/>
          </w:tcPr>
          <w:p>
            <w:pPr>
              <w:spacing w:line="240" w:lineRule="auto" w:before="0" w:after="0"/>
              <w:pStyle w:val="Compact"/>
            </w:pPr>
            <w:r>
              <w:rPr>
                <w:sz w:val="20"/>
                <w:szCs w:val="20"/>
              </w:rPr>
              <w:t xml:space="preserve">91803</w:t>
            </w:r>
          </w:p>
        </w:tc>
        <w:tc>
          <w:tcPr>
            <w:tcW w:w="0" w:type="auto"/>
          </w:tcPr>
          <w:p>
            <w:pPr>
              <w:spacing w:line="240" w:lineRule="auto" w:before="0" w:after="0"/>
              <w:pStyle w:val="Compact"/>
            </w:pPr>
            <w:r>
              <w:rPr>
                <w:sz w:val="20"/>
                <w:szCs w:val="20"/>
              </w:rPr>
              <w:t xml:space="preserve">Advanced, Compact, Ultraviolet Imaging Spectrometer for Planetary Systems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91803 (techport.nasa.gov/projects/91803), JPL/Caltech-led; public release</w:t>
            </w:r>
          </w:p>
        </w:tc>
      </w:tr>
      <w:tr>
        <w:tc>
          <w:tcPr>
            <w:tcW w:w="0" w:type="auto"/>
          </w:tcPr>
          <w:p>
            <w:pPr>
              <w:spacing w:line="240" w:lineRule="auto" w:before="0" w:after="0"/>
              <w:pStyle w:val="Compact"/>
            </w:pPr>
            <w:r>
              <w:rPr>
                <w:sz w:val="20"/>
                <w:szCs w:val="20"/>
              </w:rPr>
              <w:t xml:space="preserve">90751</w:t>
            </w:r>
          </w:p>
        </w:tc>
        <w:tc>
          <w:tcPr>
            <w:tcW w:w="0" w:type="auto"/>
          </w:tcPr>
          <w:p>
            <w:pPr>
              <w:spacing w:line="240" w:lineRule="auto" w:before="0" w:after="0"/>
              <w:pStyle w:val="Compact"/>
            </w:pPr>
            <w:r>
              <w:rPr>
                <w:sz w:val="20"/>
                <w:szCs w:val="20"/>
              </w:rPr>
              <w:t xml:space="preserve">Advanced Modeling of Fluid-Structure Interaction for Softgoods in Supersonic Flo</w:t>
            </w:r>
          </w:p>
        </w:tc>
        <w:tc>
          <w:tcPr>
            <w:tcW w:w="0" w:type="auto"/>
          </w:tcPr>
          <w:p>
            <w:pPr>
              <w:spacing w:line="240" w:lineRule="auto" w:before="0" w:after="0"/>
              <w:pStyle w:val="Compact"/>
            </w:pPr>
            <w:r>
              <w:rPr>
                <w:sz w:val="20"/>
                <w:szCs w:val="20"/>
              </w:rPr>
              <w:t xml:space="preserve">TX05</w:t>
            </w:r>
          </w:p>
        </w:tc>
        <w:tc>
          <w:tcPr>
            <w:tcW w:w="0" w:type="auto"/>
          </w:tcPr>
          <w:p>
            <w:pPr>
              <w:spacing w:line="240" w:lineRule="auto" w:before="0" w:after="0"/>
              <w:pStyle w:val="Compact"/>
            </w:pPr>
            <w:r>
              <w:rPr>
                <w:sz w:val="20"/>
                <w:szCs w:val="20"/>
              </w:rPr>
              <w:t xml:space="preserve">TX05.5.3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90751 (techport.nasa.gov/projects/90751), JPL/Caltech-led; public release</w:t>
            </w:r>
          </w:p>
        </w:tc>
      </w:tr>
      <w:tr>
        <w:tc>
          <w:tcPr>
            <w:tcW w:w="0" w:type="auto"/>
          </w:tcPr>
          <w:p>
            <w:pPr>
              <w:spacing w:line="240" w:lineRule="auto" w:before="0" w:after="0"/>
              <w:pStyle w:val="Compact"/>
            </w:pPr>
            <w:r>
              <w:rPr>
                <w:sz w:val="20"/>
                <w:szCs w:val="20"/>
              </w:rPr>
              <w:t xml:space="preserve">92753</w:t>
            </w:r>
          </w:p>
        </w:tc>
        <w:tc>
          <w:tcPr>
            <w:tcW w:w="0" w:type="auto"/>
          </w:tcPr>
          <w:p>
            <w:pPr>
              <w:spacing w:line="240" w:lineRule="auto" w:before="0" w:after="0"/>
              <w:pStyle w:val="Compact"/>
            </w:pPr>
            <w:r>
              <w:rPr>
                <w:sz w:val="20"/>
                <w:szCs w:val="20"/>
              </w:rPr>
              <w:t xml:space="preserve">An Advanced, Compact, Ultraviolet Imaging Spectrometer for Planetary Systems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92753 (techport.nasa.gov/projects/92753), JPL/Caltech-led; public release</w:t>
            </w:r>
          </w:p>
        </w:tc>
      </w:tr>
      <w:tr>
        <w:tc>
          <w:tcPr>
            <w:tcW w:w="0" w:type="auto"/>
          </w:tcPr>
          <w:p>
            <w:pPr>
              <w:spacing w:line="240" w:lineRule="auto" w:before="0" w:after="0"/>
              <w:pStyle w:val="Compact"/>
            </w:pPr>
            <w:r>
              <w:rPr>
                <w:sz w:val="20"/>
                <w:szCs w:val="20"/>
              </w:rPr>
              <w:t xml:space="preserve">92841</w:t>
            </w:r>
          </w:p>
        </w:tc>
        <w:tc>
          <w:tcPr>
            <w:tcW w:w="0" w:type="auto"/>
          </w:tcPr>
          <w:p>
            <w:pPr>
              <w:spacing w:line="240" w:lineRule="auto" w:before="0" w:after="0"/>
              <w:pStyle w:val="Compact"/>
            </w:pPr>
            <w:r>
              <w:rPr>
                <w:sz w:val="20"/>
                <w:szCs w:val="20"/>
              </w:rPr>
              <w:t xml:space="preserve">Active Mirrors for High Contrast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92841 (techport.nasa.gov/projects/92841), JPL/Caltech-led; public release</w:t>
            </w:r>
          </w:p>
        </w:tc>
      </w:tr>
      <w:tr>
        <w:tc>
          <w:tcPr>
            <w:tcW w:w="0" w:type="auto"/>
          </w:tcPr>
          <w:p>
            <w:pPr>
              <w:spacing w:line="240" w:lineRule="auto" w:before="0" w:after="0"/>
              <w:pStyle w:val="Compact"/>
            </w:pPr>
            <w:r>
              <w:rPr>
                <w:sz w:val="20"/>
                <w:szCs w:val="20"/>
              </w:rPr>
              <w:t xml:space="preserve">92616</w:t>
            </w:r>
          </w:p>
        </w:tc>
        <w:tc>
          <w:tcPr>
            <w:tcW w:w="0" w:type="auto"/>
          </w:tcPr>
          <w:p>
            <w:pPr>
              <w:spacing w:line="240" w:lineRule="auto" w:before="0" w:after="0"/>
              <w:pStyle w:val="Compact"/>
            </w:pPr>
            <w:r>
              <w:rPr>
                <w:sz w:val="20"/>
                <w:szCs w:val="20"/>
              </w:rPr>
              <w:t xml:space="preserve">A direct probe of dark energy interactions with a solar system laboratory</w:t>
            </w:r>
          </w:p>
        </w:tc>
        <w:tc>
          <w:tcPr>
            <w:tcW w:w="0" w:type="auto"/>
          </w:tcPr>
          <w:p>
            <w:pPr>
              <w:spacing w:line="240" w:lineRule="auto" w:before="0" w:after="0"/>
              <w:pStyle w:val="Compact"/>
            </w:pPr>
            <w:r>
              <w:rPr>
                <w:sz w:val="20"/>
                <w:szCs w:val="20"/>
              </w:rPr>
              <w:t xml:space="preserve">TX09</w:t>
            </w:r>
          </w:p>
        </w:tc>
        <w:tc>
          <w:tcPr>
            <w:tcW w:w="0" w:type="auto"/>
          </w:tcPr>
          <w:p>
            <w:pPr>
              <w:spacing w:line="240" w:lineRule="auto" w:before="0" w:after="0"/>
              <w:pStyle w:val="Compact"/>
            </w:pPr>
            <w:r>
              <w:rPr>
                <w:sz w:val="20"/>
                <w:szCs w:val="20"/>
              </w:rPr>
              <w:t xml:space="preserve">TX09.4.5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TechPort project 92616 (techport.nasa.gov/projects/92616), JPL/Caltech-led; public release</w:t>
            </w:r>
          </w:p>
        </w:tc>
      </w:tr>
      <w:tr>
        <w:tc>
          <w:tcPr>
            <w:tcW w:w="0" w:type="auto"/>
          </w:tcPr>
          <w:p>
            <w:pPr>
              <w:spacing w:line="240" w:lineRule="auto" w:before="0" w:after="0"/>
              <w:pStyle w:val="Compact"/>
            </w:pPr>
            <w:r>
              <w:rPr>
                <w:sz w:val="20"/>
                <w:szCs w:val="20"/>
              </w:rPr>
              <w:t xml:space="preserve">95091</w:t>
            </w:r>
          </w:p>
        </w:tc>
        <w:tc>
          <w:tcPr>
            <w:tcW w:w="0" w:type="auto"/>
          </w:tcPr>
          <w:p>
            <w:pPr>
              <w:spacing w:line="240" w:lineRule="auto" w:before="0" w:after="0"/>
              <w:pStyle w:val="Compact"/>
            </w:pPr>
            <w:r>
              <w:rPr>
                <w:sz w:val="20"/>
                <w:szCs w:val="20"/>
              </w:rPr>
              <w:t xml:space="preserve">Advanced vortex phase masks and techniques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95091 (techport.nasa.gov/projects/95091), JPL/Caltech-led; public release</w:t>
            </w:r>
          </w:p>
        </w:tc>
      </w:tr>
      <w:tr>
        <w:tc>
          <w:tcPr>
            <w:tcW w:w="0" w:type="auto"/>
          </w:tcPr>
          <w:p>
            <w:pPr>
              <w:spacing w:line="240" w:lineRule="auto" w:before="0" w:after="0"/>
              <w:pStyle w:val="Compact"/>
            </w:pPr>
            <w:r>
              <w:rPr>
                <w:sz w:val="20"/>
                <w:szCs w:val="20"/>
              </w:rPr>
              <w:t xml:space="preserve">95588</w:t>
            </w:r>
          </w:p>
        </w:tc>
        <w:tc>
          <w:tcPr>
            <w:tcW w:w="0" w:type="auto"/>
          </w:tcPr>
          <w:p>
            <w:pPr>
              <w:spacing w:line="240" w:lineRule="auto" w:before="0" w:after="0"/>
              <w:pStyle w:val="Compact"/>
            </w:pPr>
            <w:r>
              <w:rPr>
                <w:sz w:val="20"/>
                <w:szCs w:val="20"/>
              </w:rPr>
              <w:t xml:space="preserve">100 eV Resolution Detectors for Hard X-ray Doppler Tomography of Supernova Remna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TechPort project 95588 (techport.nasa.gov/projects/95588), JPL/Caltech-led; public release</w:t>
            </w:r>
          </w:p>
        </w:tc>
      </w:tr>
      <w:tr>
        <w:tc>
          <w:tcPr>
            <w:tcW w:w="0" w:type="auto"/>
          </w:tcPr>
          <w:p>
            <w:pPr>
              <w:spacing w:line="240" w:lineRule="auto" w:before="0" w:after="0"/>
              <w:pStyle w:val="Compact"/>
            </w:pPr>
            <w:r>
              <w:rPr>
                <w:sz w:val="20"/>
                <w:szCs w:val="20"/>
              </w:rPr>
              <w:t xml:space="preserve">96496</w:t>
            </w:r>
          </w:p>
        </w:tc>
        <w:tc>
          <w:tcPr>
            <w:tcW w:w="0" w:type="auto"/>
          </w:tcPr>
          <w:p>
            <w:pPr>
              <w:spacing w:line="240" w:lineRule="auto" w:before="0" w:after="0"/>
              <w:pStyle w:val="Compact"/>
            </w:pPr>
            <w:r>
              <w:rPr>
                <w:sz w:val="20"/>
                <w:szCs w:val="20"/>
              </w:rPr>
              <w:t xml:space="preserve">Adapting the Compact Integrated Raman Spectrometer (CIRS) for Lunar Exploration</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96496 (techport.nasa.gov/projects/96496), JPL/Caltech-led; public release</w:t>
            </w:r>
          </w:p>
        </w:tc>
      </w:tr>
      <w:tr>
        <w:tc>
          <w:tcPr>
            <w:tcW w:w="0" w:type="auto"/>
          </w:tcPr>
          <w:p>
            <w:pPr>
              <w:spacing w:line="240" w:lineRule="auto" w:before="0" w:after="0"/>
              <w:pStyle w:val="Compact"/>
            </w:pPr>
            <w:r>
              <w:rPr>
                <w:sz w:val="20"/>
                <w:szCs w:val="20"/>
              </w:rPr>
              <w:t xml:space="preserve">96504</w:t>
            </w:r>
          </w:p>
        </w:tc>
        <w:tc>
          <w:tcPr>
            <w:tcW w:w="0" w:type="auto"/>
          </w:tcPr>
          <w:p>
            <w:pPr>
              <w:spacing w:line="240" w:lineRule="auto" w:before="0" w:after="0"/>
              <w:pStyle w:val="Compact"/>
            </w:pPr>
            <w:r>
              <w:rPr>
                <w:sz w:val="20"/>
                <w:szCs w:val="20"/>
              </w:rPr>
              <w:t xml:space="preserve">An Ultra-Compact Imaging Spectrometer for the Lunar Surface: Enabling Volatile M</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TechPort project 96504 (techport.nasa.gov/projects/96504), JPL/Caltech-led; public release</w:t>
            </w:r>
          </w:p>
        </w:tc>
      </w:tr>
      <w:tr>
        <w:tc>
          <w:tcPr>
            <w:tcW w:w="0" w:type="auto"/>
          </w:tcPr>
          <w:p>
            <w:pPr>
              <w:spacing w:line="240" w:lineRule="auto" w:before="0" w:after="0"/>
              <w:pStyle w:val="Compact"/>
            </w:pPr>
            <w:r>
              <w:rPr>
                <w:sz w:val="20"/>
                <w:szCs w:val="20"/>
              </w:rPr>
              <w:t xml:space="preserve">96325</w:t>
            </w:r>
          </w:p>
        </w:tc>
        <w:tc>
          <w:tcPr>
            <w:tcW w:w="0" w:type="auto"/>
          </w:tcPr>
          <w:p>
            <w:pPr>
              <w:spacing w:line="240" w:lineRule="auto" w:before="0" w:after="0"/>
              <w:pStyle w:val="Compact"/>
            </w:pPr>
            <w:r>
              <w:rPr>
                <w:sz w:val="20"/>
                <w:szCs w:val="20"/>
              </w:rPr>
              <w:t xml:space="preserve">Advanced Filter Solutions for Multiband and Broadband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96325 (techport.nasa.gov/projects/96325), JPL/Caltech-led; public release</w:t>
            </w:r>
          </w:p>
        </w:tc>
      </w:tr>
      <w:tr>
        <w:tc>
          <w:tcPr>
            <w:tcW w:w="0" w:type="auto"/>
          </w:tcPr>
          <w:p>
            <w:pPr>
              <w:spacing w:line="240" w:lineRule="auto" w:before="0" w:after="0"/>
              <w:pStyle w:val="Compact"/>
            </w:pPr>
            <w:r>
              <w:rPr>
                <w:sz w:val="20"/>
                <w:szCs w:val="20"/>
              </w:rPr>
              <w:t xml:space="preserve">96365</w:t>
            </w:r>
          </w:p>
        </w:tc>
        <w:tc>
          <w:tcPr>
            <w:tcW w:w="0" w:type="auto"/>
          </w:tcPr>
          <w:p>
            <w:pPr>
              <w:spacing w:line="240" w:lineRule="auto" w:before="0" w:after="0"/>
              <w:pStyle w:val="Compact"/>
            </w:pPr>
            <w:r>
              <w:rPr>
                <w:sz w:val="20"/>
                <w:szCs w:val="20"/>
              </w:rPr>
              <w:t xml:space="preserve">A Novel Optical Etalon for Precision Radial Velocity Measurements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96365 (techport.nasa.gov/projects/96365), JPL/Caltech-led; public release</w:t>
            </w:r>
          </w:p>
        </w:tc>
      </w:tr>
      <w:tr>
        <w:tc>
          <w:tcPr>
            <w:tcW w:w="0" w:type="auto"/>
          </w:tcPr>
          <w:p>
            <w:pPr>
              <w:spacing w:line="240" w:lineRule="auto" w:before="0" w:after="0"/>
              <w:pStyle w:val="Compact"/>
            </w:pPr>
            <w:r>
              <w:rPr>
                <w:sz w:val="20"/>
                <w:szCs w:val="20"/>
              </w:rPr>
              <w:t xml:space="preserve">146370</w:t>
            </w:r>
          </w:p>
        </w:tc>
        <w:tc>
          <w:tcPr>
            <w:tcW w:w="0" w:type="auto"/>
          </w:tcPr>
          <w:p>
            <w:pPr>
              <w:spacing w:line="240" w:lineRule="auto" w:before="0" w:after="0"/>
              <w:pStyle w:val="Compact"/>
            </w:pPr>
            <w:r>
              <w:rPr>
                <w:sz w:val="20"/>
                <w:szCs w:val="20"/>
              </w:rPr>
              <w:t xml:space="preserve">A Space-based Tractor Beam for Neutral Atoms: A Hybridized Magnetic and Optical</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146370 (techport.nasa.gov/projects/146370), JPL/Caltech-led; public release</w:t>
            </w:r>
          </w:p>
        </w:tc>
      </w:tr>
      <w:tr>
        <w:tc>
          <w:tcPr>
            <w:tcW w:w="0" w:type="auto"/>
          </w:tcPr>
          <w:p>
            <w:pPr>
              <w:spacing w:line="240" w:lineRule="auto" w:before="0" w:after="0"/>
              <w:pStyle w:val="Compact"/>
            </w:pPr>
            <w:r>
              <w:rPr>
                <w:sz w:val="20"/>
                <w:szCs w:val="20"/>
              </w:rPr>
              <w:t xml:space="preserve">146373</w:t>
            </w:r>
          </w:p>
        </w:tc>
        <w:tc>
          <w:tcPr>
            <w:tcW w:w="0" w:type="auto"/>
          </w:tcPr>
          <w:p>
            <w:pPr>
              <w:spacing w:line="240" w:lineRule="auto" w:before="0" w:after="0"/>
              <w:pStyle w:val="Compact"/>
            </w:pPr>
            <w:r>
              <w:rPr>
                <w:sz w:val="20"/>
                <w:szCs w:val="20"/>
              </w:rPr>
              <w:t xml:space="preserve">Advanced Lithography to Maximize Performance of Wafer-thin Integrated Photonic 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146373 (techport.nasa.gov/projects/146373), JPL/Caltech-led; public release</w:t>
            </w:r>
          </w:p>
        </w:tc>
      </w:tr>
      <w:tr>
        <w:tc>
          <w:tcPr>
            <w:tcW w:w="0" w:type="auto"/>
          </w:tcPr>
          <w:p>
            <w:pPr>
              <w:spacing w:line="240" w:lineRule="auto" w:before="0" w:after="0"/>
              <w:pStyle w:val="Compact"/>
            </w:pPr>
            <w:r>
              <w:rPr>
                <w:sz w:val="20"/>
                <w:szCs w:val="20"/>
              </w:rPr>
              <w:t xml:space="preserve">146374</w:t>
            </w:r>
          </w:p>
        </w:tc>
        <w:tc>
          <w:tcPr>
            <w:tcW w:w="0" w:type="auto"/>
          </w:tcPr>
          <w:p>
            <w:pPr>
              <w:spacing w:line="240" w:lineRule="auto" w:before="0" w:after="0"/>
              <w:pStyle w:val="Compact"/>
            </w:pPr>
            <w:r>
              <w:rPr>
                <w:sz w:val="20"/>
                <w:szCs w:val="20"/>
              </w:rPr>
              <w:t xml:space="preserve">Acidic Aerosol Separator Apparatus (ASA) For Venus Aerosol Mass Spectrometer (VA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TechPort project 146374 (techport.nasa.gov/projects/146374), JPL/Caltech-led; public release</w:t>
            </w:r>
          </w:p>
        </w:tc>
      </w:tr>
      <w:tr>
        <w:tc>
          <w:tcPr>
            <w:tcW w:w="0" w:type="auto"/>
          </w:tcPr>
          <w:p>
            <w:pPr>
              <w:spacing w:line="240" w:lineRule="auto" w:before="0" w:after="0"/>
              <w:pStyle w:val="Compact"/>
            </w:pPr>
            <w:r>
              <w:rPr>
                <w:sz w:val="20"/>
                <w:szCs w:val="20"/>
              </w:rPr>
              <w:t xml:space="preserve">146434</w:t>
            </w:r>
          </w:p>
        </w:tc>
        <w:tc>
          <w:tcPr>
            <w:tcW w:w="0" w:type="auto"/>
          </w:tcPr>
          <w:p>
            <w:pPr>
              <w:spacing w:line="240" w:lineRule="auto" w:before="0" w:after="0"/>
              <w:pStyle w:val="Compact"/>
            </w:pPr>
            <w:r>
              <w:rPr>
                <w:sz w:val="20"/>
                <w:szCs w:val="20"/>
              </w:rPr>
              <w:t xml:space="preserve">Advanced Lithography to Maximize Performance of Wafer-thin Integrated Photonic 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146434 (techport.nasa.gov/projects/146434), JPL/Caltech-led; public release</w:t>
            </w:r>
          </w:p>
        </w:tc>
      </w:tr>
      <w:tr>
        <w:tc>
          <w:tcPr>
            <w:tcW w:w="0" w:type="auto"/>
          </w:tcPr>
          <w:p>
            <w:pPr>
              <w:spacing w:line="240" w:lineRule="auto" w:before="0" w:after="0"/>
              <w:pStyle w:val="Compact"/>
            </w:pPr>
            <w:r>
              <w:rPr>
                <w:sz w:val="20"/>
                <w:szCs w:val="20"/>
              </w:rPr>
              <w:t xml:space="preserve">146435</w:t>
            </w:r>
          </w:p>
        </w:tc>
        <w:tc>
          <w:tcPr>
            <w:tcW w:w="0" w:type="auto"/>
          </w:tcPr>
          <w:p>
            <w:pPr>
              <w:spacing w:line="240" w:lineRule="auto" w:before="0" w:after="0"/>
              <w:pStyle w:val="Compact"/>
            </w:pPr>
            <w:r>
              <w:rPr>
                <w:sz w:val="20"/>
                <w:szCs w:val="20"/>
              </w:rPr>
              <w:t xml:space="preserve">A Space-based Tractor Beam for Neutral Atoms:A Hybridized Magnetic and Optical T</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0.6667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146435 (techport.nasa.gov/projects/146435), JPL/Caltech-led; public release</w:t>
            </w:r>
          </w:p>
        </w:tc>
      </w:tr>
      <w:tr>
        <w:tc>
          <w:tcPr>
            <w:tcW w:w="0" w:type="auto"/>
          </w:tcPr>
          <w:p>
            <w:pPr>
              <w:spacing w:line="240" w:lineRule="auto" w:before="0" w:after="0"/>
              <w:pStyle w:val="Compact"/>
            </w:pPr>
            <w:r>
              <w:rPr>
                <w:sz w:val="20"/>
                <w:szCs w:val="20"/>
              </w:rPr>
              <w:t xml:space="preserve">146437</w:t>
            </w:r>
          </w:p>
        </w:tc>
        <w:tc>
          <w:tcPr>
            <w:tcW w:w="0" w:type="auto"/>
          </w:tcPr>
          <w:p>
            <w:pPr>
              <w:spacing w:line="240" w:lineRule="auto" w:before="0" w:after="0"/>
              <w:pStyle w:val="Compact"/>
            </w:pPr>
            <w:r>
              <w:rPr>
                <w:sz w:val="20"/>
                <w:szCs w:val="20"/>
              </w:rPr>
              <w:t xml:space="preserve">Acidic Aerosol Separator Apparatus (ASA) For Venus Aerosol Mass Spectrometer (VA</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146437 (techport.nasa.gov/projects/146437), JPL/Caltech-led; public release</w:t>
            </w:r>
          </w:p>
        </w:tc>
      </w:tr>
      <w:tr>
        <w:tc>
          <w:tcPr>
            <w:tcW w:w="0" w:type="auto"/>
          </w:tcPr>
          <w:p>
            <w:pPr>
              <w:spacing w:line="240" w:lineRule="auto" w:before="0" w:after="0"/>
              <w:pStyle w:val="Compact"/>
            </w:pPr>
            <w:r>
              <w:rPr>
                <w:sz w:val="20"/>
                <w:szCs w:val="20"/>
              </w:rPr>
              <w:t xml:space="preserve">157170</w:t>
            </w:r>
          </w:p>
        </w:tc>
        <w:tc>
          <w:tcPr>
            <w:tcW w:w="0" w:type="auto"/>
          </w:tcPr>
          <w:p>
            <w:pPr>
              <w:spacing w:line="240" w:lineRule="auto" w:before="0" w:after="0"/>
              <w:pStyle w:val="Compact"/>
            </w:pPr>
            <w:r>
              <w:rPr>
                <w:sz w:val="20"/>
                <w:szCs w:val="20"/>
              </w:rPr>
              <w:t xml:space="preserve">Aerial Mobility and Cross-cutting Avionics</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TechPort project 157170 (techport.nasa.gov/projects/157170), JPL/Caltech-led; public release</w:t>
            </w:r>
          </w:p>
        </w:tc>
      </w:tr>
      <w:tr>
        <w:tc>
          <w:tcPr>
            <w:tcW w:w="0" w:type="auto"/>
          </w:tcPr>
          <w:p>
            <w:pPr>
              <w:spacing w:line="240" w:lineRule="auto" w:before="0" w:after="0"/>
              <w:pStyle w:val="Compact"/>
            </w:pPr>
            <w:r>
              <w:rPr>
                <w:sz w:val="20"/>
                <w:szCs w:val="20"/>
              </w:rPr>
              <w:t xml:space="preserve">117201</w:t>
            </w:r>
          </w:p>
        </w:tc>
        <w:tc>
          <w:tcPr>
            <w:tcW w:w="0" w:type="auto"/>
          </w:tcPr>
          <w:p>
            <w:pPr>
              <w:spacing w:line="240" w:lineRule="auto" w:before="0" w:after="0"/>
              <w:pStyle w:val="Compact"/>
            </w:pPr>
            <w:r>
              <w:rPr>
                <w:sz w:val="20"/>
                <w:szCs w:val="20"/>
              </w:rPr>
              <w:t xml:space="preserve">Astrophysics Miniature UV Spatial Spectrometer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117201 (techport.nasa.gov/projects/117201), JPL/Caltech-led; public release</w:t>
            </w:r>
          </w:p>
        </w:tc>
      </w:tr>
      <w:tr>
        <w:tc>
          <w:tcPr>
            <w:tcW w:w="0" w:type="auto"/>
          </w:tcPr>
          <w:p>
            <w:pPr>
              <w:spacing w:line="240" w:lineRule="auto" w:before="0" w:after="0"/>
              <w:pStyle w:val="Compact"/>
            </w:pPr>
            <w:r>
              <w:rPr>
                <w:sz w:val="20"/>
                <w:szCs w:val="20"/>
              </w:rPr>
              <w:t xml:space="preserve">146552</w:t>
            </w:r>
          </w:p>
        </w:tc>
        <w:tc>
          <w:tcPr>
            <w:tcW w:w="0" w:type="auto"/>
          </w:tcPr>
          <w:p>
            <w:pPr>
              <w:spacing w:line="240" w:lineRule="auto" w:before="0" w:after="0"/>
              <w:pStyle w:val="Compact"/>
            </w:pPr>
            <w:r>
              <w:rPr>
                <w:sz w:val="20"/>
                <w:szCs w:val="20"/>
              </w:rPr>
              <w:t xml:space="preserve">Advancement of Planetary Protection to Complete Biologic Inventory via Cryo-Elec</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TechPort project 146552 (techport.nasa.gov/projects/146552), JPL/Caltech-led; public release</w:t>
            </w:r>
          </w:p>
        </w:tc>
      </w:tr>
      <w:tr>
        <w:tc>
          <w:tcPr>
            <w:tcW w:w="0" w:type="auto"/>
          </w:tcPr>
          <w:p>
            <w:pPr>
              <w:spacing w:line="240" w:lineRule="auto" w:before="0" w:after="0"/>
              <w:pStyle w:val="Compact"/>
            </w:pPr>
            <w:r>
              <w:rPr>
                <w:sz w:val="20"/>
                <w:szCs w:val="20"/>
              </w:rPr>
              <w:t xml:space="preserve">146941</w:t>
            </w:r>
          </w:p>
        </w:tc>
        <w:tc>
          <w:tcPr>
            <w:tcW w:w="0" w:type="auto"/>
          </w:tcPr>
          <w:p>
            <w:pPr>
              <w:spacing w:line="240" w:lineRule="auto" w:before="0" w:after="0"/>
              <w:pStyle w:val="Compact"/>
            </w:pPr>
            <w:r>
              <w:rPr>
                <w:sz w:val="20"/>
                <w:szCs w:val="20"/>
              </w:rPr>
              <w:t xml:space="preserve">Advancement of Planetary Protection to Complete Biologic Inventory via Cryo-Elec</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146941 (techport.nasa.gov/projects/146941), JPL/Caltech-led; public release</w:t>
            </w:r>
          </w:p>
        </w:tc>
      </w:tr>
      <w:tr>
        <w:tc>
          <w:tcPr>
            <w:tcW w:w="0" w:type="auto"/>
          </w:tcPr>
          <w:p>
            <w:pPr>
              <w:spacing w:line="240" w:lineRule="auto" w:before="0" w:after="0"/>
              <w:pStyle w:val="Compact"/>
            </w:pPr>
            <w:r>
              <w:rPr>
                <w:sz w:val="20"/>
                <w:szCs w:val="20"/>
              </w:rPr>
              <w:t xml:space="preserve">157536</w:t>
            </w:r>
          </w:p>
        </w:tc>
        <w:tc>
          <w:tcPr>
            <w:tcW w:w="0" w:type="auto"/>
          </w:tcPr>
          <w:p>
            <w:pPr>
              <w:spacing w:line="240" w:lineRule="auto" w:before="0" w:after="0"/>
              <w:pStyle w:val="Compact"/>
            </w:pPr>
            <w:r>
              <w:rPr>
                <w:sz w:val="20"/>
                <w:szCs w:val="20"/>
              </w:rPr>
              <w:t xml:space="preserve">A Hybrid Quantum Capacitance- Kinetic Inductance far-Infrared Detector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157536 (techport.nasa.gov/projects/157536), JPL/Caltech-led; public release</w:t>
            </w:r>
          </w:p>
        </w:tc>
      </w:tr>
      <w:tr>
        <w:tc>
          <w:tcPr>
            <w:tcW w:w="0" w:type="auto"/>
          </w:tcPr>
          <w:p>
            <w:pPr>
              <w:spacing w:line="240" w:lineRule="auto" w:before="0" w:after="0"/>
              <w:pStyle w:val="Compact"/>
            </w:pPr>
            <w:r>
              <w:rPr>
                <w:sz w:val="20"/>
                <w:szCs w:val="20"/>
              </w:rPr>
              <w:t xml:space="preserve">157564</w:t>
            </w:r>
          </w:p>
        </w:tc>
        <w:tc>
          <w:tcPr>
            <w:tcW w:w="0" w:type="auto"/>
          </w:tcPr>
          <w:p>
            <w:pPr>
              <w:spacing w:line="240" w:lineRule="auto" w:before="0" w:after="0"/>
              <w:pStyle w:val="Compact"/>
            </w:pPr>
            <w:r>
              <w:rPr>
                <w:sz w:val="20"/>
                <w:szCs w:val="20"/>
              </w:rPr>
              <w:t xml:space="preserve">ASTHROS: Astrophysics Stratospheric Telescope for High Spectral Resolution Obser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157564 (techport.nasa.gov/projects/157564), JPL/Caltech-led; public release</w:t>
            </w:r>
          </w:p>
        </w:tc>
      </w:tr>
      <w:tr>
        <w:tc>
          <w:tcPr>
            <w:tcW w:w="0" w:type="auto"/>
          </w:tcPr>
          <w:p>
            <w:pPr>
              <w:spacing w:line="240" w:lineRule="auto" w:before="0" w:after="0"/>
              <w:pStyle w:val="Compact"/>
            </w:pPr>
            <w:r>
              <w:rPr>
                <w:sz w:val="20"/>
                <w:szCs w:val="20"/>
              </w:rPr>
              <w:t xml:space="preserve">157587</w:t>
            </w:r>
          </w:p>
        </w:tc>
        <w:tc>
          <w:tcPr>
            <w:tcW w:w="0" w:type="auto"/>
          </w:tcPr>
          <w:p>
            <w:pPr>
              <w:spacing w:line="240" w:lineRule="auto" w:before="0" w:after="0"/>
              <w:pStyle w:val="Compact"/>
            </w:pPr>
            <w:r>
              <w:rPr>
                <w:sz w:val="20"/>
                <w:szCs w:val="20"/>
              </w:rPr>
              <w:t xml:space="preserve">A low-order hardware implementation for sensing and control in exoplanet imaging</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157587 (techport.nasa.gov/projects/157587), JPL/Caltech-led; public release</w:t>
            </w:r>
          </w:p>
        </w:tc>
      </w:tr>
      <w:tr>
        <w:tc>
          <w:tcPr>
            <w:tcW w:w="0" w:type="auto"/>
          </w:tcPr>
          <w:p>
            <w:pPr>
              <w:spacing w:line="240" w:lineRule="auto" w:before="0" w:after="0"/>
              <w:pStyle w:val="Compact"/>
            </w:pPr>
            <w:r>
              <w:rPr>
                <w:sz w:val="20"/>
                <w:szCs w:val="20"/>
              </w:rPr>
              <w:t xml:space="preserve">157592</w:t>
            </w:r>
          </w:p>
        </w:tc>
        <w:tc>
          <w:tcPr>
            <w:tcW w:w="0" w:type="auto"/>
          </w:tcPr>
          <w:p>
            <w:pPr>
              <w:spacing w:line="240" w:lineRule="auto" w:before="0" w:after="0"/>
              <w:pStyle w:val="Compact"/>
            </w:pPr>
            <w:r>
              <w:rPr>
                <w:sz w:val="20"/>
                <w:szCs w:val="20"/>
              </w:rPr>
              <w:t xml:space="preserve">A High-Performance Ultraviolet Photon Counting Detector for Strategic Astrophysi</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TechPort project 157592 (techport.nasa.gov/projects/157592), JPL/Caltech-led; public release</w:t>
            </w:r>
          </w:p>
        </w:tc>
      </w:tr>
      <w:tr>
        <w:tc>
          <w:tcPr>
            <w:tcW w:w="0" w:type="auto"/>
          </w:tcPr>
          <w:p>
            <w:pPr>
              <w:spacing w:line="240" w:lineRule="auto" w:before="0" w:after="0"/>
              <w:pStyle w:val="Compact"/>
            </w:pPr>
            <w:r>
              <w:rPr>
                <w:sz w:val="20"/>
                <w:szCs w:val="20"/>
              </w:rPr>
              <w:t xml:space="preserve">182846</w:t>
            </w:r>
          </w:p>
        </w:tc>
        <w:tc>
          <w:tcPr>
            <w:tcW w:w="0" w:type="auto"/>
          </w:tcPr>
          <w:p>
            <w:pPr>
              <w:spacing w:line="240" w:lineRule="auto" w:before="0" w:after="0"/>
              <w:pStyle w:val="Compact"/>
            </w:pPr>
            <w:r>
              <w:rPr>
                <w:sz w:val="20"/>
                <w:szCs w:val="20"/>
              </w:rPr>
              <w:t xml:space="preserve">Achieving More with Less: Improved Surface Mobility Performance</w:t>
            </w:r>
          </w:p>
        </w:tc>
        <w:tc>
          <w:tcPr>
            <w:tcW w:w="0" w:type="auto"/>
          </w:tcPr>
          <w:p>
            <w:pPr>
              <w:spacing w:line="240" w:lineRule="auto" w:before="0" w:after="0"/>
              <w:pStyle w:val="Compact"/>
            </w:pPr>
            <w:r>
              <w:rPr>
                <w:sz w:val="20"/>
                <w:szCs w:val="20"/>
              </w:rPr>
              <w:t xml:space="preserve">TX04</w:t>
            </w:r>
          </w:p>
        </w:tc>
        <w:tc>
          <w:tcPr>
            <w:tcW w:w="0" w:type="auto"/>
          </w:tcPr>
          <w:p>
            <w:pPr>
              <w:spacing w:line="240" w:lineRule="auto" w:before="0" w:after="0"/>
              <w:pStyle w:val="Compact"/>
            </w:pPr>
            <w:r>
              <w:rPr>
                <w:sz w:val="20"/>
                <w:szCs w:val="20"/>
              </w:rPr>
              <w:t xml:space="preserve">TX04.2.4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 TechPort project 182846 (techport.nasa.gov/projects/182846), JPL/Caltech-led; public release</w:t>
            </w:r>
          </w:p>
        </w:tc>
      </w:tr>
      <w:tr>
        <w:tc>
          <w:tcPr>
            <w:tcW w:w="0" w:type="auto"/>
          </w:tcPr>
          <w:p>
            <w:pPr>
              <w:spacing w:line="240" w:lineRule="auto" w:before="0" w:after="0"/>
              <w:pStyle w:val="Compact"/>
            </w:pPr>
            <w:r>
              <w:rPr>
                <w:sz w:val="20"/>
                <w:szCs w:val="20"/>
              </w:rPr>
              <w:t xml:space="preserve">182384</w:t>
            </w:r>
          </w:p>
        </w:tc>
        <w:tc>
          <w:tcPr>
            <w:tcW w:w="0" w:type="auto"/>
          </w:tcPr>
          <w:p>
            <w:pPr>
              <w:spacing w:line="240" w:lineRule="auto" w:before="0" w:after="0"/>
              <w:pStyle w:val="Compact"/>
            </w:pPr>
            <w:r>
              <w:rPr>
                <w:sz w:val="20"/>
                <w:szCs w:val="20"/>
              </w:rPr>
              <w:t xml:space="preserve">A Lunar Spectroscopic Tool for Raman Analysis</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182384 (techport.nasa.gov/projects/182384), JPL/Caltech-led; public release</w:t>
            </w:r>
          </w:p>
        </w:tc>
      </w:tr>
      <w:tr>
        <w:tc>
          <w:tcPr>
            <w:tcW w:w="0" w:type="auto"/>
          </w:tcPr>
          <w:p>
            <w:pPr>
              <w:spacing w:line="240" w:lineRule="auto" w:before="0" w:after="0"/>
              <w:pStyle w:val="Compact"/>
            </w:pPr>
            <w:r>
              <w:rPr>
                <w:sz w:val="20"/>
                <w:szCs w:val="20"/>
              </w:rPr>
              <w:t xml:space="preserve">185324</w:t>
            </w:r>
          </w:p>
        </w:tc>
        <w:tc>
          <w:tcPr>
            <w:tcW w:w="0" w:type="auto"/>
          </w:tcPr>
          <w:p>
            <w:pPr>
              <w:spacing w:line="240" w:lineRule="auto" w:before="0" w:after="0"/>
              <w:pStyle w:val="Compact"/>
            </w:pPr>
            <w:r>
              <w:rPr>
                <w:sz w:val="20"/>
                <w:szCs w:val="20"/>
              </w:rPr>
              <w:t xml:space="preserve">-200°C Rad hard Cold Capable Thermally multiplexed controller</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185324 (techport.nasa.gov/projects/185324), JPL/Caltech-led; public release</w:t>
            </w:r>
          </w:p>
        </w:tc>
      </w:tr>
      <w:tr>
        <w:tc>
          <w:tcPr>
            <w:tcW w:w="0" w:type="auto"/>
          </w:tcPr>
          <w:p>
            <w:pPr>
              <w:spacing w:line="240" w:lineRule="auto" w:before="0" w:after="0"/>
              <w:pStyle w:val="Compact"/>
            </w:pPr>
            <w:r>
              <w:rPr>
                <w:sz w:val="20"/>
                <w:szCs w:val="20"/>
              </w:rPr>
              <w:t xml:space="preserve">185638</w:t>
            </w:r>
          </w:p>
        </w:tc>
        <w:tc>
          <w:tcPr>
            <w:tcW w:w="0" w:type="auto"/>
          </w:tcPr>
          <w:p>
            <w:pPr>
              <w:spacing w:line="240" w:lineRule="auto" w:before="0" w:after="0"/>
              <w:pStyle w:val="Compact"/>
            </w:pPr>
            <w:r>
              <w:rPr>
                <w:sz w:val="20"/>
                <w:szCs w:val="20"/>
              </w:rPr>
              <w:t xml:space="preserve">Atomically-Referenced Optical Wavelength Standard</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185638 (techport.nasa.gov/projects/185638), JPL/Caltech-led; public release</w:t>
            </w:r>
          </w:p>
        </w:tc>
      </w:tr>
      <w:tr>
        <w:tc>
          <w:tcPr>
            <w:tcW w:w="0" w:type="auto"/>
          </w:tcPr>
          <w:p>
            <w:pPr>
              <w:spacing w:line="240" w:lineRule="auto" w:before="0" w:after="0"/>
              <w:pStyle w:val="Compact"/>
            </w:pPr>
            <w:r>
              <w:rPr>
                <w:sz w:val="20"/>
                <w:szCs w:val="20"/>
              </w:rPr>
              <w:t xml:space="preserve">185648</w:t>
            </w:r>
          </w:p>
        </w:tc>
        <w:tc>
          <w:tcPr>
            <w:tcW w:w="0" w:type="auto"/>
          </w:tcPr>
          <w:p>
            <w:pPr>
              <w:spacing w:line="240" w:lineRule="auto" w:before="0" w:after="0"/>
              <w:pStyle w:val="Compact"/>
            </w:pPr>
            <w:r>
              <w:rPr>
                <w:sz w:val="20"/>
                <w:szCs w:val="20"/>
              </w:rPr>
              <w:t xml:space="preserve">Advanced Cryogenic Insulation with reduced thermal conduction and high performan</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185648 (techport.nasa.gov/projects/185648), JPL/Caltech-led; public release</w:t>
            </w:r>
          </w:p>
        </w:tc>
      </w:tr>
      <w:tr>
        <w:tc>
          <w:tcPr>
            <w:tcW w:w="0" w:type="auto"/>
          </w:tcPr>
          <w:p>
            <w:pPr>
              <w:spacing w:line="240" w:lineRule="auto" w:before="0" w:after="0"/>
              <w:pStyle w:val="Compact"/>
            </w:pPr>
            <w:r>
              <w:rPr>
                <w:sz w:val="20"/>
                <w:szCs w:val="20"/>
              </w:rPr>
              <w:t xml:space="preserve">185651</w:t>
            </w:r>
          </w:p>
        </w:tc>
        <w:tc>
          <w:tcPr>
            <w:tcW w:w="0" w:type="auto"/>
          </w:tcPr>
          <w:p>
            <w:pPr>
              <w:spacing w:line="240" w:lineRule="auto" w:before="0" w:after="0"/>
              <w:pStyle w:val="Compact"/>
            </w:pPr>
            <w:r>
              <w:rPr>
                <w:sz w:val="20"/>
                <w:szCs w:val="20"/>
              </w:rPr>
              <w:t xml:space="preserve">ALOHA - Adaptive Large-capacity Optical-infrared High-dynamic-range Array</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TX08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TechPort project 185651 (techport.nasa.gov/projects/185651), JPL/Caltech-led; public release</w:t>
            </w:r>
          </w:p>
        </w:tc>
      </w:tr>
    </w:tbl>
    <w:bookmarkEnd w:id="207"/>
    <w:bookmarkStart w:id="20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ln_dur_per_trl</w:t>
            </w:r>
          </w:p>
        </w:tc>
        <w:tc>
          <w:tcPr>
            <w:tcW w:w="0" w:type="auto"/>
          </w:tcPr>
          <w:p>
            <w:pPr>
              <w:spacing w:line="240" w:lineRule="auto" w:before="0" w:after="0"/>
              <w:pStyle w:val="Compact"/>
            </w:pPr>
            <w:r>
              <w:rPr>
                <w:sz w:val="20"/>
                <w:szCs w:val="20"/>
              </w:rPr>
              <w:t xml:space="preserve">Natural log of per-TRL maturation time: inclusive project span in years (end year minus start year, plus one) divided by TRL steps advanced. The dependent variable; project span is the cost surrogate used because TechPort withholds project dollars in public release.</w:t>
            </w:r>
          </w:p>
        </w:tc>
        <w:tc>
          <w:tcPr>
            <w:tcW w:w="0" w:type="auto"/>
          </w:tcPr>
          <w:p>
            <w:pPr>
              <w:spacing w:line="240" w:lineRule="auto" w:before="0" w:after="0"/>
              <w:pStyle w:val="Compact"/>
            </w:pPr>
            <w:r>
              <w:rPr>
                <w:sz w:val="20"/>
                <w:szCs w:val="20"/>
              </w:rPr>
              <w:t xml:space="preserve">NASA TechPort project records (trlBegin, trlEnd, startYear, endYear); techport.nasa.gov/api</w:t>
            </w:r>
          </w:p>
        </w:tc>
      </w:tr>
      <w:tr>
        <w:tc>
          <w:tcPr>
            <w:tcW w:w="0" w:type="auto"/>
          </w:tcPr>
          <w:p>
            <w:pPr>
              <w:spacing w:line="240" w:lineRule="auto" w:before="0" w:after="0"/>
              <w:pStyle w:val="Compact"/>
            </w:pPr>
            <w:r>
              <w:rPr>
                <w:sz w:val="20"/>
                <w:szCs w:val="20"/>
              </w:rPr>
              <w:t xml:space="preserve">ln_cum_exp</w:t>
            </w:r>
          </w:p>
        </w:tc>
        <w:tc>
          <w:tcPr>
            <w:tcW w:w="0" w:type="auto"/>
          </w:tcPr>
          <w:p>
            <w:pPr>
              <w:spacing w:line="240" w:lineRule="auto" w:before="0" w:after="0"/>
              <w:pStyle w:val="Compact"/>
            </w:pPr>
            <w:r>
              <w:rPr>
                <w:sz w:val="20"/>
                <w:szCs w:val="20"/>
              </w:rPr>
              <w:t xml:space="preserve">Natural log of one plus the cumulative count of prior JPL-led TechPort projects in the same NASA Technology Taxonomy family that began earlier in the start-year ordering. The within-category experience regressor; coefficient beta is the experience elasticity.</w:t>
            </w:r>
          </w:p>
        </w:tc>
        <w:tc>
          <w:tcPr>
            <w:tcW w:w="0" w:type="auto"/>
          </w:tcPr>
          <w:p>
            <w:pPr>
              <w:spacing w:line="240" w:lineRule="auto" w:before="0" w:after="0"/>
              <w:pStyle w:val="Compact"/>
            </w:pPr>
            <w:r>
              <w:rPr>
                <w:sz w:val="20"/>
                <w:szCs w:val="20"/>
              </w:rPr>
              <w:t xml:space="preserve">Derived from start-year-ordered TechPort history within taxonomy family; constructed only from records predating each observation</w:t>
            </w:r>
          </w:p>
        </w:tc>
      </w:tr>
      <w:tr>
        <w:tc>
          <w:tcPr>
            <w:tcW w:w="0" w:type="auto"/>
          </w:tcPr>
          <w:p>
            <w:pPr>
              <w:spacing w:line="240" w:lineRule="auto" w:before="0" w:after="0"/>
              <w:pStyle w:val="Compact"/>
            </w:pPr>
            <w:r>
              <w:rPr>
                <w:sz w:val="20"/>
                <w:szCs w:val="20"/>
              </w:rPr>
              <w:t xml:space="preserve">ln_steps</w:t>
            </w:r>
          </w:p>
        </w:tc>
        <w:tc>
          <w:tcPr>
            <w:tcW w:w="0" w:type="auto"/>
          </w:tcPr>
          <w:p>
            <w:pPr>
              <w:spacing w:line="240" w:lineRule="auto" w:before="0" w:after="0"/>
              <w:pStyle w:val="Compact"/>
            </w:pPr>
            <w:r>
              <w:rPr>
                <w:sz w:val="20"/>
                <w:szCs w:val="20"/>
              </w:rPr>
              <w:t xml:space="preserve">Natural log of TRL steps advanced (end TRL minus start TRL). Scope-of-advancement control so beta is read at fixed advancement size.</w:t>
            </w:r>
          </w:p>
        </w:tc>
        <w:tc>
          <w:tcPr>
            <w:tcW w:w="0" w:type="auto"/>
          </w:tcPr>
          <w:p>
            <w:pPr>
              <w:spacing w:line="240" w:lineRule="auto" w:before="0" w:after="0"/>
              <w:pStyle w:val="Compact"/>
            </w:pPr>
            <w:r>
              <w:rPr>
                <w:sz w:val="20"/>
                <w:szCs w:val="20"/>
              </w:rPr>
              <w:t xml:space="preserve">NASA TechPort trlBegin and trlEnd fields</w:t>
            </w:r>
          </w:p>
        </w:tc>
      </w:tr>
      <w:tr>
        <w:tc>
          <w:tcPr>
            <w:tcW w:w="0" w:type="auto"/>
          </w:tcPr>
          <w:p>
            <w:pPr>
              <w:spacing w:line="240" w:lineRule="auto" w:before="0" w:after="0"/>
              <w:pStyle w:val="Compact"/>
            </w:pPr>
            <w:r>
              <w:rPr>
                <w:sz w:val="20"/>
                <w:szCs w:val="20"/>
              </w:rPr>
              <w:t xml:space="preserve">syr_c</w:t>
            </w:r>
          </w:p>
        </w:tc>
        <w:tc>
          <w:tcPr>
            <w:tcW w:w="0" w:type="auto"/>
          </w:tcPr>
          <w:p>
            <w:pPr>
              <w:spacing w:line="240" w:lineRule="auto" w:before="0" w:after="0"/>
              <w:pStyle w:val="Compact"/>
            </w:pPr>
            <w:r>
              <w:rPr>
                <w:sz w:val="20"/>
                <w:szCs w:val="20"/>
              </w:rPr>
              <w:t xml:space="preserve">Project start year centered at 2017 (start year minus 2017). Vintage control absorbing sector-wide cost-time trends.</w:t>
            </w:r>
          </w:p>
        </w:tc>
        <w:tc>
          <w:tcPr>
            <w:tcW w:w="0" w:type="auto"/>
          </w:tcPr>
          <w:p>
            <w:pPr>
              <w:spacing w:line="240" w:lineRule="auto" w:before="0" w:after="0"/>
              <w:pStyle w:val="Compact"/>
            </w:pPr>
            <w:r>
              <w:rPr>
                <w:sz w:val="20"/>
                <w:szCs w:val="20"/>
              </w:rPr>
              <w:t xml:space="preserve">NASA TechPort startYear field</w:t>
            </w:r>
          </w:p>
        </w:tc>
      </w:tr>
    </w:tbl>
    <w:bookmarkEnd w:id="208"/>
    <w:bookmarkEnd w:id="209"/>
    <w:bookmarkStart w:id="217" w:name="X21c949f20d90c9f00e98a2ff63daacda758ca6c"/>
    <w:p>
      <w:pPr>
        <w:pStyle w:val="Heading2"/>
        <w:spacing w:line="480" w:lineRule="auto"/>
      </w:pPr>
      <w:r>
        <w:t xml:space="preserve">A.2 Immature Technology and Development Cost Growth in NASA and JPL Flagship and Competed Missions: A Fixed-Effects Cross-Section</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TechImmature</m:t>
              </m:r>
            </m:e>
            <m:sub>
              <m:r>
                <m:t>i</m:t>
              </m:r>
            </m:sub>
          </m:sSub>
          <m:r>
            <m:rPr>
              <m:sty m:val="p"/>
            </m:rPr>
            <m:t>+</m:t>
          </m:r>
          <m:sSub>
            <m:e>
              <m:r>
                <m:t>β</m:t>
              </m:r>
            </m:e>
            <m:sub>
              <m:r>
                <m:t>2</m:t>
              </m:r>
            </m:sub>
          </m:sSub>
          <m:sSub>
            <m:e>
              <m:r>
                <m:rPr>
                  <m:nor/>
                  <m:sty m:val="p"/>
                </m:rPr>
                <m:t>NCritTech</m:t>
              </m:r>
            </m:e>
            <m:sub>
              <m:r>
                <m:t>i</m:t>
              </m:r>
            </m:sub>
          </m:sSub>
          <m:r>
            <m:rPr>
              <m:sty m:val="p"/>
            </m:rPr>
            <m:t>+</m:t>
          </m:r>
          <m:sSub>
            <m:e>
              <m:r>
                <m:t>β</m:t>
              </m:r>
            </m:e>
            <m:sub>
              <m:r>
                <m:t>3</m:t>
              </m:r>
            </m:sub>
          </m:sSub>
          <m:sSub>
            <m:e>
              <m:r>
                <m:rPr>
                  <m:nor/>
                  <m:sty m:val="p"/>
                </m:rPr>
                <m:t>Flagship</m:t>
              </m:r>
            </m:e>
            <m:sub>
              <m:r>
                <m:t>i</m:t>
              </m:r>
            </m:sub>
          </m:sSub>
          <m:r>
            <m:rPr>
              <m:sty m:val="p"/>
            </m:rPr>
            <m:t>+</m:t>
          </m:r>
          <m:sSub>
            <m:e>
              <m:r>
                <m:t>ε</m:t>
              </m:r>
            </m:e>
            <m:sub>
              <m:r>
                <m:t>i</m:t>
              </m:r>
            </m:sub>
          </m:sSub>
        </m:oMath>
      </m:oMathPara>
    </w:p>
    <w:bookmarkStart w:id="21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-18.9416</w:t>
            </w:r>
          </w:p>
        </w:tc>
        <w:tc>
          <w:tcPr>
            <w:tcW w:w="0" w:type="auto"/>
          </w:tcPr>
          <w:p>
            <w:pPr>
              <w:spacing w:line="240" w:lineRule="auto" w:before="0" w:after="0"/>
              <w:pStyle w:val="Compact"/>
            </w:pPr>
            <w:r>
              <w:rPr>
                <w:sz w:val="20"/>
                <w:szCs w:val="20"/>
              </w:rPr>
              <w:t xml:space="preserve">6.1012</w:t>
            </w:r>
          </w:p>
        </w:tc>
        <w:tc>
          <w:tcPr>
            <w:tcW w:w="0" w:type="auto"/>
          </w:tcPr>
          <w:p>
            <w:pPr>
              <w:spacing w:line="240" w:lineRule="auto" w:before="0" w:after="0"/>
              <w:pStyle w:val="Compact"/>
            </w:pPr>
            <w:r>
              <w:rPr>
                <w:sz w:val="20"/>
                <w:szCs w:val="20"/>
              </w:rPr>
              <w:t xml:space="preserve">-3.1046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[-30.8997, -6.9836]</w:t>
            </w:r>
          </w:p>
        </w:tc>
      </w:tr>
      <w:tr>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18.9714</w:t>
            </w:r>
          </w:p>
        </w:tc>
        <w:tc>
          <w:tcPr>
            <w:tcW w:w="0" w:type="auto"/>
          </w:tcPr>
          <w:p>
            <w:pPr>
              <w:spacing w:line="240" w:lineRule="auto" w:before="0" w:after="0"/>
              <w:pStyle w:val="Compact"/>
            </w:pPr>
            <w:r>
              <w:rPr>
                <w:sz w:val="20"/>
                <w:szCs w:val="20"/>
              </w:rPr>
              <w:t xml:space="preserve">5.4315</w:t>
            </w:r>
          </w:p>
        </w:tc>
        <w:tc>
          <w:tcPr>
            <w:tcW w:w="0" w:type="auto"/>
          </w:tcPr>
          <w:p>
            <w:pPr>
              <w:spacing w:line="240" w:lineRule="auto" w:before="0" w:after="0"/>
              <w:pStyle w:val="Compact"/>
            </w:pPr>
            <w:r>
              <w:rPr>
                <w:sz w:val="20"/>
                <w:szCs w:val="20"/>
              </w:rPr>
              <w:t xml:space="preserve">3.4928</w:t>
            </w:r>
          </w:p>
        </w:tc>
        <w:tc>
          <w:tcPr>
            <w:tcW w:w="0" w:type="auto"/>
          </w:tcPr>
          <w:p>
            <w:pPr>
              <w:spacing w:line="240" w:lineRule="auto" w:before="0" w:after="0"/>
              <w:pStyle w:val="Compact"/>
            </w:pPr>
            <w:r>
              <w:rPr>
                <w:sz w:val="20"/>
                <w:szCs w:val="20"/>
              </w:rPr>
              <w:t xml:space="preserve">0.0004779</w:t>
            </w:r>
          </w:p>
        </w:tc>
        <w:tc>
          <w:tcPr>
            <w:tcW w:w="0" w:type="auto"/>
          </w:tcPr>
          <w:p>
            <w:pPr>
              <w:spacing w:line="240" w:lineRule="auto" w:before="0" w:after="0"/>
              <w:pStyle w:val="Compact"/>
            </w:pPr>
            <w:r>
              <w:rPr>
                <w:sz w:val="20"/>
                <w:szCs w:val="20"/>
              </w:rPr>
              <w:t xml:space="preserve">[8.3258, 29.617]</w:t>
            </w:r>
          </w:p>
        </w:tc>
      </w:tr>
      <w:tr>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8.5096</w:t>
            </w:r>
          </w:p>
        </w:tc>
        <w:tc>
          <w:tcPr>
            <w:tcW w:w="0" w:type="auto"/>
          </w:tcPr>
          <w:p>
            <w:pPr>
              <w:spacing w:line="240" w:lineRule="auto" w:before="0" w:after="0"/>
              <w:pStyle w:val="Compact"/>
            </w:pPr>
            <w:r>
              <w:rPr>
                <w:sz w:val="20"/>
                <w:szCs w:val="20"/>
              </w:rPr>
              <w:t xml:space="preserve">2.2031</w:t>
            </w:r>
          </w:p>
        </w:tc>
        <w:tc>
          <w:tcPr>
            <w:tcW w:w="0" w:type="auto"/>
          </w:tcPr>
          <w:p>
            <w:pPr>
              <w:spacing w:line="240" w:lineRule="auto" w:before="0" w:after="0"/>
              <w:pStyle w:val="Compact"/>
            </w:pPr>
            <w:r>
              <w:rPr>
                <w:sz w:val="20"/>
                <w:szCs w:val="20"/>
              </w:rPr>
              <w:t xml:space="preserve">3.8626</w:t>
            </w:r>
          </w:p>
        </w:tc>
        <w:tc>
          <w:tcPr>
            <w:tcW w:w="0" w:type="auto"/>
          </w:tcPr>
          <w:p>
            <w:pPr>
              <w:spacing w:line="240" w:lineRule="auto" w:before="0" w:after="0"/>
              <w:pStyle w:val="Compact"/>
            </w:pPr>
            <w:r>
              <w:rPr>
                <w:sz w:val="20"/>
                <w:szCs w:val="20"/>
              </w:rPr>
              <w:t xml:space="preserve">0.0001122</w:t>
            </w:r>
          </w:p>
        </w:tc>
        <w:tc>
          <w:tcPr>
            <w:tcW w:w="0" w:type="auto"/>
          </w:tcPr>
          <w:p>
            <w:pPr>
              <w:spacing w:line="240" w:lineRule="auto" w:before="0" w:after="0"/>
              <w:pStyle w:val="Compact"/>
            </w:pPr>
            <w:r>
              <w:rPr>
                <w:sz w:val="20"/>
                <w:szCs w:val="20"/>
              </w:rPr>
              <w:t xml:space="preserve">[4.1916, 12.8275]</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8.6622</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[-17.3647, 16.5903]</w:t>
            </w:r>
          </w:p>
        </w:tc>
      </w:tr>
    </w:tbl>
    <w:p>
      <w:pPr>
        <w:pStyle w:val="BodyText"/>
        <w:spacing w:line="480" w:lineRule="auto"/>
        <w:ind w:firstLine="720"/>
      </w:pPr>
      <w:r>
        <w:t xml:space="preserve">Fit: N = 24 R2 = 0.739 R2_adj = 0.6998 F = 23.523 F_p = 9.121e-07</w:t>
      </w:r>
    </w:p>
    <w:bookmarkEnd w:id="210"/>
    <w:bookmarkStart w:id="21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cost growth versus technology maturity at preliminary design review across 24 NASA and JPL flagship and competed missions, with the fitted ordinary-least-squares relationship." title="" id="212" name="Picture"/>
            <a:graphic>
              <a:graphicData uri="http://schemas.openxmlformats.org/drawingml/2006/picture">
                <pic:pic>
                  <pic:nvPicPr>
                    <pic:cNvPr descr="D:/Claude_Code/brain/collegium/candidates/dissertations/JPL_MGMT_SMA_TECH_05/research_papers/p2/paper_fig1.png" id="213" name="Picture"/>
                    <pic:cNvPicPr>
                      <a:picLocks noChangeArrowheads="1" noChangeAspect="1"/>
                    </pic:cNvPicPr>
                  </pic:nvPicPr>
                  <pic:blipFill>
                    <a:blip r:embed="rId21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cost growth versus technology maturity at preliminary design review across 24 NASA and JPL flagship and competed missions, with the fitted ordinary-least-squares relationship.</w:t>
      </w:r>
    </w:p>
    <w:bookmarkEnd w:id="214"/>
    <w:bookmarkStart w:id="21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SpaceNews/GAO-21-406: since 2009 baseline total grew 95% from ~$5B to ~$9.7B; cryogenic detectors, sunshield, microshutters immature at PDR (spacenews.com/cost-and-schedule-overruns-continue-to-grow-for-nasa-programs)</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Nature 2011 (nature.com/articles/460317f) and WebSearch: $2.28B was 40% above the official $1.63B 2006 estimate; sky-crane EDL/actuators immature</w:t>
            </w:r>
          </w:p>
        </w:tc>
      </w:tr>
      <w:tr>
        <w:tc>
          <w:tcPr>
            <w:tcW w:w="0" w:type="auto"/>
          </w:tcPr>
          <w:p>
            <w:pPr>
              <w:spacing w:line="240" w:lineRule="auto" w:before="0" w:after="0"/>
              <w:pStyle w:val="Compact"/>
            </w:pPr>
            <w:r>
              <w:rPr>
                <w:sz w:val="20"/>
                <w:szCs w:val="20"/>
              </w:rPr>
              <w:t xml:space="preserve">Spitzer Space Telescope (SIRTF)</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NRC 2010 Controlling Cost Growth (nationalacademies.org/read/12946/chapter/3): 68% phase B-D growth; cryogenic instrument development/integration problems</w:t>
            </w:r>
          </w:p>
        </w:tc>
      </w:tr>
      <w:tr>
        <w:tc>
          <w:tcPr>
            <w:tcW w:w="0" w:type="auto"/>
          </w:tcPr>
          <w:p>
            <w:pPr>
              <w:spacing w:line="240" w:lineRule="auto" w:before="0" w:after="0"/>
              <w:pStyle w:val="Compact"/>
            </w:pPr>
            <w:r>
              <w:rPr>
                <w:sz w:val="20"/>
                <w:szCs w:val="20"/>
              </w:rPr>
              <w:t xml:space="preserve">Chandra X-ray Observatory (AXAF)</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NRC 2010 (nationalacademies.org/read/12946/chapter/3): ~5% phase B-D (primary reference 2); HRMA mirrors matured before development</w:t>
            </w:r>
          </w:p>
        </w:tc>
      </w:tr>
      <w:tr>
        <w:tc>
          <w:tcPr>
            <w:tcW w:w="0" w:type="auto"/>
          </w:tcPr>
          <w:p>
            <w:pPr>
              <w:spacing w:line="240" w:lineRule="auto" w:before="0" w:after="0"/>
              <w:pStyle w:val="Compact"/>
            </w:pPr>
            <w:r>
              <w:rPr>
                <w:sz w:val="20"/>
                <w:szCs w:val="20"/>
              </w:rPr>
              <w:t xml:space="preserve">EOS-Aqua (EOS-PM)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NRC 2010 (nationalacademies.org/read/12946/chapter/3): 23% phase B-D growth; descoped 1992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SpacePolicyOnline/SpaceNews: agency baseline rebaselined $4.25B-&gt;$5B (~18%); instruments matured, management/parts issues (spacepolicyonline.com/news/nasa-reveals-europa-clipper-cost-growth-mars-sample-return-replan)</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Planetary Society (planetary.org/articles/what-happened-with-psyche; /space-policy/psyche-cost): ~$1.2B with 2022 one-year slip and overrun; GNC software/test immature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OIG IG-20-023 / Planetary Society: 2-yr delay and $150M increase on ~$675M (~22%); SEIS seismometer vacuum (partner) technology failure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Planetary Society cost-of-osiris-rex / Spaceflight Now (spaceflightnow.com/2016/09/07/osiris-rex-reaches-launch-pad-with-money-to-spare): came in under budget; heritage instruments mature at PDR</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Planetary Society maven-cost (planetary.org/space-policy/maven-cost): $582.5M actual vs ~$671M estimate, ~$90M (about 13%) under; heritage instruments</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NRC 2010 (nationalacademies.org/read/12946/chapter/3): decades-long development; drag-free gyroscope and SQUID readout immature; ~30% phase B-D</w:t>
            </w:r>
          </w:p>
        </w:tc>
      </w:tr>
      <w:tr>
        <w:tc>
          <w:tcPr>
            <w:tcW w:w="0" w:type="auto"/>
          </w:tcPr>
          <w:p>
            <w:pPr>
              <w:spacing w:line="240" w:lineRule="auto" w:before="0" w:after="0"/>
              <w:pStyle w:val="Compact"/>
            </w:pPr>
            <w:r>
              <w:rPr>
                <w:sz w:val="20"/>
                <w:szCs w:val="20"/>
              </w:rPr>
              <w:t xml:space="preserve">Mars Sample Return (SRL+ERO)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GAO-24-106767 / Science (science.org/content/article/costly-mars-sample-return-squeezing-smaller-nasa-missions): replan; immature ascent/capture technologies driving major growth</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NRC 2010 / NASA Discovery (nationalacademies.org/read/12946/chapter/3): photometer focal-plane CCD array immature; significant cost growth before launch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Discovery / Planetary Society cost records: ion propulsion and framing-camera integration; cancellation-and-reinstatement plus ~24% growth</w:t>
            </w:r>
          </w:p>
        </w:tc>
      </w:tr>
      <w:tr>
        <w:tc>
          <w:tcPr>
            <w:tcW w:w="0" w:type="auto"/>
          </w:tcPr>
          <w:p>
            <w:pPr>
              <w:spacing w:line="240" w:lineRule="auto" w:before="0" w:after="0"/>
              <w:pStyle w:val="Compact"/>
            </w:pPr>
            <w:r>
              <w:rPr>
                <w:sz w:val="20"/>
                <w:szCs w:val="20"/>
              </w:rPr>
              <w:t xml:space="preserve">SLS (Space Launch System)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GAO/SpaceNews (spacenews.com/cost-and-schedule-overruns-continue-to-grow-for-nasa-programs): RS-25 adaptation and core stage; ~$990M increase plus baseline shifts</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 assessments / space.com (space.com/jwst-sls-increase-cost-nasa-programs): heat shield (AVCOAT) and life-support development immature; sustained overruns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GAO-21-306 / NASA: ATLAS photon-counting lidar immature at PDR drove cost growth (gao.gov/assets/gao-21-306.pdf)</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GAO 2010 (per WebSearch of GAO IT/space acquisitions): ABI focal-plane array and telescope underestimated; ABI projected cost rose $375M-&gt;$537M (+43%); instrument immature at PDR</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Planetary Society cost-of-dart (planetary.org/space-policy/cost-of-dart): ~$324M, launched on schedule near baseline [illustrative cost_growth_pct]</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 assessments: TESS reported zero critical technologies; launched near baseline [illustrative cost_growth_pct]</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Ames cost-effective missions (nasa.gov/ames/core-area-of-expertise-cost-effective-space-missions): modular bus on budget, heritage tech [illustrative cost_growth_pct]</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GAO-25-107591 / GAO assessments: L/S-band SAR plus reflector thermal issue; under-review cost growth (gao.gov/products/gao-25-107591)</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Science / Wikipedia (en.wikipedia.org/wiki/Parker_Solar_Probe): ~$1.5B; thermal protection system and solar-array cooling were novel; moderate growth</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 assessments: laser ranging interferometer demonstrator plus microwave heritage; modest growth (gao.gov/products/gao-23-106021)</w:t>
            </w:r>
          </w:p>
        </w:tc>
      </w:tr>
    </w:tbl>
    <w:bookmarkEnd w:id="215"/>
    <w:bookmarkStart w:id="21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Development (phase B-D) cost growth in percent relative to the project’s baseline or confirmation cost estimate; negative values denote under-baseline performance</w:t>
            </w:r>
          </w:p>
        </w:tc>
        <w:tc>
          <w:tcPr>
            <w:tcW w:w="0" w:type="auto"/>
          </w:tcPr>
          <w:p>
            <w:pPr>
              <w:spacing w:line="240" w:lineRule="auto" w:before="0" w:after="0"/>
              <w:pStyle w:val="Compact"/>
            </w:pPr>
            <w:r>
              <w:rPr>
                <w:sz w:val="20"/>
                <w:szCs w:val="20"/>
              </w:rPr>
              <w:t xml:space="preserve">Computed from documented baseline and current/final cost figures in GAO NASA Major Project Assessments, NRC Controlling Cost Growth (2010), NASA OIG audits, and Planetary Society mission cost records</w:t>
            </w:r>
          </w:p>
        </w:tc>
      </w:tr>
      <w:tr>
        <w:tc>
          <w:tcPr>
            <w:tcW w:w="0" w:type="auto"/>
          </w:tcPr>
          <w:p>
            <w:pPr>
              <w:spacing w:line="240" w:lineRule="auto" w:before="0" w:after="0"/>
              <w:pStyle w:val="Compact"/>
            </w:pPr>
            <w:r>
              <w:rPr>
                <w:sz w:val="20"/>
                <w:szCs w:val="20"/>
              </w:rPr>
              <w:t xml:space="preserve">tech_immature_at_pdr</w:t>
            </w:r>
          </w:p>
        </w:tc>
        <w:tc>
          <w:tcPr>
            <w:tcW w:w="0" w:type="auto"/>
          </w:tcPr>
          <w:p>
            <w:pPr>
              <w:spacing w:line="240" w:lineRule="auto" w:before="0" w:after="0"/>
              <w:pStyle w:val="Compact"/>
            </w:pPr>
            <w:r>
              <w:rPr>
                <w:sz w:val="20"/>
                <w:szCs w:val="20"/>
              </w:rPr>
              <w:t xml:space="preserve">Indicator equal to 1 when one or more enabling/critical technologies had not been matured to technology readiness level 6 by the preliminary design review, 0 otherwise</w:t>
            </w:r>
          </w:p>
        </w:tc>
        <w:tc>
          <w:tcPr>
            <w:tcW w:w="0" w:type="auto"/>
          </w:tcPr>
          <w:p>
            <w:pPr>
              <w:spacing w:line="240" w:lineRule="auto" w:before="0" w:after="0"/>
              <w:pStyle w:val="Compact"/>
            </w:pPr>
            <w:r>
              <w:rPr>
                <w:sz w:val="20"/>
                <w:szCs w:val="20"/>
              </w:rPr>
              <w:t xml:space="preserve">Coded from GAO technology-maturity findings (technologies matured to TRL 6 by PDR) and documented narratives of new-technology-driven growth</w:t>
            </w:r>
          </w:p>
        </w:tc>
      </w:tr>
      <w:tr>
        <w:tc>
          <w:tcPr>
            <w:tcW w:w="0" w:type="auto"/>
          </w:tcPr>
          <w:p>
            <w:pPr>
              <w:spacing w:line="240" w:lineRule="auto" w:before="0" w:after="0"/>
              <w:pStyle w:val="Compact"/>
            </w:pPr>
            <w:r>
              <w:rPr>
                <w:sz w:val="20"/>
                <w:szCs w:val="20"/>
              </w:rPr>
              <w:t xml:space="preserve">n_critical_tech</w:t>
            </w:r>
          </w:p>
        </w:tc>
        <w:tc>
          <w:tcPr>
            <w:tcW w:w="0" w:type="auto"/>
          </w:tcPr>
          <w:p>
            <w:pPr>
              <w:spacing w:line="240" w:lineRule="auto" w:before="0" w:after="0"/>
              <w:pStyle w:val="Compact"/>
            </w:pPr>
            <w:r>
              <w:rPr>
                <w:sz w:val="20"/>
                <w:szCs w:val="20"/>
              </w:rPr>
              <w:t xml:space="preserve">Count of critical or enabling technologies reported at confirmation for the mission</w:t>
            </w:r>
          </w:p>
        </w:tc>
        <w:tc>
          <w:tcPr>
            <w:tcW w:w="0" w:type="auto"/>
          </w:tcPr>
          <w:p>
            <w:pPr>
              <w:spacing w:line="240" w:lineRule="auto" w:before="0" w:after="0"/>
              <w:pStyle w:val="Compact"/>
            </w:pPr>
            <w:r>
              <w:rPr>
                <w:sz w:val="20"/>
                <w:szCs w:val="20"/>
              </w:rPr>
              <w:t xml:space="preserve">GAO NASA Major Project Assessments critical-technology tallies and mission press-kit / technical-report descriptions</w:t>
            </w:r>
          </w:p>
        </w:tc>
      </w:tr>
      <w:tr>
        <w:tc>
          <w:tcPr>
            <w:tcW w:w="0" w:type="auto"/>
          </w:tcPr>
          <w:p>
            <w:pPr>
              <w:spacing w:line="240" w:lineRule="auto" w:before="0" w:after="0"/>
              <w:pStyle w:val="Compact"/>
            </w:pPr>
            <w:r>
              <w:rPr>
                <w:sz w:val="20"/>
                <w:szCs w:val="20"/>
              </w:rPr>
              <w:t xml:space="preserve">class_flagship</w:t>
            </w:r>
          </w:p>
        </w:tc>
        <w:tc>
          <w:tcPr>
            <w:tcW w:w="0" w:type="auto"/>
          </w:tcPr>
          <w:p>
            <w:pPr>
              <w:spacing w:line="240" w:lineRule="auto" w:before="0" w:after="0"/>
              <w:pStyle w:val="Compact"/>
            </w:pPr>
            <w:r>
              <w:rPr>
                <w:sz w:val="20"/>
                <w:szCs w:val="20"/>
              </w:rPr>
              <w:t xml:space="preserve">Indicator equal to 1 for Category-1 flagship or directed strategic missions, 0 for competed (Discovery, Explorer, Earth Venture, New Frontiers) and instrument-class missions</w:t>
            </w:r>
          </w:p>
        </w:tc>
        <w:tc>
          <w:tcPr>
            <w:tcW w:w="0" w:type="auto"/>
          </w:tcPr>
          <w:p>
            <w:pPr>
              <w:spacing w:line="240" w:lineRule="auto" w:before="0" w:after="0"/>
              <w:pStyle w:val="Compact"/>
            </w:pPr>
            <w:r>
              <w:rPr>
                <w:sz w:val="20"/>
                <w:szCs w:val="20"/>
              </w:rPr>
              <w:t xml:space="preserve">GAO project categorization and NASA program-of-record assignment</w:t>
            </w:r>
          </w:p>
        </w:tc>
      </w:tr>
    </w:tbl>
    <w:bookmarkEnd w:id="216"/>
    <w:bookmarkEnd w:id="217"/>
    <w:bookmarkEnd w:id="21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3" Type="http://schemas.openxmlformats.org/officeDocument/2006/relationships/image" Target="media/rId203.png"/><Relationship Id="rId211" Type="http://schemas.openxmlformats.org/officeDocument/2006/relationships/image" Target="media/rId211.png"/><Relationship Id="rId187" Type="http://schemas.openxmlformats.org/officeDocument/2006/relationships/hyperlink" Target="https://doi.org/10.1016/j.actaastro.2018.06.042" TargetMode="External"/><Relationship Id="rId199" Type="http://schemas.openxmlformats.org/officeDocument/2006/relationships/hyperlink" Target="https://doi.org/10.1016/j.actaastro.2019.05.009" TargetMode="External"/><Relationship Id="rId189" Type="http://schemas.openxmlformats.org/officeDocument/2006/relationships/hyperlink" Target="https://doi.org/10.1016/j.actaastro.2021.01.048" TargetMode="External"/><Relationship Id="rId167" Type="http://schemas.openxmlformats.org/officeDocument/2006/relationships/hyperlink" Target="https://doi.org/10.1016/j.actaastro.2022.03.038" TargetMode="External"/><Relationship Id="rId197" Type="http://schemas.openxmlformats.org/officeDocument/2006/relationships/hyperlink" Target="https://doi.org/10.1016/j.actaastro.2024.10.019" TargetMode="External"/><Relationship Id="rId185" Type="http://schemas.openxmlformats.org/officeDocument/2006/relationships/hyperlink" Target="https://doi.org/10.1016/j.actaastro.2025.01.007" TargetMode="External"/><Relationship Id="rId193" Type="http://schemas.openxmlformats.org/officeDocument/2006/relationships/hyperlink" Target="https://doi.org/10.1016/j.actaastro.2025.01.059" TargetMode="External"/><Relationship Id="rId191" Type="http://schemas.openxmlformats.org/officeDocument/2006/relationships/hyperlink" Target="https://doi.org/10.1016/j.actaastro.2025.04.041" TargetMode="External"/><Relationship Id="rId195" Type="http://schemas.openxmlformats.org/officeDocument/2006/relationships/hyperlink" Target="https://doi.org/10.1016/j.actaastro.2026.05.027" TargetMode="External"/><Relationship Id="rId181" Type="http://schemas.openxmlformats.org/officeDocument/2006/relationships/hyperlink" Target="https://doi.org/10.64861/WCUO4665" TargetMode="External"/></Relationships>
</file>

<file path=word/_rels/footnotes.xml.rels><?xml version='1.0' encoding='UTF-8' standalone='yes'?>
<Relationships xmlns="http://schemas.openxmlformats.org/package/2006/relationships"><Relationship Id="rId187" Type="http://schemas.openxmlformats.org/officeDocument/2006/relationships/hyperlink" Target="https://doi.org/10.1016/j.actaastro.2018.06.042" TargetMode="External"/><Relationship Id="rId199" Type="http://schemas.openxmlformats.org/officeDocument/2006/relationships/hyperlink" Target="https://doi.org/10.1016/j.actaastro.2019.05.009" TargetMode="External"/><Relationship Id="rId189" Type="http://schemas.openxmlformats.org/officeDocument/2006/relationships/hyperlink" Target="https://doi.org/10.1016/j.actaastro.2021.01.048" TargetMode="External"/><Relationship Id="rId167" Type="http://schemas.openxmlformats.org/officeDocument/2006/relationships/hyperlink" Target="https://doi.org/10.1016/j.actaastro.2022.03.038" TargetMode="External"/><Relationship Id="rId197" Type="http://schemas.openxmlformats.org/officeDocument/2006/relationships/hyperlink" Target="https://doi.org/10.1016/j.actaastro.2024.10.019" TargetMode="External"/><Relationship Id="rId185" Type="http://schemas.openxmlformats.org/officeDocument/2006/relationships/hyperlink" Target="https://doi.org/10.1016/j.actaastro.2025.01.007" TargetMode="External"/><Relationship Id="rId193" Type="http://schemas.openxmlformats.org/officeDocument/2006/relationships/hyperlink" Target="https://doi.org/10.1016/j.actaastro.2025.01.059" TargetMode="External"/><Relationship Id="rId191" Type="http://schemas.openxmlformats.org/officeDocument/2006/relationships/hyperlink" Target="https://doi.org/10.1016/j.actaastro.2025.04.041" TargetMode="External"/><Relationship Id="rId195" Type="http://schemas.openxmlformats.org/officeDocument/2006/relationships/hyperlink" Target="https://doi.org/10.1016/j.actaastro.2026.05.027" TargetMode="External"/><Relationship Id="rId181" Type="http://schemas.openxmlformats.org/officeDocument/2006/relationships/hyperlink" Target="https://doi.org/10.64861/WCUO46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Learning Curves at JPL: Do Successive TechPort Investments in a Technology Category Lower the Marginal Cost of Subsequent Maturation?</dc:title>
  <dc:creator>Nikolai Nilsson (1B-ATD-024)</dc:creator>
  <cp:keywords/>
  <dcterms:created xsi:type="dcterms:W3CDTF">2026-07-02T15:48:48Z</dcterms:created>
  <dcterms:modified xsi:type="dcterms:W3CDTF">2026-07-02T15:48:48Z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