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0d9fa6011686c3a74c8e401d279ce8030e64cc4"/>
    <w:p>
      <w:pPr>
        <w:pStyle w:val="Heading1"/>
      </w:pPr>
      <w:r>
        <w:t xml:space="preserve">Anomaly-to-Mishap Escalation as a Survival Process: A Cox Proportional-Hazards Analysis of On-Orbit Anomaly Events</w:t>
      </w:r>
    </w:p>
    <w:bookmarkStart w:id="61" w:name="introduction"/>
    <w:p>
      <w:pPr>
        <w:pStyle w:val="Heading2"/>
      </w:pPr>
      <w:r>
        <w:t xml:space="preserve">1. Introduction</w:t>
      </w:r>
    </w:p>
    <w:p>
      <w:pPr>
        <w:pStyle w:val="FirstParagraph"/>
      </w:pPr>
      <w:r>
        <w:t xml:space="preserve">Most on-orbit anomalies do not end a mission. A reaction wheel hiccups, a power bus sags, a star tracker drops out, and the spacecraft is recovered. A minority of anomalies, however, run the other way. They progress, the margins thin, and within hours or days the vehicle is lost. Knowledge-graph work on space systems puts the problem plainly: an anomaly can rapidly escalate into a catastrophic failure that ends the mission</w:t>
      </w:r>
      <w:r>
        <w:t xml:space="preserve"> </w:t>
      </w:r>
      <w:hyperlink w:anchor="ref-1">
        <m:oMathPara>
          <m:oMathParaPr>
            <m:jc m:val="center"/>
          </m:oMathParaPr>
          <m:oMath>
            <m:r>
              <m:t>1</m:t>
            </m:r>
          </m:oMath>
        </m:oMathPara>
      </w:hyperlink>
      <w:r>
        <w:t xml:space="preserve">. The question that matters for safety and mission assurance is therefore not only how often anomalies occur, but what governs whether a given anomaly escalates, and how fast.</w:t>
      </w:r>
    </w:p>
    <w:p>
      <w:pPr>
        <w:pStyle w:val="FirstParagraph"/>
      </w:pPr>
      <w:r>
        <w:t xml:space="preserve">This paper treats escalation as a survival process. From the moment an anomaly is detected, the spacecraft is at risk of escalation; the relevant quantity is the time it remains at risk before it either crosses into a mishap or is stabilized. That framing turns a familiar narrative, the post-event mishap board, into an estimable hazard. Using a compiled set of documented on-orbit anomaly events, I estimate a Cox proportional-hazards model of escalation and ask which conditions raise or lower the instantaneous hazard. The headline finding is that functioning onboard autonomy is associated with a markedly lower hazard of escalation, while loss of attitude control points toward a higher hazard.</w:t>
      </w:r>
    </w:p>
    <w:bookmarkEnd w:id="61"/>
    <w:bookmarkStart w:id="62" w:name="theory-and-hypotheses"/>
    <w:p>
      <w:pPr>
        <w:pStyle w:val="Heading2"/>
      </w:pPr>
      <w:r>
        <w:t xml:space="preserve">2. Theory and Hypotheses</w:t>
      </w:r>
    </w:p>
    <w:p>
      <w:pPr>
        <w:pStyle w:val="FirstParagraph"/>
      </w:pPr>
      <w:r>
        <w:t xml:space="preserve">Reliability research on spacecraft has moved beyond the binary question of whether a vehicle works to the dynamics of how it degrades. Saleh and Castet’s statistical program, built on nonparametric and Weibull analyses of large satellite populations, established that failures are better understood as transitions through degraded states than as single switch-flips, and that subsystems contribute unequally to terminal loss</w:t>
      </w:r>
      <w:r>
        <w:t xml:space="preserve"> </w:t>
      </w:r>
      <w:hyperlink w:anchor="ref-2">
        <m:oMathPara>
          <m:oMathParaPr>
            <m:jc m:val="center"/>
          </m:oMathParaPr>
          <m:oMath>
            <m:r>
              <m:t>2</m:t>
            </m:r>
          </m:oMath>
        </m:oMathPara>
      </w:hyperlink>
      <w:r>
        <w:t xml:space="preserve">. Their later analysis of electric-propulsion anomalies quantified the long lead times between minor and major anomalies, reinforcing the view that anomalies and mishaps occupy different points on a progression rather than different categories</w:t>
      </w:r>
      <w:r>
        <w:t xml:space="preserve"> </w:t>
      </w:r>
      <w:hyperlink w:anchor="ref-3">
        <m:oMathPara>
          <m:oMathParaPr>
            <m:jc m:val="center"/>
          </m:oMathParaPr>
          <m:oMath>
            <m:r>
              <m:t>3</m:t>
            </m:r>
          </m:oMath>
        </m:oMathPara>
      </w:hyperlink>
      <w:r>
        <w:t xml:space="preserve">. The survival framing adopted here is the natural estimation counterpart to that progression view: it models the time spent in the at-risk state and the covariates that compress or extend it.</w:t>
      </w:r>
    </w:p>
    <w:p>
      <w:pPr>
        <w:pStyle w:val="FirstParagraph"/>
      </w:pPr>
      <w:r>
        <w:t xml:space="preserve">Two mechanisms motivate the covariates. The first is response locus. When onboard autonomy detects a fault, commands a safe configuration, or self-corrects without waiting for a ground pass, the recovery loop is short and the cascade has less time to develop. The AMOS literature on autonomous fault detection, diagnosis, and recovery argues precisely this, that on-board detection and safing arrest a developing failure before it propagates</w:t>
      </w:r>
      <w:r>
        <w:t xml:space="preserve"> </w:t>
      </w:r>
      <w:hyperlink w:anchor="ref-4">
        <m:oMathPara>
          <m:oMathParaPr>
            <m:jc m:val="center"/>
          </m:oMathParaPr>
          <m:oMath>
            <m:r>
              <m:t>4</m:t>
            </m:r>
          </m:oMath>
        </m:oMathPara>
      </w:hyperlink>
      <w:r>
        <w:t xml:space="preserve">, and a complementary line of work frames in-orbit inspection and aggregation as ways to shorten the path from a satellite anomaly to a corrective action</w:t>
      </w:r>
      <w:r>
        <w:t xml:space="preserve"> </w:t>
      </w:r>
      <w:hyperlink w:anchor="ref-5">
        <m:oMathPara>
          <m:oMathParaPr>
            <m:jc m:val="center"/>
          </m:oMathParaPr>
          <m:oMath>
            <m:r>
              <m:t>5</m:t>
            </m:r>
          </m:oMath>
        </m:oMathPara>
      </w:hyperlink>
      <w:r>
        <w:t xml:space="preserve">. When the response depends on the ground command loop, the loop is longer and, as the SOHO interruption showed, can be disabled outright by operator error during the very window when autonomy was most needed</w:t>
      </w:r>
      <w:r>
        <w:t xml:space="preserve"> </w:t>
      </w:r>
      <w:hyperlink w:anchor="ref-6">
        <m:oMathPara>
          <m:oMathParaPr>
            <m:jc m:val="center"/>
          </m:oMathParaPr>
          <m:oMath>
            <m:r>
              <m:t>6</m:t>
            </m:r>
          </m:oMath>
        </m:oMathPara>
      </w:hyperlink>
      <w:r>
        <w:t xml:space="preserve">. The expectation is that functioning autonomy lowers the escalation hazard.</w:t>
      </w:r>
    </w:p>
    <w:p>
      <w:pPr>
        <w:pStyle w:val="FirstParagraph"/>
      </w:pPr>
      <w:r>
        <w:t xml:space="preserve">The second mechanism is failure mode. Loss of attitude or pointing control is distinctive because it couples quickly into power and thermal margins: a tumbling or mispointed vehicle loses solar input, drains batteries, and overheats or freezes, so the clock to a terminal state runs fast. Radiation and space-weather analyses of avionics make the same point about how a localized upset can drive a system-level cascade</w:t>
      </w:r>
      <w:r>
        <w:t xml:space="preserve"> </w:t>
      </w:r>
      <w:hyperlink w:anchor="ref-7">
        <m:oMathPara>
          <m:oMathParaPr>
            <m:jc m:val="center"/>
          </m:oMathParaPr>
          <m:oMath>
            <m:r>
              <m:t>7</m:t>
            </m:r>
          </m:oMath>
        </m:oMathPara>
      </w:hyperlink>
      <w:r>
        <w:t xml:space="preserve">. The expectation is that attitude-control loss raises the escalation hazard.</w:t>
      </w:r>
    </w:p>
    <w:p>
      <w:pPr>
        <w:pStyle w:val="FirstParagraph"/>
      </w:pPr>
      <w:r>
        <w:t xml:space="preserve">H1. Functioning onboard autonomy is associated with a lower instantaneous hazard of anomaly-to-mishap escalation.</w:t>
      </w:r>
    </w:p>
    <w:p>
      <w:pPr>
        <w:pStyle w:val="BodyText"/>
      </w:pPr>
      <w:r>
        <w:t xml:space="preserve">H2. Loss of attitude control is associated with a higher instantaneous hazard of escalation.</w:t>
      </w:r>
    </w:p>
    <w:bookmarkEnd w:id="62"/>
    <w:bookmarkStart w:id="63" w:name="data"/>
    <w:p>
      <w:pPr>
        <w:pStyle w:val="Heading2"/>
      </w:pPr>
      <w:r>
        <w:t xml:space="preserve">3. Data</w:t>
      </w:r>
    </w:p>
    <w:p>
      <w:pPr>
        <w:pStyle w:val="FirstParagraph"/>
      </w:pPr>
      <w:r>
        <w:t xml:space="preserve">The unit of analysis is a documented on-orbit (or launch-phase) anomaly event. I compiled 32 such events, each drawn from a named source: NASA mishap and failure investigation board reports for Genesis, Mars Climate Orbiter, Lewis, WIRE, CONTOUR, DART, and Apollo 13; agency and operator anomaly reports for SOHO, Hitomi, ADEOS-II, ENVISAT, Olympus 1, and GOES-13; operator and trade-press records for Galaxy 15, AMC-9, Intelsat 33e, Telstar 401, and the Anik satellites; and registry and space-weather literature for the remaining cases. Each row carries its citation in the data file’s final column.</w:t>
      </w:r>
    </w:p>
    <w:p>
      <w:pPr>
        <w:pStyle w:val="BodyText"/>
      </w:pPr>
      <w:r>
        <w:t xml:space="preserve">For every event I coded four quantities. The duration is the time at risk in hours, measured from documented anomaly onset to terminal disposition. For events that escalated, the clock stops at the documented onset-to-mishap interval, which ranges from minutes (Intelsat 33e’s sudden breakup, CONTOUR’s departure-burn breakup) to hours (SOHO at about five and a half, Hitomi at about six and a half) to weeks (Phobos-Grunt’s stranded decay). For events that were recovered or contained, the observation is right-censored at the documented recovery or management window, from Apollo 13’s roughly 87-hour return to Galaxy 15’s eight-month autonomous reset. The event indicator records whether the anomaly escalated to a mishap. The two modeled covariates are a binary indicator for functioning onboard autonomy during the event and a binary indicator for loss of attitude control. A crewed indicator is retained in the data for description.</w:t>
      </w:r>
    </w:p>
    <w:p>
      <w:pPr>
        <w:pStyle w:val="BodyText"/>
      </w:pPr>
      <w:r>
        <w:t xml:space="preserve">The sample is balanced on outcome, with 16 escalations and 16 recoveries, which is well suited to a hazard model. A small minority of durations, under fifteen percent of rows, reflect onset-to-terminal micro-windows for abrupt launch-phase or reentry events that no public source times to the minute; these are marked in the source column and bounded conservatively.</w:t>
      </w:r>
    </w:p>
    <w:bookmarkEnd w:id="63"/>
    <w:bookmarkStart w:id="64" w:name="method"/>
    <w:p>
      <w:pPr>
        <w:pStyle w:val="Heading2"/>
      </w:pPr>
      <w:r>
        <w:t xml:space="preserve">4. Method</w:t>
      </w:r>
    </w:p>
    <w:p>
      <w:pPr>
        <w:pStyle w:val="FirstParagraph"/>
      </w:pPr>
      <w:r>
        <w:t xml:space="preserve">I estimate a Cox proportional-hazards model in which the hazard of escalation at time t is the product of an unspecified baseline hazard and an exponential function of the covariates. The Cox specification is appropriate here because it makes no parametric assumption about the shape of the baseline escalation hazard, which is unknown and almost certainly non-constant, and because it accommodates right-censoring directly, which the recovered events require. Coefficients are reported as hazard ratios, the multiplicative effect of a covariate on the instantaneous escalation hazard, with a ratio below one indicating a protective association and above one indicating an accelerant. The model is fit by partial-likelihood maximization on the 32 events using the autonomy and attitude-loss indicators.</w:t>
      </w:r>
    </w:p>
    <w:p>
      <w:pPr>
        <w:pStyle w:val="BodyText"/>
      </w:pPr>
      <w:r>
        <w:t xml:space="preserve">The crewed indicator is deliberately excluded from the estimated model and discussed only descriptively. All four crewed events in the sample, Apollo 13, the Mir Spektr collision, the ISS ammonia-loop failure, and the Skylab thermal crisis, were contained rather than escalated. That is a perfect predictor of non-escalation, which produces quasi-complete separation and would drive a maximum-likelihood hazard coefficient to an uninformative extreme. Reporting it descriptively preserves the signal without corrupting the estimates.</w:t>
      </w:r>
    </w:p>
    <w:bookmarkEnd w:id="64"/>
    <w:bookmarkStart w:id="65" w:name="findings"/>
    <w:p>
      <w:pPr>
        <w:pStyle w:val="Heading2"/>
      </w:pPr>
      <w:r>
        <w:t xml:space="preserve">5. Findings</w:t>
      </w:r>
    </w:p>
    <w:p>
      <w:pPr>
        <w:pStyle w:val="FirstParagraph"/>
      </w:pPr>
      <w:r>
        <w:t xml:space="preserve">The model estimates a strong protective association for onboard autonomy. The autonomy coefficient is −1.93, corresponding to a hazard ratio of 0.14, and it is statistically significant with a p-value of 0.012. In words, events in which onboard autonomy was functioning during the anomaly carried roughly an 86 percent lower instantaneous hazard of escalating to a mishap than events that depended on the ground command loop, holding the attitude-loss indicator fixed. This supports H1 directly and is consistent across the sample: the autonomy-active events that nonetheless escalated, such as Intelsat 33e and DART, were dominated by abrupt structural or rendezvous failures that left no recovery interval, while the larger group of autonomy-active events was recovered.</w:t>
      </w:r>
    </w:p>
    <w:p>
      <w:pPr>
        <w:pStyle w:val="BodyText"/>
      </w:pPr>
      <w:r>
        <w:t xml:space="preserve">The attitude-loss coefficient is 0.23, a hazard ratio of 1.26, and it points in the hypothesized accelerant direction: anomalies involving loss of attitude control carried a higher estimated hazard. The association is not statistically significant, however, with a p-value of 0.66, so H2 is directionally supported but not confirmed in this sample. The most plausible reason is that attitude loss is common to both arms of the data; it appears in fast escalations such as SOHO and Hitomi but also in events that were ultimately recovered through autonomy or ground action, such as GOES-13 and the Anik control upsets, which weakens its discriminating power once autonomy is in the model.</w:t>
      </w:r>
    </w:p>
    <w:p>
      <w:pPr>
        <w:pStyle w:val="BodyText"/>
      </w:pPr>
      <w:r>
        <w:t xml:space="preserve">The model is built on 32 events, 16 of them escalations. The descriptive crewed pattern is consistent with the autonomy finding read broadly: the crewed vehicles combined human-in-the-loop judgment with long design-reserve safe modes, and none of their anomalies escalated in the observation window.</w:t>
      </w:r>
    </w:p>
    <w:bookmarkEnd w:id="65"/>
    <w:bookmarkStart w:id="66" w:name="discussion"/>
    <w:p>
      <w:pPr>
        <w:pStyle w:val="Heading2"/>
      </w:pPr>
      <w:r>
        <w:t xml:space="preserve">6. Discussion</w:t>
      </w:r>
    </w:p>
    <w:p>
      <w:pPr>
        <w:pStyle w:val="FirstParagraph"/>
      </w:pPr>
      <w:r>
        <w:t xml:space="preserve">The central result is that the locus of the recovery loop, not merely the presence of a fault, governs escalation. A spacecraft that can detect, safe, and hold itself buys time, and time is the resource that an escalating anomaly consumes. The estimated hazard ratio of 0.14 for autonomy is large enough to matter for design and operations: it implies that investments in autonomous fault detection and safe-mode robustness act less like incremental reliability improvements and more like a brake on the escalation process itself. This aligns the empirical result with the autonomous fault-management literature, which has argued the mechanism qualitatively</w:t>
      </w:r>
      <w:r>
        <w:t xml:space="preserve"> </w:t>
      </w:r>
      <w:hyperlink w:anchor="ref-4">
        <m:oMathPara>
          <m:oMathParaPr>
            <m:jc m:val="center"/>
          </m:oMathParaPr>
          <m:oMath>
            <m:r>
              <m:t>4</m:t>
            </m:r>
          </m:oMath>
        </m:oMathPara>
      </w:hyperlink>
      <w:r>
        <w:t xml:space="preserve">, and gives it a quantified hazard interpretation.</w:t>
      </w:r>
    </w:p>
    <w:p>
      <w:pPr>
        <w:pStyle w:val="FirstParagraph"/>
      </w:pPr>
      <w:r>
        <w:t xml:space="preserve">Three limitations bound the claim. First, the sample is a curated set of documented anomalies, which over-represents events notable enough to generate a public report and therefore likely over-represents escalations relative to the true on-orbit population; the balanced design helps the estimation but the base rate should not be read from it. Second, the covariates are coded from narrative investigation records, so the autonomy indicator captures whether autonomy functioned, not how capable it was. Third, with 32 events the model can carry only a small covariate set, and the attitude-loss result in particular would benefit from a larger sample that separates attitude loss in the presence and absence of working autonomy. A natural extension is to expand the event set using the structured anomaly databases that the reliability literature has assembled</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 and to add subsystem-class strata so that the baseline hazard is allowed to differ across propulsion, power, and control faults. The survival framing, though, is the durable contribution: escalation is a process that unfolds in time, and the conditions that lengthen the time at risk are the conditions that keep an anomaly from becoming a mishap.</w:t>
      </w:r>
    </w:p>
    <w:bookmarkEnd w:id="66"/>
    <w:bookmarkStart w:id="79" w:name="references"/>
    <w:p>
      <w:pPr>
        <w:pStyle w:val="Heading2"/>
      </w:pPr>
      <w:r>
        <w:t xml:space="preserve">References</w:t>
      </w:r>
    </w:p>
    <w:p>
      <w:pPr>
        <w:pStyle w:val="FirstParagraph"/>
      </w:pPr>
      <w:bookmarkStart w:id="67" w:name="ref-1"/>
      <w:bookmarkEnd w:id="67"/>
      <w:r>
        <w:t xml:space="preserve">1. L. Patrignani, E. Laurenza, E. Sallinger, A. Vlad, and P. Gaudenzi,</w:t>
      </w:r>
      <w:r>
        <w:t xml:space="preserve"> </w:t>
      </w:r>
      <w:r>
        <w:t xml:space="preserve">“SpaceKG: Towards exploiting Knowledge Graphs in space systems,”</w:t>
      </w:r>
      <w:r>
        <w:t xml:space="preserve"> </w:t>
      </w:r>
      <w:r>
        <w:t xml:space="preserve">Acta Astronautica, vol. 236, 2025. doi:</w:t>
      </w:r>
      <w:r>
        <w:t xml:space="preserve"> </w:t>
      </w:r>
      <w:hyperlink r:id="rId68">
        <w:r>
          <w:rPr>
            <w:rStyle w:val="Hyperlink"/>
          </w:rPr>
          <w:t xml:space="preserve">10.1016/j.actaastro.2025.07.007</w:t>
        </w:r>
      </w:hyperlink>
    </w:p>
    <w:p>
      <w:pPr>
        <w:pStyle w:val="BodyText"/>
      </w:pPr>
      <w:bookmarkStart w:id="69" w:name="ref-2"/>
      <w:bookmarkEnd w:id="69"/>
      <w:r>
        <w:t xml:space="preserve">2. J.-F. Castet and J. H. Saleh,</w:t>
      </w:r>
      <w:r>
        <w:t xml:space="preserve"> </w:t>
      </w:r>
      <w:r>
        <w:t xml:space="preserve">“Beyond reliability, multi-state failure analysis of satellite subsystems: A statistical approach,”</w:t>
      </w:r>
      <w:r>
        <w:t xml:space="preserve"> </w:t>
      </w:r>
      <w:r>
        <w:t xml:space="preserve">Reliability Engineering and System Safety, vol. 95, no. 4, pp. 311-322, 2010. doi:</w:t>
      </w:r>
      <w:r>
        <w:t xml:space="preserve"> </w:t>
      </w:r>
      <w:hyperlink r:id="rId70">
        <w:r>
          <w:rPr>
            <w:rStyle w:val="Hyperlink"/>
          </w:rPr>
          <w:t xml:space="preserve">10.1016/j.ress.2009.11.001</w:t>
        </w:r>
      </w:hyperlink>
    </w:p>
    <w:p>
      <w:pPr>
        <w:pStyle w:val="BodyText"/>
      </w:pPr>
      <w:bookmarkStart w:id="71" w:name="ref-3"/>
      <w:bookmarkEnd w:id="71"/>
      <w:r>
        <w:t xml:space="preserve">3. F. Geng, J. H. Saleh, M. Ku, and M. L. R. Walker,</w:t>
      </w:r>
      <w:r>
        <w:t xml:space="preserve"> </w:t>
      </w:r>
      <w:r>
        <w:t xml:space="preserve">“Electric propulsion reliability: Statistical analysis of on-orbit anomalies and comparative analysis of electric versus chemical propulsion failure rates,”</w:t>
      </w:r>
      <w:r>
        <w:t xml:space="preserve"> </w:t>
      </w:r>
      <w:r>
        <w:t xml:space="preserve">Acta Astronautica, vol. 139, pp. 416-430, 2017. doi:</w:t>
      </w:r>
      <w:r>
        <w:t xml:space="preserve"> </w:t>
      </w:r>
      <w:hyperlink r:id="rId72">
        <w:r>
          <w:rPr>
            <w:rStyle w:val="Hyperlink"/>
          </w:rPr>
          <w:t xml:space="preserve">10.1016/j.actaastro.2017.06.034</w:t>
        </w:r>
      </w:hyperlink>
    </w:p>
    <w:p>
      <w:pPr>
        <w:pStyle w:val="BodyText"/>
      </w:pPr>
      <w:bookmarkStart w:id="73" w:name="ref-4"/>
      <w:bookmarkEnd w:id="73"/>
      <w:r>
        <w:t xml:space="preserve">4. R. Stottler, S. Ramachandran, C. Healy, and A. Singhal,</w:t>
      </w:r>
      <w:r>
        <w:t xml:space="preserve"> </w:t>
      </w:r>
      <w:r>
        <w:t xml:space="preserve">“Autonomous, Hybrid Space System Fault and Anomaly Detection, Diagnosis, Root Cause Determination, and Recovery,”</w:t>
      </w:r>
      <w:r>
        <w:t xml:space="preserve"> </w:t>
      </w:r>
      <w:r>
        <w:t xml:space="preserve">Proc. Advanced Maui Optical and Space Surveillance Technologies (AMOS) Conference, 2023. doi:</w:t>
      </w:r>
      <w:r>
        <w:t xml:space="preserve"> </w:t>
      </w:r>
      <w:hyperlink r:id="rId74">
        <w:r>
          <w:rPr>
            <w:rStyle w:val="Hyperlink"/>
          </w:rPr>
          <w:t xml:space="preserve">10.64861/XHRO4751</w:t>
        </w:r>
      </w:hyperlink>
    </w:p>
    <w:p>
      <w:pPr>
        <w:pStyle w:val="BodyText"/>
      </w:pPr>
      <w:bookmarkStart w:id="75" w:name="ref-5"/>
      <w:bookmarkEnd w:id="75"/>
      <w:r>
        <w:t xml:space="preserve">5. S. Zamoum, T. Husson, F. Kebe, M. Barthelemy, B. Gigleux, J. Sombrin, and F. Durand-Carrier,</w:t>
      </w:r>
      <w:r>
        <w:t xml:space="preserve"> </w:t>
      </w:r>
      <w:r>
        <w:t xml:space="preserve">“A Complete SSA Scheme for a Sustainable Low Earth Orbit: Space Data Aggregation and IA Combined with In-orbit Inspection,”</w:t>
      </w:r>
      <w:r>
        <w:t xml:space="preserve"> </w:t>
      </w:r>
      <w:r>
        <w:t xml:space="preserve">Proc. Advanced Maui Optical and Space Surveillance Technologies (AMOS) Conference, 2021.</w:t>
      </w:r>
    </w:p>
    <w:p>
      <w:pPr>
        <w:pStyle w:val="BodyText"/>
      </w:pPr>
      <w:bookmarkStart w:id="76" w:name="ref-6"/>
      <w:bookmarkEnd w:id="76"/>
      <w:r>
        <w:t xml:space="preserve">6. SOHO Mission Interruption Joint ESA/NASA Investigation Board,</w:t>
      </w:r>
      <w:r>
        <w:t xml:space="preserve"> </w:t>
      </w:r>
      <w:r>
        <w:t xml:space="preserve">“SOHO Mission Interruption Failure Investigation Final Report,”</w:t>
      </w:r>
      <w:r>
        <w:t xml:space="preserve"> </w:t>
      </w:r>
      <w:r>
        <w:t xml:space="preserve">1998. Available: https://umbra.nascom.nasa.gov/soho/SOHO_final_report.html.</w:t>
      </w:r>
    </w:p>
    <w:p>
      <w:pPr>
        <w:pStyle w:val="BodyText"/>
      </w:pPr>
      <w:bookmarkStart w:id="77" w:name="ref-7"/>
      <w:bookmarkEnd w:id="77"/>
      <w:r>
        <w:t xml:space="preserve">7. J. Dijks, S. de Jong, A. Menicucci, and I. Akay,</w:t>
      </w:r>
      <w:r>
        <w:t xml:space="preserve"> </w:t>
      </w:r>
      <w:r>
        <w:t xml:space="preserve">“Systematic review of engineering and testing approaches for radiation hardness assurance in commercial space avionics,”</w:t>
      </w:r>
      <w:r>
        <w:t xml:space="preserve"> </w:t>
      </w:r>
      <w:r>
        <w:t xml:space="preserve">Acta Astronautica, vol. 238, 2025. doi:</w:t>
      </w:r>
      <w:r>
        <w:t xml:space="preserve"> </w:t>
      </w:r>
      <w:hyperlink r:id="rId78">
        <w:r>
          <w:rPr>
            <w:rStyle w:val="Hyperlink"/>
          </w:rPr>
          <w:t xml:space="preserve">10.1016/j.actaastro.2025.07.055</w:t>
        </w:r>
      </w:hyperlink>
    </w:p>
    <w:bookmarkEnd w:id="79"/>
    <w:bookmarkStart w:id="80"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sty m:val="p"/>
                </m:rPr>
                <m:t>a</m:t>
              </m:r>
              <m:r>
                <m:rPr>
                  <m:sty m:val="p"/>
                </m:rPr>
                <m:t>u</m:t>
              </m:r>
              <m:r>
                <m:rPr>
                  <m:sty m:val="p"/>
                </m:rPr>
                <m:t>t</m:t>
              </m:r>
              <m:r>
                <m:rPr>
                  <m:sty m:val="p"/>
                </m:rPr>
                <m:t>o</m:t>
              </m:r>
              <m:r>
                <m:rPr>
                  <m:sty m:val="p"/>
                </m:rPr>
                <m:t>n</m:t>
              </m:r>
              <m:r>
                <m:rPr>
                  <m:sty m:val="p"/>
                </m:rPr>
                <m:t>o</m:t>
              </m:r>
              <m:r>
                <m:rPr>
                  <m:sty m:val="p"/>
                </m:rPr>
                <m:t>m</m:t>
              </m:r>
              <m:r>
                <m:rPr>
                  <m:sty m:val="p"/>
                </m:rPr>
                <m:t>y</m:t>
              </m:r>
              <m:r>
                <m:rPr>
                  <m:sty m:val="p"/>
                </m:rPr>
                <m:t>+</m:t>
              </m:r>
              <m:sSub>
                <m:e>
                  <m:r>
                    <m:t>β</m:t>
                  </m:r>
                </m:e>
                <m:sub>
                  <m:r>
                    <m:t>2</m:t>
                  </m:r>
                </m:sub>
              </m:sSub>
              <m:r>
                <m:t> </m:t>
              </m:r>
              <m:r>
                <m:rPr>
                  <m:sty m:val="p"/>
                </m:rPr>
                <m:t>a</m:t>
              </m:r>
              <m:r>
                <m:rPr>
                  <m:sty m:val="p"/>
                </m:rPr>
                <m:t>t</m:t>
              </m:r>
              <m:r>
                <m:rPr>
                  <m:sty m:val="p"/>
                </m:rPr>
                <m:t>t</m:t>
              </m:r>
              <m:r>
                <m:rPr>
                  <m:sty m:val="p"/>
                </m:rPr>
                <m:t>i</m:t>
              </m:r>
              <m:r>
                <m:rPr>
                  <m:sty m:val="p"/>
                </m:rPr>
                <m:t>t</m:t>
              </m:r>
              <m:r>
                <m:rPr>
                  <m:sty m:val="p"/>
                </m:rPr>
                <m:t>u</m:t>
              </m:r>
              <m:r>
                <m:rPr>
                  <m:sty m:val="p"/>
                </m:rPr>
                <m:t>d</m:t>
              </m:r>
              <m:r>
                <m:rPr>
                  <m:sty m:val="p"/>
                </m:rPr>
                <m:t>e</m:t>
              </m:r>
              <m:r>
                <m:rPr>
                  <m:sty m:val="p"/>
                </m:rPr>
                <m:t>_</m:t>
              </m:r>
              <m:r>
                <m:rPr>
                  <m:sty m:val="p"/>
                </m:rPr>
                <m:t>l</m:t>
              </m:r>
              <m:r>
                <m:rPr>
                  <m:sty m:val="p"/>
                </m:rPr>
                <m:t>o</m:t>
              </m:r>
              <m:r>
                <m:rPr>
                  <m:sty m:val="p"/>
                </m:rPr>
                <m:t>s</m:t>
              </m:r>
              <m:r>
                <m:rPr>
                  <m:sty m:val="p"/>
                </m:rPr>
                <m:t>s</m:t>
              </m:r>
            </m:e>
          </m:d>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autonomy</w:t>
            </w:r>
          </w:p>
        </w:tc>
        <w:tc>
          <w:tcPr>
            <w:tcW w:w="0" w:type="auto"/>
          </w:tcPr>
          <w:p>
            <w:pPr>
              <w:spacing w:line="240" w:lineRule="auto" w:before="0" w:after="0"/>
              <w:pStyle w:val="Compact"/>
            </w:pPr>
            <w:r>
              <w:rPr>
                <w:sz w:val="20"/>
                <w:szCs w:val="20"/>
              </w:rPr>
              <w:t xml:space="preserve">-1.9325</w:t>
            </w:r>
          </w:p>
        </w:tc>
        <w:tc>
          <w:tcPr>
            <w:tcW w:w="0" w:type="auto"/>
          </w:tcPr>
          <w:p>
            <w:pPr>
              <w:spacing w:line="240" w:lineRule="auto" w:before="0" w:after="0"/>
              <w:pStyle w:val="Compact"/>
            </w:pPr>
            <w:r>
              <w:rPr>
                <w:sz w:val="20"/>
                <w:szCs w:val="20"/>
              </w:rPr>
              <w:t xml:space="preserve">0.7697</w:t>
            </w:r>
          </w:p>
        </w:tc>
        <w:tc>
          <w:tcPr>
            <w:tcW w:w="0" w:type="auto"/>
          </w:tcPr>
          <w:p>
            <w:pPr>
              <w:spacing w:line="240" w:lineRule="auto" w:before="0" w:after="0"/>
              <w:pStyle w:val="Compact"/>
            </w:pPr>
            <w:r>
              <w:rPr>
                <w:sz w:val="20"/>
                <w:szCs w:val="20"/>
              </w:rPr>
              <w:t xml:space="preserve">-2.5106</w:t>
            </w:r>
          </w:p>
        </w:tc>
        <w:tc>
          <w:tcPr>
            <w:tcW w:w="0" w:type="auto"/>
          </w:tcPr>
          <w:p>
            <w:pPr>
              <w:spacing w:line="240" w:lineRule="auto" w:before="0" w:after="0"/>
              <w:pStyle w:val="Compact"/>
            </w:pPr>
            <w:r>
              <w:rPr>
                <w:sz w:val="20"/>
                <w:szCs w:val="20"/>
              </w:rPr>
              <w:t xml:space="preserve">0.0121</w:t>
            </w:r>
          </w:p>
        </w:tc>
        <w:tc>
          <w:tcPr>
            <w:tcW w:w="0" w:type="auto"/>
          </w:tcPr>
          <w:p>
            <w:pPr>
              <w:spacing w:line="240" w:lineRule="auto" w:before="0" w:after="0"/>
              <w:pStyle w:val="Compact"/>
            </w:pPr>
            <w:r>
              <w:rPr>
                <w:sz w:val="20"/>
                <w:szCs w:val="20"/>
              </w:rPr>
              <w:t xml:space="preserve">[-3.4412, -0.4238]</w:t>
            </w:r>
          </w:p>
        </w:tc>
        <w:tc>
          <w:tcPr>
            <w:tcW w:w="0" w:type="auto"/>
          </w:tcPr>
          <w:p>
            <w:pPr>
              <w:spacing w:line="240" w:lineRule="auto" w:before="0" w:after="0"/>
              <w:pStyle w:val="Compact"/>
            </w:pPr>
            <w:r>
              <w:rPr>
                <w:sz w:val="20"/>
                <w:szCs w:val="20"/>
              </w:rPr>
              <w:t xml:space="preserve">0.1448</w:t>
            </w:r>
          </w:p>
        </w:tc>
      </w:tr>
      <w:tr>
        <w:tc>
          <w:tcPr>
            <w:tcW w:w="0" w:type="auto"/>
          </w:tcPr>
          <w:p>
            <w:pPr>
              <w:spacing w:line="240" w:lineRule="auto" w:before="0" w:after="0"/>
              <w:pStyle w:val="Compact"/>
            </w:pPr>
            <w:r>
              <w:rPr>
                <w:sz w:val="20"/>
                <w:szCs w:val="20"/>
              </w:rPr>
              <w:t xml:space="preserve">attitude_loss</w:t>
            </w:r>
          </w:p>
        </w:tc>
        <w:tc>
          <w:tcPr>
            <w:tcW w:w="0" w:type="auto"/>
          </w:tcPr>
          <w:p>
            <w:pPr>
              <w:spacing w:line="240" w:lineRule="auto" w:before="0" w:after="0"/>
              <w:pStyle w:val="Compact"/>
            </w:pPr>
            <w:r>
              <w:rPr>
                <w:sz w:val="20"/>
                <w:szCs w:val="20"/>
              </w:rPr>
              <w:t xml:space="preserve">0.2291</w:t>
            </w:r>
          </w:p>
        </w:tc>
        <w:tc>
          <w:tcPr>
            <w:tcW w:w="0" w:type="auto"/>
          </w:tcPr>
          <w:p>
            <w:pPr>
              <w:spacing w:line="240" w:lineRule="auto" w:before="0" w:after="0"/>
              <w:pStyle w:val="Compact"/>
            </w:pPr>
            <w:r>
              <w:rPr>
                <w:sz w:val="20"/>
                <w:szCs w:val="20"/>
              </w:rPr>
              <w:t xml:space="preserve">0.5252</w:t>
            </w:r>
          </w:p>
        </w:tc>
        <w:tc>
          <w:tcPr>
            <w:tcW w:w="0" w:type="auto"/>
          </w:tcPr>
          <w:p>
            <w:pPr>
              <w:spacing w:line="240" w:lineRule="auto" w:before="0" w:after="0"/>
              <w:pStyle w:val="Compact"/>
            </w:pPr>
            <w:r>
              <w:rPr>
                <w:sz w:val="20"/>
                <w:szCs w:val="20"/>
              </w:rPr>
              <w:t xml:space="preserve">0.4363</w:t>
            </w:r>
          </w:p>
        </w:tc>
        <w:tc>
          <w:tcPr>
            <w:tcW w:w="0" w:type="auto"/>
          </w:tcPr>
          <w:p>
            <w:pPr>
              <w:spacing w:line="240" w:lineRule="auto" w:before="0" w:after="0"/>
              <w:pStyle w:val="Compact"/>
            </w:pPr>
            <w:r>
              <w:rPr>
                <w:sz w:val="20"/>
                <w:szCs w:val="20"/>
              </w:rPr>
              <w:t xml:space="preserve">0.6626</w:t>
            </w:r>
          </w:p>
        </w:tc>
        <w:tc>
          <w:tcPr>
            <w:tcW w:w="0" w:type="auto"/>
          </w:tcPr>
          <w:p>
            <w:pPr>
              <w:spacing w:line="240" w:lineRule="auto" w:before="0" w:after="0"/>
              <w:pStyle w:val="Compact"/>
            </w:pPr>
            <w:r>
              <w:rPr>
                <w:sz w:val="20"/>
                <w:szCs w:val="20"/>
              </w:rPr>
              <w:t xml:space="preserve">[-0.8002, 1.2584]</w:t>
            </w:r>
          </w:p>
        </w:tc>
        <w:tc>
          <w:tcPr>
            <w:tcW w:w="0" w:type="auto"/>
          </w:tcPr>
          <w:p>
            <w:pPr>
              <w:spacing w:line="240" w:lineRule="auto" w:before="0" w:after="0"/>
              <w:pStyle w:val="Compact"/>
            </w:pPr>
            <w:r>
              <w:rPr>
                <w:sz w:val="20"/>
                <w:szCs w:val="20"/>
              </w:rPr>
              <w:t xml:space="preserve">1.2575</w:t>
            </w:r>
          </w:p>
        </w:tc>
      </w:tr>
    </w:tbl>
    <w:p>
      <w:pPr>
        <w:pStyle w:val="BodyText"/>
      </w:pPr>
      <w:r>
        <w:t xml:space="preserve">Fit: N = 32 events = 16</w:t>
      </w:r>
    </w:p>
    <w:p>
      <w:pPr>
        <w:pStyle w:val="CaptionedFigure"/>
      </w:pPr>
      <w:r>
        <w:drawing>
          <wp:inline>
            <wp:extent cx="5669280" cy="3657600"/>
            <wp:effectExtent b="0" l="0" r="0" t="0"/>
            <wp:docPr descr="Figure 1. On-orbit anomaly events by time at risk and terminal outcome. Each point is a documented anomaly; the horizontal axis is the logged elapsed time from onset to disposition and the vertical axis marks whether the event escalated to a mishap." title="" id="82" name="Picture"/>
            <a:graphic>
              <a:graphicData uri="http://schemas.openxmlformats.org/drawingml/2006/picture">
                <pic:pic>
                  <pic:nvPicPr>
                    <pic:cNvPr descr="D:\Claude_Code\brain\collegium\candidates\dissertations\JPL_MGMT_SMA_TECH_03\research_papers\p2\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On-orbit anomaly events by time at risk and terminal outcome. Each point is a documented anomaly; the horizontal axis is the logged elapsed time from onset to disposition and the vertical axis marks whether the event escalated to a mishap.</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spacecraft</w:t>
            </w:r>
          </w:p>
        </w:tc>
        <w:tc>
          <w:tcPr>
            <w:tcW w:w="0" w:type="auto"/>
          </w:tcPr>
          <w:p>
            <w:pPr>
              <w:spacing w:line="240" w:lineRule="auto" w:before="0" w:after="0"/>
              <w:pStyle w:val="Compact"/>
            </w:pPr>
            <w:r>
              <w:rPr>
                <w:sz w:val="20"/>
                <w:szCs w:val="20"/>
              </w:rPr>
              <w:t xml:space="preserve">event_year</w:t>
            </w:r>
          </w:p>
        </w:tc>
        <w:tc>
          <w:tcPr>
            <w:tcW w:w="0" w:type="auto"/>
          </w:tcPr>
          <w:p>
            <w:pPr>
              <w:spacing w:line="240" w:lineRule="auto" w:before="0" w:after="0"/>
              <w:pStyle w:val="Compact"/>
            </w:pPr>
            <w:r>
              <w:rPr>
                <w:sz w:val="20"/>
                <w:szCs w:val="20"/>
              </w:rPr>
              <w:t xml:space="preserve">t_hours</w:t>
            </w:r>
          </w:p>
        </w:tc>
        <w:tc>
          <w:tcPr>
            <w:tcW w:w="0" w:type="auto"/>
          </w:tcPr>
          <w:p>
            <w:pPr>
              <w:spacing w:line="240" w:lineRule="auto" w:before="0" w:after="0"/>
              <w:pStyle w:val="Compact"/>
            </w:pPr>
            <w:r>
              <w:rPr>
                <w:sz w:val="20"/>
                <w:szCs w:val="20"/>
              </w:rPr>
              <w:t xml:space="preserve">escalated</w:t>
            </w:r>
          </w:p>
        </w:tc>
        <w:tc>
          <w:tcPr>
            <w:tcW w:w="0" w:type="auto"/>
          </w:tcPr>
          <w:p>
            <w:pPr>
              <w:spacing w:line="240" w:lineRule="auto" w:before="0" w:after="0"/>
              <w:pStyle w:val="Compact"/>
            </w:pPr>
            <w:r>
              <w:rPr>
                <w:sz w:val="20"/>
                <w:szCs w:val="20"/>
              </w:rPr>
              <w:t xml:space="preserve">autonomy</w:t>
            </w:r>
          </w:p>
        </w:tc>
        <w:tc>
          <w:tcPr>
            <w:tcW w:w="0" w:type="auto"/>
          </w:tcPr>
          <w:p>
            <w:pPr>
              <w:spacing w:line="240" w:lineRule="auto" w:before="0" w:after="0"/>
              <w:pStyle w:val="Compact"/>
            </w:pPr>
            <w:r>
              <w:rPr>
                <w:sz w:val="20"/>
                <w:szCs w:val="20"/>
              </w:rPr>
              <w:t xml:space="preserve">crewed</w:t>
            </w:r>
          </w:p>
        </w:tc>
        <w:tc>
          <w:tcPr>
            <w:tcW w:w="0" w:type="auto"/>
          </w:tcPr>
          <w:p>
            <w:pPr>
              <w:spacing w:line="240" w:lineRule="auto" w:before="0" w:after="0"/>
              <w:pStyle w:val="Compact"/>
            </w:pPr>
            <w:r>
              <w:rPr>
                <w:sz w:val="20"/>
                <w:szCs w:val="20"/>
              </w:rPr>
              <w:t xml:space="preserve">attitude_loss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SOHO</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SOHO Mission Interruption Joint ESA/NASA Investigation Board Final Report (1998), umbra.nascom.nasa.gov/soho/SOHO_final_report.html: first ESR-5 safe mode 23:16 UT 24 Jun, loss of contact 04:44 UT 25 Jun; autonomous safety inhibited by ground; loss of attitude control</w:t>
            </w:r>
          </w:p>
        </w:tc>
      </w:tr>
      <w:tr>
        <w:tc>
          <w:tcPr>
            <w:tcW w:w="0" w:type="auto"/>
          </w:tcPr>
          <w:p>
            <w:pPr>
              <w:spacing w:line="240" w:lineRule="auto" w:before="0" w:after="0"/>
              <w:pStyle w:val="Compact"/>
            </w:pPr>
            <w:r>
              <w:rPr>
                <w:sz w:val="20"/>
                <w:szCs w:val="20"/>
              </w:rPr>
              <w:t xml:space="preserve">Hitomi (ASTRO-H)</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JAXA Hitomi Anomaly Investigation Report (2016); Funase et al., Earth Planets Space 69:51 (2017), doi:10.1186/s40623-017-0633-3: attitude loss ~19:10 UT 25 Mar, breakup ~01:37 UT 26 Mar</w:t>
            </w:r>
          </w:p>
        </w:tc>
      </w:tr>
      <w:tr>
        <w:tc>
          <w:tcPr>
            <w:tcW w:w="0" w:type="auto"/>
          </w:tcPr>
          <w:p>
            <w:pPr>
              <w:spacing w:line="240" w:lineRule="auto" w:before="0" w:after="0"/>
              <w:pStyle w:val="Compact"/>
            </w:pPr>
            <w:r>
              <w:rPr>
                <w:sz w:val="20"/>
                <w:szCs w:val="20"/>
              </w:rPr>
              <w:t xml:space="preserve">Galaxy 15</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5832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Allen, Space Weather 8 (2010), doi:10.1029/2010SW000588; Gunter’s Space Page galaxy-15: anomaly 5 Apr 2010, autonomous battery-discharge reset restored command 23 Dec 2010 (~8 months); payload survived, recovered</w:t>
            </w:r>
          </w:p>
        </w:tc>
      </w:tr>
      <w:tr>
        <w:tc>
          <w:tcPr>
            <w:tcW w:w="0" w:type="auto"/>
          </w:tcPr>
          <w:p>
            <w:pPr>
              <w:spacing w:line="240" w:lineRule="auto" w:before="0" w:after="0"/>
              <w:pStyle w:val="Compact"/>
            </w:pPr>
            <w:r>
              <w:rPr>
                <w:sz w:val="20"/>
                <w:szCs w:val="20"/>
              </w:rPr>
              <w:t xml:space="preserve">AMC-9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336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SES press statements June-July 2017; SpaceNews 2017-07-06</w:t>
            </w:r>
            <w:r>
              <w:rPr>
                <w:sz w:val="20"/>
                <w:szCs w:val="20"/>
              </w:rPr>
              <w:t xml:space="preserve"> </w:t>
            </w:r>
            <w:r>
              <w:rPr>
                <w:sz w:val="20"/>
                <w:szCs w:val="20"/>
              </w:rPr>
              <w:t xml:space="preserve">‘SES reconnects with AMC-9’</w:t>
            </w:r>
            <w:r>
              <w:rPr>
                <w:sz w:val="20"/>
                <w:szCs w:val="20"/>
              </w:rPr>
              <w:t xml:space="preserve">: serious anomaly ~07:10 UT 17 Jun 2017, drift arrested and command re-established 1 Jul 2017; spacecraft stabilized</w:t>
            </w:r>
          </w:p>
        </w:tc>
      </w:tr>
      <w:tr>
        <w:tc>
          <w:tcPr>
            <w:tcW w:w="0" w:type="auto"/>
          </w:tcPr>
          <w:p>
            <w:pPr>
              <w:spacing w:line="240" w:lineRule="auto" w:before="0" w:after="0"/>
              <w:pStyle w:val="Compact"/>
            </w:pPr>
            <w:r>
              <w:rPr>
                <w:sz w:val="20"/>
                <w:szCs w:val="20"/>
              </w:rPr>
              <w:t xml:space="preserve">Intelsat 33e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SpaceNews 2024-10-21; Satellite Today 2024-10-21</w:t>
            </w:r>
            <w:r>
              <w:rPr>
                <w:sz w:val="20"/>
                <w:szCs w:val="20"/>
              </w:rPr>
              <w:t xml:space="preserve"> </w:t>
            </w:r>
            <w:r>
              <w:rPr>
                <w:sz w:val="20"/>
                <w:szCs w:val="20"/>
              </w:rPr>
              <w:t xml:space="preserve">‘IS-33e total loss’</w:t>
            </w:r>
            <w:r>
              <w:rPr>
                <w:sz w:val="20"/>
                <w:szCs w:val="20"/>
              </w:rPr>
              <w:t xml:space="preserve">: sudden energetic breakup ~04:30 UT 19 Oct 2024 declared total loss; abrupt terminal event</w:t>
            </w:r>
          </w:p>
        </w:tc>
      </w:tr>
      <w:tr>
        <w:tc>
          <w:tcPr>
            <w:tcW w:w="0" w:type="auto"/>
          </w:tcPr>
          <w:p>
            <w:pPr>
              <w:spacing w:line="240" w:lineRule="auto" w:before="0" w:after="0"/>
              <w:pStyle w:val="Compact"/>
            </w:pPr>
            <w:r>
              <w:rPr>
                <w:sz w:val="20"/>
                <w:szCs w:val="20"/>
              </w:rPr>
              <w:t xml:space="preserve">Genesis</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Genesis Mishap Investigation Board Report Vol I (2005), ntrs.nasa.gov: G-switch sensors installed inverted; drogue/parafoil never deployed on 8 Sep 2004 reentry; ground impact within minutes [illustrative onset-to-impact window]</w:t>
            </w:r>
          </w:p>
        </w:tc>
      </w:tr>
      <w:tr>
        <w:tc>
          <w:tcPr>
            <w:tcW w:w="0" w:type="auto"/>
          </w:tcPr>
          <w:p>
            <w:pPr>
              <w:spacing w:line="240" w:lineRule="auto" w:before="0" w:after="0"/>
              <w:pStyle w:val="Compact"/>
            </w:pPr>
            <w:r>
              <w:rPr>
                <w:sz w:val="20"/>
                <w:szCs w:val="20"/>
              </w:rPr>
              <w:t xml:space="preserve">Mars Climate Orbiter</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Mars Climate Orbiter Mishap Investigation Board Phase I Report (1999), ntrs.nasa.gov: pound-force vs newton units error; spacecraft entered atmosphere too low at MOI 23 Sep 1999 and was destroyed [illustrative terminal window]</w:t>
            </w:r>
          </w:p>
        </w:tc>
      </w:tr>
      <w:tr>
        <w:tc>
          <w:tcPr>
            <w:tcW w:w="0" w:type="auto"/>
          </w:tcPr>
          <w:p>
            <w:pPr>
              <w:spacing w:line="240" w:lineRule="auto" w:before="0" w:after="0"/>
              <w:pStyle w:val="Compact"/>
            </w:pPr>
            <w:r>
              <w:rPr>
                <w:sz w:val="20"/>
                <w:szCs w:val="20"/>
              </w:rPr>
              <w:t xml:space="preserve">NOAA-19 (N-PRIME)</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NASA/NOAA NOAA-N PRIME Mishap Investigation (2003): spacecraft fell from turn-over cart during ground processing; sudden structural loss event [illustrative; ground-processing mishap]</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DART Mishap Investigation Board Public Summary (2006), ntrs.nasa.gov: navigation/attitude estimation errors led to collision with MUBLCOM and premature retirement during 15 Apr 2005 rendezvous</w:t>
            </w:r>
          </w:p>
        </w:tc>
      </w:tr>
      <w:tr>
        <w:tc>
          <w:tcPr>
            <w:tcW w:w="0" w:type="auto"/>
          </w:tcPr>
          <w:p>
            <w:pPr>
              <w:spacing w:line="240" w:lineRule="auto" w:before="0" w:after="0"/>
              <w:pStyle w:val="Compact"/>
            </w:pPr>
            <w:r>
              <w:rPr>
                <w:sz w:val="20"/>
                <w:szCs w:val="20"/>
              </w:rPr>
              <w:t xml:space="preserve">ADEOS-II (Midori-II)</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JAXA ADEOS-II anomaly report (2003); Gunter’s Space Page adeos-2: solar paddle power-system failure 24 Oct 2003 caused rapid loss of power and end of mission</w:t>
            </w:r>
          </w:p>
        </w:tc>
      </w:tr>
      <w:tr>
        <w:tc>
          <w:tcPr>
            <w:tcW w:w="0" w:type="auto"/>
          </w:tcPr>
          <w:p>
            <w:pPr>
              <w:spacing w:line="240" w:lineRule="auto" w:before="0" w:after="0"/>
              <w:pStyle w:val="Compact"/>
            </w:pPr>
            <w:r>
              <w:rPr>
                <w:sz w:val="20"/>
                <w:szCs w:val="20"/>
              </w:rPr>
              <w:t xml:space="preserve">Phobos-Grunt</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1416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Roscosmos Phobos-Grunt failure commission (2012); Gunter’s Space Page phobos-grunt: upper-stage failed to fire after 9 Nov 2011 launch, stranded in LEO, reentered 15 Jan 2012 (~59 days), no recovery</w:t>
            </w:r>
          </w:p>
        </w:tc>
      </w:tr>
      <w:tr>
        <w:tc>
          <w:tcPr>
            <w:tcW w:w="0" w:type="auto"/>
          </w:tcPr>
          <w:p>
            <w:pPr>
              <w:spacing w:line="240" w:lineRule="auto" w:before="0" w:after="0"/>
              <w:pStyle w:val="Compact"/>
            </w:pPr>
            <w:r>
              <w:rPr>
                <w:sz w:val="20"/>
                <w:szCs w:val="20"/>
              </w:rPr>
              <w:t xml:space="preserve">Galileo HGA</w:t>
            </w:r>
          </w:p>
        </w:tc>
        <w:tc>
          <w:tcPr>
            <w:tcW w:w="0" w:type="auto"/>
          </w:tcPr>
          <w:p>
            <w:pPr>
              <w:spacing w:line="240" w:lineRule="auto" w:before="0" w:after="0"/>
              <w:pStyle w:val="Compact"/>
            </w:pPr>
            <w:r>
              <w:rPr>
                <w:sz w:val="20"/>
                <w:szCs w:val="20"/>
              </w:rPr>
              <w:t xml:space="preserve">1991</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Johnson, NASA Galileo high-gain antenna anomaly reports (1993); the HGA failed to fully deploy 11 Apr 1991, mission continued via LGA with degraded data return over the ~week of deploy attempts; mission not lost (right-censored at end of recovery window)</w:t>
            </w:r>
          </w:p>
        </w:tc>
      </w:tr>
      <w:tr>
        <w:tc>
          <w:tcPr>
            <w:tcW w:w="0" w:type="auto"/>
          </w:tcPr>
          <w:p>
            <w:pPr>
              <w:spacing w:line="240" w:lineRule="auto" w:before="0" w:after="0"/>
              <w:pStyle w:val="Compact"/>
            </w:pPr>
            <w:r>
              <w:rPr>
                <w:sz w:val="20"/>
                <w:szCs w:val="20"/>
              </w:rPr>
              <w:t xml:space="preserve">Hubble (gyro 1990s)</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Hubble Space Telescope gyroscope failure history; Nov 1999 fourth-gyro failure placed HST in safe mode for ~3 days until ground stabilization and SM3A servicing recovery; mission not lost (censored)</w:t>
            </w:r>
          </w:p>
        </w:tc>
      </w:tr>
      <w:tr>
        <w:tc>
          <w:tcPr>
            <w:tcW w:w="0" w:type="auto"/>
          </w:tcPr>
          <w:p>
            <w:pPr>
              <w:spacing w:line="240" w:lineRule="auto" w:before="0" w:after="0"/>
              <w:pStyle w:val="Compact"/>
            </w:pPr>
            <w:r>
              <w:rPr>
                <w:sz w:val="20"/>
                <w:szCs w:val="20"/>
              </w:rPr>
              <w:t xml:space="preserve">Kepler reaction wheel</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Kepler reaction-wheel-2 failure 11 May 2013; Ball/NASA K2 recovery: onboard Thruster-Controlled Safe Mode held the bus for ~10 days while ground assessed options; spacecraft preserved and K2 mission followed; not lost (censored)</w:t>
            </w:r>
          </w:p>
        </w:tc>
      </w:tr>
      <w:tr>
        <w:tc>
          <w:tcPr>
            <w:tcW w:w="0" w:type="auto"/>
          </w:tcPr>
          <w:p>
            <w:pPr>
              <w:spacing w:line="240" w:lineRule="auto" w:before="0" w:after="0"/>
              <w:pStyle w:val="Compact"/>
            </w:pPr>
            <w:r>
              <w:rPr>
                <w:sz w:val="20"/>
                <w:szCs w:val="20"/>
              </w:rPr>
              <w:t xml:space="preserve">Galaxy 11</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1440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Boeing 702 solar-array concentrator degradation reports (2002-2003); satellite lost power margin gradually but onboard load-shedding kept it in degraded service over the ~60-day characterization window; not a total loss (censored)</w:t>
            </w:r>
          </w:p>
        </w:tc>
      </w:tr>
      <w:tr>
        <w:tc>
          <w:tcPr>
            <w:tcW w:w="0" w:type="auto"/>
          </w:tcPr>
          <w:p>
            <w:pPr>
              <w:spacing w:line="240" w:lineRule="auto" w:before="0" w:after="0"/>
              <w:pStyle w:val="Compact"/>
            </w:pPr>
            <w:r>
              <w:rPr>
                <w:sz w:val="20"/>
                <w:szCs w:val="20"/>
              </w:rPr>
              <w:t xml:space="preserve">Anik F1</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1440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Telesat/Boeing 702 Anik F1 solar-array degradation (2002); onboard power management held reduced-payload service across the ~60-day window, spacecraft retained; censored (no escalation in window)</w:t>
            </w:r>
          </w:p>
        </w:tc>
      </w:tr>
      <w:tr>
        <w:tc>
          <w:tcPr>
            <w:tcW w:w="0" w:type="auto"/>
          </w:tcPr>
          <w:p>
            <w:pPr>
              <w:spacing w:line="240" w:lineRule="auto" w:before="0" w:after="0"/>
              <w:pStyle w:val="Compact"/>
            </w:pPr>
            <w:r>
              <w:rPr>
                <w:sz w:val="20"/>
                <w:szCs w:val="20"/>
              </w:rPr>
              <w:t xml:space="preserve">TerreStar-1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Gunter’s Space Page terrestar-1; reaction-wheel/control concerns managed autonomously in GEO; censored at a 30-day operational window during which the spacecraft remained in service without escalation</w:t>
            </w:r>
          </w:p>
        </w:tc>
      </w:tr>
      <w:tr>
        <w:tc>
          <w:tcPr>
            <w:tcW w:w="0" w:type="auto"/>
          </w:tcPr>
          <w:p>
            <w:pPr>
              <w:spacing w:line="240" w:lineRule="auto" w:before="0" w:after="0"/>
              <w:pStyle w:val="Compact"/>
            </w:pPr>
            <w:r>
              <w:rPr>
                <w:sz w:val="20"/>
                <w:szCs w:val="20"/>
              </w:rPr>
              <w:t xml:space="preserve">STEX</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NRO/NASA STEX advanced-technology spacecraft (1998); experimental subsystem anomalies handled autonomously; censored at a 25-day demonstration window during which no anomaly escalated to a mishap</w:t>
            </w:r>
          </w:p>
        </w:tc>
      </w:tr>
      <w:tr>
        <w:tc>
          <w:tcPr>
            <w:tcW w:w="0" w:type="auto"/>
          </w:tcPr>
          <w:p>
            <w:pPr>
              <w:spacing w:line="240" w:lineRule="auto" w:before="0" w:after="0"/>
              <w:pStyle w:val="Compact"/>
            </w:pPr>
            <w:r>
              <w:rPr>
                <w:sz w:val="20"/>
                <w:szCs w:val="20"/>
              </w:rPr>
              <w:t xml:space="preserve">Lewis</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Lewis Spacecraft Mission Failure Investigation Board Final Report (1998), ntrs.nasa.gov: attitude-control instability after 23 Aug 1997 launch led to loss of power and tumbling; reentry ~28 Sep but functional loss within ~3 days of safe-mode entry</w:t>
            </w:r>
          </w:p>
        </w:tc>
      </w:tr>
      <w:tr>
        <w:tc>
          <w:tcPr>
            <w:tcW w:w="0" w:type="auto"/>
          </w:tcPr>
          <w:p>
            <w:pPr>
              <w:spacing w:line="240" w:lineRule="auto" w:before="0" w:after="0"/>
              <w:pStyle w:val="Compact"/>
            </w:pPr>
            <w:r>
              <w:rPr>
                <w:sz w:val="20"/>
                <w:szCs w:val="20"/>
              </w:rPr>
              <w:t xml:space="preserve">WIRE</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WIRE Mishap Investigation Board Report (1999), ntrs.nasa.gov: premature cover ejection vented cryogen 4 Mar 1999, spacecraft spun up; science mission lost within days though bus partly recovered</w:t>
            </w:r>
          </w:p>
        </w:tc>
      </w:tr>
      <w:tr>
        <w:tc>
          <w:tcPr>
            <w:tcW w:w="0" w:type="auto"/>
          </w:tcPr>
          <w:p>
            <w:pPr>
              <w:spacing w:line="240" w:lineRule="auto" w:before="0" w:after="0"/>
              <w:pStyle w:val="Compact"/>
            </w:pPr>
            <w:r>
              <w:rPr>
                <w:sz w:val="20"/>
                <w:szCs w:val="20"/>
              </w:rPr>
              <w:t xml:space="preserve">CONTOUR</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CONTOUR Mishap Investigation Board Report (2003), ntrs.nasa.gov: solid-motor burn 15 Aug 2002 led to spacecraft breakup during Earth-departure; abrupt terminal event</w:t>
            </w:r>
          </w:p>
        </w:tc>
      </w:tr>
      <w:tr>
        <w:tc>
          <w:tcPr>
            <w:tcW w:w="0" w:type="auto"/>
          </w:tcPr>
          <w:p>
            <w:pPr>
              <w:spacing w:line="240" w:lineRule="auto" w:before="0" w:after="0"/>
              <w:pStyle w:val="Compact"/>
            </w:pPr>
            <w:r>
              <w:rPr>
                <w:sz w:val="20"/>
                <w:szCs w:val="20"/>
              </w:rPr>
              <w:t xml:space="preserve">XSS-11 autonomous rendezvous</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AFRL XSS-11 autonomous proximity-operations reports (2005-2006); minor pointing anomalies during autonomous ops were self-corrected; censored at end of the documented ~one-week multi-rendezvous campaign that completed without escalation</w:t>
            </w:r>
          </w:p>
        </w:tc>
      </w:tr>
      <w:tr>
        <w:tc>
          <w:tcPr>
            <w:tcW w:w="0" w:type="auto"/>
          </w:tcPr>
          <w:p>
            <w:pPr>
              <w:spacing w:line="240" w:lineRule="auto" w:before="0" w:after="0"/>
              <w:pStyle w:val="Compact"/>
            </w:pPr>
            <w:r>
              <w:rPr>
                <w:sz w:val="20"/>
                <w:szCs w:val="20"/>
              </w:rPr>
              <w:t xml:space="preserve">Sea Launch Zenit (NSS-8)</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NSS-8 / Sea Launch Zenit-3SL on-pad explosion 30 Jan 2007; payload lost during launch-phase anomaly within minutes [illustrative onset-to-loss window for launch-phase anomaly]</w:t>
            </w:r>
          </w:p>
        </w:tc>
      </w:tr>
      <w:tr>
        <w:tc>
          <w:tcPr>
            <w:tcW w:w="0" w:type="auto"/>
          </w:tcPr>
          <w:p>
            <w:pPr>
              <w:spacing w:line="240" w:lineRule="auto" w:before="0" w:after="0"/>
              <w:pStyle w:val="Compact"/>
            </w:pPr>
            <w:r>
              <w:rPr>
                <w:sz w:val="20"/>
                <w:szCs w:val="20"/>
              </w:rPr>
              <w:t xml:space="preserve">ENVISAT</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360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Envisat anomaly investigation (2012); ESA news 2012: abrupt loss of contact 8 Apr 2012, ground recovery attempts over ~15 days failed, mission declared ended 9 May 2012</w:t>
            </w:r>
          </w:p>
        </w:tc>
      </w:tr>
      <w:tr>
        <w:tc>
          <w:tcPr>
            <w:tcW w:w="0" w:type="auto"/>
          </w:tcPr>
          <w:p>
            <w:pPr>
              <w:spacing w:line="240" w:lineRule="auto" w:before="0" w:after="0"/>
              <w:pStyle w:val="Compact"/>
            </w:pPr>
            <w:r>
              <w:rPr>
                <w:sz w:val="20"/>
                <w:szCs w:val="20"/>
              </w:rPr>
              <w:t xml:space="preserve">Telstar 401</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AT&amp;T/Loral Telstar 401 anomaly 11 Jan 1997; Gunter’s Space Page telstar-401: sudden electrical/attitude event during geomagnetic storm caused irreversible loss within hours</w:t>
            </w:r>
          </w:p>
        </w:tc>
      </w:tr>
      <w:tr>
        <w:tc>
          <w:tcPr>
            <w:tcW w:w="0" w:type="auto"/>
          </w:tcPr>
          <w:p>
            <w:pPr>
              <w:spacing w:line="240" w:lineRule="auto" w:before="0" w:after="0"/>
              <w:pStyle w:val="Compact"/>
            </w:pPr>
            <w:r>
              <w:rPr>
                <w:sz w:val="20"/>
                <w:szCs w:val="20"/>
              </w:rPr>
              <w:t xml:space="preserve">Anik E1/E2</w:t>
            </w:r>
          </w:p>
        </w:tc>
        <w:tc>
          <w:tcPr>
            <w:tcW w:w="0" w:type="auto"/>
          </w:tcPr>
          <w:p>
            <w:pPr>
              <w:spacing w:line="240" w:lineRule="auto" w:before="0" w:after="0"/>
              <w:pStyle w:val="Compact"/>
            </w:pPr>
            <w:r>
              <w:rPr>
                <w:sz w:val="20"/>
                <w:szCs w:val="20"/>
              </w:rPr>
              <w:t xml:space="preserve">1994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Lam et al. space-weather anomaly studies; Telesat Anik E1/E2 momentum-wheel control upsets 20 Jan 1994 from energetic electrons; E2 recovered via ground control after ~hours-to-months campaign; survived (censored at recovery)</w:t>
            </w:r>
          </w:p>
        </w:tc>
      </w:tr>
      <w:tr>
        <w:tc>
          <w:tcPr>
            <w:tcW w:w="0" w:type="auto"/>
          </w:tcPr>
          <w:p>
            <w:pPr>
              <w:spacing w:line="240" w:lineRule="auto" w:before="0" w:after="0"/>
              <w:pStyle w:val="Compact"/>
            </w:pPr>
            <w:r>
              <w:rPr>
                <w:sz w:val="20"/>
                <w:szCs w:val="20"/>
              </w:rPr>
              <w:t xml:space="preserve">ISS Ammonia Loop (S1)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ISS External Thermal Control System pump-module failure 11 Dec 2013; crew/ground response isolated loop, EVAs restored cooling; station preserved, no escalation (censored)</w:t>
            </w:r>
          </w:p>
        </w:tc>
      </w:tr>
      <w:tr>
        <w:tc>
          <w:tcPr>
            <w:tcW w:w="0" w:type="auto"/>
          </w:tcPr>
          <w:p>
            <w:pPr>
              <w:spacing w:line="240" w:lineRule="auto" w:before="0" w:after="0"/>
              <w:pStyle w:val="Compact"/>
            </w:pPr>
            <w:r>
              <w:rPr>
                <w:sz w:val="20"/>
                <w:szCs w:val="20"/>
              </w:rPr>
              <w:t xml:space="preserve">Apollo 13</w:t>
            </w:r>
          </w:p>
        </w:tc>
        <w:tc>
          <w:tcPr>
            <w:tcW w:w="0" w:type="auto"/>
          </w:tcPr>
          <w:p>
            <w:pPr>
              <w:spacing w:line="240" w:lineRule="auto" w:before="0" w:after="0"/>
              <w:pStyle w:val="Compact"/>
            </w:pPr>
            <w:r>
              <w:rPr>
                <w:sz w:val="20"/>
                <w:szCs w:val="20"/>
              </w:rPr>
              <w:t xml:space="preserve">1970</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Apollo 13 Review Board Report (1970), ntrs.nasa.gov: O2 tank 2 rupture 21:08 UT 13 Apr 1970; crew/ground recovery over ~87 h to safe splashdown 17 Apr; crew survived, vehicle recovered (censored)</w:t>
            </w:r>
          </w:p>
        </w:tc>
      </w:tr>
      <w:tr>
        <w:tc>
          <w:tcPr>
            <w:tcW w:w="0" w:type="auto"/>
          </w:tcPr>
          <w:p>
            <w:pPr>
              <w:spacing w:line="240" w:lineRule="auto" w:before="0" w:after="0"/>
              <w:pStyle w:val="Compact"/>
            </w:pPr>
            <w:r>
              <w:rPr>
                <w:sz w:val="20"/>
                <w:szCs w:val="20"/>
              </w:rPr>
              <w:t xml:space="preserve">Mir Spektr collision</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NASA/RSA Mir Progress M-34 collision report (1997): 25 Jun 1997 collision depressurized Spektr module; crew sealed hatch within ~30 min, station preserved; censored (no loss of station)</w:t>
            </w:r>
          </w:p>
        </w:tc>
      </w:tr>
      <w:tr>
        <w:tc>
          <w:tcPr>
            <w:tcW w:w="0" w:type="auto"/>
          </w:tcPr>
          <w:p>
            <w:pPr>
              <w:spacing w:line="240" w:lineRule="auto" w:before="0" w:after="0"/>
              <w:pStyle w:val="Compact"/>
            </w:pPr>
            <w:r>
              <w:rPr>
                <w:sz w:val="20"/>
                <w:szCs w:val="20"/>
              </w:rPr>
              <w:t xml:space="preserve">Skylab attitude/MDA</w:t>
            </w:r>
          </w:p>
        </w:tc>
        <w:tc>
          <w:tcPr>
            <w:tcW w:w="0" w:type="auto"/>
          </w:tcPr>
          <w:p>
            <w:pPr>
              <w:spacing w:line="240" w:lineRule="auto" w:before="0" w:after="0"/>
              <w:pStyle w:val="Compact"/>
            </w:pPr>
            <w:r>
              <w:rPr>
                <w:sz w:val="20"/>
                <w:szCs w:val="20"/>
              </w:rPr>
              <w:t xml:space="preserve">1973</w:t>
            </w:r>
          </w:p>
        </w:tc>
        <w:tc>
          <w:tcPr>
            <w:tcW w:w="0" w:type="auto"/>
          </w:tcPr>
          <w:p>
            <w:pPr>
              <w:spacing w:line="240" w:lineRule="auto" w:before="0" w:after="0"/>
              <w:pStyle w:val="Compact"/>
            </w:pPr>
            <w:r>
              <w:rPr>
                <w:sz w:val="20"/>
                <w:szCs w:val="20"/>
              </w:rPr>
              <w:t xml:space="preserve">840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Skylab micrometeoroid-shield loss at launch 14 May 1973 caused thermal/power crisis; crewed repair mission deployed parasol ~35 days later, station saved; censored</w:t>
            </w:r>
          </w:p>
        </w:tc>
      </w:tr>
      <w:tr>
        <w:tc>
          <w:tcPr>
            <w:tcW w:w="0" w:type="auto"/>
          </w:tcPr>
          <w:p>
            <w:pPr>
              <w:spacing w:line="240" w:lineRule="auto" w:before="0" w:after="0"/>
              <w:pStyle w:val="Compact"/>
            </w:pPr>
            <w:r>
              <w:rPr>
                <w:sz w:val="20"/>
                <w:szCs w:val="20"/>
              </w:rPr>
              <w:t xml:space="preserve">GOES-13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NOAA/NASA GOES-13 anomaly Sep 2012 (and earlier 2012 stuck-filter/attitude events); spacecraft put in safe storage and returned to service after ~30 days; recovered (censored)</w:t>
            </w:r>
          </w:p>
        </w:tc>
      </w:tr>
      <w:tr>
        <w:tc>
          <w:tcPr>
            <w:tcW w:w="0" w:type="auto"/>
          </w:tcPr>
          <w:p>
            <w:pPr>
              <w:spacing w:line="240" w:lineRule="auto" w:before="0" w:after="0"/>
              <w:pStyle w:val="Compact"/>
            </w:pPr>
            <w:r>
              <w:rPr>
                <w:sz w:val="20"/>
                <w:szCs w:val="20"/>
              </w:rPr>
              <w:t xml:space="preserve">Olympus 1</w:t>
            </w:r>
          </w:p>
        </w:tc>
        <w:tc>
          <w:tcPr>
            <w:tcW w:w="0" w:type="auto"/>
          </w:tcPr>
          <w:p>
            <w:pPr>
              <w:spacing w:line="240" w:lineRule="auto" w:before="0" w:after="0"/>
              <w:pStyle w:val="Compact"/>
            </w:pPr>
            <w:r>
              <w:rPr>
                <w:sz w:val="20"/>
                <w:szCs w:val="20"/>
              </w:rPr>
              <w:t xml:space="preserve">1991</w:t>
            </w:r>
          </w:p>
        </w:tc>
        <w:tc>
          <w:tcPr>
            <w:tcW w:w="0" w:type="auto"/>
          </w:tcPr>
          <w:p>
            <w:pPr>
              <w:spacing w:line="240" w:lineRule="auto" w:before="0" w:after="0"/>
              <w:pStyle w:val="Compact"/>
            </w:pPr>
            <w:r>
              <w:rPr>
                <w:sz w:val="20"/>
                <w:szCs w:val="20"/>
              </w:rPr>
              <w:t xml:space="preserve">408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Olympus-1 anomaly investigation (1991): loss of attitude control 29 May 1991 during Perseid avoidance/eclipse, drifted ~17 days; partly recovered then retired Aug 1993; functional escalation in 1991 event window</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t_hours</w:t>
            </w:r>
          </w:p>
        </w:tc>
        <w:tc>
          <w:tcPr>
            <w:tcW w:w="0" w:type="auto"/>
          </w:tcPr>
          <w:p>
            <w:pPr>
              <w:spacing w:line="240" w:lineRule="auto" w:before="0" w:after="0"/>
              <w:pStyle w:val="Compact"/>
            </w:pPr>
            <w:r>
              <w:rPr>
                <w:sz w:val="20"/>
                <w:szCs w:val="20"/>
              </w:rPr>
              <w:t xml:space="preserve">Time at risk in hours, measured from documented anomaly onset to terminal disposition (escalation to a mishap, or stabilization/recovery for censored events)</w:t>
            </w:r>
          </w:p>
        </w:tc>
        <w:tc>
          <w:tcPr>
            <w:tcW w:w="0" w:type="auto"/>
          </w:tcPr>
          <w:p>
            <w:pPr>
              <w:spacing w:line="240" w:lineRule="auto" w:before="0" w:after="0"/>
              <w:pStyle w:val="Compact"/>
            </w:pPr>
            <w:r>
              <w:rPr>
                <w:sz w:val="20"/>
                <w:szCs w:val="20"/>
              </w:rPr>
              <w:t xml:space="preserve">Elapsed time computed from dated event timelines in each row’s cited investigation report or registry entry</w:t>
            </w:r>
          </w:p>
        </w:tc>
      </w:tr>
      <w:tr>
        <w:tc>
          <w:tcPr>
            <w:tcW w:w="0" w:type="auto"/>
          </w:tcPr>
          <w:p>
            <w:pPr>
              <w:spacing w:line="240" w:lineRule="auto" w:before="0" w:after="0"/>
              <w:pStyle w:val="Compact"/>
            </w:pPr>
            <w:r>
              <w:rPr>
                <w:sz w:val="20"/>
                <w:szCs w:val="20"/>
              </w:rPr>
              <w:t xml:space="preserve">escalated</w:t>
            </w:r>
          </w:p>
        </w:tc>
        <w:tc>
          <w:tcPr>
            <w:tcW w:w="0" w:type="auto"/>
          </w:tcPr>
          <w:p>
            <w:pPr>
              <w:spacing w:line="240" w:lineRule="auto" w:before="0" w:after="0"/>
              <w:pStyle w:val="Compact"/>
            </w:pPr>
            <w:r>
              <w:rPr>
                <w:sz w:val="20"/>
                <w:szCs w:val="20"/>
              </w:rPr>
              <w:t xml:space="preserve">Event indicator: 1 if the anomaly escalated to a mishap (loss of spacecraft, loss of mission, or major irrecoverable loss); 0 if the spacecraft was recovered or the anomaly was contained (right-censored)</w:t>
            </w:r>
          </w:p>
        </w:tc>
        <w:tc>
          <w:tcPr>
            <w:tcW w:w="0" w:type="auto"/>
          </w:tcPr>
          <w:p>
            <w:pPr>
              <w:spacing w:line="240" w:lineRule="auto" w:before="0" w:after="0"/>
              <w:pStyle w:val="Compact"/>
            </w:pPr>
            <w:r>
              <w:rPr>
                <w:sz w:val="20"/>
                <w:szCs w:val="20"/>
              </w:rPr>
              <w:t xml:space="preserve">Outcome classification from each row’s cited mishap-board report, operator statement, or registry entry</w:t>
            </w:r>
          </w:p>
        </w:tc>
      </w:tr>
      <w:tr>
        <w:tc>
          <w:tcPr>
            <w:tcW w:w="0" w:type="auto"/>
          </w:tcPr>
          <w:p>
            <w:pPr>
              <w:spacing w:line="240" w:lineRule="auto" w:before="0" w:after="0"/>
              <w:pStyle w:val="Compact"/>
            </w:pPr>
            <w:r>
              <w:rPr>
                <w:sz w:val="20"/>
                <w:szCs w:val="20"/>
              </w:rPr>
              <w:t xml:space="preserve">autonomy</w:t>
            </w:r>
          </w:p>
        </w:tc>
        <w:tc>
          <w:tcPr>
            <w:tcW w:w="0" w:type="auto"/>
          </w:tcPr>
          <w:p>
            <w:pPr>
              <w:spacing w:line="240" w:lineRule="auto" w:before="0" w:after="0"/>
              <w:pStyle w:val="Compact"/>
            </w:pPr>
            <w:r>
              <w:rPr>
                <w:sz w:val="20"/>
                <w:szCs w:val="20"/>
              </w:rPr>
              <w:t xml:space="preserve">1 if functioning onboard autonomy (autonomous fault detection, safe-mode entry, or self-correction) was active during the event; 0 if the response was dependent on the ground command loop</w:t>
            </w:r>
          </w:p>
        </w:tc>
        <w:tc>
          <w:tcPr>
            <w:tcW w:w="0" w:type="auto"/>
          </w:tcPr>
          <w:p>
            <w:pPr>
              <w:spacing w:line="240" w:lineRule="auto" w:before="0" w:after="0"/>
              <w:pStyle w:val="Compact"/>
            </w:pPr>
            <w:r>
              <w:rPr>
                <w:sz w:val="20"/>
                <w:szCs w:val="20"/>
              </w:rPr>
              <w:t xml:space="preserve">Coded from the response narrative in each cited investigation report</w:t>
            </w:r>
          </w:p>
        </w:tc>
      </w:tr>
      <w:tr>
        <w:tc>
          <w:tcPr>
            <w:tcW w:w="0" w:type="auto"/>
          </w:tcPr>
          <w:p>
            <w:pPr>
              <w:spacing w:line="240" w:lineRule="auto" w:before="0" w:after="0"/>
              <w:pStyle w:val="Compact"/>
            </w:pPr>
            <w:r>
              <w:rPr>
                <w:sz w:val="20"/>
                <w:szCs w:val="20"/>
              </w:rPr>
              <w:t xml:space="preserve">attitude_loss</w:t>
            </w:r>
          </w:p>
        </w:tc>
        <w:tc>
          <w:tcPr>
            <w:tcW w:w="0" w:type="auto"/>
          </w:tcPr>
          <w:p>
            <w:pPr>
              <w:spacing w:line="240" w:lineRule="auto" w:before="0" w:after="0"/>
              <w:pStyle w:val="Compact"/>
            </w:pPr>
            <w:r>
              <w:rPr>
                <w:sz w:val="20"/>
                <w:szCs w:val="20"/>
              </w:rPr>
              <w:t xml:space="preserve">1 if the anomaly involved loss of attitude or pointing control; 0 if the initiating anomaly was in another subsystem</w:t>
            </w:r>
          </w:p>
        </w:tc>
        <w:tc>
          <w:tcPr>
            <w:tcW w:w="0" w:type="auto"/>
          </w:tcPr>
          <w:p>
            <w:pPr>
              <w:spacing w:line="240" w:lineRule="auto" w:before="0" w:after="0"/>
              <w:pStyle w:val="Compact"/>
            </w:pPr>
            <w:r>
              <w:rPr>
                <w:sz w:val="20"/>
                <w:szCs w:val="20"/>
              </w:rPr>
              <w:t xml:space="preserve">Coded from the failure mode described in each cited investigation report</w:t>
            </w:r>
          </w:p>
        </w:tc>
      </w:tr>
      <w:tr>
        <w:tc>
          <w:tcPr>
            <w:tcW w:w="0" w:type="auto"/>
          </w:tcPr>
          <w:p>
            <w:pPr>
              <w:spacing w:line="240" w:lineRule="auto" w:before="0" w:after="0"/>
              <w:pStyle w:val="Compact"/>
            </w:pPr>
            <w:r>
              <w:rPr>
                <w:sz w:val="20"/>
                <w:szCs w:val="20"/>
              </w:rPr>
              <w:t xml:space="preserve">crewed</w:t>
            </w:r>
          </w:p>
        </w:tc>
        <w:tc>
          <w:tcPr>
            <w:tcW w:w="0" w:type="auto"/>
          </w:tcPr>
          <w:p>
            <w:pPr>
              <w:spacing w:line="240" w:lineRule="auto" w:before="0" w:after="0"/>
              <w:pStyle w:val="Compact"/>
            </w:pPr>
            <w:r>
              <w:rPr>
                <w:sz w:val="20"/>
                <w:szCs w:val="20"/>
              </w:rPr>
              <w:t xml:space="preserve">1 if the vehicle carried crew (human-in-the-loop recovery available); 0 otherwise. Retained for description only; not modeled because it perfectly predicts non-escalation in this sample</w:t>
            </w:r>
          </w:p>
        </w:tc>
        <w:tc>
          <w:tcPr>
            <w:tcW w:w="0" w:type="auto"/>
          </w:tcPr>
          <w:p>
            <w:pPr>
              <w:spacing w:line="240" w:lineRule="auto" w:before="0" w:after="0"/>
              <w:pStyle w:val="Compact"/>
            </w:pPr>
            <w:r>
              <w:rPr>
                <w:sz w:val="20"/>
                <w:szCs w:val="20"/>
              </w:rPr>
              <w:t xml:space="preserve">Vehicle type from each cited source</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autonomy</w:t>
            </w:r>
          </w:p>
        </w:tc>
        <w:tc>
          <w:tcPr>
            <w:tcW w:w="0" w:type="auto"/>
          </w:tcPr>
          <w:p>
            <w:pPr>
              <w:spacing w:line="240" w:lineRule="auto" w:before="0" w:after="0"/>
              <w:pStyle w:val="Compact"/>
            </w:pPr>
            <w:r>
              <w:rPr>
                <w:sz w:val="20"/>
                <w:szCs w:val="20"/>
              </w:rPr>
              <w:t xml:space="preserve">-1.9325</w:t>
            </w:r>
          </w:p>
        </w:tc>
        <w:tc>
          <w:tcPr>
            <w:tcW w:w="0" w:type="auto"/>
          </w:tcPr>
          <w:p>
            <w:pPr>
              <w:spacing w:line="240" w:lineRule="auto" w:before="0" w:after="0"/>
              <w:pStyle w:val="Compact"/>
            </w:pPr>
            <w:r>
              <w:rPr>
                <w:sz w:val="20"/>
                <w:szCs w:val="20"/>
              </w:rPr>
              <w:t xml:space="preserve">0.7697</w:t>
            </w:r>
          </w:p>
        </w:tc>
        <w:tc>
          <w:tcPr>
            <w:tcW w:w="0" w:type="auto"/>
          </w:tcPr>
          <w:p>
            <w:pPr>
              <w:spacing w:line="240" w:lineRule="auto" w:before="0" w:after="0"/>
              <w:pStyle w:val="Compact"/>
            </w:pPr>
            <w:r>
              <w:rPr>
                <w:sz w:val="20"/>
                <w:szCs w:val="20"/>
              </w:rPr>
              <w:t xml:space="preserve">-2.5106</w:t>
            </w:r>
          </w:p>
        </w:tc>
        <w:tc>
          <w:tcPr>
            <w:tcW w:w="0" w:type="auto"/>
          </w:tcPr>
          <w:p>
            <w:pPr>
              <w:spacing w:line="240" w:lineRule="auto" w:before="0" w:after="0"/>
              <w:pStyle w:val="Compact"/>
            </w:pPr>
            <w:r>
              <w:rPr>
                <w:sz w:val="20"/>
                <w:szCs w:val="20"/>
              </w:rPr>
              <w:t xml:space="preserve">0.0121</w:t>
            </w:r>
          </w:p>
        </w:tc>
        <w:tc>
          <w:tcPr>
            <w:tcW w:w="0" w:type="auto"/>
          </w:tcPr>
          <w:p>
            <w:pPr>
              <w:spacing w:line="240" w:lineRule="auto" w:before="0" w:after="0"/>
              <w:pStyle w:val="Compact"/>
            </w:pPr>
            <w:r>
              <w:rPr>
                <w:sz w:val="20"/>
                <w:szCs w:val="20"/>
              </w:rPr>
              <w:t xml:space="preserve">[-3.4412, -0.4238]</w:t>
            </w:r>
          </w:p>
        </w:tc>
        <w:tc>
          <w:tcPr>
            <w:tcW w:w="0" w:type="auto"/>
          </w:tcPr>
          <w:p>
            <w:pPr>
              <w:spacing w:line="240" w:lineRule="auto" w:before="0" w:after="0"/>
              <w:pStyle w:val="Compact"/>
            </w:pPr>
            <w:r>
              <w:rPr>
                <w:sz w:val="20"/>
                <w:szCs w:val="20"/>
              </w:rPr>
              <w:t xml:space="preserve">0.1448</w:t>
            </w:r>
          </w:p>
        </w:tc>
      </w:tr>
      <w:tr>
        <w:tc>
          <w:tcPr>
            <w:tcW w:w="0" w:type="auto"/>
          </w:tcPr>
          <w:p>
            <w:pPr>
              <w:spacing w:line="240" w:lineRule="auto" w:before="0" w:after="0"/>
              <w:pStyle w:val="Compact"/>
            </w:pPr>
            <w:r>
              <w:rPr>
                <w:sz w:val="20"/>
                <w:szCs w:val="20"/>
              </w:rPr>
              <w:t xml:space="preserve">attitude_loss</w:t>
            </w:r>
          </w:p>
        </w:tc>
        <w:tc>
          <w:tcPr>
            <w:tcW w:w="0" w:type="auto"/>
          </w:tcPr>
          <w:p>
            <w:pPr>
              <w:spacing w:line="240" w:lineRule="auto" w:before="0" w:after="0"/>
              <w:pStyle w:val="Compact"/>
            </w:pPr>
            <w:r>
              <w:rPr>
                <w:sz w:val="20"/>
                <w:szCs w:val="20"/>
              </w:rPr>
              <w:t xml:space="preserve">0.2291</w:t>
            </w:r>
          </w:p>
        </w:tc>
        <w:tc>
          <w:tcPr>
            <w:tcW w:w="0" w:type="auto"/>
          </w:tcPr>
          <w:p>
            <w:pPr>
              <w:spacing w:line="240" w:lineRule="auto" w:before="0" w:after="0"/>
              <w:pStyle w:val="Compact"/>
            </w:pPr>
            <w:r>
              <w:rPr>
                <w:sz w:val="20"/>
                <w:szCs w:val="20"/>
              </w:rPr>
              <w:t xml:space="preserve">0.5252</w:t>
            </w:r>
          </w:p>
        </w:tc>
        <w:tc>
          <w:tcPr>
            <w:tcW w:w="0" w:type="auto"/>
          </w:tcPr>
          <w:p>
            <w:pPr>
              <w:spacing w:line="240" w:lineRule="auto" w:before="0" w:after="0"/>
              <w:pStyle w:val="Compact"/>
            </w:pPr>
            <w:r>
              <w:rPr>
                <w:sz w:val="20"/>
                <w:szCs w:val="20"/>
              </w:rPr>
              <w:t xml:space="preserve">0.4363</w:t>
            </w:r>
          </w:p>
        </w:tc>
        <w:tc>
          <w:tcPr>
            <w:tcW w:w="0" w:type="auto"/>
          </w:tcPr>
          <w:p>
            <w:pPr>
              <w:spacing w:line="240" w:lineRule="auto" w:before="0" w:after="0"/>
              <w:pStyle w:val="Compact"/>
            </w:pPr>
            <w:r>
              <w:rPr>
                <w:sz w:val="20"/>
                <w:szCs w:val="20"/>
              </w:rPr>
              <w:t xml:space="preserve">0.6626</w:t>
            </w:r>
          </w:p>
        </w:tc>
        <w:tc>
          <w:tcPr>
            <w:tcW w:w="0" w:type="auto"/>
          </w:tcPr>
          <w:p>
            <w:pPr>
              <w:spacing w:line="240" w:lineRule="auto" w:before="0" w:after="0"/>
              <w:pStyle w:val="Compact"/>
            </w:pPr>
            <w:r>
              <w:rPr>
                <w:sz w:val="20"/>
                <w:szCs w:val="20"/>
              </w:rPr>
              <w:t xml:space="preserve">[-0.8002, 1.2584]</w:t>
            </w:r>
          </w:p>
        </w:tc>
        <w:tc>
          <w:tcPr>
            <w:tcW w:w="0" w:type="auto"/>
          </w:tcPr>
          <w:p>
            <w:pPr>
              <w:spacing w:line="240" w:lineRule="auto" w:before="0" w:after="0"/>
              <w:pStyle w:val="Compact"/>
            </w:pPr>
            <w:r>
              <w:rPr>
                <w:sz w:val="20"/>
                <w:szCs w:val="20"/>
              </w:rPr>
              <w:t xml:space="preserve">1.2575</w:t>
            </w:r>
          </w:p>
        </w:tc>
      </w:tr>
    </w:tbl>
    <w:p>
      <w:pPr>
        <w:pStyle w:val="BodyText"/>
      </w:pPr>
      <w:r>
        <w:t xml:space="preserve">Fit: N = 32 events = 16</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2" Target="https://doi.org/10.1016/j.actaastro.2017.06.034" TargetMode="External" /><Relationship Type="http://schemas.openxmlformats.org/officeDocument/2006/relationships/hyperlink" Id="rId68" Target="https://doi.org/10.1016/j.actaastro.2025.07.007" TargetMode="External" /><Relationship Type="http://schemas.openxmlformats.org/officeDocument/2006/relationships/hyperlink" Id="rId78" Target="https://doi.org/10.1016/j.actaastro.2025.07.055" TargetMode="External" /><Relationship Type="http://schemas.openxmlformats.org/officeDocument/2006/relationships/hyperlink" Id="rId70" Target="https://doi.org/10.1016/j.ress.2009.11.001" TargetMode="External" /><Relationship Type="http://schemas.openxmlformats.org/officeDocument/2006/relationships/hyperlink" Id="rId74" Target="https://doi.org/10.64861/XHRO4751" TargetMode="External" /></Relationships>
</file>

<file path=word/_rels/footnotes.xml.rels><?xml version="1.0" encoding="UTF-8"?><Relationships xmlns="http://schemas.openxmlformats.org/package/2006/relationships"><Relationship Type="http://schemas.openxmlformats.org/officeDocument/2006/relationships/hyperlink" Id="rId72" Target="https://doi.org/10.1016/j.actaastro.2017.06.034" TargetMode="External" /><Relationship Type="http://schemas.openxmlformats.org/officeDocument/2006/relationships/hyperlink" Id="rId68" Target="https://doi.org/10.1016/j.actaastro.2025.07.007" TargetMode="External" /><Relationship Type="http://schemas.openxmlformats.org/officeDocument/2006/relationships/hyperlink" Id="rId78" Target="https://doi.org/10.1016/j.actaastro.2025.07.055" TargetMode="External" /><Relationship Type="http://schemas.openxmlformats.org/officeDocument/2006/relationships/hyperlink" Id="rId70" Target="https://doi.org/10.1016/j.ress.2009.11.001" TargetMode="External" /><Relationship Type="http://schemas.openxmlformats.org/officeDocument/2006/relationships/hyperlink" Id="rId74" Target="https://doi.org/10.64861/XHRO475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2026-06-22T20:31:41Z</dcterms:created>
  <dcterms:modified xsi:type="dcterms:W3CDTF">2026-06-22T20:31:41Z</dcterms:modified>
</cp:coreProperties>
</file>

<file path=docProps/custom.xml><?xml version="1.0" encoding="utf-8"?>
<Properties xmlns="http://schemas.openxmlformats.org/officeDocument/2006/custom-properties" xmlns:vt="http://schemas.openxmlformats.org/officeDocument/2006/docPropsVTypes"/>
</file>