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4.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2" w:name="Xf94dd22b68ff25c56d901139901405a67e0b1ad"/>
    <w:p>
      <w:pPr>
        <w:pStyle w:val="Heading1"/>
      </w:pPr>
      <w:r>
        <w:t xml:space="preserve">Anomaly-to-Mishap Escalation as a Survival Process: A Cox Proportional-Hazards Estimate of the Autonomy-Posture Effect</w:t>
      </w:r>
    </w:p>
    <w:bookmarkStart w:id="61" w:name="introduction"/>
    <w:p>
      <w:pPr>
        <w:pStyle w:val="Heading2"/>
      </w:pPr>
      <w:r>
        <w:t xml:space="preserve">1. Introduction</w:t>
      </w:r>
    </w:p>
    <w:p>
      <w:pPr>
        <w:pStyle w:val="FirstParagraph"/>
      </w:pPr>
      <w:r>
        <w:t xml:space="preserve">A program manager cannot buy fewer anomalies. Anomalies are intrinsic to operating complex systems in a hostile environment, and the operational record of spaceflight contains far more of them than it contains mishaps. A reaction wheel pits, a telemetry channel drops, a thruster fires long, and the spacecraft most often recovers. What a program manager can in principle buy is a lower probability that any given anomaly escalates into a mission-ending mishap. To price that purchase, the mission-assurance community needs an estimate of the escalation hazard and of what moves it.</w:t>
      </w:r>
    </w:p>
    <w:p>
      <w:pPr>
        <w:pStyle w:val="BodyText"/>
      </w:pPr>
      <w:r>
        <w:t xml:space="preserve">The community has invested heavily on either side of escalation and lightly on escalation itself. Telemetry-driven anomaly detection, which defines the moment an anomaly begins, is now a standard subject at the principal space-surveillance venue, with documented systems that detect and characterize potential anomalies in incoming spacecraft telemetry</w:t>
      </w:r>
      <w:r>
        <w:t xml:space="preserve"> </w:t>
      </w:r>
      <w:hyperlink w:anchor="ref-2">
        <m:oMathPara>
          <m:oMathParaPr>
            <m:jc m:val="center"/>
          </m:oMathParaPr>
          <m:oMath>
            <m:r>
              <m:t>2</m:t>
            </m:r>
          </m:oMath>
        </m:oMathPara>
      </w:hyperlink>
      <w:r>
        <w:t xml:space="preserve"> </w:t>
      </w:r>
      <w:r>
        <w:t xml:space="preserve">and integrate learned detection into space operations</w:t>
      </w:r>
      <w:r>
        <w:t xml:space="preserve"> </w:t>
      </w:r>
      <w:hyperlink w:anchor="ref-3">
        <m:oMathPara>
          <m:oMathParaPr>
            <m:jc m:val="center"/>
          </m:oMathParaPr>
          <m:oMath>
            <m:r>
              <m:t>3</m:t>
            </m:r>
          </m:oMath>
        </m:oMathPara>
      </w:hyperlink>
      <w:r>
        <w:t xml:space="preserve">. At the catastrophic end, the event-characterization literature reconstructs what broke: it classifies explosion versus collision signatures from the resulting debris</w:t>
      </w:r>
      <w:r>
        <w:t xml:space="preserve"> </w:t>
      </w:r>
      <w:hyperlink w:anchor="ref-5">
        <m:oMathPara>
          <m:oMathParaPr>
            <m:jc m:val="center"/>
          </m:oMathParaPr>
          <m:oMath>
            <m:r>
              <m:t>5</m:t>
            </m:r>
          </m:oMath>
        </m:oMathPara>
      </w:hyperlink>
      <w:r>
        <w:t xml:space="preserve"> </w:t>
      </w:r>
      <w:r>
        <w:t xml:space="preserve">and anchors those reconstructions in the canonical public fragmentation record. Between the alarm and the debris cloud sits the escalation process, and it is comparatively unmodeled.</w:t>
      </w:r>
    </w:p>
    <w:p>
      <w:pPr>
        <w:pStyle w:val="FirstParagraph"/>
      </w:pPr>
      <w:r>
        <w:t xml:space="preserve">This paper models that process directly. It treats each documented anomaly as opening a clock that runs from onset until the spacecraft either recovers, in which case the episode is right-censored, or crosses into mishap, in which case the episode is an event. It then asks one conditional question: given an anomaly at onset, what is the hazard of escalation, and does the spacecraft’s autonomy posture at onset, specifically whether onboard fault detection, isolation, and recovery closes the loop before the ground can, lower that hazard once severity and orbital regime are held fixed.</w:t>
      </w:r>
    </w:p>
    <w:bookmarkEnd w:id="61"/>
    <w:bookmarkStart w:id="62" w:name="theory-and-hypotheses"/>
    <w:p>
      <w:pPr>
        <w:pStyle w:val="Heading2"/>
      </w:pPr>
      <w:r>
        <w:t xml:space="preserve">2. Theory and Hypotheses</w:t>
      </w:r>
    </w:p>
    <w:p>
      <w:pPr>
        <w:pStyle w:val="FirstParagraph"/>
      </w:pPr>
      <w:r>
        <w:t xml:space="preserve">The escalation process has a natural survival structure. Most anomalies never escalate, so the outcome is time-to-event with heavy right-censoring, the regime for which proportional-hazards estimation was built. The autonomy literature supplies the mechanism. The self-removal operational concept defines fault detection, isolation, and recovery as the onboard function that detects a fault, isolates it, and triggers recovery</w:t>
      </w:r>
      <w:r>
        <w:t xml:space="preserve"> </w:t>
      </w:r>
      <w:hyperlink w:anchor="ref-8">
        <m:oMathPara>
          <m:oMathParaPr>
            <m:jc m:val="center"/>
          </m:oMathParaPr>
          <m:oMath>
            <m:r>
              <m:t>8</m:t>
            </m:r>
          </m:oMath>
        </m:oMathPara>
      </w:hyperlink>
      <w:r>
        <w:t xml:space="preserve">, and recent neuro-symbolic work couples autonomous maneuvering with onboard anomaly detection</w:t>
      </w:r>
      <w:r>
        <w:t xml:space="preserve"> </w:t>
      </w:r>
      <w:hyperlink w:anchor="ref-4">
        <m:oMathPara>
          <m:oMathParaPr>
            <m:jc m:val="center"/>
          </m:oMathParaPr>
          <m:oMath>
            <m:r>
              <m:t>4</m:t>
            </m:r>
          </m:oMath>
        </m:oMathPara>
      </w:hyperlink>
      <w:r>
        <w:t xml:space="preserve">. The reliability literature supplies the confounders. Statistical analysis of on-orbit propulsion anomalies shows that failure rates are structured by subsystem and severity rather than uniform across a fleet</w:t>
      </w:r>
      <w:r>
        <w:t xml:space="preserve"> </w:t>
      </w:r>
      <w:hyperlink w:anchor="ref-9">
        <m:oMathPara>
          <m:oMathParaPr>
            <m:jc m:val="center"/>
          </m:oMathParaPr>
          <m:oMath>
            <m:r>
              <m:t>9</m:t>
            </m:r>
          </m:oMath>
        </m:oMathPara>
      </w:hyperlink>
      <w:r>
        <w:t xml:space="preserve">, and accelerated-life modeling of spacecraft components shows the same hazard heterogeneity at the part level</w:t>
      </w:r>
      <w:r>
        <w:t xml:space="preserve"> </w:t>
      </w:r>
      <w:hyperlink w:anchor="ref-10">
        <m:oMathPara>
          <m:oMathParaPr>
            <m:jc m:val="center"/>
          </m:oMathParaPr>
          <m:oMath>
            <m:r>
              <m:t>10</m:t>
            </m:r>
          </m:oMath>
        </m:oMathPara>
      </w:hyperlink>
      <w:r>
        <w:t xml:space="preserve">.</w:t>
      </w:r>
    </w:p>
    <w:p>
      <w:pPr>
        <w:pStyle w:val="FirstParagraph"/>
      </w:pPr>
      <w:r>
        <w:t xml:space="preserve">These three bodies motivate a single conditional claim. The mechanism by which closed-loop autonomy should matter is timing. An anomaly is most arrestable in the first interval after onset, before degraded states cascade. A closed onboard loop can act inside that interval; a ground-dependent loop cannot act until a pass, a fault is diagnosed, and commands are uplinked. If that timing argument is right, autonomy posture should lower the escalation hazard after severity and regime are conditioned out.</w:t>
      </w:r>
    </w:p>
    <w:p>
      <w:pPr>
        <w:pStyle w:val="BodyText"/>
      </w:pPr>
      <w:r>
        <w:rPr>
          <w:b/>
          <w:bCs/>
        </w:rPr>
        <w:t xml:space="preserve">H1.</w:t>
      </w:r>
      <w:r>
        <w:t xml:space="preserve"> </w:t>
      </w:r>
      <w:r>
        <w:t xml:space="preserve">Conditional on anomaly severity and orbital regime, anomalies that meet a closed onboard fault-detection-isolation-and-recovery loop at onset face a strictly lower escalation hazard than anomalies that depend on ground-loop recovery; the hazard ratio on the closed-loop covariate is strictly below one.</w:t>
      </w:r>
    </w:p>
    <w:p>
      <w:pPr>
        <w:pStyle w:val="BodyText"/>
      </w:pPr>
      <w:r>
        <w:rPr>
          <w:b/>
          <w:bCs/>
        </w:rPr>
        <w:t xml:space="preserve">H0.</w:t>
      </w:r>
      <w:r>
        <w:t xml:space="preserve"> </w:t>
      </w:r>
      <w:r>
        <w:t xml:space="preserve">Conditional on severity and regime, autonomy posture has no effect on escalation hazard; the hazard ratio equals one.</w:t>
      </w:r>
    </w:p>
    <w:p>
      <w:pPr>
        <w:pStyle w:val="BodyText"/>
      </w:pPr>
      <w:r>
        <w:t xml:space="preserve">The test is deliberately staked on one number so that the claim succeeds or fails on the fitted hazard ratio rather than on a basket of associations.</w:t>
      </w:r>
    </w:p>
    <w:bookmarkEnd w:id="62"/>
    <w:bookmarkStart w:id="63" w:name="data"/>
    <w:p>
      <w:pPr>
        <w:pStyle w:val="Heading2"/>
      </w:pPr>
      <w:r>
        <w:t xml:space="preserve">3. Data</w:t>
      </w:r>
    </w:p>
    <w:p>
      <w:pPr>
        <w:pStyle w:val="FirstParagraph"/>
      </w:pPr>
      <w:r>
        <w:t xml:space="preserve">The unit of analysis is the anomaly episode. The dataset is thirty documented spacecraft anomaly episodes, each compiled from a named public source: a mishap-investigation-board report, an anomaly-review-board report, an agency or operator public statement, or the NASA Orbital Debris Program Office History of On-Orbit Satellite Fragmentations, the canonical public catalogue of on-orbit breakup events and their assessed causes. The sample is constructed to include both tails of the escalation outcome. Fifteen episodes ended in a mission-ending mishap and are coded as events, among them Hitomi, the Mars Climate Orbiter, the Mars Polar Lander, Genesis, Phobos-Grunt, and the four Cluster spacecraft lost on Ariane 501. Fifteen episodes were recovered and are right-censored, among them NEAR Shoemaker after its rendezvous-burn abort, SOHO after its weeks-long ground recovery, Dawn and FUSE after switching off failed reaction wheels, Akatsuki after a failed orbit insertion, and Voyager 2 after its onboard fault protection stabilized the vehicle. Each row records the elapsed hours from anomaly onset to resolution, the event indicator, and three onset covariates: closed-loop autonomy posture, ordinal severity, and a high-regime indicator separating LEO from MEO, GEO, cislunar, interplanetary, and entry-descent-landing.</w:t>
      </w:r>
    </w:p>
    <w:p>
      <w:pPr>
        <w:pStyle w:val="BodyText"/>
      </w:pPr>
      <w:r>
        <w:t xml:space="preserve">Two values, both onset-to-recovery intervals for episodes that the record describes as autonomously handled but does not timestamp to the hour, are marked illustrative; they are fewer than one in ten rows and they affect duration, not the event labels or the covariates that carry the inference. Each spacecraft’s source citation travels with its row in the final column of the dataset, so any figure in this paper can be traced to its public origin.</w:t>
      </w:r>
    </w:p>
    <w:bookmarkEnd w:id="63"/>
    <w:bookmarkStart w:id="64" w:name="method"/>
    <w:p>
      <w:pPr>
        <w:pStyle w:val="Heading2"/>
      </w:pPr>
      <w:r>
        <w:t xml:space="preserve">4. Method</w:t>
      </w:r>
    </w:p>
    <w:p>
      <w:pPr>
        <w:pStyle w:val="FirstParagraph"/>
      </w:pPr>
      <w:r>
        <w:t xml:space="preserve">The estimator is the Cox proportional-hazards model, fit by partial likelihood, with the hazard of mishap in each interval expressed as a baseline hazard scaled by an exponential function of the three onset covariates. The model is the standard one for right-censored time-to-event data and requires no parametric assumption on the baseline hazard, which is appropriate here because the escalation clock runs on different physical timescales across regimes, from the sub-second window of a descent failure to the months-long drift of a stranded geostationary satellite. The coefficient of interest is the one on closed-loop autonomy; its exponential is the escalation hazard ratio attributable to a closed onboard loop, holding severity and regime fixed. Severity and regime enter as the principal confounders identified by the reliability literature [9, 10], because severe anomalies in demanding regimes are both more likely to escalate and more likely to occur on missions that carry richer autonomy. Identification of the autonomy effect rests on conditioning on these two covariates; the key assumption is that, within a level of severity and regime, autonomy posture is not assigned by an unobserved escalation propensity.</w:t>
      </w:r>
    </w:p>
    <w:bookmarkEnd w:id="64"/>
    <w:bookmarkStart w:id="65" w:name="findings"/>
    <w:p>
      <w:pPr>
        <w:pStyle w:val="Heading2"/>
      </w:pPr>
      <w:r>
        <w:t xml:space="preserve">5. Findings</w:t>
      </w:r>
    </w:p>
    <w:p>
      <w:pPr>
        <w:pStyle w:val="FirstParagraph"/>
      </w:pPr>
      <w:r>
        <w:t xml:space="preserve">The model fits thirty episodes with fifteen events. The result is sharp, and it is not the result the autonomy-first reading would have wanted.</w:t>
      </w:r>
    </w:p>
    <w:p>
      <w:pPr>
        <w:pStyle w:val="BodyText"/>
      </w:pPr>
      <w:r>
        <w:t xml:space="preserve">Severity dominates. Each one-step rise in onset severity multiplies the escalation hazard by an estimated factor of 3.28, with a 95 percent confidence interval from 1.24 to 8.67 and a p-value of 0.017. This is the only covariate whose interval excludes one. It says that what an anomaly looks like at onset, whether it is a degraded subsystem or an uncontrolled spin, is the firmest available predictor of whether it ends the mission. Orbital regime adds little once severity is conditioned out: the high-regime hazard ratio is 1.32 with an interval from 0.34 to 5.15 and a p-value of 0.685, statistically indistinguishable from one.</w:t>
      </w:r>
    </w:p>
    <w:p>
      <w:pPr>
        <w:pStyle w:val="BodyText"/>
      </w:pPr>
      <w:r>
        <w:t xml:space="preserve">The autonomy-posture estimate is the paper’s stake, and it returns a divided verdict. The point estimate moves in the direction H1 predicted: a closed onboard loop is associated with a hazard ratio of 0.68, a roughly one-third reduction in escalation hazard relative to ground-dependent recovery, holding severity and regime fixed. But the estimate is imprecise. Its 95 percent confidence interval runs from 0.16 to 2.91, the standard error on the coefficient is 0.74, and the p-value is 0.603. The interval contains one. By the falsification rule set in advance, this does not confirm H1. A hazard ratio whose interval spans one cannot reject the null that autonomy posture has no conditional effect on escalation, even though the central estimate sits below one and is consistent with the timing mechanism.</w:t>
      </w:r>
    </w:p>
    <w:p>
      <w:pPr>
        <w:pStyle w:val="BodyText"/>
      </w:pPr>
      <w:r>
        <w:t xml:space="preserve">The honest reading is therefore two-part. At this sample size, severity is the established lever and autonomy posture is a promising but unproven one. The protective sign survives conditioning on the two confounders the reliability literature flags as most serious, which is more than a raw correlation would deliver, but the data do not yet carry enough escalation events to separate a real one-third reduction from sampling noise.</w:t>
      </w:r>
    </w:p>
    <w:bookmarkEnd w:id="65"/>
    <w:bookmarkStart w:id="66" w:name="discussion"/>
    <w:p>
      <w:pPr>
        <w:pStyle w:val="Heading2"/>
      </w:pPr>
      <w:r>
        <w:t xml:space="preserve">6. Discussion</w:t>
      </w:r>
    </w:p>
    <w:p>
      <w:pPr>
        <w:pStyle w:val="FirstParagraph"/>
      </w:pPr>
      <w:r>
        <w:t xml:space="preserve">The contribution is a single estimated quantity placed on an interpretable scale, and the discipline of staking the claim on that one number is what makes the divided verdict informative rather than evasive. The model does not let an attractive point estimate of 0.68 be read as a finding. It reports that the autonomy effect is directionally consistent with the closed-loop timing argument [8, 4] and statistically unresolved, while severity is resolved and large [9, 10].</w:t>
      </w:r>
    </w:p>
    <w:p>
      <w:pPr>
        <w:pStyle w:val="BodyText"/>
      </w:pPr>
      <w:r>
        <w:t xml:space="preserve">For a program manager, the actionable result is the ranking of certainty, not a single recommendation. Severity reduction, meaning design and operational choices that keep an anomaly from presenting as a control-authority or loss-of-vehicle event at onset, is supported by the firmest coefficient in the model and should be funded as the first lever. Closed-loop autonomy is worth funding as a hypothesis with a favorable central estimate and a clear mechanism, but it has not yet earned the status of an established hazard reducer, and a program that spends on it should do so understanding that the present evidence cannot rule out no effect.</w:t>
      </w:r>
    </w:p>
    <w:p>
      <w:pPr>
        <w:pStyle w:val="BodyText"/>
      </w:pPr>
      <w:r>
        <w:t xml:space="preserve">The path to resolution is sample size, not a different model. The estimator is adequate; the escalation-event count is not. The same Cox specification applied to a catalogue several times larger, drawn from the same public fragmentation and anomaly-board records, would tighten the autonomy interval enough to either pull it below one or close the question. The truncation of the censored sample, since recovered anomalies generate no debris cloud and often no public report, remains the central data threat and biases toward over-representing events; a larger and more completely reported censored sample would, if anything, strengthen rather than weaken the protective estimate. The single-parameter design means the dissertation’s headline claim stands ready to be confirmed or refuted by exactly that expansion.</w:t>
      </w:r>
    </w:p>
    <w:bookmarkEnd w:id="66"/>
    <w:bookmarkStart w:id="82" w:name="references"/>
    <w:p>
      <w:pPr>
        <w:pStyle w:val="Heading2"/>
      </w:pPr>
      <w:r>
        <w:t xml:space="preserve">References</w:t>
      </w:r>
    </w:p>
    <w:p>
      <w:pPr>
        <w:pStyle w:val="FirstParagraph"/>
      </w:pPr>
      <w:bookmarkStart w:id="67" w:name="ref-1"/>
      <w:bookmarkEnd w:id="67"/>
      <w:r>
        <w:t xml:space="preserve">1. C. Reglero Andres, E. Salcedo de Zarraga, S. Hawthorne, M. Cote, N. Ansell, and Y. Dasgupta,</w:t>
      </w:r>
      <w:r>
        <w:t xml:space="preserve"> </w:t>
      </w:r>
      <w:r>
        <w:t xml:space="preserve">“Reducing Decision Time for on-orbit Operations with Virtualized Ground Stations and Machine Learning,”</w:t>
      </w:r>
      <w:r>
        <w:t xml:space="preserve"> </w:t>
      </w:r>
      <w:r>
        <w:t xml:space="preserve">Proc. Advanced Maui Optical and Space Surveillance Technologies (AMOS) Conference, 2022.</w:t>
      </w:r>
    </w:p>
    <w:p>
      <w:pPr>
        <w:pStyle w:val="BodyText"/>
      </w:pPr>
      <w:bookmarkStart w:id="68" w:name="ref-2"/>
      <w:bookmarkEnd w:id="68"/>
      <w:r>
        <w:t xml:space="preserve">2. Z. Li,</w:t>
      </w:r>
      <w:r>
        <w:t xml:space="preserve"> </w:t>
      </w:r>
      <w:r>
        <w:t xml:space="preserve">“Creating Situational Awareness in Spacecraft Operations with the Machine Learning Approach,”</w:t>
      </w:r>
      <w:r>
        <w:t xml:space="preserve"> </w:t>
      </w:r>
      <w:r>
        <w:t xml:space="preserve">Proc. Advanced Maui Optical and Space Surveillance Technologies (AMOS) Conference, 2016.</w:t>
      </w:r>
    </w:p>
    <w:p>
      <w:pPr>
        <w:pStyle w:val="BodyText"/>
      </w:pPr>
      <w:bookmarkStart w:id="69" w:name="ref-3"/>
      <w:bookmarkEnd w:id="69"/>
      <w:r>
        <w:t xml:space="preserve">3. K. G. Kelly,</w:t>
      </w:r>
      <w:r>
        <w:t xml:space="preserve"> </w:t>
      </w:r>
      <w:r>
        <w:t xml:space="preserve">“Integrating Machine Learning into Space Operations,”</w:t>
      </w:r>
      <w:r>
        <w:t xml:space="preserve"> </w:t>
      </w:r>
      <w:r>
        <w:t xml:space="preserve">Proc. Advanced Maui Optical and Space Surveillance Technologies (AMOS) Conference, 2017.</w:t>
      </w:r>
    </w:p>
    <w:p>
      <w:pPr>
        <w:pStyle w:val="BodyText"/>
      </w:pPr>
      <w:bookmarkStart w:id="70" w:name="ref-4"/>
      <w:bookmarkEnd w:id="70"/>
      <w:r>
        <w:t xml:space="preserve">4. A. Grosvenor, A. Wahab, K. Bohachov, A. Zemlyansky, R. Adams, and D. Deighan,</w:t>
      </w:r>
      <w:r>
        <w:t xml:space="preserve"> </w:t>
      </w:r>
      <w:r>
        <w:t xml:space="preserve">“Hierarchical Neuro-Symbolic AI for Autonomous Spacecraft Maneuvering and Anomaly Detection,”</w:t>
      </w:r>
      <w:r>
        <w:t xml:space="preserve"> </w:t>
      </w:r>
      <w:r>
        <w:t xml:space="preserve">Proc. Advanced Maui Optical and Space Surveillance Technologies (AMOS) Conference, 2025. doi:</w:t>
      </w:r>
      <w:r>
        <w:t xml:space="preserve"> </w:t>
      </w:r>
      <w:hyperlink r:id="rId71">
        <w:r>
          <w:rPr>
            <w:rStyle w:val="Hyperlink"/>
          </w:rPr>
          <w:t xml:space="preserve">10.64861/RAAN7205</w:t>
        </w:r>
      </w:hyperlink>
    </w:p>
    <w:p>
      <w:pPr>
        <w:pStyle w:val="BodyText"/>
      </w:pPr>
      <w:bookmarkStart w:id="72" w:name="ref-5"/>
      <w:bookmarkEnd w:id="72"/>
      <w:r>
        <w:t xml:space="preserve">5. B. Joshi, S. Arumugam, Siri L., T. Ansari, and T. Ahmed,</w:t>
      </w:r>
      <w:r>
        <w:t xml:space="preserve"> </w:t>
      </w:r>
      <w:r>
        <w:t xml:space="preserve">“Satellite Debris Classification Framework: Using Graph Neural Networks for Explosion and Collision Event Characterization,”</w:t>
      </w:r>
      <w:r>
        <w:t xml:space="preserve"> </w:t>
      </w:r>
      <w:r>
        <w:t xml:space="preserve">Proc. Advanced Maui Optical and Space Surveillance Technologies (AMOS) Conference, 2025. doi:</w:t>
      </w:r>
      <w:r>
        <w:t xml:space="preserve"> </w:t>
      </w:r>
      <w:hyperlink r:id="rId73">
        <w:r>
          <w:rPr>
            <w:rStyle w:val="Hyperlink"/>
          </w:rPr>
          <w:t xml:space="preserve">10.64861/PHBD6598</w:t>
        </w:r>
      </w:hyperlink>
    </w:p>
    <w:p>
      <w:pPr>
        <w:pStyle w:val="BodyText"/>
      </w:pPr>
      <w:bookmarkStart w:id="74" w:name="ref-6"/>
      <w:bookmarkEnd w:id="74"/>
      <w:r>
        <w:t xml:space="preserve">6. R. Stottler, S. Ramachandran, C. Belardi, and R. Mandayam,</w:t>
      </w:r>
      <w:r>
        <w:t xml:space="preserve"> </w:t>
      </w:r>
      <w:r>
        <w:t xml:space="preserve">“On-board, Autonomous, Hybrid Spacecraft Subsystem Fault and Anomaly Detection, Diagnosis, and Recovery,”</w:t>
      </w:r>
      <w:r>
        <w:t xml:space="preserve"> </w:t>
      </w:r>
      <w:r>
        <w:t xml:space="preserve">Proc. Advanced Maui Optical and Space Surveillance Technologies (AMOS) Conference, 2020.</w:t>
      </w:r>
    </w:p>
    <w:p>
      <w:pPr>
        <w:pStyle w:val="BodyText"/>
      </w:pPr>
      <w:bookmarkStart w:id="75" w:name="ref-7"/>
      <w:bookmarkEnd w:id="75"/>
      <w:r>
        <w:t xml:space="preserve">7. National Aeronautics and Space Administration, Orbital Debris Program Office,</w:t>
      </w:r>
      <w:r>
        <w:t xml:space="preserve"> </w:t>
      </w:r>
      <w:r>
        <w:t xml:space="preserve">“History of On-Orbit Satellite Fragmentations,”</w:t>
      </w:r>
      <w:r>
        <w:t xml:space="preserve"> </w:t>
      </w:r>
      <w:r>
        <w:t xml:space="preserve">16th ed., NASA/TP-20220019160, 2022.</w:t>
      </w:r>
    </w:p>
    <w:p>
      <w:pPr>
        <w:pStyle w:val="BodyText"/>
      </w:pPr>
      <w:bookmarkStart w:id="76" w:name="ref-8"/>
      <w:bookmarkEnd w:id="76"/>
      <w:r>
        <w:t xml:space="preserve">8. A. Wander, K. Konstantinidis, R. Förstner, and P. Voigt,</w:t>
      </w:r>
      <w:r>
        <w:t xml:space="preserve"> </w:t>
      </w:r>
      <w:r>
        <w:t xml:space="preserve">“Autonomy and operational concept for self-removal of spacecraft: Status detection, removal triggering and passivation,”</w:t>
      </w:r>
      <w:r>
        <w:t xml:space="preserve"> </w:t>
      </w:r>
      <w:r>
        <w:t xml:space="preserve">Acta Astronautica, vol. 164, 2019. doi:</w:t>
      </w:r>
      <w:r>
        <w:t xml:space="preserve"> </w:t>
      </w:r>
      <w:hyperlink r:id="rId77">
        <w:r>
          <w:rPr>
            <w:rStyle w:val="Hyperlink"/>
          </w:rPr>
          <w:t xml:space="preserve">10.1016/j.actaastro.2019.07.014</w:t>
        </w:r>
      </w:hyperlink>
    </w:p>
    <w:p>
      <w:pPr>
        <w:pStyle w:val="BodyText"/>
      </w:pPr>
      <w:bookmarkStart w:id="78" w:name="ref-9"/>
      <w:bookmarkEnd w:id="78"/>
      <w:r>
        <w:t xml:space="preserve">9. J. H. Saleh, F. Geng, M. Ku, and M. L. R. Walker,</w:t>
      </w:r>
      <w:r>
        <w:t xml:space="preserve"> </w:t>
      </w:r>
      <w:r>
        <w:t xml:space="preserve">“Electric propulsion reliability: Statistical analysis of on-orbit anomalies and comparative analysis of electric versus chemical propulsion failure rates,”</w:t>
      </w:r>
      <w:r>
        <w:t xml:space="preserve"> </w:t>
      </w:r>
      <w:r>
        <w:t xml:space="preserve">Acta Astronautica, vol. 139, 2017. doi:</w:t>
      </w:r>
      <w:r>
        <w:t xml:space="preserve"> </w:t>
      </w:r>
      <w:hyperlink r:id="rId79">
        <w:r>
          <w:rPr>
            <w:rStyle w:val="Hyperlink"/>
          </w:rPr>
          <w:t xml:space="preserve">10.1016/j.actaastro.2017.06.034</w:t>
        </w:r>
      </w:hyperlink>
    </w:p>
    <w:p>
      <w:pPr>
        <w:pStyle w:val="BodyText"/>
      </w:pPr>
      <w:bookmarkStart w:id="80" w:name="ref-10"/>
      <w:bookmarkEnd w:id="80"/>
      <w:r>
        <w:t xml:space="preserve">10. C. Zhang, L. Pan, S. Wang, X. Wang, and M. Tomovic,</w:t>
      </w:r>
      <w:r>
        <w:t xml:space="preserve"> </w:t>
      </w:r>
      <w:r>
        <w:t xml:space="preserve">“An accelerated life test model for solid lubricated bearings used in space based on time-varying dependence analysis of different failure modes,”</w:t>
      </w:r>
      <w:r>
        <w:t xml:space="preserve"> </w:t>
      </w:r>
      <w:r>
        <w:t xml:space="preserve">Acta Astronautica, vol. 152, 2018. doi:</w:t>
      </w:r>
      <w:r>
        <w:t xml:space="preserve"> </w:t>
      </w:r>
      <w:hyperlink r:id="rId81">
        <w:r>
          <w:rPr>
            <w:rStyle w:val="Hyperlink"/>
          </w:rPr>
          <w:t xml:space="preserve">10.1016/j.actaastro.2018.08.027</w:t>
        </w:r>
      </w:hyperlink>
    </w:p>
    <w:bookmarkEnd w:id="82"/>
    <w:bookmarkStart w:id="83"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sty m:val="p"/>
                </m:rPr>
                <m:t>C</m:t>
              </m:r>
              <m:r>
                <m:rPr>
                  <m:sty m:val="p"/>
                </m:rPr>
                <m:t>l</m:t>
              </m:r>
              <m:r>
                <m:rPr>
                  <m:sty m:val="p"/>
                </m:rPr>
                <m:t>o</m:t>
              </m:r>
              <m:r>
                <m:rPr>
                  <m:sty m:val="p"/>
                </m:rPr>
                <m:t>s</m:t>
              </m:r>
              <m:r>
                <m:rPr>
                  <m:sty m:val="p"/>
                </m:rPr>
                <m:t>e</m:t>
              </m:r>
              <m:r>
                <m:rPr>
                  <m:sty m:val="p"/>
                </m:rPr>
                <m:t>d</m:t>
              </m:r>
              <m:r>
                <m:rPr>
                  <m:sty m:val="p"/>
                </m:rPr>
                <m:t>L</m:t>
              </m:r>
              <m:r>
                <m:rPr>
                  <m:sty m:val="p"/>
                </m:rPr>
                <m:t>o</m:t>
              </m:r>
              <m:r>
                <m:rPr>
                  <m:sty m:val="p"/>
                </m:rPr>
                <m:t>o</m:t>
              </m:r>
              <m:r>
                <m:rPr>
                  <m:sty m:val="p"/>
                </m:rPr>
                <m:t>p</m:t>
              </m:r>
              <m:r>
                <m:rPr>
                  <m:sty m:val="p"/>
                </m:rPr>
                <m:t>F</m:t>
              </m:r>
              <m:r>
                <m:rPr>
                  <m:sty m:val="p"/>
                </m:rPr>
                <m:t>D</m:t>
              </m:r>
              <m:r>
                <m:rPr>
                  <m:sty m:val="p"/>
                </m:rPr>
                <m:t>I</m:t>
              </m:r>
              <m:r>
                <m:rPr>
                  <m:sty m:val="p"/>
                </m:rPr>
                <m:t>R</m:t>
              </m:r>
              <m:r>
                <m:rPr>
                  <m:sty m:val="p"/>
                </m:rPr>
                <m:t>+</m:t>
              </m:r>
              <m:sSub>
                <m:e>
                  <m:r>
                    <m:t>β</m:t>
                  </m:r>
                </m:e>
                <m:sub>
                  <m:r>
                    <m:t>2</m:t>
                  </m:r>
                </m:sub>
              </m:sSub>
              <m:r>
                <m:t> </m:t>
              </m:r>
              <m:r>
                <m:rPr>
                  <m:sty m:val="p"/>
                </m:rPr>
                <m:t>S</m:t>
              </m:r>
              <m:r>
                <m:rPr>
                  <m:sty m:val="p"/>
                </m:rPr>
                <m:t>e</m:t>
              </m:r>
              <m:r>
                <m:rPr>
                  <m:sty m:val="p"/>
                </m:rPr>
                <m:t>v</m:t>
              </m:r>
              <m:r>
                <m:rPr>
                  <m:sty m:val="p"/>
                </m:rPr>
                <m:t>e</m:t>
              </m:r>
              <m:r>
                <m:rPr>
                  <m:sty m:val="p"/>
                </m:rPr>
                <m:t>r</m:t>
              </m:r>
              <m:r>
                <m:rPr>
                  <m:sty m:val="p"/>
                </m:rPr>
                <m:t>i</m:t>
              </m:r>
              <m:r>
                <m:rPr>
                  <m:sty m:val="p"/>
                </m:rPr>
                <m:t>t</m:t>
              </m:r>
              <m:r>
                <m:rPr>
                  <m:sty m:val="p"/>
                </m:rPr>
                <m:t>y</m:t>
              </m:r>
              <m:r>
                <m:rPr>
                  <m:sty m:val="p"/>
                </m:rPr>
                <m:t>+</m:t>
              </m:r>
              <m:sSub>
                <m:e>
                  <m:r>
                    <m:t>β</m:t>
                  </m:r>
                </m:e>
                <m:sub>
                  <m:r>
                    <m:t>3</m:t>
                  </m:r>
                </m:sub>
              </m:sSub>
              <m:r>
                <m:t> </m:t>
              </m:r>
              <m:r>
                <m:rPr>
                  <m:sty m:val="p"/>
                </m:rPr>
                <m:t>H</m:t>
              </m:r>
              <m:r>
                <m:rPr>
                  <m:sty m:val="p"/>
                </m:rPr>
                <m:t>i</m:t>
              </m:r>
              <m:r>
                <m:rPr>
                  <m:sty m:val="p"/>
                </m:rPr>
                <m:t>g</m:t>
              </m:r>
              <m:r>
                <m:rPr>
                  <m:sty m:val="p"/>
                </m:rPr>
                <m:t>h</m:t>
              </m:r>
              <m:r>
                <m:rPr>
                  <m:sty m:val="p"/>
                </m:rPr>
                <m:t>R</m:t>
              </m:r>
              <m:r>
                <m:rPr>
                  <m:sty m:val="p"/>
                </m:rPr>
                <m:t>e</m:t>
              </m:r>
              <m:r>
                <m:rPr>
                  <m:sty m:val="p"/>
                </m:rPr>
                <m:t>g</m:t>
              </m:r>
              <m:r>
                <m:rPr>
                  <m:sty m:val="p"/>
                </m:rPr>
                <m:t>i</m:t>
              </m:r>
              <m:r>
                <m:rPr>
                  <m:sty m:val="p"/>
                </m:rPr>
                <m:t>m</m:t>
              </m:r>
              <m:r>
                <m:rPr>
                  <m:sty m:val="p"/>
                </m:rPr>
                <m:t>e</m:t>
              </m:r>
            </m:e>
          </m:d>
        </m:oMath>
      </m:oMathPara>
    </w:p>
    <w:bookmarkEnd w:id="83"/>
    <w:bookmarkStart w:id="87"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closed_loop_fdir</w:t>
            </w:r>
          </w:p>
        </w:tc>
        <w:tc>
          <w:tcPr>
            <w:tcW w:w="0" w:type="auto"/>
          </w:tcPr>
          <w:p>
            <w:pPr>
              <w:spacing w:line="240" w:lineRule="auto" w:before="0" w:after="0"/>
              <w:pStyle w:val="Compact"/>
            </w:pPr>
            <w:r>
              <w:rPr>
                <w:sz w:val="20"/>
                <w:szCs w:val="20"/>
              </w:rPr>
              <w:t xml:space="preserve">-0.3858</w:t>
            </w:r>
          </w:p>
        </w:tc>
        <w:tc>
          <w:tcPr>
            <w:tcW w:w="0" w:type="auto"/>
          </w:tcPr>
          <w:p>
            <w:pPr>
              <w:spacing w:line="240" w:lineRule="auto" w:before="0" w:after="0"/>
              <w:pStyle w:val="Compact"/>
            </w:pPr>
            <w:r>
              <w:rPr>
                <w:sz w:val="20"/>
                <w:szCs w:val="20"/>
              </w:rPr>
              <w:t xml:space="preserve">0.7418</w:t>
            </w:r>
          </w:p>
        </w:tc>
        <w:tc>
          <w:tcPr>
            <w:tcW w:w="0" w:type="auto"/>
          </w:tcPr>
          <w:p>
            <w:pPr>
              <w:spacing w:line="240" w:lineRule="auto" w:before="0" w:after="0"/>
              <w:pStyle w:val="Compact"/>
            </w:pPr>
            <w:r>
              <w:rPr>
                <w:sz w:val="20"/>
                <w:szCs w:val="20"/>
              </w:rPr>
              <w:t xml:space="preserve">-0.5201</w:t>
            </w:r>
          </w:p>
        </w:tc>
        <w:tc>
          <w:tcPr>
            <w:tcW w:w="0" w:type="auto"/>
          </w:tcPr>
          <w:p>
            <w:pPr>
              <w:spacing w:line="240" w:lineRule="auto" w:before="0" w:after="0"/>
              <w:pStyle w:val="Compact"/>
            </w:pPr>
            <w:r>
              <w:rPr>
                <w:sz w:val="20"/>
                <w:szCs w:val="20"/>
              </w:rPr>
              <w:t xml:space="preserve">0.603</w:t>
            </w:r>
          </w:p>
        </w:tc>
        <w:tc>
          <w:tcPr>
            <w:tcW w:w="0" w:type="auto"/>
          </w:tcPr>
          <w:p>
            <w:pPr>
              <w:spacing w:line="240" w:lineRule="auto" w:before="0" w:after="0"/>
              <w:pStyle w:val="Compact"/>
            </w:pPr>
            <w:r>
              <w:rPr>
                <w:sz w:val="20"/>
                <w:szCs w:val="20"/>
              </w:rPr>
              <w:t xml:space="preserve">[-1.8396, 1.0681]</w:t>
            </w:r>
          </w:p>
        </w:tc>
        <w:tc>
          <w:tcPr>
            <w:tcW w:w="0" w:type="auto"/>
          </w:tcPr>
          <w:p>
            <w:pPr>
              <w:spacing w:line="240" w:lineRule="auto" w:before="0" w:after="0"/>
              <w:pStyle w:val="Compact"/>
            </w:pPr>
            <w:r>
              <w:rPr>
                <w:sz w:val="20"/>
                <w:szCs w:val="20"/>
              </w:rPr>
              <w:t xml:space="preserve">0.6799</w:t>
            </w:r>
          </w:p>
        </w:tc>
      </w:tr>
      <w:tr>
        <w:tc>
          <w:tcPr>
            <w:tcW w:w="0" w:type="auto"/>
          </w:tcPr>
          <w:p>
            <w:pPr>
              <w:spacing w:line="240" w:lineRule="auto" w:before="0" w:after="0"/>
              <w:pStyle w:val="Compact"/>
            </w:pPr>
            <w:r>
              <w:rPr>
                <w:sz w:val="20"/>
                <w:szCs w:val="20"/>
              </w:rPr>
              <w:t xml:space="preserve">severity</w:t>
            </w:r>
          </w:p>
        </w:tc>
        <w:tc>
          <w:tcPr>
            <w:tcW w:w="0" w:type="auto"/>
          </w:tcPr>
          <w:p>
            <w:pPr>
              <w:spacing w:line="240" w:lineRule="auto" w:before="0" w:after="0"/>
              <w:pStyle w:val="Compact"/>
            </w:pPr>
            <w:r>
              <w:rPr>
                <w:sz w:val="20"/>
                <w:szCs w:val="20"/>
              </w:rPr>
              <w:t xml:space="preserve">1.1865</w:t>
            </w:r>
          </w:p>
        </w:tc>
        <w:tc>
          <w:tcPr>
            <w:tcW w:w="0" w:type="auto"/>
          </w:tcPr>
          <w:p>
            <w:pPr>
              <w:spacing w:line="240" w:lineRule="auto" w:before="0" w:after="0"/>
              <w:pStyle w:val="Compact"/>
            </w:pPr>
            <w:r>
              <w:rPr>
                <w:sz w:val="20"/>
                <w:szCs w:val="20"/>
              </w:rPr>
              <w:t xml:space="preserve">0.4966</w:t>
            </w:r>
          </w:p>
        </w:tc>
        <w:tc>
          <w:tcPr>
            <w:tcW w:w="0" w:type="auto"/>
          </w:tcPr>
          <w:p>
            <w:pPr>
              <w:spacing w:line="240" w:lineRule="auto" w:before="0" w:after="0"/>
              <w:pStyle w:val="Compact"/>
            </w:pPr>
            <w:r>
              <w:rPr>
                <w:sz w:val="20"/>
                <w:szCs w:val="20"/>
              </w:rPr>
              <w:t xml:space="preserve">2.3894</w:t>
            </w:r>
          </w:p>
        </w:tc>
        <w:tc>
          <w:tcPr>
            <w:tcW w:w="0" w:type="auto"/>
          </w:tcPr>
          <w:p>
            <w:pPr>
              <w:spacing w:line="240" w:lineRule="auto" w:before="0" w:after="0"/>
              <w:pStyle w:val="Compact"/>
            </w:pPr>
            <w:r>
              <w:rPr>
                <w:sz w:val="20"/>
                <w:szCs w:val="20"/>
              </w:rPr>
              <w:t xml:space="preserve">0.0169</w:t>
            </w:r>
          </w:p>
        </w:tc>
        <w:tc>
          <w:tcPr>
            <w:tcW w:w="0" w:type="auto"/>
          </w:tcPr>
          <w:p>
            <w:pPr>
              <w:spacing w:line="240" w:lineRule="auto" w:before="0" w:after="0"/>
              <w:pStyle w:val="Compact"/>
            </w:pPr>
            <w:r>
              <w:rPr>
                <w:sz w:val="20"/>
                <w:szCs w:val="20"/>
              </w:rPr>
              <w:t xml:space="preserve">[0.2132, 2.1597]</w:t>
            </w:r>
          </w:p>
        </w:tc>
        <w:tc>
          <w:tcPr>
            <w:tcW w:w="0" w:type="auto"/>
          </w:tcPr>
          <w:p>
            <w:pPr>
              <w:spacing w:line="240" w:lineRule="auto" w:before="0" w:after="0"/>
              <w:pStyle w:val="Compact"/>
            </w:pPr>
            <w:r>
              <w:rPr>
                <w:sz w:val="20"/>
                <w:szCs w:val="20"/>
              </w:rPr>
              <w:t xml:space="preserve">3.2755</w:t>
            </w:r>
          </w:p>
        </w:tc>
      </w:tr>
      <w:tr>
        <w:tc>
          <w:tcPr>
            <w:tcW w:w="0" w:type="auto"/>
          </w:tcPr>
          <w:p>
            <w:pPr>
              <w:spacing w:line="240" w:lineRule="auto" w:before="0" w:after="0"/>
              <w:pStyle w:val="Compact"/>
            </w:pPr>
            <w:r>
              <w:rPr>
                <w:sz w:val="20"/>
                <w:szCs w:val="20"/>
              </w:rPr>
              <w:t xml:space="preserve">high_regime</w:t>
            </w:r>
          </w:p>
        </w:tc>
        <w:tc>
          <w:tcPr>
            <w:tcW w:w="0" w:type="auto"/>
          </w:tcPr>
          <w:p>
            <w:pPr>
              <w:spacing w:line="240" w:lineRule="auto" w:before="0" w:after="0"/>
              <w:pStyle w:val="Compact"/>
            </w:pPr>
            <w:r>
              <w:rPr>
                <w:sz w:val="20"/>
                <w:szCs w:val="20"/>
              </w:rPr>
              <w:t xml:space="preserve">0.2809</w:t>
            </w:r>
          </w:p>
        </w:tc>
        <w:tc>
          <w:tcPr>
            <w:tcW w:w="0" w:type="auto"/>
          </w:tcPr>
          <w:p>
            <w:pPr>
              <w:spacing w:line="240" w:lineRule="auto" w:before="0" w:after="0"/>
              <w:pStyle w:val="Compact"/>
            </w:pPr>
            <w:r>
              <w:rPr>
                <w:sz w:val="20"/>
                <w:szCs w:val="20"/>
              </w:rPr>
              <w:t xml:space="preserve">0.6924</w:t>
            </w:r>
          </w:p>
        </w:tc>
        <w:tc>
          <w:tcPr>
            <w:tcW w:w="0" w:type="auto"/>
          </w:tcPr>
          <w:p>
            <w:pPr>
              <w:spacing w:line="240" w:lineRule="auto" w:before="0" w:after="0"/>
              <w:pStyle w:val="Compact"/>
            </w:pPr>
            <w:r>
              <w:rPr>
                <w:sz w:val="20"/>
                <w:szCs w:val="20"/>
              </w:rPr>
              <w:t xml:space="preserve">0.4057</w:t>
            </w:r>
          </w:p>
        </w:tc>
        <w:tc>
          <w:tcPr>
            <w:tcW w:w="0" w:type="auto"/>
          </w:tcPr>
          <w:p>
            <w:pPr>
              <w:spacing w:line="240" w:lineRule="auto" w:before="0" w:after="0"/>
              <w:pStyle w:val="Compact"/>
            </w:pPr>
            <w:r>
              <w:rPr>
                <w:sz w:val="20"/>
                <w:szCs w:val="20"/>
              </w:rPr>
              <w:t xml:space="preserve">0.6849</w:t>
            </w:r>
          </w:p>
        </w:tc>
        <w:tc>
          <w:tcPr>
            <w:tcW w:w="0" w:type="auto"/>
          </w:tcPr>
          <w:p>
            <w:pPr>
              <w:spacing w:line="240" w:lineRule="auto" w:before="0" w:after="0"/>
              <w:pStyle w:val="Compact"/>
            </w:pPr>
            <w:r>
              <w:rPr>
                <w:sz w:val="20"/>
                <w:szCs w:val="20"/>
              </w:rPr>
              <w:t xml:space="preserve">[-1.0762, 1.6381]</w:t>
            </w:r>
          </w:p>
        </w:tc>
        <w:tc>
          <w:tcPr>
            <w:tcW w:w="0" w:type="auto"/>
          </w:tcPr>
          <w:p>
            <w:pPr>
              <w:spacing w:line="240" w:lineRule="auto" w:before="0" w:after="0"/>
              <w:pStyle w:val="Compact"/>
            </w:pPr>
            <w:r>
              <w:rPr>
                <w:sz w:val="20"/>
                <w:szCs w:val="20"/>
              </w:rPr>
              <w:t xml:space="preserve">1.3244</w:t>
            </w:r>
          </w:p>
        </w:tc>
      </w:tr>
    </w:tbl>
    <w:p>
      <w:pPr>
        <w:pStyle w:val="BodyText"/>
      </w:pPr>
      <w:r>
        <w:t xml:space="preserve">Fit: N = 30 events = 15</w:t>
      </w:r>
    </w:p>
    <w:p>
      <w:pPr>
        <w:pStyle w:val="CaptionedFigure"/>
      </w:pPr>
      <w:r>
        <w:drawing>
          <wp:inline>
            <wp:extent cx="5669280" cy="3657600"/>
            <wp:effectExtent b="0" l="0" r="0" t="0"/>
            <wp:docPr descr="Figure 1. Time from anomaly onset to resolution against onset severity for 30 documented spacecraft anomaly episodes; episodes ending in mission-ending mishap (event) and those recovered (censored) span the severity range, motivating the conditional hazard model." title="" id="85" name="Picture"/>
            <a:graphic>
              <a:graphicData uri="http://schemas.openxmlformats.org/drawingml/2006/picture">
                <pic:pic>
                  <pic:nvPicPr>
                    <pic:cNvPr descr="D:\Claude_Code\brain\collegium\candidates\dissertations\JPL_MGMT_SMA_TECH_03\research_papers\p1\paper_fig1.png" id="86" name="Picture"/>
                    <pic:cNvPicPr>
                      <a:picLocks noChangeArrowheads="1" noChangeAspect="1"/>
                    </pic:cNvPicPr>
                  </pic:nvPicPr>
                  <pic:blipFill>
                    <a:blip r:embed="rId8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Time from anomaly onset to resolution against onset severity for 30 documented spacecraft anomaly episodes; episodes ending in mission-ending mishap (event) and those recovered (censored) span the severity range, motivating the conditional hazard model.</w:t>
      </w:r>
    </w:p>
    <w:bookmarkEnd w:id="87"/>
    <w:bookmarkStart w:id="91"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8"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spacecraft</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anomaly_class</w:t>
            </w:r>
          </w:p>
        </w:tc>
        <w:tc>
          <w:tcPr>
            <w:tcW w:w="0" w:type="auto"/>
          </w:tcPr>
          <w:p>
            <w:pPr>
              <w:spacing w:line="240" w:lineRule="auto" w:before="0" w:after="0"/>
              <w:pStyle w:val="Compact"/>
            </w:pPr>
            <w:r>
              <w:rPr>
                <w:sz w:val="20"/>
                <w:szCs w:val="20"/>
              </w:rPr>
              <w:t xml:space="preserve">duration_hours</w:t>
            </w:r>
          </w:p>
        </w:tc>
        <w:tc>
          <w:tcPr>
            <w:tcW w:w="0" w:type="auto"/>
          </w:tcPr>
          <w:p>
            <w:pPr>
              <w:spacing w:line="240" w:lineRule="auto" w:before="0" w:after="0"/>
              <w:pStyle w:val="Compact"/>
            </w:pPr>
            <w:r>
              <w:rPr>
                <w:sz w:val="20"/>
                <w:szCs w:val="20"/>
              </w:rPr>
              <w:t xml:space="preserve">mishap</w:t>
            </w:r>
          </w:p>
        </w:tc>
        <w:tc>
          <w:tcPr>
            <w:tcW w:w="0" w:type="auto"/>
          </w:tcPr>
          <w:p>
            <w:pPr>
              <w:spacing w:line="240" w:lineRule="auto" w:before="0" w:after="0"/>
              <w:pStyle w:val="Compact"/>
            </w:pPr>
            <w:r>
              <w:rPr>
                <w:sz w:val="20"/>
                <w:szCs w:val="20"/>
              </w:rPr>
              <w:t xml:space="preserve">closed_loop_fdir</w:t>
            </w:r>
          </w:p>
        </w:tc>
        <w:tc>
          <w:tcPr>
            <w:tcW w:w="0" w:type="auto"/>
          </w:tcPr>
          <w:p>
            <w:pPr>
              <w:spacing w:line="240" w:lineRule="auto" w:before="0" w:after="0"/>
              <w:pStyle w:val="Compact"/>
            </w:pPr>
            <w:r>
              <w:rPr>
                <w:sz w:val="20"/>
                <w:szCs w:val="20"/>
              </w:rPr>
              <w:t xml:space="preserve">severity</w:t>
            </w:r>
          </w:p>
        </w:tc>
        <w:tc>
          <w:tcPr>
            <w:tcW w:w="0" w:type="auto"/>
          </w:tcPr>
          <w:p>
            <w:pPr>
              <w:spacing w:line="240" w:lineRule="auto" w:before="0" w:after="0"/>
              <w:pStyle w:val="Compact"/>
            </w:pPr>
            <w:r>
              <w:rPr>
                <w:sz w:val="20"/>
                <w:szCs w:val="20"/>
              </w:rPr>
              <w:t xml:space="preserve">high_regime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Hitomi (ASTRO-H)</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attitude_control</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NASA/JAXA-documented; Spaceflight Now 2016-04-18</w:t>
            </w:r>
            <w:r>
              <w:rPr>
                <w:sz w:val="20"/>
                <w:szCs w:val="20"/>
              </w:rPr>
              <w:t xml:space="preserve"> </w:t>
            </w:r>
            <w:r>
              <w:rPr>
                <w:sz w:val="20"/>
                <w:szCs w:val="20"/>
              </w:rPr>
              <w:t xml:space="preserve">‘Attitude control failures led to break-up’</w:t>
            </w:r>
            <w:r>
              <w:rPr>
                <w:sz w:val="20"/>
                <w:szCs w:val="20"/>
              </w:rPr>
              <w:t xml:space="preserve">; IRU anomaly 25 Mar 19:10 UTC to breakup 26 Mar ~01:42 UTC; safe-hold engaged but ground recovery did not arrest escalation</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navigation_gnc</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DART Mishap Investigation Board,</w:t>
            </w:r>
            <w:r>
              <w:rPr>
                <w:sz w:val="20"/>
                <w:szCs w:val="20"/>
              </w:rPr>
              <w:t xml:space="preserve"> </w:t>
            </w:r>
            <w:r>
              <w:rPr>
                <w:sz w:val="20"/>
                <w:szCs w:val="20"/>
              </w:rPr>
              <w:t xml:space="preserve">‘Overview of the DART Mishap Investigation Results’</w:t>
            </w:r>
            <w:r>
              <w:rPr>
                <w:sz w:val="20"/>
                <w:szCs w:val="20"/>
              </w:rPr>
              <w:t xml:space="preserve"> </w:t>
            </w:r>
            <w:r>
              <w:rPr>
                <w:sz w:val="20"/>
                <w:szCs w:val="20"/>
              </w:rPr>
              <w:t xml:space="preserve">(2006), nasa.gov/wp-content/uploads/2015/01/148072main_DART_mishap_overview.pdf; excessive thruster firings on bad nav data, propellant depletion, collision ~1.5 m/s</w:t>
            </w:r>
          </w:p>
        </w:tc>
      </w:tr>
      <w:tr>
        <w:tc>
          <w:tcPr>
            <w:tcW w:w="0" w:type="auto"/>
          </w:tcPr>
          <w:p>
            <w:pPr>
              <w:spacing w:line="240" w:lineRule="auto" w:before="0" w:after="0"/>
              <w:pStyle w:val="Compact"/>
            </w:pPr>
            <w:r>
              <w:rPr>
                <w:sz w:val="20"/>
                <w:szCs w:val="20"/>
              </w:rPr>
              <w:t xml:space="preserve">NEAR Shoemaker</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propulsion_burn</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NEAR Anomaly Review Board; Hoffman 1999,</w:t>
            </w:r>
            <w:r>
              <w:rPr>
                <w:sz w:val="20"/>
                <w:szCs w:val="20"/>
              </w:rPr>
              <w:t xml:space="preserve"> </w:t>
            </w:r>
            <w:r>
              <w:rPr>
                <w:sz w:val="20"/>
                <w:szCs w:val="20"/>
              </w:rPr>
              <w:t xml:space="preserve">‘NEAR Rendezvous Burn Anomaly of December 1998’</w:t>
            </w:r>
            <w:r>
              <w:rPr>
                <w:sz w:val="20"/>
                <w:szCs w:val="20"/>
              </w:rPr>
              <w:t xml:space="preserve">; autonomous abort and safing recovered the spacecraft, rendezvous re-achieved</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reaction_wheel</w:t>
            </w:r>
          </w:p>
        </w:tc>
        <w:tc>
          <w:tcPr>
            <w:tcW w:w="0" w:type="auto"/>
          </w:tcPr>
          <w:p>
            <w:pPr>
              <w:spacing w:line="240" w:lineRule="auto" w:before="0" w:after="0"/>
              <w:pStyle w:val="Compact"/>
            </w:pPr>
            <w:r>
              <w:rPr>
                <w:sz w:val="20"/>
                <w:szCs w:val="20"/>
              </w:rPr>
              <w:t xml:space="preserve">2208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Kepler mission; SpaceNews</w:t>
            </w:r>
            <w:r>
              <w:rPr>
                <w:sz w:val="20"/>
                <w:szCs w:val="20"/>
              </w:rPr>
              <w:t xml:space="preserve"> </w:t>
            </w:r>
            <w:r>
              <w:rPr>
                <w:sz w:val="20"/>
                <w:szCs w:val="20"/>
              </w:rPr>
              <w:t xml:space="preserve">‘No long-term effects from Kepler spacecraft anomaly’</w:t>
            </w:r>
            <w:r>
              <w:rPr>
                <w:sz w:val="20"/>
                <w:szCs w:val="20"/>
              </w:rPr>
              <w:t xml:space="preserve">; second wheel failed 2013-05-11, safe mode, recovery attempts to 2013-08-15 declared unrecoverable for primary mission</w:t>
            </w:r>
          </w:p>
        </w:tc>
      </w:tr>
      <w:tr>
        <w:tc>
          <w:tcPr>
            <w:tcW w:w="0" w:type="auto"/>
          </w:tcPr>
          <w:p>
            <w:pPr>
              <w:spacing w:line="240" w:lineRule="auto" w:before="0" w:after="0"/>
              <w:pStyle w:val="Compact"/>
            </w:pPr>
            <w:r>
              <w:rPr>
                <w:sz w:val="20"/>
                <w:szCs w:val="20"/>
              </w:rPr>
              <w:t xml:space="preserve">SOHO</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attitude_control</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ESA/NASA SOHO Mission Interruption Joint Board Report (1998); spin-stabilization lost 1998-06-25, recovered after ~weeks of ground recovery; classed non-mission-ending</w:t>
            </w:r>
          </w:p>
        </w:tc>
      </w:tr>
      <w:tr>
        <w:tc>
          <w:tcPr>
            <w:tcW w:w="0" w:type="auto"/>
          </w:tcPr>
          <w:p>
            <w:pPr>
              <w:spacing w:line="240" w:lineRule="auto" w:before="0" w:after="0"/>
              <w:pStyle w:val="Compact"/>
            </w:pPr>
            <w:r>
              <w:rPr>
                <w:sz w:val="20"/>
                <w:szCs w:val="20"/>
              </w:rPr>
              <w:t xml:space="preserve">Galaxy 15</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command_anomaly</w:t>
            </w:r>
          </w:p>
        </w:tc>
        <w:tc>
          <w:tcPr>
            <w:tcW w:w="0" w:type="auto"/>
          </w:tcPr>
          <w:p>
            <w:pPr>
              <w:spacing w:line="240" w:lineRule="auto" w:before="0" w:after="0"/>
              <w:pStyle w:val="Compact"/>
            </w:pPr>
            <w:r>
              <w:rPr>
                <w:sz w:val="20"/>
                <w:szCs w:val="20"/>
              </w:rPr>
              <w:t xml:space="preserve">2880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Intelsat/Orbital Sciences public reports;</w:t>
            </w:r>
            <w:r>
              <w:rPr>
                <w:sz w:val="20"/>
                <w:szCs w:val="20"/>
              </w:rPr>
              <w:t xml:space="preserve"> </w:t>
            </w:r>
            <w:r>
              <w:rPr>
                <w:sz w:val="20"/>
                <w:szCs w:val="20"/>
              </w:rPr>
              <w:t xml:space="preserve">‘zombie sat’</w:t>
            </w:r>
            <w:r>
              <w:rPr>
                <w:sz w:val="20"/>
                <w:szCs w:val="20"/>
              </w:rPr>
              <w:t xml:space="preserve"> </w:t>
            </w:r>
            <w:r>
              <w:rPr>
                <w:sz w:val="20"/>
                <w:szCs w:val="20"/>
              </w:rPr>
              <w:t xml:space="preserve">drifted ~4 months in GEO from 2010-04-05, recovered after battery drain reset 2010-12; mission continued</w:t>
            </w:r>
          </w:p>
        </w:tc>
      </w:tr>
      <w:tr>
        <w:tc>
          <w:tcPr>
            <w:tcW w:w="0" w:type="auto"/>
          </w:tcPr>
          <w:p>
            <w:pPr>
              <w:spacing w:line="240" w:lineRule="auto" w:before="0" w:after="0"/>
              <w:pStyle w:val="Compact"/>
            </w:pPr>
            <w:r>
              <w:rPr>
                <w:sz w:val="20"/>
                <w:szCs w:val="20"/>
              </w:rPr>
              <w:t xml:space="preserve">Phobos-Grunt</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propulsion_burn</w:t>
            </w:r>
          </w:p>
        </w:tc>
        <w:tc>
          <w:tcPr>
            <w:tcW w:w="0" w:type="auto"/>
          </w:tcPr>
          <w:p>
            <w:pPr>
              <w:spacing w:line="240" w:lineRule="auto" w:before="0" w:after="0"/>
              <w:pStyle w:val="Compact"/>
            </w:pPr>
            <w:r>
              <w:rPr>
                <w:sz w:val="20"/>
                <w:szCs w:val="20"/>
              </w:rPr>
              <w:t xml:space="preserve">1560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Roscosmos investigation commission report (2012); upper-stage burns failed to fire after 2011-11-08 launch, stranded in LEO, reentered 2012-01-15</w:t>
            </w:r>
          </w:p>
        </w:tc>
      </w:tr>
      <w:tr>
        <w:tc>
          <w:tcPr>
            <w:tcW w:w="0" w:type="auto"/>
          </w:tcPr>
          <w:p>
            <w:pPr>
              <w:spacing w:line="240" w:lineRule="auto" w:before="0" w:after="0"/>
              <w:pStyle w:val="Compact"/>
            </w:pPr>
            <w:r>
              <w:rPr>
                <w:sz w:val="20"/>
                <w:szCs w:val="20"/>
              </w:rPr>
              <w:t xml:space="preserve">Genesis</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reentry_eDL</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Genesis Mishap Investigation Board Report Vol I (2005); G-switch sensors installed inverted, drogue/parafoil never deployed, capsule impact 2004-09-08</w:t>
            </w:r>
          </w:p>
        </w:tc>
      </w:tr>
      <w:tr>
        <w:tc>
          <w:tcPr>
            <w:tcW w:w="0" w:type="auto"/>
          </w:tcPr>
          <w:p>
            <w:pPr>
              <w:spacing w:line="240" w:lineRule="auto" w:before="0" w:after="0"/>
              <w:pStyle w:val="Compact"/>
            </w:pPr>
            <w:r>
              <w:rPr>
                <w:sz w:val="20"/>
                <w:szCs w:val="20"/>
              </w:rPr>
              <w:t xml:space="preserve">Mars Climate Orbiter</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navigation_gnc</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MCO Mishap Investigation Board Phase I Report (1999); units mismatch (lbf-s vs N-s) in ground software, orbit insertion too low, loss of signal 1999-09-23</w:t>
            </w:r>
          </w:p>
        </w:tc>
      </w:tr>
      <w:tr>
        <w:tc>
          <w:tcPr>
            <w:tcW w:w="0" w:type="auto"/>
          </w:tcPr>
          <w:p>
            <w:pPr>
              <w:spacing w:line="240" w:lineRule="auto" w:before="0" w:after="0"/>
              <w:pStyle w:val="Compact"/>
            </w:pPr>
            <w:r>
              <w:rPr>
                <w:sz w:val="20"/>
                <w:szCs w:val="20"/>
              </w:rPr>
              <w:t xml:space="preserve">Mars Polar Lander</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reentry_eDL</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MPL Loss Report (2000, Casani/JPL Special Review Board); premature engine cutoff from spurious touchdown signal during descent 1999-12-03</w:t>
            </w:r>
          </w:p>
        </w:tc>
      </w:tr>
      <w:tr>
        <w:tc>
          <w:tcPr>
            <w:tcW w:w="0" w:type="auto"/>
          </w:tcPr>
          <w:p>
            <w:pPr>
              <w:spacing w:line="240" w:lineRule="auto" w:before="0" w:after="0"/>
              <w:pStyle w:val="Compact"/>
            </w:pPr>
            <w:r>
              <w:rPr>
                <w:sz w:val="20"/>
                <w:szCs w:val="20"/>
              </w:rPr>
              <w:t xml:space="preserve">Lewis (TRW)</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attitude_control</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Lewis Spacecraft Mission Failure Investigation Board Final Report (1998); ACS design flaw, entered flat spin, loss of power, reentry after ~3 days from 1997-08-23</w:t>
            </w:r>
          </w:p>
        </w:tc>
      </w:tr>
      <w:tr>
        <w:tc>
          <w:tcPr>
            <w:tcW w:w="0" w:type="auto"/>
          </w:tcPr>
          <w:p>
            <w:pPr>
              <w:spacing w:line="240" w:lineRule="auto" w:before="0" w:after="0"/>
              <w:pStyle w:val="Compact"/>
            </w:pPr>
            <w:r>
              <w:rPr>
                <w:sz w:val="20"/>
                <w:szCs w:val="20"/>
              </w:rPr>
              <w:t xml:space="preserve">Solar Maximum Mission</w:t>
            </w:r>
          </w:p>
        </w:tc>
        <w:tc>
          <w:tcPr>
            <w:tcW w:w="0" w:type="auto"/>
          </w:tcPr>
          <w:p>
            <w:pPr>
              <w:spacing w:line="240" w:lineRule="auto" w:before="0" w:after="0"/>
              <w:pStyle w:val="Compact"/>
            </w:pPr>
            <w:r>
              <w:rPr>
                <w:sz w:val="20"/>
                <w:szCs w:val="20"/>
              </w:rPr>
              <w:t xml:space="preserve">1980</w:t>
            </w:r>
          </w:p>
        </w:tc>
        <w:tc>
          <w:tcPr>
            <w:tcW w:w="0" w:type="auto"/>
          </w:tcPr>
          <w:p>
            <w:pPr>
              <w:spacing w:line="240" w:lineRule="auto" w:before="0" w:after="0"/>
              <w:pStyle w:val="Compact"/>
            </w:pPr>
            <w:r>
              <w:rPr>
                <w:sz w:val="20"/>
                <w:szCs w:val="20"/>
              </w:rPr>
              <w:t xml:space="preserve">attitude_control</w:t>
            </w:r>
          </w:p>
        </w:tc>
        <w:tc>
          <w:tcPr>
            <w:tcW w:w="0" w:type="auto"/>
          </w:tcPr>
          <w:p>
            <w:pPr>
              <w:spacing w:line="240" w:lineRule="auto" w:before="0" w:after="0"/>
              <w:pStyle w:val="Compact"/>
            </w:pPr>
            <w:r>
              <w:rPr>
                <w:sz w:val="20"/>
                <w:szCs w:val="20"/>
              </w:rPr>
              <w:t xml:space="preserve">4380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SMM; fuse failures in attitude control 1980-11; degraded ops, recovered after Shuttle STS-41C servicing 1984; classed non-mission-ending</w:t>
            </w:r>
          </w:p>
        </w:tc>
      </w:tr>
      <w:tr>
        <w:tc>
          <w:tcPr>
            <w:tcW w:w="0" w:type="auto"/>
          </w:tcPr>
          <w:p>
            <w:pPr>
              <w:spacing w:line="240" w:lineRule="auto" w:before="0" w:after="0"/>
              <w:pStyle w:val="Compact"/>
            </w:pPr>
            <w:r>
              <w:rPr>
                <w:sz w:val="20"/>
                <w:szCs w:val="20"/>
              </w:rPr>
              <w:t xml:space="preserve">GOES-13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instrument_anomaly</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NOAA/NASA GOES-13 anomaly reports; imager/sounder vibration anomaly 2012-09, taken offline, recovered after ~1 month back to service</w:t>
            </w:r>
          </w:p>
        </w:tc>
      </w:tr>
      <w:tr>
        <w:tc>
          <w:tcPr>
            <w:tcW w:w="0" w:type="auto"/>
          </w:tcPr>
          <w:p>
            <w:pPr>
              <w:spacing w:line="240" w:lineRule="auto" w:before="0" w:after="0"/>
              <w:pStyle w:val="Compact"/>
            </w:pPr>
            <w:r>
              <w:rPr>
                <w:sz w:val="20"/>
                <w:szCs w:val="20"/>
              </w:rPr>
              <w:t xml:space="preserve">Intelsat IS-29e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propulsion_leak</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Intelsat/Boeing public statements + ExoAnalytic tracking (2019); propellant leak then second anomaly 2019-04, total loss within ~a week, fragmentation in GEO</w:t>
            </w:r>
          </w:p>
        </w:tc>
      </w:tr>
      <w:tr>
        <w:tc>
          <w:tcPr>
            <w:tcW w:w="0" w:type="auto"/>
          </w:tcPr>
          <w:p>
            <w:pPr>
              <w:spacing w:line="240" w:lineRule="auto" w:before="0" w:after="0"/>
              <w:pStyle w:val="Compact"/>
            </w:pPr>
            <w:r>
              <w:rPr>
                <w:sz w:val="20"/>
                <w:szCs w:val="20"/>
              </w:rPr>
              <w:t xml:space="preserve">AMC-9 (GE-12)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attitude_control</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SES public statements (2017); anomaly 2017-06-17 caused drift and fragments, partial recovery and controlled to graveyard; spacecraft stabilized</w:t>
            </w:r>
          </w:p>
        </w:tc>
      </w:tr>
      <w:tr>
        <w:tc>
          <w:tcPr>
            <w:tcW w:w="0" w:type="auto"/>
          </w:tcPr>
          <w:p>
            <w:pPr>
              <w:spacing w:line="240" w:lineRule="auto" w:before="0" w:after="0"/>
              <w:pStyle w:val="Compact"/>
            </w:pPr>
            <w:r>
              <w:rPr>
                <w:sz w:val="20"/>
                <w:szCs w:val="20"/>
              </w:rPr>
              <w:t xml:space="preserve">Telstar 401</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power_bus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AT&amp;T/Loral reports; sudden power-system anomaly 1997-01-11 (geomagnetic-storm linked) led to total loss in hours, GEO</w:t>
            </w:r>
          </w:p>
        </w:tc>
      </w:tr>
      <w:tr>
        <w:tc>
          <w:tcPr>
            <w:tcW w:w="0" w:type="auto"/>
          </w:tcPr>
          <w:p>
            <w:pPr>
              <w:spacing w:line="240" w:lineRule="auto" w:before="0" w:after="0"/>
              <w:pStyle w:val="Compact"/>
            </w:pPr>
            <w:r>
              <w:rPr>
                <w:sz w:val="20"/>
                <w:szCs w:val="20"/>
              </w:rPr>
              <w:t xml:space="preserve">ANIK E1/E2</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attitude_control</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Telesat reports; magnetic-storm-induced momentum-wheel control failures 1994-01-20; E2 recovered via ground backup control over months; non-mission-ending</w:t>
            </w:r>
          </w:p>
        </w:tc>
      </w:tr>
      <w:tr>
        <w:tc>
          <w:tcPr>
            <w:tcW w:w="0" w:type="auto"/>
          </w:tcPr>
          <w:p>
            <w:pPr>
              <w:spacing w:line="240" w:lineRule="auto" w:before="0" w:after="0"/>
              <w:pStyle w:val="Compact"/>
            </w:pPr>
            <w:r>
              <w:rPr>
                <w:sz w:val="20"/>
                <w:szCs w:val="20"/>
              </w:rPr>
              <w:t xml:space="preserve">FUSE</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reaction_wheel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NASA/JHU FUSE; reaction wheel failures from 2001; mission continued using magnetic torquer bars for control; classed recovered/degraded</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reaction_wheel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Dawn mission reports; multiple reaction wheel failures 2010-2012, switched to hydrazine RCS attitude control, mission continued to Ceres</w:t>
            </w:r>
          </w:p>
        </w:tc>
      </w:tr>
      <w:tr>
        <w:tc>
          <w:tcPr>
            <w:tcW w:w="0" w:type="auto"/>
          </w:tcPr>
          <w:p>
            <w:pPr>
              <w:spacing w:line="240" w:lineRule="auto" w:before="0" w:after="0"/>
              <w:pStyle w:val="Compact"/>
            </w:pPr>
            <w:r>
              <w:rPr>
                <w:sz w:val="20"/>
                <w:szCs w:val="20"/>
              </w:rPr>
              <w:t xml:space="preserve">TIMED</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reaction_wheel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NASA/JHU APL TIMED; momentum-wheel anomaly handled by onboard reconfiguration; mission continued; [illustrative] onset-to-recovery interval</w:t>
            </w:r>
          </w:p>
        </w:tc>
      </w:tr>
      <w:tr>
        <w:tc>
          <w:tcPr>
            <w:tcW w:w="0" w:type="auto"/>
          </w:tcPr>
          <w:p>
            <w:pPr>
              <w:spacing w:line="240" w:lineRule="auto" w:before="0" w:after="0"/>
              <w:pStyle w:val="Compact"/>
            </w:pPr>
            <w:r>
              <w:rPr>
                <w:sz w:val="20"/>
                <w:szCs w:val="20"/>
              </w:rPr>
              <w:t xml:space="preserve">STEREO-B</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command_loss</w:t>
            </w:r>
          </w:p>
        </w:tc>
        <w:tc>
          <w:tcPr>
            <w:tcW w:w="0" w:type="auto"/>
          </w:tcPr>
          <w:p>
            <w:pPr>
              <w:spacing w:line="240" w:lineRule="auto" w:before="0" w:after="0"/>
              <w:pStyle w:val="Compact"/>
            </w:pPr>
            <w:r>
              <w:rPr>
                <w:sz w:val="20"/>
                <w:szCs w:val="20"/>
              </w:rPr>
              <w:t xml:space="preserve">8760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STEREO; loss of contact 2014-10-01 during hard-reset test, contact briefly regained 2016 but spacecraft not recovered to ops</w:t>
            </w:r>
          </w:p>
        </w:tc>
      </w:tr>
      <w:tr>
        <w:tc>
          <w:tcPr>
            <w:tcW w:w="0" w:type="auto"/>
          </w:tcPr>
          <w:p>
            <w:pPr>
              <w:spacing w:line="240" w:lineRule="auto" w:before="0" w:after="0"/>
              <w:pStyle w:val="Compact"/>
            </w:pPr>
            <w:r>
              <w:rPr>
                <w:sz w:val="20"/>
                <w:szCs w:val="20"/>
              </w:rPr>
              <w:t xml:space="preserve">Spitzer</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safe_mode</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Spitzer; routine safe-mode entries autonomously triggered and ground-recovered through mission; [illustrative] representative interval</w:t>
            </w:r>
          </w:p>
        </w:tc>
      </w:tr>
      <w:tr>
        <w:tc>
          <w:tcPr>
            <w:tcW w:w="0" w:type="auto"/>
          </w:tcPr>
          <w:p>
            <w:pPr>
              <w:spacing w:line="240" w:lineRule="auto" w:before="0" w:after="0"/>
              <w:pStyle w:val="Compact"/>
            </w:pPr>
            <w:r>
              <w:rPr>
                <w:sz w:val="20"/>
                <w:szCs w:val="20"/>
              </w:rPr>
              <w:t xml:space="preserve">LISA Pathfinder</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thruster_anomaly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LISA Pathfinder; micro-propulsion anomalies handled by onboard FDIR and reconfiguration; mission objectives met</w:t>
            </w:r>
          </w:p>
        </w:tc>
      </w:tr>
      <w:tr>
        <w:tc>
          <w:tcPr>
            <w:tcW w:w="0" w:type="auto"/>
          </w:tcPr>
          <w:p>
            <w:pPr>
              <w:spacing w:line="240" w:lineRule="auto" w:before="0" w:after="0"/>
              <w:pStyle w:val="Compact"/>
            </w:pPr>
            <w:r>
              <w:rPr>
                <w:sz w:val="20"/>
                <w:szCs w:val="20"/>
              </w:rPr>
              <w:t xml:space="preserve">Cluster (original)</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launch_gnc</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ESA/Ariane 501 Inquiry Board Report (Lions, 1996); Ariane 5 software exception ~37 s after liftoff destroyed all four Cluster spacecraft 1996-06-04</w:t>
            </w:r>
          </w:p>
        </w:tc>
      </w:tr>
      <w:tr>
        <w:tc>
          <w:tcPr>
            <w:tcW w:w="0" w:type="auto"/>
          </w:tcPr>
          <w:p>
            <w:pPr>
              <w:spacing w:line="240" w:lineRule="auto" w:before="0" w:after="0"/>
              <w:pStyle w:val="Compact"/>
            </w:pPr>
            <w:r>
              <w:rPr>
                <w:sz w:val="20"/>
                <w:szCs w:val="20"/>
              </w:rPr>
              <w:t xml:space="preserve">Beagle 2</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reentry_eDL</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ESA/UK Beagle 2 Commission of Inquiry (2004); presumed solar-panel deployment failure on Mars descent 2003-12-25, no signal</w:t>
            </w:r>
          </w:p>
        </w:tc>
      </w:tr>
      <w:tr>
        <w:tc>
          <w:tcPr>
            <w:tcW w:w="0" w:type="auto"/>
          </w:tcPr>
          <w:p>
            <w:pPr>
              <w:spacing w:line="240" w:lineRule="auto" w:before="0" w:after="0"/>
              <w:pStyle w:val="Compact"/>
            </w:pPr>
            <w:r>
              <w:rPr>
                <w:sz w:val="20"/>
                <w:szCs w:val="20"/>
              </w:rPr>
              <w:t xml:space="preserve">Akatsuki</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propulsion_burn</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JAXA Akatsuki; main-engine orbit-insertion failure 2010-12-07, onboard abort safed the craft, RCS used for successful re-insertion 2015</w:t>
            </w:r>
          </w:p>
        </w:tc>
      </w:tr>
      <w:tr>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safe_mode</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Cassini; bit-flip-induced safing events autonomously detected and recovered repeatedly through mission to 2017</w:t>
            </w:r>
          </w:p>
        </w:tc>
      </w:tr>
      <w:tr>
        <w:tc>
          <w:tcPr>
            <w:tcW w:w="0" w:type="auto"/>
          </w:tcPr>
          <w:p>
            <w:pPr>
              <w:spacing w:line="240" w:lineRule="auto" w:before="0" w:after="0"/>
              <w:pStyle w:val="Compact"/>
            </w:pPr>
            <w:r>
              <w:rPr>
                <w:sz w:val="20"/>
                <w:szCs w:val="20"/>
              </w:rPr>
              <w:t xml:space="preserve">Voyager 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attitude_control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Voyager 2; onboard fault-protection autonomously turned off systems and stabilized after a 2020 maneuver overdraw; ground re-enabled science</w:t>
            </w:r>
          </w:p>
        </w:tc>
      </w:tr>
      <w:tr>
        <w:tc>
          <w:tcPr>
            <w:tcW w:w="0" w:type="auto"/>
          </w:tcPr>
          <w:p>
            <w:pPr>
              <w:spacing w:line="240" w:lineRule="auto" w:before="0" w:after="0"/>
              <w:pStyle w:val="Compact"/>
            </w:pPr>
            <w:r>
              <w:rPr>
                <w:sz w:val="20"/>
                <w:szCs w:val="20"/>
              </w:rPr>
              <w:t xml:space="preserve">MGS (Mars Global Surveyor)</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power_attitude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MGS Operations Review Board (2007); battery overheating from mispointing after a parameter-update error, loss of contact 2006-11-02</w:t>
            </w:r>
          </w:p>
        </w:tc>
      </w:tr>
      <w:tr>
        <w:tc>
          <w:tcPr>
            <w:tcW w:w="0" w:type="auto"/>
          </w:tcPr>
          <w:p>
            <w:pPr>
              <w:spacing w:line="240" w:lineRule="auto" w:before="0" w:after="0"/>
              <w:pStyle w:val="Compact"/>
            </w:pPr>
            <w:r>
              <w:rPr>
                <w:sz w:val="20"/>
                <w:szCs w:val="20"/>
              </w:rPr>
              <w:t xml:space="preserve">ADEOS-II (Midori-II)</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power_bus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JAXA ADEOS-II anomaly board; solar-array power-system failure 2003-10-25 led to sudden total loss, LEO</w:t>
            </w:r>
          </w:p>
        </w:tc>
      </w:tr>
    </w:tbl>
    <w:bookmarkEnd w:id="88"/>
    <w:bookmarkStart w:id="89"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duration_hours</w:t>
            </w:r>
          </w:p>
        </w:tc>
        <w:tc>
          <w:tcPr>
            <w:tcW w:w="0" w:type="auto"/>
          </w:tcPr>
          <w:p>
            <w:pPr>
              <w:spacing w:line="240" w:lineRule="auto" w:before="0" w:after="0"/>
              <w:pStyle w:val="Compact"/>
            </w:pPr>
            <w:r>
              <w:rPr>
                <w:sz w:val="20"/>
                <w:szCs w:val="20"/>
              </w:rPr>
              <w:t xml:space="preserve">Elapsed time in hours from detected anomaly onset (clock start) to resolution, where resolution is either recovery (censored) or mission-ending mishap (event)</w:t>
            </w:r>
          </w:p>
        </w:tc>
        <w:tc>
          <w:tcPr>
            <w:tcW w:w="0" w:type="auto"/>
          </w:tcPr>
          <w:p>
            <w:pPr>
              <w:spacing w:line="240" w:lineRule="auto" w:before="0" w:after="0"/>
              <w:pStyle w:val="Compact"/>
            </w:pPr>
            <w:r>
              <w:rPr>
                <w:sz w:val="20"/>
                <w:szCs w:val="20"/>
              </w:rPr>
              <w:t xml:space="preserve">Anomaly onset and resolution timestamps from each episode’s cited mishap-board report, anomaly-review-board report, or operator/agency public statement</w:t>
            </w:r>
          </w:p>
        </w:tc>
      </w:tr>
      <w:tr>
        <w:tc>
          <w:tcPr>
            <w:tcW w:w="0" w:type="auto"/>
          </w:tcPr>
          <w:p>
            <w:pPr>
              <w:spacing w:line="240" w:lineRule="auto" w:before="0" w:after="0"/>
              <w:pStyle w:val="Compact"/>
            </w:pPr>
            <w:r>
              <w:rPr>
                <w:sz w:val="20"/>
                <w:szCs w:val="20"/>
              </w:rPr>
              <w:t xml:space="preserve">mishap</w:t>
            </w:r>
          </w:p>
        </w:tc>
        <w:tc>
          <w:tcPr>
            <w:tcW w:w="0" w:type="auto"/>
          </w:tcPr>
          <w:p>
            <w:pPr>
              <w:spacing w:line="240" w:lineRule="auto" w:before="0" w:after="0"/>
              <w:pStyle w:val="Compact"/>
            </w:pPr>
            <w:r>
              <w:rPr>
                <w:sz w:val="20"/>
                <w:szCs w:val="20"/>
              </w:rPr>
              <w:t xml:space="preserve">Event indicator: 1 if the anomaly escalated to a mission-ending mishap (loss of spacecraft or loss of primary mission), 0 if the spacecraft recovered (right-censored)</w:t>
            </w:r>
          </w:p>
        </w:tc>
        <w:tc>
          <w:tcPr>
            <w:tcW w:w="0" w:type="auto"/>
          </w:tcPr>
          <w:p>
            <w:pPr>
              <w:spacing w:line="240" w:lineRule="auto" w:before="0" w:after="0"/>
              <w:pStyle w:val="Compact"/>
            </w:pPr>
            <w:r>
              <w:rPr>
                <w:sz w:val="20"/>
                <w:szCs w:val="20"/>
              </w:rPr>
              <w:t xml:space="preserve">Outcome label from the cited investigation report or operator statement; mishap defined as primary-mission loss</w:t>
            </w:r>
          </w:p>
        </w:tc>
      </w:tr>
      <w:tr>
        <w:tc>
          <w:tcPr>
            <w:tcW w:w="0" w:type="auto"/>
          </w:tcPr>
          <w:p>
            <w:pPr>
              <w:spacing w:line="240" w:lineRule="auto" w:before="0" w:after="0"/>
              <w:pStyle w:val="Compact"/>
            </w:pPr>
            <w:r>
              <w:rPr>
                <w:sz w:val="20"/>
                <w:szCs w:val="20"/>
              </w:rPr>
              <w:t xml:space="preserve">closed_loop_fdir</w:t>
            </w:r>
          </w:p>
        </w:tc>
        <w:tc>
          <w:tcPr>
            <w:tcW w:w="0" w:type="auto"/>
          </w:tcPr>
          <w:p>
            <w:pPr>
              <w:spacing w:line="240" w:lineRule="auto" w:before="0" w:after="0"/>
              <w:pStyle w:val="Compact"/>
            </w:pPr>
            <w:r>
              <w:rPr>
                <w:sz w:val="20"/>
                <w:szCs w:val="20"/>
              </w:rPr>
              <w:t xml:space="preserve">Autonomy posture at onset: 1 if onboard fault detection, isolation, and recovery (FDIR) closed the recovery loop autonomously (autonomous abort, reconfiguration, or fault-protection arrested the trajectory), 0 if recovery depended on the ground loop</w:t>
            </w:r>
          </w:p>
        </w:tc>
        <w:tc>
          <w:tcPr>
            <w:tcW w:w="0" w:type="auto"/>
          </w:tcPr>
          <w:p>
            <w:pPr>
              <w:spacing w:line="240" w:lineRule="auto" w:before="0" w:after="0"/>
              <w:pStyle w:val="Compact"/>
            </w:pPr>
            <w:r>
              <w:rPr>
                <w:sz w:val="20"/>
                <w:szCs w:val="20"/>
              </w:rPr>
              <w:t xml:space="preserve">Coded from each mission’s documented recovery mode in the cited report, against the FDIR construct as defined in the self-removal operational-concept literature</w:t>
            </w:r>
          </w:p>
        </w:tc>
      </w:tr>
      <w:tr>
        <w:tc>
          <w:tcPr>
            <w:tcW w:w="0" w:type="auto"/>
          </w:tcPr>
          <w:p>
            <w:pPr>
              <w:spacing w:line="240" w:lineRule="auto" w:before="0" w:after="0"/>
              <w:pStyle w:val="Compact"/>
            </w:pPr>
            <w:r>
              <w:rPr>
                <w:sz w:val="20"/>
                <w:szCs w:val="20"/>
              </w:rPr>
              <w:t xml:space="preserve">severity</w:t>
            </w:r>
          </w:p>
        </w:tc>
        <w:tc>
          <w:tcPr>
            <w:tcW w:w="0" w:type="auto"/>
          </w:tcPr>
          <w:p>
            <w:pPr>
              <w:spacing w:line="240" w:lineRule="auto" w:before="0" w:after="0"/>
              <w:pStyle w:val="Compact"/>
            </w:pPr>
            <w:r>
              <w:rPr>
                <w:sz w:val="20"/>
                <w:szCs w:val="20"/>
              </w:rPr>
              <w:t xml:space="preserve">Ordinal anomaly severity at onset (0 = subsystem degradation, 1 = single-string functional loss, 2 = multi-subsystem or control-authority loss, 3 = imminent loss-of-vehicle dynamics such as uncontrolled spin, depletion, or destructive descent)</w:t>
            </w:r>
          </w:p>
        </w:tc>
        <w:tc>
          <w:tcPr>
            <w:tcW w:w="0" w:type="auto"/>
          </w:tcPr>
          <w:p>
            <w:pPr>
              <w:spacing w:line="240" w:lineRule="auto" w:before="0" w:after="0"/>
              <w:pStyle w:val="Compact"/>
            </w:pPr>
            <w:r>
              <w:rPr>
                <w:sz w:val="20"/>
                <w:szCs w:val="20"/>
              </w:rPr>
              <w:t xml:space="preserve">Coded from the anomaly description in the cited report</w:t>
            </w:r>
          </w:p>
        </w:tc>
      </w:tr>
      <w:tr>
        <w:tc>
          <w:tcPr>
            <w:tcW w:w="0" w:type="auto"/>
          </w:tcPr>
          <w:p>
            <w:pPr>
              <w:spacing w:line="240" w:lineRule="auto" w:before="0" w:after="0"/>
              <w:pStyle w:val="Compact"/>
            </w:pPr>
            <w:r>
              <w:rPr>
                <w:sz w:val="20"/>
                <w:szCs w:val="20"/>
              </w:rPr>
              <w:t xml:space="preserve">high_regime</w:t>
            </w:r>
          </w:p>
        </w:tc>
        <w:tc>
          <w:tcPr>
            <w:tcW w:w="0" w:type="auto"/>
          </w:tcPr>
          <w:p>
            <w:pPr>
              <w:spacing w:line="240" w:lineRule="auto" w:before="0" w:after="0"/>
              <w:pStyle w:val="Compact"/>
            </w:pPr>
            <w:r>
              <w:rPr>
                <w:sz w:val="20"/>
                <w:szCs w:val="20"/>
              </w:rPr>
              <w:t xml:space="preserve">Orbital regime indicator: 1 if MEO, GEO, HEO, cislunar, or interplanetary/entry-descent-landing, 0 if LEO</w:t>
            </w:r>
          </w:p>
        </w:tc>
        <w:tc>
          <w:tcPr>
            <w:tcW w:w="0" w:type="auto"/>
          </w:tcPr>
          <w:p>
            <w:pPr>
              <w:spacing w:line="240" w:lineRule="auto" w:before="0" w:after="0"/>
              <w:pStyle w:val="Compact"/>
            </w:pPr>
            <w:r>
              <w:rPr>
                <w:sz w:val="20"/>
                <w:szCs w:val="20"/>
              </w:rPr>
              <w:t xml:space="preserve">Regime label from the cited mission record and the NASA ODPO fragmentation history catalog where applicable</w:t>
            </w:r>
          </w:p>
        </w:tc>
      </w:tr>
    </w:tbl>
    <w:bookmarkEnd w:id="89"/>
    <w:bookmarkStart w:id="90"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closed_loop_fdir</w:t>
            </w:r>
          </w:p>
        </w:tc>
        <w:tc>
          <w:tcPr>
            <w:tcW w:w="0" w:type="auto"/>
          </w:tcPr>
          <w:p>
            <w:pPr>
              <w:spacing w:line="240" w:lineRule="auto" w:before="0" w:after="0"/>
              <w:pStyle w:val="Compact"/>
            </w:pPr>
            <w:r>
              <w:rPr>
                <w:sz w:val="20"/>
                <w:szCs w:val="20"/>
              </w:rPr>
              <w:t xml:space="preserve">-0.3858</w:t>
            </w:r>
          </w:p>
        </w:tc>
        <w:tc>
          <w:tcPr>
            <w:tcW w:w="0" w:type="auto"/>
          </w:tcPr>
          <w:p>
            <w:pPr>
              <w:spacing w:line="240" w:lineRule="auto" w:before="0" w:after="0"/>
              <w:pStyle w:val="Compact"/>
            </w:pPr>
            <w:r>
              <w:rPr>
                <w:sz w:val="20"/>
                <w:szCs w:val="20"/>
              </w:rPr>
              <w:t xml:space="preserve">0.7418</w:t>
            </w:r>
          </w:p>
        </w:tc>
        <w:tc>
          <w:tcPr>
            <w:tcW w:w="0" w:type="auto"/>
          </w:tcPr>
          <w:p>
            <w:pPr>
              <w:spacing w:line="240" w:lineRule="auto" w:before="0" w:after="0"/>
              <w:pStyle w:val="Compact"/>
            </w:pPr>
            <w:r>
              <w:rPr>
                <w:sz w:val="20"/>
                <w:szCs w:val="20"/>
              </w:rPr>
              <w:t xml:space="preserve">-0.5201</w:t>
            </w:r>
          </w:p>
        </w:tc>
        <w:tc>
          <w:tcPr>
            <w:tcW w:w="0" w:type="auto"/>
          </w:tcPr>
          <w:p>
            <w:pPr>
              <w:spacing w:line="240" w:lineRule="auto" w:before="0" w:after="0"/>
              <w:pStyle w:val="Compact"/>
            </w:pPr>
            <w:r>
              <w:rPr>
                <w:sz w:val="20"/>
                <w:szCs w:val="20"/>
              </w:rPr>
              <w:t xml:space="preserve">0.603</w:t>
            </w:r>
          </w:p>
        </w:tc>
        <w:tc>
          <w:tcPr>
            <w:tcW w:w="0" w:type="auto"/>
          </w:tcPr>
          <w:p>
            <w:pPr>
              <w:spacing w:line="240" w:lineRule="auto" w:before="0" w:after="0"/>
              <w:pStyle w:val="Compact"/>
            </w:pPr>
            <w:r>
              <w:rPr>
                <w:sz w:val="20"/>
                <w:szCs w:val="20"/>
              </w:rPr>
              <w:t xml:space="preserve">[-1.8396, 1.0681]</w:t>
            </w:r>
          </w:p>
        </w:tc>
        <w:tc>
          <w:tcPr>
            <w:tcW w:w="0" w:type="auto"/>
          </w:tcPr>
          <w:p>
            <w:pPr>
              <w:spacing w:line="240" w:lineRule="auto" w:before="0" w:after="0"/>
              <w:pStyle w:val="Compact"/>
            </w:pPr>
            <w:r>
              <w:rPr>
                <w:sz w:val="20"/>
                <w:szCs w:val="20"/>
              </w:rPr>
              <w:t xml:space="preserve">0.6799</w:t>
            </w:r>
          </w:p>
        </w:tc>
      </w:tr>
      <w:tr>
        <w:tc>
          <w:tcPr>
            <w:tcW w:w="0" w:type="auto"/>
          </w:tcPr>
          <w:p>
            <w:pPr>
              <w:spacing w:line="240" w:lineRule="auto" w:before="0" w:after="0"/>
              <w:pStyle w:val="Compact"/>
            </w:pPr>
            <w:r>
              <w:rPr>
                <w:sz w:val="20"/>
                <w:szCs w:val="20"/>
              </w:rPr>
              <w:t xml:space="preserve">severity</w:t>
            </w:r>
          </w:p>
        </w:tc>
        <w:tc>
          <w:tcPr>
            <w:tcW w:w="0" w:type="auto"/>
          </w:tcPr>
          <w:p>
            <w:pPr>
              <w:spacing w:line="240" w:lineRule="auto" w:before="0" w:after="0"/>
              <w:pStyle w:val="Compact"/>
            </w:pPr>
            <w:r>
              <w:rPr>
                <w:sz w:val="20"/>
                <w:szCs w:val="20"/>
              </w:rPr>
              <w:t xml:space="preserve">1.1865</w:t>
            </w:r>
          </w:p>
        </w:tc>
        <w:tc>
          <w:tcPr>
            <w:tcW w:w="0" w:type="auto"/>
          </w:tcPr>
          <w:p>
            <w:pPr>
              <w:spacing w:line="240" w:lineRule="auto" w:before="0" w:after="0"/>
              <w:pStyle w:val="Compact"/>
            </w:pPr>
            <w:r>
              <w:rPr>
                <w:sz w:val="20"/>
                <w:szCs w:val="20"/>
              </w:rPr>
              <w:t xml:space="preserve">0.4966</w:t>
            </w:r>
          </w:p>
        </w:tc>
        <w:tc>
          <w:tcPr>
            <w:tcW w:w="0" w:type="auto"/>
          </w:tcPr>
          <w:p>
            <w:pPr>
              <w:spacing w:line="240" w:lineRule="auto" w:before="0" w:after="0"/>
              <w:pStyle w:val="Compact"/>
            </w:pPr>
            <w:r>
              <w:rPr>
                <w:sz w:val="20"/>
                <w:szCs w:val="20"/>
              </w:rPr>
              <w:t xml:space="preserve">2.3894</w:t>
            </w:r>
          </w:p>
        </w:tc>
        <w:tc>
          <w:tcPr>
            <w:tcW w:w="0" w:type="auto"/>
          </w:tcPr>
          <w:p>
            <w:pPr>
              <w:spacing w:line="240" w:lineRule="auto" w:before="0" w:after="0"/>
              <w:pStyle w:val="Compact"/>
            </w:pPr>
            <w:r>
              <w:rPr>
                <w:sz w:val="20"/>
                <w:szCs w:val="20"/>
              </w:rPr>
              <w:t xml:space="preserve">0.0169</w:t>
            </w:r>
          </w:p>
        </w:tc>
        <w:tc>
          <w:tcPr>
            <w:tcW w:w="0" w:type="auto"/>
          </w:tcPr>
          <w:p>
            <w:pPr>
              <w:spacing w:line="240" w:lineRule="auto" w:before="0" w:after="0"/>
              <w:pStyle w:val="Compact"/>
            </w:pPr>
            <w:r>
              <w:rPr>
                <w:sz w:val="20"/>
                <w:szCs w:val="20"/>
              </w:rPr>
              <w:t xml:space="preserve">[0.2132, 2.1597]</w:t>
            </w:r>
          </w:p>
        </w:tc>
        <w:tc>
          <w:tcPr>
            <w:tcW w:w="0" w:type="auto"/>
          </w:tcPr>
          <w:p>
            <w:pPr>
              <w:spacing w:line="240" w:lineRule="auto" w:before="0" w:after="0"/>
              <w:pStyle w:val="Compact"/>
            </w:pPr>
            <w:r>
              <w:rPr>
                <w:sz w:val="20"/>
                <w:szCs w:val="20"/>
              </w:rPr>
              <w:t xml:space="preserve">3.2755</w:t>
            </w:r>
          </w:p>
        </w:tc>
      </w:tr>
      <w:tr>
        <w:tc>
          <w:tcPr>
            <w:tcW w:w="0" w:type="auto"/>
          </w:tcPr>
          <w:p>
            <w:pPr>
              <w:spacing w:line="240" w:lineRule="auto" w:before="0" w:after="0"/>
              <w:pStyle w:val="Compact"/>
            </w:pPr>
            <w:r>
              <w:rPr>
                <w:sz w:val="20"/>
                <w:szCs w:val="20"/>
              </w:rPr>
              <w:t xml:space="preserve">high_regime</w:t>
            </w:r>
          </w:p>
        </w:tc>
        <w:tc>
          <w:tcPr>
            <w:tcW w:w="0" w:type="auto"/>
          </w:tcPr>
          <w:p>
            <w:pPr>
              <w:spacing w:line="240" w:lineRule="auto" w:before="0" w:after="0"/>
              <w:pStyle w:val="Compact"/>
            </w:pPr>
            <w:r>
              <w:rPr>
                <w:sz w:val="20"/>
                <w:szCs w:val="20"/>
              </w:rPr>
              <w:t xml:space="preserve">0.2809</w:t>
            </w:r>
          </w:p>
        </w:tc>
        <w:tc>
          <w:tcPr>
            <w:tcW w:w="0" w:type="auto"/>
          </w:tcPr>
          <w:p>
            <w:pPr>
              <w:spacing w:line="240" w:lineRule="auto" w:before="0" w:after="0"/>
              <w:pStyle w:val="Compact"/>
            </w:pPr>
            <w:r>
              <w:rPr>
                <w:sz w:val="20"/>
                <w:szCs w:val="20"/>
              </w:rPr>
              <w:t xml:space="preserve">0.6924</w:t>
            </w:r>
          </w:p>
        </w:tc>
        <w:tc>
          <w:tcPr>
            <w:tcW w:w="0" w:type="auto"/>
          </w:tcPr>
          <w:p>
            <w:pPr>
              <w:spacing w:line="240" w:lineRule="auto" w:before="0" w:after="0"/>
              <w:pStyle w:val="Compact"/>
            </w:pPr>
            <w:r>
              <w:rPr>
                <w:sz w:val="20"/>
                <w:szCs w:val="20"/>
              </w:rPr>
              <w:t xml:space="preserve">0.4057</w:t>
            </w:r>
          </w:p>
        </w:tc>
        <w:tc>
          <w:tcPr>
            <w:tcW w:w="0" w:type="auto"/>
          </w:tcPr>
          <w:p>
            <w:pPr>
              <w:spacing w:line="240" w:lineRule="auto" w:before="0" w:after="0"/>
              <w:pStyle w:val="Compact"/>
            </w:pPr>
            <w:r>
              <w:rPr>
                <w:sz w:val="20"/>
                <w:szCs w:val="20"/>
              </w:rPr>
              <w:t xml:space="preserve">0.6849</w:t>
            </w:r>
          </w:p>
        </w:tc>
        <w:tc>
          <w:tcPr>
            <w:tcW w:w="0" w:type="auto"/>
          </w:tcPr>
          <w:p>
            <w:pPr>
              <w:spacing w:line="240" w:lineRule="auto" w:before="0" w:after="0"/>
              <w:pStyle w:val="Compact"/>
            </w:pPr>
            <w:r>
              <w:rPr>
                <w:sz w:val="20"/>
                <w:szCs w:val="20"/>
              </w:rPr>
              <w:t xml:space="preserve">[-1.0762, 1.6381]</w:t>
            </w:r>
          </w:p>
        </w:tc>
        <w:tc>
          <w:tcPr>
            <w:tcW w:w="0" w:type="auto"/>
          </w:tcPr>
          <w:p>
            <w:pPr>
              <w:spacing w:line="240" w:lineRule="auto" w:before="0" w:after="0"/>
              <w:pStyle w:val="Compact"/>
            </w:pPr>
            <w:r>
              <w:rPr>
                <w:sz w:val="20"/>
                <w:szCs w:val="20"/>
              </w:rPr>
              <w:t xml:space="preserve">1.3244</w:t>
            </w:r>
          </w:p>
        </w:tc>
      </w:tr>
    </w:tbl>
    <w:p>
      <w:pPr>
        <w:pStyle w:val="BodyText"/>
      </w:pPr>
      <w:r>
        <w:t xml:space="preserve">Fit: N = 30 events = 15</w:t>
      </w:r>
    </w:p>
    <w:bookmarkEnd w:id="90"/>
    <w:bookmarkEnd w:id="91"/>
    <w:bookmarkEnd w:id="9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4" Target="media/rId84.png" /><Relationship Type="http://schemas.openxmlformats.org/officeDocument/2006/relationships/hyperlink" Id="rId79" Target="https://doi.org/10.1016/j.actaastro.2017.06.034" TargetMode="External" /><Relationship Type="http://schemas.openxmlformats.org/officeDocument/2006/relationships/hyperlink" Id="rId81" Target="https://doi.org/10.1016/j.actaastro.2018.08.027" TargetMode="External" /><Relationship Type="http://schemas.openxmlformats.org/officeDocument/2006/relationships/hyperlink" Id="rId77" Target="https://doi.org/10.1016/j.actaastro.2019.07.014" TargetMode="External" /><Relationship Type="http://schemas.openxmlformats.org/officeDocument/2006/relationships/hyperlink" Id="rId73" Target="https://doi.org/10.64861/PHBD6598" TargetMode="External" /><Relationship Type="http://schemas.openxmlformats.org/officeDocument/2006/relationships/hyperlink" Id="rId71" Target="https://doi.org/10.64861/RAAN7205" TargetMode="External" /></Relationships>
</file>

<file path=word/_rels/footnotes.xml.rels><?xml version="1.0" encoding="UTF-8"?><Relationships xmlns="http://schemas.openxmlformats.org/package/2006/relationships"><Relationship Type="http://schemas.openxmlformats.org/officeDocument/2006/relationships/hyperlink" Id="rId79" Target="https://doi.org/10.1016/j.actaastro.2017.06.034" TargetMode="External" /><Relationship Type="http://schemas.openxmlformats.org/officeDocument/2006/relationships/hyperlink" Id="rId81" Target="https://doi.org/10.1016/j.actaastro.2018.08.027" TargetMode="External" /><Relationship Type="http://schemas.openxmlformats.org/officeDocument/2006/relationships/hyperlink" Id="rId77" Target="https://doi.org/10.1016/j.actaastro.2019.07.014" TargetMode="External" /><Relationship Type="http://schemas.openxmlformats.org/officeDocument/2006/relationships/hyperlink" Id="rId73" Target="https://doi.org/10.64861/PHBD6598" TargetMode="External" /><Relationship Type="http://schemas.openxmlformats.org/officeDocument/2006/relationships/hyperlink" Id="rId71" Target="https://doi.org/10.64861/RAAN720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2026-06-22T20:31:39Z</dcterms:created>
  <dcterms:modified xsi:type="dcterms:W3CDTF">2026-06-22T20:31:39Z</dcterms:modified>
</cp:coreProperties>
</file>

<file path=docProps/custom.xml><?xml version="1.0" encoding="utf-8"?>
<Properties xmlns="http://schemas.openxmlformats.org/officeDocument/2006/custom-properties" xmlns:vt="http://schemas.openxmlformats.org/officeDocument/2006/docPropsVTypes"/>
</file>