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ANOMALY-TO-MISHAP ESCALATION AS A SURVIVAL PROCESS: WHAT PREDICTS WHETHER AN IN-ORBIT ANOMALY BECOMES A MISSION-ENDING MISHAP</w:t>
      </w:r>
    </w:p>
    <w:p>
      <w:pPr>
        <w:jc w:val="center"/>
      </w:pPr>
    </w:p>
    <w:p>
      <w:pPr>
        <w:jc w:val="center"/>
      </w:pPr>
      <w:r>
        <w:rPr>
          <w:rFonts w:ascii="Times New Roman" w:hAnsi="Times New Roman"/>
          <w:sz w:val="24"/>
        </w:rPr>
        <w:t>by</w:t>
      </w:r>
    </w:p>
    <w:p>
      <w:pPr>
        <w:jc w:val="center"/>
      </w:pPr>
      <w:r>
        <w:rPr>
          <w:rFonts w:ascii="Times New Roman" w:hAnsi="Times New Roman"/>
          <w:b/>
          <w:sz w:val="28"/>
        </w:rPr>
        <w:t>Petra Farouk</w:t>
      </w:r>
    </w:p>
    <w:p>
      <w:pPr>
        <w:jc w:val="center"/>
      </w:pPr>
      <w:r>
        <w:rPr>
          <w:rFonts w:ascii="Times New Roman" w:hAnsi="Times New Roman"/>
          <w:sz w:val="24"/>
        </w:rPr>
        <w:t>1B-SMA-023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Xae28c387b455531411c4b59d063533bb3e0a29f"/>
    <w:p>
      <w:pPr>
        <w:pStyle w:val="Heading2"/>
        <w:spacing w:line="480" w:lineRule="auto"/>
      </w:pPr>
      <w:r>
        <w:t xml:space="preserve">1.1 The Asymmetry at the Center of Mission Assurance</w:t>
      </w:r>
    </w:p>
    <w:p>
      <w:pPr>
        <w:pStyle w:val="FirstParagraph"/>
        <w:spacing w:line="480" w:lineRule="auto"/>
      </w:pPr>
      <w:r>
        <w:t xml:space="preserve">The operational record of spaceflight contains far more anomalies than mishaps. A reaction wheel pits and begins to draw anomalous current, a telemetry channel drops out, a star tracker loses lock, a thruster fires longer than commanded, a power bus sags under an unexpected load. In the overwhelming majority of these episodes the spacecraft recovers. It reconfigures to a redundant string, drops to a safe mode, waits out a transient, or absorbs the degradation as a managed loss of performance and continues its mission. Only a small minority of anomalies run the other way. They progress, margins thin, degraded states couple into one another, and within minutes, hours, or in some cases weeks the vehicle is lost. This asymmetry, many anomalies and few mishaps, is the central fact of mission assurance, and the conditional process that connects the two, the escalation of an anomaly into a mishap, is the subject of this dissertation.</w:t>
      </w:r>
    </w:p>
    <w:p>
      <w:pPr>
        <w:pStyle w:val="BodyText"/>
        <w:spacing w:line="480" w:lineRule="auto"/>
        <w:ind w:firstLine="720"/>
      </w:pPr>
      <w:r>
        <w:t xml:space="preserve">The analytic apparatus that the community has built around this asymmetry is lopsided. The investment has concentrated on the two endpoints of the escalation process and has largely skipped the process itself. On the detection side, telemetry-driven anomaly detection is mature and is now a standard subject at the principal space-surveillance venue, with documented systems that detect and characterize potential anomalies in incoming spacecraft telemetry</w:t>
      </w:r>
      <w:r>
        <w:t xml:space="preserve"> </w:t>
      </w:r>
      <w:hyperlink w:anchor="ref-2">
        <w:r>
          <w:rPr>
            <w:rStyle w:val="Hyperlink"/>
          </w:rPr>
          <w:t xml:space="preserve">[2]</w:t>
        </w:r>
      </w:hyperlink>
      <w:r>
        <w:t xml:space="preserve"> </w:t>
      </w:r>
      <w:r>
        <w:t xml:space="preserve">and that integrate learned detection into operational space control</w:t>
      </w:r>
      <w:r>
        <w:t xml:space="preserve"> </w:t>
      </w:r>
      <w:hyperlink w:anchor="ref-3">
        <w:r>
          <w:rPr>
            <w:rStyle w:val="Hyperlink"/>
          </w:rPr>
          <w:t xml:space="preserve">[3]</w:t>
        </w:r>
      </w:hyperlink>
      <w:r>
        <w:t xml:space="preserve">. The detection literature answers the question</w:t>
      </w:r>
      <w:r>
        <w:t xml:space="preserve"> </w:t>
      </w:r>
      <w:r>
        <w:t xml:space="preserve">“is something wrong,”</w:t>
      </w:r>
      <w:r>
        <w:t xml:space="preserve"> </w:t>
      </w:r>
      <w:r>
        <w:t xml:space="preserve">and it does so increasingly well, including recent particle-filter and deep-learning methods that flag anomalous maneuvers and state changes from sparse observational data [29, 24]. On the characterization side, the event-reconstruction literature is equally mature at the catastrophic end of the spectrum. When an anomaly does end in fragmentation, the community can determine blast points</w:t>
      </w:r>
      <w:r>
        <w:t xml:space="preserve"> </w:t>
      </w:r>
      <w:hyperlink w:anchor="ref-7">
        <w:r>
          <w:rPr>
            <w:rStyle w:val="Hyperlink"/>
          </w:rPr>
          <w:t xml:space="preserve">[7]</w:t>
        </w:r>
      </w:hyperlink>
      <w:r>
        <w:t xml:space="preserve">, reconstruct the resulting debris cloud</w:t>
      </w:r>
      <w:r>
        <w:t xml:space="preserve"> </w:t>
      </w:r>
      <w:hyperlink w:anchor="ref-6">
        <w:r>
          <w:rPr>
            <w:rStyle w:val="Hyperlink"/>
          </w:rPr>
          <w:t xml:space="preserve">[6]</w:t>
        </w:r>
      </w:hyperlink>
      <w:r>
        <w:t xml:space="preserve">, and classify explosion versus collision signatures from the debris</w:t>
      </w:r>
      <w:r>
        <w:t xml:space="preserve"> </w:t>
      </w:r>
      <w:hyperlink w:anchor="ref-5">
        <w:r>
          <w:rPr>
            <w:rStyle w:val="Hyperlink"/>
          </w:rPr>
          <w:t xml:space="preserve">[5]</w:t>
        </w:r>
      </w:hyperlink>
      <w:r>
        <w:t xml:space="preserve">. The characterization literature answers the question</w:t>
      </w:r>
      <w:r>
        <w:t xml:space="preserve"> </w:t>
      </w:r>
      <w:r>
        <w:t xml:space="preserve">“what broke and where.”</w:t>
      </w:r>
    </w:p>
    <w:p>
      <w:pPr>
        <w:pStyle w:val="BodyText"/>
        <w:spacing w:line="480" w:lineRule="auto"/>
        <w:ind w:firstLine="720"/>
      </w:pPr>
      <w:r>
        <w:t xml:space="preserve">Between the alarm and the debris cloud sits the escalation process, and it is comparatively unmodeled. Neither the detection literature nor the characterization literature answers the conditional question that actually determines whether a program loses a spacecraft: given that an anomaly has occurred at time zero, what is the hazard that it escalates to mission loss, and which conditions present at onset raise or lower that hazard. Detection studies stop at the alarm and do not follow the post-alarm trajectory to recovery or loss. Characterization studies begin at the mishap and reason backward, by construction silent about the anomalies that did not become mishaps because a recovered anomaly leaves no debris signature to reconstruct. The escalation process is the join that neither endpoint literature has made, and making it is the work of this dissertation.</w:t>
      </w:r>
    </w:p>
    <w:bookmarkEnd w:id="61"/>
    <w:bookmarkStart w:id="62" w:name="Xf31fadad208a04e68becfa4df31d8c062dd7ecf"/>
    <w:p>
      <w:pPr>
        <w:pStyle w:val="Heading2"/>
        <w:spacing w:line="480" w:lineRule="auto"/>
      </w:pPr>
      <w:r>
        <w:t xml:space="preserve">1.2 Why the Escalation Process Is the Decision-Relevant Quantity</w:t>
      </w:r>
    </w:p>
    <w:p>
      <w:pPr>
        <w:pStyle w:val="FirstParagraph"/>
        <w:spacing w:line="480" w:lineRule="auto"/>
      </w:pPr>
      <w:r>
        <w:t xml:space="preserve">The reason to model escalation rather than to build yet another detector is that escalation, not occurrence, is what a program can actually purchase against. A program manager cannot buy fewer anomalies. Anomalies are intrinsic to operating complex systems in a hostile environment, and the reliability literature is explicit that on-orbit failures are structured rather than eliminable: statistical analysis of on-orbit propulsion anomalies shows failure rates organized by subsystem and severity rather than uniform across a fleet [11, 15], accelerated-life modeling of spacecraft components reveals the same hazard heterogeneity at the part level</w:t>
      </w:r>
      <w:r>
        <w:t xml:space="preserve"> </w:t>
      </w:r>
      <w:hyperlink w:anchor="ref-12">
        <w:r>
          <w:rPr>
            <w:rStyle w:val="Hyperlink"/>
          </w:rPr>
          <w:t xml:space="preserve">[12]</w:t>
        </w:r>
      </w:hyperlink>
      <w:r>
        <w:t xml:space="preserve">, and radiation-hardness assurance reviews document how a localized upset can drive a system-level cascade</w:t>
      </w:r>
      <w:r>
        <w:t xml:space="preserve"> </w:t>
      </w:r>
      <w:hyperlink w:anchor="ref-19">
        <w:r>
          <w:rPr>
            <w:rStyle w:val="Hyperlink"/>
          </w:rPr>
          <w:t xml:space="preserve">[19]</w:t>
        </w:r>
      </w:hyperlink>
      <w:r>
        <w:t xml:space="preserve">. The occurrence of anomalies is, to first order, a fixed cost of doing business in orbit.</w:t>
      </w:r>
    </w:p>
    <w:p>
      <w:pPr>
        <w:pStyle w:val="BodyText"/>
        <w:spacing w:line="480" w:lineRule="auto"/>
        <w:ind w:firstLine="720"/>
      </w:pPr>
      <w:r>
        <w:t xml:space="preserve">What a program manager can in principle buy is a lower probability that any given anomaly escalates into a mishap, and a longer interval before it does. That purchase is made through autonomy posture, redundancy depth, and operational tempo, all of which are design and operations choices subject to budget. To price the purchase, the community needs an estimate of the escalation hazard and of what moves it. The motivation is therefore decision-facing in a sharp way. If escalation hazard is dominated by anomaly severity and orbital regime, both of which are largely fixed once a mission is designed, then mission-assurance dollars are best spent on prevention, on keeping anomalies from presenting in severe forms or in demanding regimes in the first place. If instead escalation hazard responds strongly to autonomy posture, then dollars spent on closed-loop onboard recovery buy measurable survival time during the window when an anomaly is still arrestable. These two worlds imply opposite investment strategies, and the field currently chooses between them by engineering intuition rather than by an estimated hazard.</w:t>
      </w:r>
    </w:p>
    <w:bookmarkEnd w:id="62"/>
    <w:bookmarkStart w:id="63" w:name="stakes-for-nasa-and-jpl"/>
    <w:p>
      <w:pPr>
        <w:pStyle w:val="Heading2"/>
        <w:spacing w:line="480" w:lineRule="auto"/>
      </w:pPr>
      <w:r>
        <w:t xml:space="preserve">1.3 Stakes for NASA and JPL</w:t>
      </w:r>
    </w:p>
    <w:p>
      <w:pPr>
        <w:pStyle w:val="FirstParagraph"/>
        <w:spacing w:line="480" w:lineRule="auto"/>
      </w:pPr>
      <w:r>
        <w:t xml:space="preserve">The stakes of getting this choice right are concentrated precisely where the missions are most expensive and least replaceable: at NASA and, within it, at the Jet Propulsion Laboratory. A geosynchronous communications operator that loses one satellite out of a fleet of dozens absorbs an actuarial loss that insurance and constellation redundancy were designed to cover. A flagship interplanetary mission is a different object entirely. It is a single vehicle, often the only instance of its design, sent on a trajectory that may not be repeatable for years or decades, carrying instruments that exist nowhere else. When such a vehicle encounters an anomaly far from Earth, the ground command loop that a low-Earth-orbit operator relies on is stretched by light-time and constrained by tracking-pass geometry to the point where it may be unable to act inside the window during which the anomaly remains arrestable. The escalation clock runs while the commands are still in transit.</w:t>
      </w:r>
    </w:p>
    <w:p>
      <w:pPr>
        <w:pStyle w:val="BodyText"/>
        <w:spacing w:line="480" w:lineRule="auto"/>
        <w:ind w:firstLine="720"/>
      </w:pPr>
      <w:r>
        <w:t xml:space="preserve">The historical record carries this stake in named losses. The on-orbit and launch-phase mishap set includes spacecraft whose loss was effectively total and irreversible, among them the Mars Climate Orbiter and Mars Polar Lander, the Genesis sample-return capsule, the Hitomi X-ray observatory lost to an attitude-control cascade, and Phobos-Grunt stranded in low orbit after a failed departure burn. Against these stand the recoveries that define the other tail of the distribution: NEAR Shoemaker after its rendezvous-burn abort, the Solar and Heliospheric Observatory after a weeks-long ground recovery from a near-total loss of attitude knowledge</w:t>
      </w:r>
      <w:r>
        <w:t xml:space="preserve"> </w:t>
      </w:r>
      <w:hyperlink w:anchor="ref-18">
        <w:r>
          <w:rPr>
            <w:rStyle w:val="Hyperlink"/>
          </w:rPr>
          <w:t xml:space="preserve">[18]</w:t>
        </w:r>
      </w:hyperlink>
      <w:r>
        <w:t xml:space="preserve">, Dawn and FUSE continuing their missions after switching off failed reaction wheels, and Voyager 2 stabilized by its onboard fault protection at a distance where ground intervention inside the critical window was impossible. The difference between these two lists is not simply that the recovered vehicles were luckier or less severely afflicted. The recovered list is disproportionately populated by vehicles whose onboard fault management closed the recovery loop without waiting for the ground, and that pattern is exactly the conjecture this dissertation is built to test. For an institution like JPL, whose portfolio is concentrated in deep-space and planetary missions where the ground loop is structurally slow, the question of whether closed-loop autonomy measurably reduces escalation hazard is not academic. It is a direct input to how the next flagship is designed and what its fault-management architecture is worth.</w:t>
      </w:r>
    </w:p>
    <w:p>
      <w:pPr>
        <w:pStyle w:val="BodyText"/>
        <w:spacing w:line="480" w:lineRule="auto"/>
        <w:ind w:firstLine="720"/>
      </w:pPr>
      <w:r>
        <w:t xml:space="preserve">There is also a second-order stake that extends past any single program. The catastrophic tail of escalation is what generates orbital debris, and the debris generated by one mishap raises the collision hazard faced by every other spacecraft in the regime, including in cislunar and lunar orbits now coming into use</w:t>
      </w:r>
      <w:r>
        <w:t xml:space="preserve"> </w:t>
      </w:r>
      <w:hyperlink w:anchor="ref-20">
        <w:r>
          <w:rPr>
            <w:rStyle w:val="Hyperlink"/>
          </w:rPr>
          <w:t xml:space="preserve">[20]</w:t>
        </w:r>
      </w:hyperlink>
      <w:r>
        <w:t xml:space="preserve">. The sharing of operational risk information across operators has been proposed as a norms-development and compliance-monitoring mechanism precisely because escalation outcomes are not contained to the operator that suffers them</w:t>
      </w:r>
      <w:r>
        <w:t xml:space="preserve"> </w:t>
      </w:r>
      <w:hyperlink w:anchor="ref-23">
        <w:r>
          <w:rPr>
            <w:rStyle w:val="Hyperlink"/>
          </w:rPr>
          <w:t xml:space="preserve">[23]</w:t>
        </w:r>
      </w:hyperlink>
      <w:r>
        <w:t xml:space="preserve">. An escalation model that quantifies how onset conditions govern the probability of reaching the debris-generating tail is therefore relevant not only to mission assurance for a single owner but to the sustainability of the orbital environment that all owners share.</w:t>
      </w:r>
    </w:p>
    <w:bookmarkEnd w:id="63"/>
    <w:bookmarkStart w:id="64" w:name="X164893b3b32aafee5576035948bb293e32b21f3"/>
    <w:p>
      <w:pPr>
        <w:pStyle w:val="Heading2"/>
        <w:spacing w:line="480" w:lineRule="auto"/>
      </w:pPr>
      <w:r>
        <w:t xml:space="preserve">1.4 The Gap Between the Domain Literature and the Econometric Method</w:t>
      </w:r>
    </w:p>
    <w:p>
      <w:pPr>
        <w:pStyle w:val="FirstParagraph"/>
        <w:spacing w:line="480" w:lineRule="auto"/>
      </w:pPr>
      <w:r>
        <w:t xml:space="preserve">The contribution of this dissertation lives in a gap between two literatures that have not been joined: the space-systems domain literature that describes anomalies and mishaps, and the time-to-event econometric method that is built to model exactly the conditional, censored process that connects them.</w:t>
      </w:r>
    </w:p>
    <w:p>
      <w:pPr>
        <w:pStyle w:val="BodyText"/>
        <w:spacing w:line="480" w:lineRule="auto"/>
        <w:ind w:firstLine="720"/>
      </w:pPr>
      <w:r>
        <w:t xml:space="preserve">On the domain side, three bodies of retrievable work bound the escalation question without closing it. The detection literature treats the anomaly as the terminal object of interest, defining the moment an anomaly begins but stopping at the alarm [2, 3, 29]. The characterization literature treats the mishap as the terminal object and reasons backward from fragmentation, rich about the catastrophic event but silent about the non-escalating anomalies that produced no debris and therefore fall outside its sampling frame [5, 6, 7]. The autonomy literature specifies the mechanism that an escalation model needs but does not estimate its effect on escalation: the self-removal operational concept defines fault detection, isolation, and recovery as the onboard function that detects a fault, isolates it, and triggers recovery</w:t>
      </w:r>
      <w:r>
        <w:t xml:space="preserve"> </w:t>
      </w:r>
      <w:hyperlink w:anchor="ref-8">
        <w:r>
          <w:rPr>
            <w:rStyle w:val="Hyperlink"/>
          </w:rPr>
          <w:t xml:space="preserve">[8]</w:t>
        </w:r>
      </w:hyperlink>
      <w:r>
        <w:t xml:space="preserve">; the AMOS fault-management line builds onboard, autonomous, hybrid detection-diagnosis-recovery systems and argues qualitatively that onboard safing arrests a developing failure before it propagates [9, 16]; and recent neuro-symbolic work couples autonomous maneuvering with onboard anomaly detection</w:t>
      </w:r>
      <w:r>
        <w:t xml:space="preserve"> </w:t>
      </w:r>
      <w:hyperlink w:anchor="ref-4">
        <w:r>
          <w:rPr>
            <w:rStyle w:val="Hyperlink"/>
          </w:rPr>
          <w:t xml:space="preserve">[4]</w:t>
        </w:r>
      </w:hyperlink>
      <w:r>
        <w:t xml:space="preserve">. These works supply a clean, retrievable definition of the autonomy covariate, but none of them estimates the conditional probability that an anomaly escalates as a function of whether that autonomy closed the loop in time. The reliability literature comes closest to the spirit of the present work. Castet and Saleh established that satellite failures are better understood as transitions through degraded states than as single switch-flips, with subsystems contributing unequally to terminal loss</w:t>
      </w:r>
      <w:r>
        <w:t xml:space="preserve"> </w:t>
      </w:r>
      <w:hyperlink w:anchor="ref-14">
        <w:r>
          <w:rPr>
            <w:rStyle w:val="Hyperlink"/>
          </w:rPr>
          <w:t xml:space="preserve">[14]</w:t>
        </w:r>
      </w:hyperlink>
      <w:r>
        <w:t xml:space="preserve">, and the propulsion-anomaly analyses quantified the long lead times between minor and major anomalies, reinforcing the view that anomalies and mishaps occupy different points on a progression rather than different categories [11, 15]. Knowledge-graph work on space systems states the escalation problem in plain terms, that an anomaly can rapidly escalate into a catastrophic failure that ends the mission</w:t>
      </w:r>
      <w:r>
        <w:t xml:space="preserve"> </w:t>
      </w:r>
      <w:hyperlink w:anchor="ref-13">
        <w:r>
          <w:rPr>
            <w:rStyle w:val="Hyperlink"/>
          </w:rPr>
          <w:t xml:space="preserve">[13]</w:t>
        </w:r>
      </w:hyperlink>
      <w:r>
        <w:t xml:space="preserve">. Yet even this progression-aware literature stops short of fitting a hazard model in which autonomy posture at onset is an estimable covariate over a sample that includes both escalating and non-escalating episodes.</w:t>
      </w:r>
    </w:p>
    <w:p>
      <w:pPr>
        <w:pStyle w:val="BodyText"/>
        <w:spacing w:line="480" w:lineRule="auto"/>
        <w:ind w:firstLine="720"/>
      </w:pPr>
      <w:r>
        <w:t xml:space="preserve">On the method side, the missing tool is survival analysis, the econometric framework purpose-built for time-to-event outcomes with heavy right-censoring. The escalation process has precisely this structure. Each anomaly opens a clock that runs from detected onset until the spacecraft either recovers, in which case the episode is right-censored, or crosses into mishap, in which case the episode is an event. Most anomalies never escalate, so most episodes are censored, and the truncation of the sample at the catastrophic tail that defeats the characterization literature is exactly the condition that censoring is designed to correct. Survival analysis is standard across biostatistics, reliability engineering, and labor economics, but it has barely been applied to the anomaly-to-mishap question in space. The one clear precedent for time-to-event methods in the orbital domain models maneuver occurrence of non-cooperative satellites as a survival process</w:t>
      </w:r>
      <w:r>
        <w:t xml:space="preserve"> </w:t>
      </w:r>
      <w:hyperlink w:anchor="ref-21">
        <w:r>
          <w:rPr>
            <w:rStyle w:val="Hyperlink"/>
          </w:rPr>
          <w:t xml:space="preserve">[21]</w:t>
        </w:r>
      </w:hyperlink>
      <w:r>
        <w:t xml:space="preserve">, which demonstrates the technical feasibility of survival estimation on orbital event data but addresses maneuver timing rather than mishap escalation. The gap is therefore not the absence of either ingredient. The domain literature supplies the events, the covariates, and the mechanism; the method literature supplies the estimator. What is absent is the join: no retrievable work models escalation as a time-to-event process over a sample of both escalating and non-escalating anomalies, with autonomy posture as an estimable onset-state covariate. That join is the contribution.</w:t>
      </w:r>
    </w:p>
    <w:bookmarkEnd w:id="64"/>
    <w:bookmarkStart w:id="65" w:name="the-single-falsifiable-contribution"/>
    <w:p>
      <w:pPr>
        <w:pStyle w:val="Heading2"/>
        <w:spacing w:line="480" w:lineRule="auto"/>
      </w:pPr>
      <w:r>
        <w:t xml:space="preserve">1.5 The Single Falsifiable Contribution</w:t>
      </w:r>
    </w:p>
    <w:p>
      <w:pPr>
        <w:pStyle w:val="FirstParagraph"/>
        <w:spacing w:line="480" w:lineRule="auto"/>
      </w:pPr>
      <w:r>
        <w:t xml:space="preserve">This dissertation makes one contribution, stated as a single estimated quantity: the escalation hazard ratio attributable to closed-loop onboard autonomy at anomaly onset, holding anomaly class and orbital regime fixed. The design deliberately stakes the dissertation on one number rather than on a basket of associations, so that the central claim can succeed or fail on a single estimate read directly off a fitted survival model.</w:t>
      </w:r>
    </w:p>
    <w:p>
      <w:pPr>
        <w:pStyle w:val="BodyText"/>
        <w:spacing w:line="480" w:lineRule="auto"/>
        <w:ind w:firstLine="720"/>
      </w:pPr>
      <w:r>
        <w:t xml:space="preserve">The claim is expressed as a competing pair of hypotheses about the coefficient on the closed-loop-autonomy covariate in the survival model.</w:t>
      </w:r>
    </w:p>
    <w:p>
      <w:pPr>
        <w:pStyle w:val="BodyText"/>
        <w:spacing w:line="480" w:lineRule="auto"/>
        <w:ind w:firstLine="720"/>
      </w:pPr>
      <w:r>
        <w:rPr>
          <w:b/>
          <w:bCs/>
        </w:rPr>
        <w:t xml:space="preserve">H0 (null).</w:t>
      </w:r>
      <w:r>
        <w:t xml:space="preserve"> </w:t>
      </w:r>
      <w:r>
        <w:t xml:space="preserve">Conditional on anomaly class and orbital regime, autonomy posture at onset has no effect on the hazard of escalation from anomaly to mishap. Formally, the coefficient on the closed-loop-autonomy covariate is zero, and its hazard ratio equals one.</w:t>
      </w:r>
    </w:p>
    <w:p>
      <w:pPr>
        <w:pStyle w:val="BodyText"/>
        <w:spacing w:line="480" w:lineRule="auto"/>
        <w:ind w:firstLine="720"/>
      </w:pPr>
      <w:r>
        <w:rPr>
          <w:b/>
          <w:bCs/>
        </w:rPr>
        <w:t xml:space="preserve">H1 (alternative).</w:t>
      </w:r>
      <w:r>
        <w:t xml:space="preserve"> </w:t>
      </w:r>
      <w:r>
        <w:t xml:space="preserve">Conditional on anomaly class and orbital regime, anomalies that encounter a closed onboard fault-detection-isolation-and-recovery loop at onset face a strictly lower escalation hazard than anomalies that depend on ground-loop recovery. Formally, the hazard ratio on the closed-loop-autonomy covariate is strictly below one.</w:t>
      </w:r>
    </w:p>
    <w:p>
      <w:pPr>
        <w:pStyle w:val="BodyText"/>
        <w:spacing w:line="480" w:lineRule="auto"/>
        <w:ind w:firstLine="720"/>
      </w:pPr>
      <w:r>
        <w:t xml:space="preserve">The mechanism that motivates H1 is timing. An anomaly is most arrestable in the first interval after onset, before degraded states cascade into one another. A closed onboard loop can act inside that interval; a ground-dependent loop cannot act until a tracking pass is available, a fault is diagnosed on the ground, and corrective commands are uplinked and executed. If that timing argument is correct, closed-loop autonomy should lower the escalation hazard once severity and regime are conditioned out. The claim is falsifiable in the strong sense the falsification rule fixes in advance: a fitted hazard ratio whose confidence interval contains one, or whose point estimate sits at or above one, fails to confirm H1 and returns the field to the severity-and-regime view in which escalation is governed by what an anomaly looks like at onset rather than by how the recovery loop is closed.</w:t>
      </w:r>
    </w:p>
    <w:p>
      <w:pPr>
        <w:pStyle w:val="BodyText"/>
        <w:spacing w:line="480" w:lineRule="auto"/>
        <w:ind w:firstLine="720"/>
      </w:pPr>
      <w:r>
        <w:t xml:space="preserve">This standard is exacting, and the preliminary work behind this dissertation has already met it without flinching. A first Cox proportional-hazards estimate on a compiled set of documented anomaly episodes returned a closed-loop-autonomy point estimate below one, directionally consistent with H1, but with a confidence interval that spanned one and could not reject the null, while the severity covariate was large and resolved. The single-parameter design is what makes that divided verdict informative rather than evasive: the model does not permit an attractive point estimate to be read as a finding when the interval contains one. The path to resolution is established as a question of sample size and event count under the same specification, not of switching to a more permissive model, and the dissertation is structured so that its headline claim stands ready to be confirmed or refuted by exactly that expansion of the censored and escalating sample.</w:t>
      </w:r>
    </w:p>
    <w:bookmarkEnd w:id="65"/>
    <w:bookmarkStart w:id="66" w:name="Xdebb176443f336d70a6164aea5f8afaf80f28a8"/>
    <w:p>
      <w:pPr>
        <w:pStyle w:val="Heading2"/>
        <w:spacing w:line="480" w:lineRule="auto"/>
      </w:pPr>
      <w:r>
        <w:t xml:space="preserve">1.6 Estimand, Data, and Identification in Brief</w:t>
      </w:r>
    </w:p>
    <w:p>
      <w:pPr>
        <w:pStyle w:val="FirstParagraph"/>
        <w:spacing w:line="480" w:lineRule="auto"/>
      </w:pPr>
      <w:r>
        <w:t xml:space="preserve">The estimand is the causal effect of autonomy posture on escalation hazard, and the estimator is discrete-time survival analysis, chosen because the outcome is time-to-event with heavy right-censoring and because no parametric assumption on the baseline hazard is warranted when the escalation clock runs on physical timescales ranging from the sub-second window of a descent failure to the months-long drift of a stranded geostationary satellite. The unit of analysis is the anomaly episode. Each episode begins at detected anomaly onset, defined operationally by the detection logic the telemetry-anomaly literature already formalizes [2, 3], and ends in one of two states: recovery, treated as censored, or mishap, treated as the event. The hazard of mishap in each discrete interval is modeled as a function of three covariate blocks fixed at onset: anomaly class, orbital regime, and autonomy posture, the last coded as a closed onboard fault-detection-isolation-and-recovery loop versus ground-dependent recovery against the explicit definitions in the self-removal and neuro-symbolic autonomy literature [8, 4].</w:t>
      </w:r>
    </w:p>
    <w:p>
      <w:pPr>
        <w:pStyle w:val="BodyText"/>
        <w:spacing w:line="480" w:lineRule="auto"/>
        <w:ind w:firstLine="720"/>
      </w:pPr>
      <w:r>
        <w:t xml:space="preserve">The data are fully public in provenance. The canonical record of the escalating tail is the NASA Orbital Debris Program Office History of On-Orbit Satellite Fragmentations, the periodically updated public technical report cataloguing on-orbit breakup events, their dates, parent objects, orbital regimes, and assessed causes</w:t>
      </w:r>
      <w:r>
        <w:t xml:space="preserve"> </w:t>
      </w:r>
      <w:hyperlink w:anchor="ref-10">
        <w:r>
          <w:rPr>
            <w:rStyle w:val="Hyperlink"/>
          </w:rPr>
          <w:t xml:space="preserve">[10]</w:t>
        </w:r>
      </w:hyperlink>
      <w:r>
        <w:t xml:space="preserve">, the same class of catalogued record on which the fragmentation-characterization literature draws [5, 6, 7]. The complementary non-escalating, censored episodes are constructed from publicly documented anomaly and investigation records, including agency mishap-board reports such as the SOHO mission-interruption investigation</w:t>
      </w:r>
      <w:r>
        <w:t xml:space="preserve"> </w:t>
      </w:r>
      <w:hyperlink w:anchor="ref-18">
        <w:r>
          <w:rPr>
            <w:rStyle w:val="Hyperlink"/>
          </w:rPr>
          <w:t xml:space="preserve">[18]</w:t>
        </w:r>
      </w:hyperlink>
      <w:r>
        <w:t xml:space="preserve">, and autonomy posture is coded from mission-level fault-management documentation anchored to the published FDIR construct</w:t>
      </w:r>
      <w:r>
        <w:t xml:space="preserve"> </w:t>
      </w:r>
      <w:hyperlink w:anchor="ref-8">
        <w:r>
          <w:rPr>
            <w:rStyle w:val="Hyperlink"/>
          </w:rPr>
          <w:t xml:space="preserve">[8]</w:t>
        </w:r>
      </w:hyperlink>
      <w:r>
        <w:t xml:space="preserve">. No proprietary or internal source is required, and every covariate traces to a citable public artifact.</w:t>
      </w:r>
    </w:p>
    <w:p>
      <w:pPr>
        <w:pStyle w:val="BodyText"/>
        <w:spacing w:line="480" w:lineRule="auto"/>
        <w:ind w:firstLine="720"/>
      </w:pPr>
      <w:r>
        <w:t xml:space="preserve">Identification of the autonomy effect rests on conditioning. Severity and regime are the principal confounders, because severe anomalies in demanding regimes are both more likely to escalate and more likely to occur on flagship missions that carry richer autonomy, a confounding structure the reliability literature makes concrete [11, 14, 15]. The design controls these directly as covariates and, where the data permit, stratifies on anomaly class so that the autonomy coefficient is identified within strata of comparable severity. The key identifying assumption, that within an anomaly class and regime autonomy posture is not assigned by an unobserved escalation propensity, is stated, probed, and bounded with a sensitivity analysis rather than asserted.</w:t>
      </w:r>
    </w:p>
    <w:bookmarkEnd w:id="66"/>
    <w:bookmarkStart w:id="67" w:name="roadmap"/>
    <w:p>
      <w:pPr>
        <w:pStyle w:val="Heading2"/>
        <w:spacing w:line="480" w:lineRule="auto"/>
      </w:pPr>
      <w:r>
        <w:t xml:space="preserve">1.7 Roadmap</w:t>
      </w:r>
    </w:p>
    <w:p>
      <w:pPr>
        <w:pStyle w:val="FirstParagraph"/>
        <w:spacing w:line="480" w:lineRule="auto"/>
      </w:pPr>
      <w:r>
        <w:t xml:space="preserve">The remainder of the dissertation proceeds as follows. Chapter 2 reviews the three domain literatures that bound the escalation question, detection, characterization, and autonomy, together with the reliability and survival-method literatures, and establishes precisely where each stops short of the join this dissertation makes. Chapter 3 develops the theory of escalation as a survival process, formalizes the timing mechanism that motivates the autonomy hypothesis, and states the estimand and identification strategy in full. Chapter 4 specifies the data: the construction of the anomaly-episode sample from public fragmentation and investigation records, the coding of the autonomy, severity, and regime covariates, the treatment of right-censoring for recovered episodes, and the provenance trail that ties every row to a citable source. Chapter 5 presents the discrete-time survival estimator, the partial-likelihood and discrete-time hazard machinery, the proportional-hazards diagnostics, and the falsification rule applied to the closed-loop-autonomy hazard ratio. Chapter 6 reports the findings, the fitted hazard ratio and its confidence interval, the ranking of severity, regime, and autonomy by resolved certainty, and the honest two-part reading the single-parameter design enforces. Chapter 7 addresses threats to validity, truncation of the censored sample, confounding by mission class, sensitivity of the time-zero definition, and measurement error in the coding of autonomy posture, each addressed by design and bounded rather than waved away. Chapter 8 draws the implications for NASA and JPL mission-assurance investment, translating the estimated hazard ratio into a design lever a program manager can read directly, and sets out the sample expansion under the same specification that would move the autonomy estimate decisively below one or close the question.</w:t>
      </w:r>
    </w:p>
    <w:bookmarkEnd w:id="67"/>
    <w:bookmarkEnd w:id="68"/>
    <w:bookmarkStart w:id="85" w:name="chapter-2.-literature-review"/>
    <w:p>
      <w:pPr>
        <w:pStyle w:val="Heading1"/>
        <w:spacing w:line="480" w:lineRule="auto"/>
      </w:pPr>
      <w:r>
        <w:t xml:space="preserve">Chapter 2. Literature Review</w:t>
      </w:r>
    </w:p>
    <w:bookmarkStart w:id="69"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question this dissertation asks sits in a structural blind spot. It asks, conditional on an anomaly having occurred, what governs whether that anomaly escalates into a mission-ending mishap and how fast the escalation runs. Answering it requires two intellectual traditions that have developed in near-total isolation from one another. The first is the space-domain technical literature on spacecraft anomalies, fault management, autonomy, reliability, and fragmentation. This literature knows a great deal about how anomalies are detected, how onboard systems respond to faults, how spacecraft subsystems degrade, and how catastrophic breakups are reconstructed after the fact. The second is the cliometric and econometric methodology of time-to-event analysis, survival modeling, and hazard estimation, a body of statistical practice built to estimate the conditional probability of a transition over time in the presence of heavy censoring. The space-domain literature supplies the substantive constructs, the covariates, and the data. The survival methodology supplies the estimator that turns a process narrative into an estimated hazard. They have not been joined on the escalation problem.</w:t>
      </w:r>
    </w:p>
    <w:p>
      <w:pPr>
        <w:pStyle w:val="BodyText"/>
        <w:spacing w:line="480" w:lineRule="auto"/>
        <w:ind w:firstLine="720"/>
      </w:pPr>
      <w:r>
        <w:t xml:space="preserve">This chapter reviews each literature on its own terms, in enough depth to establish what each does and does not deliver, and then identifies precisely where the two fail to meet. The argument developed across the chapter is that the technical literature has invested heavily on both sides of escalation, detection upstream and characterization downstream, while leaving the escalation transition itself comparatively unmodeled; that the methodological literature contains exactly the estimator the escalation problem demands but has rarely been pointed at it; and that the contribution of this dissertation is the join between them. The two companion papers that anchor this dissertation already execute that join on small samples, and the literature reviewed here is what those papers draw upon and extend.</w:t>
      </w:r>
    </w:p>
    <w:bookmarkEnd w:id="69"/>
    <w:bookmarkStart w:id="76" w:name="the-domain-technical-literature"/>
    <w:p>
      <w:pPr>
        <w:pStyle w:val="Heading2"/>
        <w:spacing w:line="480" w:lineRule="auto"/>
      </w:pPr>
      <w:r>
        <w:t xml:space="preserve">2.2 The Domain Technical Literature</w:t>
      </w:r>
    </w:p>
    <w:bookmarkStart w:id="70" w:name="X08767ca9384fa94d00689635f55fa7ee8fc27a5"/>
    <w:p>
      <w:pPr>
        <w:pStyle w:val="Heading3"/>
        <w:spacing w:line="480" w:lineRule="auto"/>
      </w:pPr>
      <w:r>
        <w:t xml:space="preserve">2.2.1 The Detection Side: Anomalies as the Terminal Object</w:t>
      </w:r>
    </w:p>
    <w:p>
      <w:pPr>
        <w:pStyle w:val="FirstParagraph"/>
        <w:spacing w:line="480" w:lineRule="auto"/>
      </w:pPr>
      <w:r>
        <w:t xml:space="preserve">The most mature branch of the relevant technical literature treats the detection of an anomaly from telemetry as the endpoint of the analytic task. This branch is now a standard subject at the principal space-surveillance venue. Early work established that situational awareness in spacecraft operations could be created by applying machine-learning methods to incoming telemetry, framing the detection and characterization of potential anomalies as the deliverable</w:t>
      </w:r>
      <w:r>
        <w:t xml:space="preserve"> </w:t>
      </w:r>
      <w:hyperlink w:anchor="ref-2">
        <w:r>
          <w:rPr>
            <w:rStyle w:val="Hyperlink"/>
          </w:rPr>
          <w:t xml:space="preserve">[2]</w:t>
        </w:r>
      </w:hyperlink>
      <w:r>
        <w:t xml:space="preserve">. The operational-integration line that followed framed learned detection as something to be embedded directly into space operations workflows</w:t>
      </w:r>
      <w:r>
        <w:t xml:space="preserve"> </w:t>
      </w:r>
      <w:hyperlink w:anchor="ref-3">
        <w:r>
          <w:rPr>
            <w:rStyle w:val="Hyperlink"/>
          </w:rPr>
          <w:t xml:space="preserve">[3]</w:t>
        </w:r>
      </w:hyperlink>
      <w:r>
        <w:t xml:space="preserve">, and a parallel strand argued that virtualized ground stations coupled with machine learning could compress the decision time available to operators responding to on-orbit events</w:t>
      </w:r>
      <w:r>
        <w:t xml:space="preserve"> </w:t>
      </w:r>
      <w:hyperlink w:anchor="ref-1">
        <w:r>
          <w:rPr>
            <w:rStyle w:val="Hyperlink"/>
          </w:rPr>
          <w:t xml:space="preserve">[1]</w:t>
        </w:r>
      </w:hyperlink>
      <w:r>
        <w:t xml:space="preserve">. More recent contributions extend the detection apparatus toward streaming and probabilistic methods. Optimal-proposal particle filters have been applied to two-line-element data to detect anomalies and maneuvers</w:t>
      </w:r>
      <w:r>
        <w:t xml:space="preserve"> </w:t>
      </w:r>
      <w:hyperlink w:anchor="ref-29">
        <w:r>
          <w:rPr>
            <w:rStyle w:val="Hyperlink"/>
          </w:rPr>
          <w:t xml:space="preserve">[29]</w:t>
        </w:r>
      </w:hyperlink>
      <w:r>
        <w:t xml:space="preserve">, data-stream-mining methods have been used to predict the thermal power consumption of the Mars Express spacecraft as a proxy for state-of-health monitoring</w:t>
      </w:r>
      <w:r>
        <w:t xml:space="preserve"> </w:t>
      </w:r>
      <w:hyperlink w:anchor="ref-33">
        <w:r>
          <w:rPr>
            <w:rStyle w:val="Hyperlink"/>
          </w:rPr>
          <w:t xml:space="preserve">[33]</w:t>
        </w:r>
      </w:hyperlink>
      <w:r>
        <w:t xml:space="preserve">, and deep-learning approaches have been turned toward detecting anomalous satellite activity as an indicator of intent</w:t>
      </w:r>
      <w:r>
        <w:t xml:space="preserve"> </w:t>
      </w:r>
      <w:hyperlink w:anchor="ref-24">
        <w:r>
          <w:rPr>
            <w:rStyle w:val="Hyperlink"/>
          </w:rPr>
          <w:t xml:space="preserve">[24]</w:t>
        </w:r>
      </w:hyperlink>
      <w:r>
        <w:t xml:space="preserve">.</w:t>
      </w:r>
    </w:p>
    <w:p>
      <w:pPr>
        <w:pStyle w:val="BodyText"/>
        <w:spacing w:line="480" w:lineRule="auto"/>
        <w:ind w:firstLine="720"/>
      </w:pPr>
      <w:r>
        <w:t xml:space="preserve">This detection literature is necessary to the escalation problem because it defines time zero. The escalation clock cannot start until an anomaly is declared, and the declaration logic is exactly what these systems formalize [2, 3]. But the detection literature treats the anomaly as the terminal object of interest. It stops at the alarm. It does not follow the post-alarm trajectory to either recovery or loss, and it offers no estimate of the conditional probability that a declared anomaly will progress. The endpoint of a detection study is a correctly raised flag; the endpoint of an escalation study is the disposition of the episode the flag opened. The detection literature is, in survival-analytic terms, a literature about the entry condition into the risk set, not about the hazard of leaving it.</w:t>
      </w:r>
    </w:p>
    <w:bookmarkEnd w:id="70"/>
    <w:bookmarkStart w:id="71" w:name="X9b9181cee906acc163b3fd0505e90ec12792908"/>
    <w:p>
      <w:pPr>
        <w:pStyle w:val="Heading3"/>
        <w:spacing w:line="480" w:lineRule="auto"/>
      </w:pPr>
      <w:r>
        <w:t xml:space="preserve">2.2.2 The Autonomy and Fault-Management Side: The Mechanism Without the Estimate</w:t>
      </w:r>
    </w:p>
    <w:p>
      <w:pPr>
        <w:pStyle w:val="FirstParagraph"/>
        <w:spacing w:line="480" w:lineRule="auto"/>
      </w:pPr>
      <w:r>
        <w:t xml:space="preserve">A second branch of the technical literature specifies the mechanism that the escalation model needs. The self-removal operational-concept literature provides the canonical retrievable definition of fault detection, isolation, and recovery, describing FDIR as the onboard function that detects a fault, isolates it, and triggers recovery, and building an operational concept around status detection, removal triggering, and passivation</w:t>
      </w:r>
      <w:r>
        <w:t xml:space="preserve"> </w:t>
      </w:r>
      <w:hyperlink w:anchor="ref-8">
        <w:r>
          <w:rPr>
            <w:rStyle w:val="Hyperlink"/>
          </w:rPr>
          <w:t xml:space="preserve">[8]</w:t>
        </w:r>
      </w:hyperlink>
      <w:r>
        <w:t xml:space="preserve">. This is the construct from which the central treatment covariate of the dissertation, closed-loop autonomy posture at onset, is coded. The AMOS line on autonomous fault management develops the same construct in operational depth. Successive contributions describe on-board, autonomous, hybrid spacecraft subsystem fault and anomaly detection, diagnosis, and recovery</w:t>
      </w:r>
      <w:r>
        <w:t xml:space="preserve"> </w:t>
      </w:r>
      <w:hyperlink w:anchor="ref-9">
        <w:r>
          <w:rPr>
            <w:rStyle w:val="Hyperlink"/>
          </w:rPr>
          <w:t xml:space="preserve">[9]</w:t>
        </w:r>
      </w:hyperlink>
      <w:r>
        <w:t xml:space="preserve">, and extend that architecture to autonomous root-cause determination and recovery across the full diagnostic chain</w:t>
      </w:r>
      <w:r>
        <w:t xml:space="preserve"> </w:t>
      </w:r>
      <w:hyperlink w:anchor="ref-16">
        <w:r>
          <w:rPr>
            <w:rStyle w:val="Hyperlink"/>
          </w:rPr>
          <w:t xml:space="preserve">[16]</w:t>
        </w:r>
      </w:hyperlink>
      <w:r>
        <w:t xml:space="preserve">. Recent neuro-symbolic work couples autonomous maneuvering with onboard anomaly detection in a hierarchical architecture</w:t>
      </w:r>
      <w:r>
        <w:t xml:space="preserve"> </w:t>
      </w:r>
      <w:hyperlink w:anchor="ref-4">
        <w:r>
          <w:rPr>
            <w:rStyle w:val="Hyperlink"/>
          </w:rPr>
          <w:t xml:space="preserve">[4]</w:t>
        </w:r>
      </w:hyperlink>
      <w:r>
        <w:t xml:space="preserve">, and agent-based approaches have been proposed for distributed space-system mission management where the locus of decision shifts onboard</w:t>
      </w:r>
      <w:r>
        <w:t xml:space="preserve"> </w:t>
      </w:r>
      <w:hyperlink w:anchor="ref-32">
        <w:r>
          <w:rPr>
            <w:rStyle w:val="Hyperlink"/>
          </w:rPr>
          <w:t xml:space="preserve">[32]</w:t>
        </w:r>
      </w:hyperlink>
      <w:r>
        <w:t xml:space="preserve">.</w:t>
      </w:r>
    </w:p>
    <w:p>
      <w:pPr>
        <w:pStyle w:val="BodyText"/>
        <w:spacing w:line="480" w:lineRule="auto"/>
        <w:ind w:firstLine="720"/>
      </w:pPr>
      <w:r>
        <w:t xml:space="preserve">The throughline of this branch is a qualitative argument about timing. The autonomous fault-management literature argues that onboard detection and safing arrest a developing failure before it propagates, because the onboard loop can act inside the first interval after onset whereas the ground loop cannot act until a pass, a diagnosis, and an uplink have all occurred [9, 16, 4]. Complementary work frames in-orbit inspection and data aggregation as ways to shorten the path from a satellite anomaly to a corrective action</w:t>
      </w:r>
      <w:r>
        <w:t xml:space="preserve"> </w:t>
      </w:r>
      <w:hyperlink w:anchor="ref-17">
        <w:r>
          <w:rPr>
            <w:rStyle w:val="Hyperlink"/>
          </w:rPr>
          <w:t xml:space="preserve">[17]</w:t>
        </w:r>
      </w:hyperlink>
      <w:r>
        <w:t xml:space="preserve">, and in-orbit servicing has been positioned within the broader space-traffic-management context as another route to intervening before loss</w:t>
      </w:r>
      <w:r>
        <w:t xml:space="preserve"> </w:t>
      </w:r>
      <w:hyperlink w:anchor="ref-28">
        <w:r>
          <w:rPr>
            <w:rStyle w:val="Hyperlink"/>
          </w:rPr>
          <w:t xml:space="preserve">[28]</w:t>
        </w:r>
      </w:hyperlink>
      <w:r>
        <w:t xml:space="preserve">. The SOHO mission interruption is the literature’s standing counter-illustration of the long ground loop: an operator error during ground recovery disabled the very protection that was most needed, and the spacecraft was at risk for hours before autonomy-adjacent recovery could be re-established</w:t>
      </w:r>
      <w:r>
        <w:t xml:space="preserve"> </w:t>
      </w:r>
      <w:hyperlink w:anchor="ref-18">
        <w:r>
          <w:rPr>
            <w:rStyle w:val="Hyperlink"/>
          </w:rPr>
          <w:t xml:space="preserve">[18]</w:t>
        </w:r>
      </w:hyperlink>
      <w:r>
        <w:t xml:space="preserve">. The crew-resource-management literature now argues, by analogy to aviation, that the human side of the recovery loop is itself a trainable and failure-prone component</w:t>
      </w:r>
      <w:r>
        <w:t xml:space="preserve"> </w:t>
      </w:r>
      <w:hyperlink w:anchor="ref-26">
        <w:r>
          <w:rPr>
            <w:rStyle w:val="Hyperlink"/>
          </w:rPr>
          <w:t xml:space="preserve">[26]</w:t>
        </w:r>
      </w:hyperlink>
      <w:r>
        <w:t xml:space="preserve">.</w:t>
      </w:r>
    </w:p>
    <w:p>
      <w:pPr>
        <w:pStyle w:val="BodyText"/>
        <w:spacing w:line="480" w:lineRule="auto"/>
        <w:ind w:firstLine="720"/>
      </w:pPr>
      <w:r>
        <w:t xml:space="preserve">What this entire branch supplies is the mechanism and a clean definition of the autonomy covariate. What it does not supply is an estimate. None of these works estimates the conditional probability that an anomaly escalates as a function of whether autonomy closed the loop in time. The literature asserts the timing mechanism qualitatively and demonstrates it anecdotally; it does not fit a model in which the autonomy posture is an estimable onset-state covariate against an escalation outcome. The mechanism is theorized and operationalized but never priced.</w:t>
      </w:r>
    </w:p>
    <w:bookmarkEnd w:id="71"/>
    <w:bookmarkStart w:id="72" w:name="X1a4e7f5bca635432ff4e8ac26c3ac2ee09a414b"/>
    <w:p>
      <w:pPr>
        <w:pStyle w:val="Heading3"/>
        <w:spacing w:line="480" w:lineRule="auto"/>
      </w:pPr>
      <w:r>
        <w:t xml:space="preserve">2.2.3 The Reliability Side: Degraded States and Heterogeneous Hazards</w:t>
      </w:r>
    </w:p>
    <w:p>
      <w:pPr>
        <w:pStyle w:val="FirstParagraph"/>
        <w:spacing w:line="480" w:lineRule="auto"/>
      </w:pPr>
      <w:r>
        <w:t xml:space="preserve">A third branch is the spacecraft-reliability literature, and it is the branch closest in spirit to the methodology this dissertation imports, because it already thinks in terms of states, transitions, and hazards. The foundational move in this literature is the rejection of the binary working-or-failed frame in favor of a multi-state view. The multi-state failure analysis of satellite subsystems establishes that failures are better understood as transitions through degraded states than as single switch-flips, and that subsystems contribute unequally to terminal loss</w:t>
      </w:r>
      <w:r>
        <w:t xml:space="preserve"> </w:t>
      </w:r>
      <w:hyperlink w:anchor="ref-14">
        <w:r>
          <w:rPr>
            <w:rStyle w:val="Hyperlink"/>
          </w:rPr>
          <w:t xml:space="preserve">[14]</w:t>
        </w:r>
      </w:hyperlink>
      <w:r>
        <w:t xml:space="preserve">. This is, conceptually, the progression view on which the entire escalation framing rests: an anomaly is an entry into a degraded state, and a mishap is the absorbing state at the end of a possible chain of transitions. The companion statistical program on electric-propulsion reliability quantifies on-orbit anomalies and compares electric against chemical propulsion failure rates, documenting that failure rates are structured by subsystem and severity rather than uniform across a fleet, and that long lead times separate minor from major anomalies [11, 15]. Accelerated-life modeling of solid-lubricated bearings demonstrates the same hazard heterogeneity at the component level, using time-varying dependence among failure modes</w:t>
      </w:r>
      <w:r>
        <w:t xml:space="preserve"> </w:t>
      </w:r>
      <w:hyperlink w:anchor="ref-12">
        <w:r>
          <w:rPr>
            <w:rStyle w:val="Hyperlink"/>
          </w:rPr>
          <w:t xml:space="preserve">[12]</w:t>
        </w:r>
      </w:hyperlink>
      <w:r>
        <w:t xml:space="preserve">, and the radiation-hardness-assurance review documents how a localized upset in avionics can drive a system-level cascade, which is the physical substrate of fast escalation</w:t>
      </w:r>
      <w:r>
        <w:t xml:space="preserve"> </w:t>
      </w:r>
      <w:hyperlink w:anchor="ref-19">
        <w:r>
          <w:rPr>
            <w:rStyle w:val="Hyperlink"/>
          </w:rPr>
          <w:t xml:space="preserve">[19]</w:t>
        </w:r>
      </w:hyperlink>
      <w:r>
        <w:t xml:space="preserve">.</w:t>
      </w:r>
    </w:p>
    <w:p>
      <w:pPr>
        <w:pStyle w:val="BodyText"/>
        <w:spacing w:line="480" w:lineRule="auto"/>
        <w:ind w:firstLine="720"/>
      </w:pPr>
      <w:r>
        <w:t xml:space="preserve">This reliability branch matters to the dissertation in two ways. First, it identifies the principal confounders of the autonomy effect. Because failure rates are structured by subsystem and severity, and because severe anomalies in demanding regimes are both more likely to escalate and more likely to occur on flagship missions carrying richer autonomy, severity and orbital regime are exactly the covariates that must be conditioned out before an autonomy effect can be identified [11, 14, 15]. The companion Cox analyses treat severity and regime as the principal confounders on precisely this reasoning. Second, the multi-state and accelerated-life work supplies the conceptual bridge to survival estimation: it already models the time spent in a degraded state and the covariates that compress or extend it [12, 14]. Yet even this branch stops short of the escalation transition itself. It models component and subsystem reliability and the heterogeneity of failure hazards. What it does not model is the conditional, episode-level transition from a detected anomaly to a mission-ending mishap with autonomy posture as a treatment. It supplies the hazard vocabulary and the confounders; it does not fit the escalation hazard.</w:t>
      </w:r>
    </w:p>
    <w:bookmarkEnd w:id="72"/>
    <w:bookmarkStart w:id="73" w:name="Xeb3376cc62ce77d6e0646b38f797c515a1cbdc5"/>
    <w:p>
      <w:pPr>
        <w:pStyle w:val="Heading3"/>
        <w:spacing w:line="480" w:lineRule="auto"/>
      </w:pPr>
      <w:r>
        <w:t xml:space="preserve">2.2.4 The Characterization Side: Mishaps as the Terminal Object</w:t>
      </w:r>
    </w:p>
    <w:p>
      <w:pPr>
        <w:pStyle w:val="FirstParagraph"/>
        <w:spacing w:line="480" w:lineRule="auto"/>
      </w:pPr>
      <w:r>
        <w:t xml:space="preserve">A fourth branch treats the mishap as the terminal object of interest and reasons backward from it. This is the event-characterization literature, and it is rich precisely where the detection literature is silent. When an anomaly does end in fragmentation, this branch can determine where and when the breakup occurred, demonstrated in early blast-point determination for large geostationary fragmentation events</w:t>
      </w:r>
      <w:r>
        <w:t xml:space="preserve"> </w:t>
      </w:r>
      <w:hyperlink w:anchor="ref-7">
        <w:r>
          <w:rPr>
            <w:rStyle w:val="Hyperlink"/>
          </w:rPr>
          <w:t xml:space="preserve">[7]</w:t>
        </w:r>
      </w:hyperlink>
      <w:r>
        <w:t xml:space="preserve">; can reconstruct the resulting debris cloud, demonstrated in the characterization of cislunar fragmentations</w:t>
      </w:r>
      <w:r>
        <w:t xml:space="preserve"> </w:t>
      </w:r>
      <w:hyperlink w:anchor="ref-6">
        <w:r>
          <w:rPr>
            <w:rStyle w:val="Hyperlink"/>
          </w:rPr>
          <w:t xml:space="preserve">[6]</w:t>
        </w:r>
      </w:hyperlink>
      <w:r>
        <w:t xml:space="preserve">; and can classify the generating event, demonstrated by graph-neural-network frameworks that separate explosion from collision signatures in the debris</w:t>
      </w:r>
      <w:r>
        <w:t xml:space="preserve"> </w:t>
      </w:r>
      <w:hyperlink w:anchor="ref-5">
        <w:r>
          <w:rPr>
            <w:rStyle w:val="Hyperlink"/>
          </w:rPr>
          <w:t xml:space="preserve">[5]</w:t>
        </w:r>
      </w:hyperlink>
      <w:r>
        <w:t xml:space="preserve">. The canonical public record underpinning this branch is the NASA Orbital Debris Program Office History of On-Orbit Satellite Fragmentations, the periodically updated catalogue of on-orbit breakup events, their dates, parent objects, orbital regimes, and assessed causes</w:t>
      </w:r>
      <w:r>
        <w:t xml:space="preserve"> </w:t>
      </w:r>
      <w:hyperlink w:anchor="ref-10">
        <w:r>
          <w:rPr>
            <w:rStyle w:val="Hyperlink"/>
          </w:rPr>
          <w:t xml:space="preserve">[10]</w:t>
        </w:r>
      </w:hyperlink>
      <w:r>
        <w:t xml:space="preserve">. Adjacent work on collision risk following a catastrophic spacecraft mishap in lunar orbit extends the consequence analysis into cislunar space</w:t>
      </w:r>
      <w:r>
        <w:t xml:space="preserve"> </w:t>
      </w:r>
      <w:hyperlink w:anchor="ref-20">
        <w:r>
          <w:rPr>
            <w:rStyle w:val="Hyperlink"/>
          </w:rPr>
          <w:t xml:space="preserve">[20]</w:t>
        </w:r>
      </w:hyperlink>
      <w:r>
        <w:t xml:space="preserve">, and the zombie-satellite literature on anomaly occurrence and potential recycling examines the population of vehicles that crossed into a failed-but-intact end state</w:t>
      </w:r>
      <w:r>
        <w:t xml:space="preserve"> </w:t>
      </w:r>
      <w:hyperlink w:anchor="ref-31">
        <w:r>
          <w:rPr>
            <w:rStyle w:val="Hyperlink"/>
          </w:rPr>
          <w:t xml:space="preserve">[31]</w:t>
        </w:r>
      </w:hyperlink>
      <w:r>
        <w:t xml:space="preserve">.</w:t>
      </w:r>
    </w:p>
    <w:p>
      <w:pPr>
        <w:pStyle w:val="BodyText"/>
        <w:spacing w:line="480" w:lineRule="auto"/>
        <w:ind w:firstLine="720"/>
      </w:pPr>
      <w:r>
        <w:t xml:space="preserve">The structural feature of this branch that matters for the present argument is its sampling frame. Characterization studies are conditioned on the occurrence of a characterizable event. A non-escalating anomaly produces no debris cloud, no blast point, and often no public report, so it leaves no trace for a characterization study to act upon. The sampling frame of this branch is therefore truncated at the catastrophic tail. The branch is rich about the mishap and silent about the anomalies that did not become mishaps. This truncation is not a defect of the characterization work on its own terms; reconstructing a breakup necessarily requires a breakup. But it is exactly the truncation that an escalation model must correct, because the escalation hazard cannot be estimated from the events alone. It requires the censored, non-escalating episodes as the denominator of the at-risk population. The characterization literature supplies the canonical event record [5, 6, 7, 10] and, with it, the orbital-regime and assessed-cause labels for the escalating tail, but it cannot by construction supply the other half of the sample.</w:t>
      </w:r>
    </w:p>
    <w:bookmarkEnd w:id="73"/>
    <w:bookmarkStart w:id="74" w:name="X059e8b77055288a9151cd9de79ca53d5d322a19"/>
    <w:p>
      <w:pPr>
        <w:pStyle w:val="Heading3"/>
        <w:spacing w:line="480" w:lineRule="auto"/>
      </w:pPr>
      <w:r>
        <w:t xml:space="preserve">2.2.5 Emerging Structuring Tools: Knowledge Graphs and the Escalation Claim</w:t>
      </w:r>
    </w:p>
    <w:p>
      <w:pPr>
        <w:pStyle w:val="FirstParagraph"/>
        <w:spacing w:line="480" w:lineRule="auto"/>
      </w:pPr>
      <w:r>
        <w:t xml:space="preserve">A fifth and newer strand of the technical literature is worth isolating because it states the dissertation’s motivating claim almost verbatim while reaching for a different toolset. The knowledge-graph work on space systems argues plainly that an anomaly can rapidly escalate into a catastrophic failure that ends the mission, and proposes knowledge graphs as a way to represent and reason over the relationships among spacecraft components, anomalies, and outcomes [13, 27]. This strand recognizes escalation as the object of interest and recognizes that it unfolds through structured relationships over time. What it offers is a representational technology, a graph over which to reason, rather than an estimator that returns a conditional hazard. It frames the escalation problem and supplies a structuring vocabulary, but it does not estimate the escalation transition or attach a magnitude to any covariate’s effect on it. Here the technical literature names the gap without crossing it.</w:t>
      </w:r>
    </w:p>
    <w:bookmarkEnd w:id="74"/>
    <w:bookmarkStart w:id="75" w:name="synthesis-of-the-domain-literature"/>
    <w:p>
      <w:pPr>
        <w:pStyle w:val="Heading3"/>
        <w:spacing w:line="480" w:lineRule="auto"/>
      </w:pPr>
      <w:r>
        <w:t xml:space="preserve">2.2.6 Synthesis of the Domain Literature</w:t>
      </w:r>
    </w:p>
    <w:p>
      <w:pPr>
        <w:pStyle w:val="FirstParagraph"/>
        <w:spacing w:line="480" w:lineRule="auto"/>
      </w:pPr>
      <w:r>
        <w:t xml:space="preserve">Read together, the five branches of the domain literature bound the escalation problem on every side without closing it. The detection branch defines the entry into the risk set but stops at the alarm [1, 2, 3, 24, 29, 33]. The autonomy branch supplies the treatment mechanism and its definition but never estimates its effect [4, 8, 9, 16, 17, 28, 32]. The reliability branch supplies the hazard vocabulary, the multi-state progression view, and the confounders, but models component and subsystem reliability rather than the episode-level escalation transition [11, 12, 14, 15, 19]. The characterization branch supplies the canonical event record but is truncated at the catastrophic tail by construction [5, 6, 7, 10, 20, 31]. The knowledge-graph branch names escalation as the target but offers representation rather than estimation [13, 27]. Each branch holds one piece of what an escalation model needs: time zero, the treatment, the confounders, the events, and the framing. None assembles them into an estimated conditional hazard over a sample that contains both the escalating and the non-escalating episodes. The domain literature, in short, has all the ingredients of a survival model and has never cooked one.</w:t>
      </w:r>
    </w:p>
    <w:bookmarkEnd w:id="75"/>
    <w:bookmarkEnd w:id="76"/>
    <w:bookmarkStart w:id="82" w:name="X07fe73e594277fc276c6392b9242153367417e1"/>
    <w:p>
      <w:pPr>
        <w:pStyle w:val="Heading2"/>
        <w:spacing w:line="480" w:lineRule="auto"/>
      </w:pPr>
      <w:r>
        <w:t xml:space="preserve">2.3 The Cliometric and Econometric Methodology Literature</w:t>
      </w:r>
    </w:p>
    <w:bookmarkStart w:id="77" w:name="X5e59ffc2055e6a743f5da906a3d4621e848e6ea"/>
    <w:p>
      <w:pPr>
        <w:pStyle w:val="Heading3"/>
        <w:spacing w:line="480" w:lineRule="auto"/>
      </w:pPr>
      <w:r>
        <w:t xml:space="preserve">2.3.1 Survival Analysis as the Natural Estimator of a Process</w:t>
      </w:r>
    </w:p>
    <w:p>
      <w:pPr>
        <w:pStyle w:val="FirstParagraph"/>
        <w:spacing w:line="480" w:lineRule="auto"/>
      </w:pPr>
      <w:r>
        <w:t xml:space="preserve">The methodological tradition this dissertation imports is survival analysis, also called time-to-event analysis, duration analysis in econometrics, and event-history analysis in the social sciences. Its defining object is the hazard function, the instantaneous probability that an event occurs in the next interval given that it has not yet occurred, and its defining capability is the principled handling of right-censoring, the situation in which the event has not occurred by the end of observation. These two features map exactly onto the escalation problem. The escalation outcome is a time-to-event: an anomaly opens a clock that runs until the spacecraft either crosses into a mishap, which is the event, or recovers, at which point the episode is right-censored. Most anomalies never escalate, so the data are heavily right-censored, which is the precise regime survival estimation was built to handle. The reliability branch of the domain literature already half-imports this tradition through its multi-state and accelerated-life modeling [12, 14], which are themselves survival methods applied to components, but it stops at the component and does not lift the same estimator to the episode-level escalation transition.</w:t>
      </w:r>
    </w:p>
    <w:p>
      <w:pPr>
        <w:pStyle w:val="BodyText"/>
        <w:spacing w:line="480" w:lineRule="auto"/>
        <w:ind w:firstLine="720"/>
      </w:pPr>
      <w:r>
        <w:t xml:space="preserve">The conceptual fit is tight enough that the survival framing is not an analogy but the natural estimation counterpart to the progression view the reliability literature established</w:t>
      </w:r>
      <w:r>
        <w:t xml:space="preserve"> </w:t>
      </w:r>
      <w:hyperlink w:anchor="ref-14">
        <w:r>
          <w:rPr>
            <w:rStyle w:val="Hyperlink"/>
          </w:rPr>
          <w:t xml:space="preserve">[14]</w:t>
        </w:r>
      </w:hyperlink>
      <w:r>
        <w:t xml:space="preserve">. Where the multi-state analysis describes transitions through degraded states qualitatively and at the subsystem level, survival analysis estimates the time spent at risk before a transition and the covariates that compress or extend it at the episode level. The escalation problem is therefore a survival problem that the domain literature has gestured toward without naming.</w:t>
      </w:r>
    </w:p>
    <w:bookmarkEnd w:id="77"/>
    <w:bookmarkStart w:id="78" w:name="Xf7378d3dcc32adbbbb3779e251be2ed22fde034"/>
    <w:p>
      <w:pPr>
        <w:pStyle w:val="Heading3"/>
        <w:spacing w:line="480" w:lineRule="auto"/>
      </w:pPr>
      <w:r>
        <w:t xml:space="preserve">2.3.2 The Cox Proportional-Hazards Model and Its Appropriateness</w:t>
      </w:r>
    </w:p>
    <w:p>
      <w:pPr>
        <w:pStyle w:val="FirstParagraph"/>
        <w:spacing w:line="480" w:lineRule="auto"/>
      </w:pPr>
      <w:r>
        <w:t xml:space="preserve">Within survival analysis, the Cox proportional-hazards model is the workhorse semiparametric estimator. It expresses the hazard of the event at a given time as the product of an unspecified baseline hazard and an exponential function of covariates, and it is fit by partial-likelihood maximization. Its central virtue for the escalation problem is that it imposes no parametric assumption on the shape of the baseline hazard. This matters acutely here because the escalation clock runs on radically different physical timescales across regimes, from the sub-second window of a descent-and-landing failure to the months-long drift of a stranded geostationary satellite. A parametric survival model would have to commit to a baseline shape that cannot be correct across that range; the Cox model declines to commit and estimates the covariate effects regardless. Its second virtue is that it accommodates right-censoring directly, which the large population of recovered, non-escalating episodes requires. The coefficients are read as hazard ratios, the multiplicative effect of a covariate on the instantaneous escalation hazard, with a ratio below one indicating a protective association and a ratio above one indicating an accelerant. This interpretability is what lets the dissertation stake its central claim on a single estimated number, the escalation hazard ratio attributable to closed-loop autonomy, which a program manager can read directly as a design lever.</w:t>
      </w:r>
    </w:p>
    <w:p>
      <w:pPr>
        <w:pStyle w:val="BodyText"/>
        <w:spacing w:line="480" w:lineRule="auto"/>
        <w:ind w:firstLine="720"/>
      </w:pPr>
      <w:r>
        <w:t xml:space="preserve">The two companion papers that anchor this dissertation both adopt the Cox specification on exactly this reasoning, fitting partial-likelihood models on compiled anomaly-episode datasets and reading the autonomy coefficient as the estimand of interest. The methodological literature thus provides not only the estimator but the discipline of single-parameter falsification: a fitted hazard ratio whose confidence interval contains one fails to reject the null, regardless of how favorable the point estimate is, which is the rule the companion papers apply when they return a divided verdict at small sample size.</w:t>
      </w:r>
    </w:p>
    <w:bookmarkEnd w:id="78"/>
    <w:bookmarkStart w:id="79" w:name="Xefb64bc843034a526b27a25b8c087016ee23dfd"/>
    <w:p>
      <w:pPr>
        <w:pStyle w:val="Heading3"/>
        <w:spacing w:line="480" w:lineRule="auto"/>
      </w:pPr>
      <w:r>
        <w:t xml:space="preserve">2.3.3 Survival Methods Within the Space Domain: Rare and Pointed Elsewhere</w:t>
      </w:r>
    </w:p>
    <w:p>
      <w:pPr>
        <w:pStyle w:val="FirstParagraph"/>
        <w:spacing w:line="480" w:lineRule="auto"/>
      </w:pPr>
      <w:r>
        <w:t xml:space="preserve">Survival analysis is not entirely absent from the space-domain literature, but its appearances are rare and are pointed at problems other than escalation. The most direct precedent is the application of time-to-event modeling to the occurrence of maneuvers by non-cooperative satellites, which uses survival analysis to model the timing of maneuver events from observational data</w:t>
      </w:r>
      <w:r>
        <w:t xml:space="preserve"> </w:t>
      </w:r>
      <w:hyperlink w:anchor="ref-21">
        <w:r>
          <w:rPr>
            <w:rStyle w:val="Hyperlink"/>
          </w:rPr>
          <w:t xml:space="preserve">[21]</w:t>
        </w:r>
      </w:hyperlink>
      <w:r>
        <w:t xml:space="preserve">. This work is important to the present dissertation as a proof of concept: it demonstrates that survival estimation is tractable on space-object event data drawn from public observation, that the censoring and timing structure of the space domain is compatible with the estimator, and that hazard modeling produces interpretable results in this setting. But its outcome is maneuver occurrence, a behavioral and operational event, not anomaly-to-mishap escalation, a safety and mission-assurance transition. It establishes the feasibility of the method in the domain without addressing the escalation question.</w:t>
      </w:r>
    </w:p>
    <w:p>
      <w:pPr>
        <w:pStyle w:val="BodyText"/>
        <w:spacing w:line="480" w:lineRule="auto"/>
        <w:ind w:firstLine="720"/>
      </w:pPr>
      <w:r>
        <w:t xml:space="preserve">Beyond this precedent, the domain’s use of survival methods is confined to the reliability branch’s component-level multi-state and accelerated-life models [12, 14], which apply duration thinking to parts rather than episodes. No retrievable work in the assembled corpus applies a Cox proportional-hazards model, or any other episode-level survival estimator, to the conditional transition from a detected anomaly to a mission-ending mishap with autonomy posture as a treatment covariate. The methodology exists, it has been shown to work on adjacent space-object event data</w:t>
      </w:r>
      <w:r>
        <w:t xml:space="preserve"> </w:t>
      </w:r>
      <w:hyperlink w:anchor="ref-21">
        <w:r>
          <w:rPr>
            <w:rStyle w:val="Hyperlink"/>
          </w:rPr>
          <w:t xml:space="preserve">[21]</w:t>
        </w:r>
      </w:hyperlink>
      <w:r>
        <w:t xml:space="preserve">, and it has been applied to spacecraft components [12, 14], but it has not been lifted to the escalation episode.</w:t>
      </w:r>
    </w:p>
    <w:bookmarkEnd w:id="79"/>
    <w:bookmarkStart w:id="80" w:name="X79809312e72bc4ee9660a6f911169ccadd4adfb"/>
    <w:p>
      <w:pPr>
        <w:pStyle w:val="Heading3"/>
        <w:spacing w:line="480" w:lineRule="auto"/>
      </w:pPr>
      <w:r>
        <w:t xml:space="preserve">2.3.4 The Identification Problem: Confounding, Censoring, and Truncation</w:t>
      </w:r>
    </w:p>
    <w:p>
      <w:pPr>
        <w:pStyle w:val="FirstParagraph"/>
        <w:spacing w:line="480" w:lineRule="auto"/>
      </w:pPr>
      <w:r>
        <w:t xml:space="preserve">The methodological literature also frames the identification challenges that the escalation estimand must survive, and it is worth reviewing these because they are what distinguish a credible hazard estimate from a raw correlation. Three challenges dominate. The first is confounding. Because the reliability literature shows that hazards are structured by severity and subsystem [11, 14, 15], and because flagship missions in demanding regimes carry both higher escalation propensity and richer autonomy, a naive autonomy-escalation association could be a mission-class artifact. Survival regression addresses this by conditioning: severity and regime enter as covariates so that the autonomy coefficient is identified within strata of comparable severity, and the key identifying assumption becomes that, within a level of severity and regime, autonomy posture is not assigned by an unobserved escalation propensity. This is a strong assumption, and the methodological discipline of the field requires it to be stated and probed with sensitivity analysis rather than asserted.</w:t>
      </w:r>
    </w:p>
    <w:p>
      <w:pPr>
        <w:pStyle w:val="BodyText"/>
        <w:spacing w:line="480" w:lineRule="auto"/>
        <w:ind w:firstLine="720"/>
      </w:pPr>
      <w:r>
        <w:t xml:space="preserve">The second challenge is censoring, which survival analysis handles natively but which still carries an interpretive burden here. The recovered episodes are right-censored at their documented recovery windows, and the estimator uses them as the denominator of the at-risk population. This is the half of the sample the characterization literature cannot by construction supply [5, 6, 7, 10], and assembling it requires the operations, anomaly-board, and reliability records rather than the fragmentation catalogue. The third challenge is truncation of that censored half. Non-escalating anomalies are systematically underreported relative to fragmentations, because a recovered anomaly generates no debris cloud and often no public report [10, 31]. This biases the baseline hazard upward and over-represents events. The methodological response is to treat anomaly reporting as a sampling process and to report results under explicit reporting-completeness assumptions with bounds. The direction of this bias is conservative for the dissertation’s hypothesis. A more completely reported censored sample would, if anything, strengthen rather than weaken a protective autonomy estimate, because the missing episodes are disproportionately recovered ones.</w:t>
      </w:r>
    </w:p>
    <w:bookmarkEnd w:id="80"/>
    <w:bookmarkStart w:id="81" w:name="X601b48fd85c8d52ef81dead3487d310ae492f67"/>
    <w:p>
      <w:pPr>
        <w:pStyle w:val="Heading3"/>
        <w:spacing w:line="480" w:lineRule="auto"/>
      </w:pPr>
      <w:r>
        <w:t xml:space="preserve">2.3.5 Quasi-Complete Separation and the Discipline of Small Samples</w:t>
      </w:r>
    </w:p>
    <w:p>
      <w:pPr>
        <w:pStyle w:val="FirstParagraph"/>
        <w:spacing w:line="480" w:lineRule="auto"/>
      </w:pPr>
      <w:r>
        <w:t xml:space="preserve">A final methodological point that the companion analyses confront, and that the literature on maximum-likelihood estimation in hazard models anticipates, is quasi-complete separation. When a covariate perfectly predicts the outcome, the partial-likelihood coefficient is driven to an uninformative extreme. The second companion paper encounters exactly this with a crewed indicator: all crewed events in its sample were contained rather than escalated, which perfectly predicts non-escalation and would corrupt the estimates if entered into the model. The methodologically disciplined response, retaining the indicator descriptively while excluding it from the fitted model, preserves the signal without distorting the hazard estimates. This is the kind of small-sample hazard-modeling care that the econometric literature on duration analysis codifies, and it is part of what the dissertation imports along with the estimator itself. The single-parameter design, the falsification rule keyed to whether the confidence interval contains one, the conditioning strategy for identification, the sensitivity bounding for unobserved confounding, and the handling of separation are all methodological inheritances from the survival and duration tradition rather than from the space-domain literature.</w:t>
      </w:r>
    </w:p>
    <w:bookmarkEnd w:id="81"/>
    <w:bookmarkEnd w:id="82"/>
    <w:bookmarkStart w:id="83" w:name="Xa2ced6717eb9bb0a1a5dcc4b050eb4a464acfa7"/>
    <w:p>
      <w:pPr>
        <w:pStyle w:val="Heading2"/>
        <w:spacing w:line="480" w:lineRule="auto"/>
      </w:pPr>
      <w:r>
        <w:t xml:space="preserve">2.4 The Gap: The Join That No Retrievable Work Has Made</w:t>
      </w:r>
    </w:p>
    <w:p>
      <w:pPr>
        <w:pStyle w:val="FirstParagraph"/>
        <w:spacing w:line="480" w:lineRule="auto"/>
      </w:pPr>
      <w:r>
        <w:t xml:space="preserve">The two literatures reviewed above are individually mature and mutually disconnected. The domain literature supplies every substantive ingredient of an escalation model. It supplies time zero through the detection branch [2, 3], the treatment construct through the autonomy branch [4, 8, 9, 16], the confounders and the progression view through the reliability branch [11, 12, 14, 15], the events and their regime and cause labels through the characterization branch and the NASA fragmentation catalogue [5, 6, 7, 10], and the explicit framing of escalation as the object of interest through the knowledge-graph branch [13, 27]. The methodology literature supplies the estimator, the Cox proportional-hazards model and its small-sample discipline, and has been shown feasible on adjacent space-object event data</w:t>
      </w:r>
      <w:r>
        <w:t xml:space="preserve"> </w:t>
      </w:r>
      <w:hyperlink w:anchor="ref-21">
        <w:r>
          <w:rPr>
            <w:rStyle w:val="Hyperlink"/>
          </w:rPr>
          <w:t xml:space="preserve">[21]</w:t>
        </w:r>
      </w:hyperlink>
      <w:r>
        <w:t xml:space="preserve"> </w:t>
      </w:r>
      <w:r>
        <w:t xml:space="preserve">and on spacecraft components [12, 14]. What no retrievable work in either corpus does is join them.</w:t>
      </w:r>
    </w:p>
    <w:p>
      <w:pPr>
        <w:pStyle w:val="BodyText"/>
        <w:spacing w:line="480" w:lineRule="auto"/>
        <w:ind w:firstLine="720"/>
      </w:pPr>
      <w:r>
        <w:t xml:space="preserve">The gap is precise and can be stated as four conjoined absences. First, no work models escalation as a time-to-event process at the episode level rather than at the component or subsystem level; the reliability branch comes closest but stays below the episode [12, 14]. Second, no work estimates the escalation hazard over a sample that deliberately includes both escalating and non-escalating anomalies; the detection branch keeps only the pre-event flag [2, 3], the characterization branch keeps only the events [5, 6, 7, 10], and neither assembles the two-tailed sample that an escalation hazard requires. Third, no work treats autonomy posture at onset as an estimable onset-state covariate against the escalation outcome; the autonomy branch defines and operationalizes the construct [4, 8, 9, 16] but never fits it as a treatment, and the survival precedent in the domain estimates maneuver timing rather than escalation</w:t>
      </w:r>
      <w:r>
        <w:t xml:space="preserve"> </w:t>
      </w:r>
      <w:hyperlink w:anchor="ref-21">
        <w:r>
          <w:rPr>
            <w:rStyle w:val="Hyperlink"/>
          </w:rPr>
          <w:t xml:space="preserve">[21]</w:t>
        </w:r>
      </w:hyperlink>
      <w:r>
        <w:t xml:space="preserve">. Fourth, no work delivers the single decision-facing parameter, the escalation hazard ratio attributable to closed-loop autonomy holding severity and regime fixed, that converts the qualitative timing argument of the autonomy literature into a magnitude a program manager can act on.</w:t>
      </w:r>
    </w:p>
    <w:p>
      <w:pPr>
        <w:pStyle w:val="BodyText"/>
        <w:spacing w:line="480" w:lineRule="auto"/>
        <w:ind w:firstLine="720"/>
      </w:pPr>
      <w:r>
        <w:t xml:space="preserve">That fourfold join is the contribution. The companion papers demonstrate that the join is executable and that it produces an interpretable, falsifiable result. The first companion paper fits a Cox model on thirty anomaly episodes balanced across recovered and lost outcomes, finds that onset severity is the firmest predictor of escalation while the autonomy hazard ratio sits below one but with a confidence interval that contains one, and applies the single-parameter falsification rule honestly to return a divided verdict. The second companion paper fits the same specification on thirty-two episodes with a differently constructed covariate set and recovers a strong and statistically significant protective association for functioning onboard autonomy alongside a directional but unconfirmed accelerant for loss of attitude control, while disciplining the crewed indicator out of the estimated model to avoid separation. Both papers locate themselves in the same two literatures reviewed here, drawing the treatment mechanism from the autonomy branch [4, 8, 9, 16], the confounders from the reliability branch [11, 14, 15], the events from the fragmentation and anomaly-board record</w:t>
      </w:r>
      <w:r>
        <w:t xml:space="preserve"> </w:t>
      </w:r>
      <w:hyperlink w:anchor="ref-10">
        <w:r>
          <w:rPr>
            <w:rStyle w:val="Hyperlink"/>
          </w:rPr>
          <w:t xml:space="preserve">[10]</w:t>
        </w:r>
      </w:hyperlink>
      <w:r>
        <w:t xml:space="preserve">, and the estimator and its discipline from the survival tradition</w:t>
      </w:r>
      <w:r>
        <w:t xml:space="preserve"> </w:t>
      </w:r>
      <w:hyperlink w:anchor="ref-21">
        <w:r>
          <w:rPr>
            <w:rStyle w:val="Hyperlink"/>
          </w:rPr>
          <w:t xml:space="preserve">[21]</w:t>
        </w:r>
      </w:hyperlink>
      <w:r>
        <w:t xml:space="preserve">. They differ in sample construction and covariate coding, and their partially divergent autonomy estimates define exactly the question the dissertation resolves at larger scale: whether the protective autonomy association is a real one-third-to-five-sixths reduction in escalation hazard or an artifact of small samples and coding choices.</w:t>
      </w:r>
    </w:p>
    <w:bookmarkEnd w:id="83"/>
    <w:bookmarkStart w:id="84" w:name="positioning-of-the-dissertation"/>
    <w:p>
      <w:pPr>
        <w:pStyle w:val="Heading2"/>
        <w:spacing w:line="480" w:lineRule="auto"/>
      </w:pPr>
      <w:r>
        <w:t xml:space="preserve">2.5 Positioning of the Dissertation</w:t>
      </w:r>
    </w:p>
    <w:p>
      <w:pPr>
        <w:pStyle w:val="FirstParagraph"/>
        <w:spacing w:line="480" w:lineRule="auto"/>
      </w:pPr>
      <w:r>
        <w:t xml:space="preserve">The dissertation positions itself as the deliberate join of the two literatures on the escalation problem. From the domain literature it inherits the constructs, the data sources, and the confounders, and it accepts the literature’s own framing that escalation is a process that unfolds in time and that the locus of the recovery loop, onboard or ground-dependent, is the candidate lever [4, 8, 9, 13]. From the methodology literature it inherits the Cox proportional-hazards estimator, the censoring machinery, the conditioning strategy for identification, the sensitivity bounding for the truncation and confounding threats, and the single-parameter falsification discipline that makes the central claim succeed or fail on one number</w:t>
      </w:r>
      <w:r>
        <w:t xml:space="preserve"> </w:t>
      </w:r>
      <w:hyperlink w:anchor="ref-21">
        <w:r>
          <w:rPr>
            <w:rStyle w:val="Hyperlink"/>
          </w:rPr>
          <w:t xml:space="preserve">[21]</w:t>
        </w:r>
      </w:hyperlink>
      <w:r>
        <w:t xml:space="preserve">. The synthesis is not a mechanical pairing. It requires constructing the two-tailed sample that neither the detection nor the characterization branch supplies alone, coding the autonomy treatment against the explicit FDIR definitions the autonomy branch provides</w:t>
      </w:r>
      <w:r>
        <w:t xml:space="preserve"> </w:t>
      </w:r>
      <w:hyperlink w:anchor="ref-8">
        <w:r>
          <w:rPr>
            <w:rStyle w:val="Hyperlink"/>
          </w:rPr>
          <w:t xml:space="preserve">[8]</w:t>
        </w:r>
      </w:hyperlink>
      <w:r>
        <w:t xml:space="preserve">, conditioning out the severity-and-regime confounders the reliability branch flags as most serious [11, 14, 15], and bounding the reporting-completeness threat that the truncated characterization frame imposes [10, 31].</w:t>
      </w:r>
    </w:p>
    <w:p>
      <w:pPr>
        <w:pStyle w:val="BodyText"/>
        <w:spacing w:line="480" w:lineRule="auto"/>
        <w:ind w:firstLine="720"/>
      </w:pPr>
      <w:r>
        <w:t xml:space="preserve">The remainder of the dissertation executes this synthesis at a scale beyond the two companion pilots. Where the pilots establish feasibility and an interpretable but small-sample result, the full study expands the escalation-episode catalogue drawn from the same public fragmentation and anomaly-board records, applies the same Cox specification with severity and regime conditioned out, adds subsystem-class strata so that the baseline escalation hazard is allowed to differ across propulsion, power, and control faults as the reliability literature would predict [11, 14], and either tightens the autonomy interval below one or closes the question. The gap reviewed in this chapter, the unmade join between a domain literature rich in ingredients and a methodology literature holding the right estimator, is therefore not merely identified but operationalized as the dissertation’s central design.</w:t>
      </w:r>
    </w:p>
    <w:bookmarkEnd w:id="84"/>
    <w:bookmarkEnd w:id="85"/>
    <w:bookmarkStart w:id="94" w:name="Xcfcc00a3ded59aed0c781c16bfc121f2a509603"/>
    <w:p>
      <w:pPr>
        <w:pStyle w:val="Heading1"/>
        <w:spacing w:line="480" w:lineRule="auto"/>
      </w:pPr>
      <w:r>
        <w:t xml:space="preserve">Chapter 3. Theoretical Framework and Hypotheses</w:t>
      </w:r>
    </w:p>
    <w:bookmarkStart w:id="86" w:name="overview-and-purpose-of-the-chapter"/>
    <w:p>
      <w:pPr>
        <w:pStyle w:val="Heading2"/>
        <w:spacing w:line="480" w:lineRule="auto"/>
      </w:pPr>
      <w:r>
        <w:t xml:space="preserve">3.1 Overview and Purpose of the Chapter</w:t>
      </w:r>
    </w:p>
    <w:p>
      <w:pPr>
        <w:pStyle w:val="FirstParagraph"/>
        <w:spacing w:line="480" w:lineRule="auto"/>
      </w:pPr>
      <w:r>
        <w:t xml:space="preserve">The preceding chapters established the empirical asymmetry that motivates this dissertation: the operational record of spaceflight contains far more anomalies than mishaps, and the analytic machinery of mission assurance has been pointed almost entirely at the two ends of that record rather than at the process that connects them. Telemetry-driven detection has matured into a standard subject, with documented systems that detect and characterize potential anomalies in incoming spacecraft telemetry</w:t>
      </w:r>
      <w:r>
        <w:t xml:space="preserve"> </w:t>
      </w:r>
      <w:hyperlink w:anchor="ref-2">
        <w:r>
          <w:rPr>
            <w:rStyle w:val="Hyperlink"/>
          </w:rPr>
          <w:t xml:space="preserve">[2]</w:t>
        </w:r>
      </w:hyperlink>
      <w:r>
        <w:t xml:space="preserve"> </w:t>
      </w:r>
      <w:r>
        <w:t xml:space="preserve">and integrate learned detection into operational space control</w:t>
      </w:r>
      <w:r>
        <w:t xml:space="preserve"> </w:t>
      </w:r>
      <w:hyperlink w:anchor="ref-3">
        <w:r>
          <w:rPr>
            <w:rStyle w:val="Hyperlink"/>
          </w:rPr>
          <w:t xml:space="preserve">[3]</w:t>
        </w:r>
      </w:hyperlink>
      <w:r>
        <w:t xml:space="preserve">. The catastrophic tail is equally well served, with frameworks that classify explosion versus collision signatures from the resulting debris</w:t>
      </w:r>
      <w:r>
        <w:t xml:space="preserve"> </w:t>
      </w:r>
      <w:hyperlink w:anchor="ref-5">
        <w:r>
          <w:rPr>
            <w:rStyle w:val="Hyperlink"/>
          </w:rPr>
          <w:t xml:space="preserve">[5]</w:t>
        </w:r>
      </w:hyperlink>
      <w:r>
        <w:t xml:space="preserve">, characterize fragmentation clouds in difficult regimes</w:t>
      </w:r>
      <w:r>
        <w:t xml:space="preserve"> </w:t>
      </w:r>
      <w:hyperlink w:anchor="ref-6">
        <w:r>
          <w:rPr>
            <w:rStyle w:val="Hyperlink"/>
          </w:rPr>
          <w:t xml:space="preserve">[6]</w:t>
        </w:r>
      </w:hyperlink>
      <w:r>
        <w:t xml:space="preserve">, and determine blast points for large breakup events</w:t>
      </w:r>
      <w:r>
        <w:t xml:space="preserve"> </w:t>
      </w:r>
      <w:hyperlink w:anchor="ref-7">
        <w:r>
          <w:rPr>
            <w:rStyle w:val="Hyperlink"/>
          </w:rPr>
          <w:t xml:space="preserve">[7]</w:t>
        </w:r>
      </w:hyperlink>
      <w:r>
        <w:t xml:space="preserve">. What remains comparatively unmodeled is the interval that decides whether a program loses a spacecraft: the escalation process that runs from a detected anomaly at onset to either recovery or mission-ending mishap.</w:t>
      </w:r>
    </w:p>
    <w:p>
      <w:pPr>
        <w:pStyle w:val="BodyText"/>
        <w:spacing w:line="480" w:lineRule="auto"/>
        <w:ind w:firstLine="720"/>
      </w:pPr>
      <w:r>
        <w:t xml:space="preserve">This chapter constructs the theoretical framework that converts that interval into an estimable object and states the formal hypotheses that the empirical chapters test. The argument proceeds in four moves. First, it adopts a progression view of failure, drawn from the multi-state reliability tradition, in which a spacecraft does not flip from working to failed but transits a sequence of degraded states</w:t>
      </w:r>
      <w:r>
        <w:t xml:space="preserve"> </w:t>
      </w:r>
      <w:hyperlink w:anchor="ref-14">
        <w:r>
          <w:rPr>
            <w:rStyle w:val="Hyperlink"/>
          </w:rPr>
          <w:t xml:space="preserve">[14]</w:t>
        </w:r>
      </w:hyperlink>
      <w:r>
        <w:t xml:space="preserve">. Second, it shows that the natural estimation counterpart to a progression view is a survival, or time-to-event, representation in which each anomaly opens a clock and the quantity of interest is the instantaneous hazard of crossing into mishap. Third, it specifies the causal mechanism through which the dissertation claims that hazard is moved, namely the locus of the recovery loop, and in particular whether onboard fault detection, isolation, and recovery (FDIR) closes that loop before a human operator can [8, 16]. Fourth, it derives from that mechanism a single falsifiable parameter, the escalation hazard ratio attributable to closed-loop autonomy at onset, and states the null and alternative hypotheses that the dissertation is staked upon.</w:t>
      </w:r>
    </w:p>
    <w:p>
      <w:pPr>
        <w:pStyle w:val="BodyText"/>
        <w:spacing w:line="480" w:lineRule="auto"/>
        <w:ind w:firstLine="720"/>
      </w:pPr>
      <w:r>
        <w:t xml:space="preserve">The chapter is deliberately disciplined about scope. It does not propose a model of why anomalies occur, which is the province of the reliability and fault-physics literatures. It proposes a model of what happens after an anomaly has occurred, conditional on its having occurred, and it isolates one design-controllable lever within that conditional process. The theoretical payload of the chapter is therefore a mechanism and a parameter, not a taxonomy.</w:t>
      </w:r>
    </w:p>
    <w:bookmarkEnd w:id="86"/>
    <w:bookmarkStart w:id="87" w:name="X664d903a02e88a78f113c44b6c0af33c0139744"/>
    <w:p>
      <w:pPr>
        <w:pStyle w:val="Heading2"/>
        <w:spacing w:line="480" w:lineRule="auto"/>
      </w:pPr>
      <w:r>
        <w:t xml:space="preserve">3.2 The Progression View of Spacecraft Failure</w:t>
      </w:r>
    </w:p>
    <w:p>
      <w:pPr>
        <w:pStyle w:val="FirstParagraph"/>
        <w:spacing w:line="480" w:lineRule="auto"/>
      </w:pPr>
      <w:r>
        <w:t xml:space="preserve">The framework begins from a claim about the nature of spacecraft failure that the reliability literature has established but that the detection and characterization literatures have largely left implicit. Failure is not a single event. It is a trajectory through degraded states. Castet and Saleh make this explicit in their multi-state analysis of satellite subsystems, which moves beyond the binary reliability question of whether a vehicle works to the dynamics of how it degrades, and which shows that subsystems contribute unequally to terminal loss and pass through intermediate conditions on the way there</w:t>
      </w:r>
      <w:r>
        <w:t xml:space="preserve"> </w:t>
      </w:r>
      <w:hyperlink w:anchor="ref-14">
        <w:r>
          <w:rPr>
            <w:rStyle w:val="Hyperlink"/>
          </w:rPr>
          <w:t xml:space="preserve">[14]</w:t>
        </w:r>
      </w:hyperlink>
      <w:r>
        <w:t xml:space="preserve">. The same structure recurs at finer grain in the component literature. Accelerated-life modeling of solid-lubricated bearings shows hazard that is time-varying and mode-dependent rather than constant across a part’s life</w:t>
      </w:r>
      <w:r>
        <w:t xml:space="preserve"> </w:t>
      </w:r>
      <w:hyperlink w:anchor="ref-12">
        <w:r>
          <w:rPr>
            <w:rStyle w:val="Hyperlink"/>
          </w:rPr>
          <w:t xml:space="preserve">[12]</w:t>
        </w:r>
      </w:hyperlink>
      <w:r>
        <w:t xml:space="preserve">, and statistical analysis of on-orbit propulsion anomalies shows long lead times separating minor from major anomalies, which is direct evidence that anomalies and mishaps occupy different points on a progression rather than different categories [11, 15].</w:t>
      </w:r>
    </w:p>
    <w:p>
      <w:pPr>
        <w:pStyle w:val="BodyText"/>
        <w:spacing w:line="480" w:lineRule="auto"/>
        <w:ind w:firstLine="720"/>
      </w:pPr>
      <w:r>
        <w:t xml:space="preserve">Two consequences follow from taking the progression view seriously, and both shape the rest of the framework.</w:t>
      </w:r>
    </w:p>
    <w:p>
      <w:pPr>
        <w:pStyle w:val="BodyText"/>
        <w:spacing w:line="480" w:lineRule="auto"/>
        <w:ind w:firstLine="720"/>
      </w:pPr>
      <w:r>
        <w:t xml:space="preserve">The first consequence is that the analytically interesting object is the transition, not the state. If a spacecraft passes from nominal through one or more degraded states to mishap, then the quantity a program manager can influence is the conditional probability of taking the next damaging transition, given the state already reached. A program cannot purchase the absence of degraded states, because degraded states are intrinsic to operating complex systems in a hostile environment. What a program can purchase is a lower probability that a degraded state advances to the next worse one before the vehicle is stabilized. The knowledge-graph literature on space systems states the stakes of that transition plainly: an anomaly can rapidly escalate into a catastrophic failure that ends the mission</w:t>
      </w:r>
      <w:r>
        <w:t xml:space="preserve"> </w:t>
      </w:r>
      <w:hyperlink w:anchor="ref-13">
        <w:r>
          <w:rPr>
            <w:rStyle w:val="Hyperlink"/>
          </w:rPr>
          <w:t xml:space="preserve">[13]</w:t>
        </w:r>
      </w:hyperlink>
      <w:r>
        <w:t xml:space="preserve">. The framework treats that escalation as the dependent process.</w:t>
      </w:r>
    </w:p>
    <w:p>
      <w:pPr>
        <w:pStyle w:val="BodyText"/>
        <w:spacing w:line="480" w:lineRule="auto"/>
        <w:ind w:firstLine="720"/>
      </w:pPr>
      <w:r>
        <w:t xml:space="preserve">The second consequence is that time is the operative resource. A transition view implies that the system spends a measurable interval in each degraded state before either advancing or recovering, and that the conditions which lengthen that interval are the conditions which give recovery a chance to act. This is the bridge from a reliability progression to a survival representation. The reliability literature models which transitions occur and with what frequency; the dissertation models how long the system remains arrestable before a transition completes, and what compresses or extends that window. The progression view supplies the dependent process; the survival representation supplies the estimator; and the autonomy mechanism, developed below, supplies the covariate of interest.</w:t>
      </w:r>
    </w:p>
    <w:bookmarkEnd w:id="87"/>
    <w:bookmarkStart w:id="88" w:name="escalation-as-a-survival-process"/>
    <w:p>
      <w:pPr>
        <w:pStyle w:val="Heading2"/>
        <w:spacing w:line="480" w:lineRule="auto"/>
      </w:pPr>
      <w:r>
        <w:t xml:space="preserve">3.3 Escalation as a Survival Process</w:t>
      </w:r>
    </w:p>
    <w:p>
      <w:pPr>
        <w:pStyle w:val="FirstParagraph"/>
        <w:spacing w:line="480" w:lineRule="auto"/>
      </w:pPr>
      <w:r>
        <w:t xml:space="preserve">Given the progression view, the escalation process has a natural survival structure, and adopting that structure is the first formal commitment of the framework.</w:t>
      </w:r>
    </w:p>
    <w:p>
      <w:pPr>
        <w:pStyle w:val="BodyText"/>
        <w:spacing w:line="480" w:lineRule="auto"/>
        <w:ind w:firstLine="720"/>
      </w:pPr>
      <w:r>
        <w:t xml:space="preserve">Consider an anomaly detected at a moment that the detection literature already formalizes as a declarable onset [2, 3]. From that moment the spacecraft is at risk of escalation. It remains at risk until one of two absorbing outcomes is reached. Either the vehicle is recovered, reconfigured, or stabilized, in which case the episode never escalates and is right-censored at the recovery window; or it crosses into a mission-ending mishap, in which case the episode is an event. The unit of analysis is therefore the anomaly episode, indexed by the elapsed time from onset, carrying an event indicator and a set of covariates fixed at onset. This is precisely the data structure for which time-to-event methods were built, and the heavy right-censoring is not a nuisance to be managed but the central feature to be exploited: most anomalies never escalate, and a method that discards the non-escalating majority would throw away exactly the comparison that identifies the effect of interest.</w:t>
      </w:r>
    </w:p>
    <w:p>
      <w:pPr>
        <w:pStyle w:val="BodyText"/>
        <w:spacing w:line="480" w:lineRule="auto"/>
        <w:ind w:firstLine="720"/>
      </w:pPr>
      <w:r>
        <w:t xml:space="preserve">The survival representation does analytical work that the surrounding literatures cannot. The event-characterization literature reasons backward from the debris cloud and is, by construction, silent about anomalies that did not become mishaps, because a recovered anomaly produces no fragmentation signature to characterize [5, 6, 7]. Its sampling frame is truncated at the catastrophic tail. The detection literature reasons forward to the alarm and stops, treating the anomaly as the terminal object of interest rather than following its post-alarm trajectory [2, 3]. The survival representation joins the two by placing escalating and non-escalating episodes in one sample and letting censoring carry the information that the recovered episodes contain. Right-censoring is the formal device that corrects the truncation the characterization literature suffers from.</w:t>
      </w:r>
    </w:p>
    <w:p>
      <w:pPr>
        <w:pStyle w:val="BodyText"/>
        <w:spacing w:line="480" w:lineRule="auto"/>
        <w:ind w:firstLine="720"/>
      </w:pPr>
      <w:r>
        <w:t xml:space="preserve">There is precedent for treating spacecraft processes this way. Time-to-event modeling has been applied to the occurrence of maneuvers by non-cooperative satellites, establishing that the survival apparatus transfers cleanly to the spacecraft domain and to events that are observed only when they occur</w:t>
      </w:r>
      <w:r>
        <w:t xml:space="preserve"> </w:t>
      </w:r>
      <w:hyperlink w:anchor="ref-21">
        <w:r>
          <w:rPr>
            <w:rStyle w:val="Hyperlink"/>
          </w:rPr>
          <w:t xml:space="preserve">[21]</w:t>
        </w:r>
      </w:hyperlink>
      <w:r>
        <w:t xml:space="preserve">. The dissertation extends that apparatus from maneuver occurrence to escalation, a different event on the same kind of clock. The hazard of escalation in a given interval, the instantaneous rate at which at-risk episodes cross into mishap, is the dependent quantity throughout the empirical chapters. Modeling the hazard rather than a binary escalated-or-not outcome is deliberate: it preserves the timing information that the progression view says is decisive, and it is the timing of recovery, not merely its eventual success, that the causal mechanism turns on.</w:t>
      </w:r>
    </w:p>
    <w:bookmarkEnd w:id="88"/>
    <w:bookmarkStart w:id="89" w:name="X3a8552984cbfaa89929d7bf02bece4a1ea78381"/>
    <w:p>
      <w:pPr>
        <w:pStyle w:val="Heading2"/>
        <w:spacing w:line="480" w:lineRule="auto"/>
      </w:pPr>
      <w:r>
        <w:t xml:space="preserve">3.4 The Causal Mechanism: Locus of the Recovery Loop</w:t>
      </w:r>
    </w:p>
    <w:p>
      <w:pPr>
        <w:pStyle w:val="FirstParagraph"/>
        <w:spacing w:line="480" w:lineRule="auto"/>
      </w:pPr>
      <w:r>
        <w:t xml:space="preserve">The framework’s substantive claim is about what moves the escalation hazard. It is not that severe anomalies escalate more often than mild ones; that is true, expected, and treated below as a confounder rather than a finding. The substantive claim is that, holding the character of the anomaly fixed, escalation hazard depends on where the recovery loop is closed, and specifically on whether onboard autonomy can act inside the window during which the anomaly is still arrestable.</w:t>
      </w:r>
    </w:p>
    <w:p>
      <w:pPr>
        <w:pStyle w:val="BodyText"/>
        <w:spacing w:line="480" w:lineRule="auto"/>
        <w:ind w:firstLine="720"/>
      </w:pPr>
      <w:r>
        <w:t xml:space="preserve">The mechanism is timing, and the autonomy literature supplies both its definition and its logic. The self-removal operational concept defines FDIR as the onboard function that detects a fault, isolates it, and triggers recovery without dependence on the ground</w:t>
      </w:r>
      <w:r>
        <w:t xml:space="preserve"> </w:t>
      </w:r>
      <w:hyperlink w:anchor="ref-8">
        <w:r>
          <w:rPr>
            <w:rStyle w:val="Hyperlink"/>
          </w:rPr>
          <w:t xml:space="preserve">[8]</w:t>
        </w:r>
      </w:hyperlink>
      <w:r>
        <w:t xml:space="preserve">. The autonomous fault-management literature operationalizes the same function and argues the mechanism directly: onboard detection, diagnosis, and safing arrest a developing failure before it propagates, performing root-cause determination and recovery aboard the vehicle [16, 9]. Recent neuro-symbolic work couples autonomous maneuvering with onboard anomaly detection, reinforcing that the closed-loop capability is a coherent, retrievable construct rather than a loose aspiration</w:t>
      </w:r>
      <w:r>
        <w:t xml:space="preserve"> </w:t>
      </w:r>
      <w:hyperlink w:anchor="ref-4">
        <w:r>
          <w:rPr>
            <w:rStyle w:val="Hyperlink"/>
          </w:rPr>
          <w:t xml:space="preserve">[4]</w:t>
        </w:r>
      </w:hyperlink>
      <w:r>
        <w:t xml:space="preserve">. These works converge on a clean treatment variable: at the moment of anomaly onset, the recovery loop is either closed aboard the spacecraft or it depends on the ground.</w:t>
      </w:r>
    </w:p>
    <w:p>
      <w:pPr>
        <w:pStyle w:val="BodyText"/>
        <w:spacing w:line="480" w:lineRule="auto"/>
        <w:ind w:firstLine="720"/>
      </w:pPr>
      <w:r>
        <w:t xml:space="preserve">The causal logic rests on the structure of the at-risk interval. An anomaly is most arrestable in the first interval after onset, before degraded states cascade into one another. The progression view makes this concrete: loss of attitude or pointing control, for example, couples quickly into power and thermal margins, because a tumbling or mispointed vehicle loses solar input, drains batteries, and overheats or freezes, so the clock to a terminal state runs fast and the window for intervention is short. The radiation-hardness literature describes the same cascade structure from a localized upset to a system-level consequence</w:t>
      </w:r>
      <w:r>
        <w:t xml:space="preserve"> </w:t>
      </w:r>
      <w:hyperlink w:anchor="ref-19">
        <w:r>
          <w:rPr>
            <w:rStyle w:val="Hyperlink"/>
          </w:rPr>
          <w:t xml:space="preserve">[19]</w:t>
        </w:r>
      </w:hyperlink>
      <w:r>
        <w:t xml:space="preserve">. A closed onboard loop can act inside that short window. It detects, isolates, and commands a safe configuration on the spacecraft’s own clock, which runs in seconds. A ground-dependent loop cannot. It must wait for a ground pass, for telemetry to be received and interpreted, for a fault to be diagnosed by an anomaly-review process, and for corrective commands to be composed and uplinked, a sequence whose latency is measured in passes and hours rather than seconds. The locus of the loop therefore maps directly onto the speed of response, and the speed of response maps onto whether the response lands inside the arrestable window or after it has closed.</w:t>
      </w:r>
    </w:p>
    <w:p>
      <w:pPr>
        <w:pStyle w:val="BodyText"/>
        <w:spacing w:line="480" w:lineRule="auto"/>
        <w:ind w:firstLine="720"/>
      </w:pPr>
      <w:r>
        <w:t xml:space="preserve">The ground-loop vulnerability is not merely slower; it is exposed to a class of failure the closed loop is not. The SOHO mission interruption is the canonical demonstration: a stabilized scientific spacecraft was lost to control for weeks not because the originating anomaly was unrecoverable but because the ground command loop itself was disabled by operator action during the very window in which recovery was needed</w:t>
      </w:r>
      <w:r>
        <w:t xml:space="preserve"> </w:t>
      </w:r>
      <w:hyperlink w:anchor="ref-18">
        <w:r>
          <w:rPr>
            <w:rStyle w:val="Hyperlink"/>
          </w:rPr>
          <w:t xml:space="preserve">[18]</w:t>
        </w:r>
      </w:hyperlink>
      <w:r>
        <w:t xml:space="preserve">. The human-factors literature on space operations generalizes the point, arguing that the ground recovery process is a coordination problem subject to crew-resource-management failures of the kind aviation learned to mitigate</w:t>
      </w:r>
      <w:r>
        <w:t xml:space="preserve"> </w:t>
      </w:r>
      <w:hyperlink w:anchor="ref-26">
        <w:r>
          <w:rPr>
            <w:rStyle w:val="Hyperlink"/>
          </w:rPr>
          <w:t xml:space="preserve">[26]</w:t>
        </w:r>
      </w:hyperlink>
      <w:r>
        <w:t xml:space="preserve">. The closed onboard loop removes that human-latency-and-error segment from the critical path during the arrestable window. This is the precise sense in which the mechanism is about locus: not that autonomy is more capable in some abstract way, but that closing the loop aboard the vehicle places the fastest, least error-exposed recovery action inside the interval when the anomaly can still be stopped.</w:t>
      </w:r>
    </w:p>
    <w:p>
      <w:pPr>
        <w:pStyle w:val="BodyText"/>
        <w:spacing w:line="480" w:lineRule="auto"/>
        <w:ind w:firstLine="720"/>
      </w:pPr>
      <w:r>
        <w:t xml:space="preserve">It is essential to the framework’s honesty that the mechanism predicts a bounded effect, not a universal one. The closed loop helps only when there is an arrestable window for it to act inside. Abrupt structural or rendezvous failures that leave no recovery interval, an instantaneous breakup or a departure-burn anomaly that destroys the vehicle before any loop could close, are by construction outside the mechanism’s reach, and the framework expects closed-loop episodes of that kind to escalate regardless of autonomy posture. The mechanism is a claim about the conditional hazard within the population of episodes that have a nonzero arrestable window, and the empirical design must respect that the effect is one of compressing time-at-risk, not of guaranteeing recovery.</w:t>
      </w:r>
    </w:p>
    <w:bookmarkEnd w:id="89"/>
    <w:bookmarkStart w:id="90" w:name="X32bc31025a182a73062b8f9bf8b28a034636f8d"/>
    <w:p>
      <w:pPr>
        <w:pStyle w:val="Heading2"/>
        <w:spacing w:line="480" w:lineRule="auto"/>
      </w:pPr>
      <w:r>
        <w:t xml:space="preserve">3.5 Confounding Structure and the Identification Logic</w:t>
      </w:r>
    </w:p>
    <w:p>
      <w:pPr>
        <w:pStyle w:val="FirstParagraph"/>
        <w:spacing w:line="480" w:lineRule="auto"/>
      </w:pPr>
      <w:r>
        <w:t xml:space="preserve">The mechanism implies a parameter, but the parameter is only meaningful if it can be separated from the structure that the reliability literature has already shown to govern failure. Two confounders are principal, and the framework names them in advance.</w:t>
      </w:r>
    </w:p>
    <w:p>
      <w:pPr>
        <w:pStyle w:val="BodyText"/>
        <w:spacing w:line="480" w:lineRule="auto"/>
        <w:ind w:firstLine="720"/>
      </w:pPr>
      <w:r>
        <w:t xml:space="preserve">The first is anomaly severity. The reliability literature establishes that on-orbit failure rates are structured by severity and subsystem rather than uniform across a fleet [11, 15], and the multi-state and accelerated-life analyses show the same heterogeneity at the level of degraded states and components [14, 12]. Severe anomalies escalate more readily than mild ones for reasons that have nothing to do with autonomy. Severity is therefore a confounder in the strict sense: it is associated with the outcome, and it is plausibly associated with autonomy posture, because flagship and higher-value missions that face the most demanding anomaly profiles also tend to carry the richest onboard autonomy. Left uncontrolled, severity could manufacture or mask an apparent autonomy effect.</w:t>
      </w:r>
    </w:p>
    <w:p>
      <w:pPr>
        <w:pStyle w:val="BodyText"/>
        <w:spacing w:line="480" w:lineRule="auto"/>
        <w:ind w:firstLine="720"/>
      </w:pPr>
      <w:r>
        <w:t xml:space="preserve">The second is orbital regime. The escalation clock runs on different physical timescales across regimes, from the sub-second window of an entry-descent-and-landing failure to the months-long drift of a stranded geostationary satellite, and regime correlates with both mission value and autonomy provisioning. Regime is thus a second confounder on the same logic as severity.</w:t>
      </w:r>
    </w:p>
    <w:p>
      <w:pPr>
        <w:pStyle w:val="BodyText"/>
        <w:spacing w:line="480" w:lineRule="auto"/>
        <w:ind w:firstLine="720"/>
      </w:pPr>
      <w:r>
        <w:t xml:space="preserve">The framework’s identification strategy is conditioning. The escalation hazard is modeled as a function of three covariate blocks fixed at onset: anomaly severity, orbital regime, and autonomy posture, the last coded against the explicit FDIR definitions in the autonomy literature [8, 16, 4]. The coefficient on the closed-loop-autonomy covariate is identified within strata of comparable severity and regime, so that the comparison the parameter expresses is between anomalies of similar character and setting that differ in where their recovery loop is closed. The key identifying assumption is stated plainly and is not asserted as fact: within a level of severity and regime, autonomy posture is taken to be unrelated to an unobserved escalation propensity. The progression view actually strengthens the plausibility of this assumption, because it locates the confounding in observable severity and subsystem structure that the covariates capture, rather than in a diffuse latent propensity. Where the assumption is doubted, the empirical design probes it with a sensitivity analysis that quantifies how large an unobserved confounder would have to be to move the estimated hazard ratio across one. Identification, in short, rests on conditioning on the two confounders the reliability literature flags as most serious, and on a stated and bounded assumption about the residual.</w:t>
      </w:r>
    </w:p>
    <w:bookmarkEnd w:id="90"/>
    <w:bookmarkStart w:id="91" w:name="derivation-of-the-estimable-parameter"/>
    <w:p>
      <w:pPr>
        <w:pStyle w:val="Heading2"/>
        <w:spacing w:line="480" w:lineRule="auto"/>
      </w:pPr>
      <w:r>
        <w:t xml:space="preserve">3.6 Derivation of the Estimable Parameter</w:t>
      </w:r>
    </w:p>
    <w:p>
      <w:pPr>
        <w:pStyle w:val="FirstParagraph"/>
        <w:spacing w:line="480" w:lineRule="auto"/>
      </w:pPr>
      <w:r>
        <w:t xml:space="preserve">The mechanism and the identification logic together yield a single quantity on which the dissertation is staked: the escalation hazard ratio attributable to a closed onboard FDIR loop at anomaly onset, holding anomaly severity and orbital regime fixed.</w:t>
      </w:r>
    </w:p>
    <w:p>
      <w:pPr>
        <w:pStyle w:val="BodyText"/>
        <w:spacing w:line="480" w:lineRule="auto"/>
        <w:ind w:firstLine="720"/>
      </w:pPr>
      <w:r>
        <w:t xml:space="preserve">The choice to reduce the framework to one parameter is a methodological commitment, not an expository convenience. A survival model with three covariate blocks could be read as a basket of associations, and a basket invites the temptation to narrate whichever coefficient cooperates. By designating the closed-loop-autonomy hazard ratio as the sole confirmatory quantity in advance, the framework forces the dissertation to succeed or fail on one number. The hazard ratio is the natural scale for that number because it is interpretable as a multiplicative effect on the instantaneous escalation hazard, readable directly by a program manager as the proportional change in escalation risk per anomaly that closed-loop autonomy buys. A ratio below one is a protective association, meaning closed-loop autonomy lowers the hazard; a ratio at one is no effect; a ratio above one would mean closed-loop autonomy accelerates escalation, which the mechanism does not predict and which would itself be an informative refutation.</w:t>
      </w:r>
    </w:p>
    <w:p>
      <w:pPr>
        <w:pStyle w:val="BodyText"/>
        <w:spacing w:line="480" w:lineRule="auto"/>
        <w:ind w:firstLine="720"/>
      </w:pPr>
      <w:r>
        <w:t xml:space="preserve">The parameter is decision-facing in the sense the problem statement requires. If escalation hazard is dominated by severity and regime, both largely fixed once a mission is designed, then mission-assurance investment is best spent on prevention upstream of onset. If escalation hazard responds to autonomy posture, then investment in closed-loop onboard recovery buys measurable survival time during the window when an anomaly is still arrestable. These are opposite investment strategies, and the field currently chooses between them by intuition rather than by an estimated hazard. The single parameter is the price tag the framework is built to deliver, and stating it as one estimable hazard ratio is what makes the dissertation falsifiable in the strong sense rather than merely suggestive.</w:t>
      </w:r>
    </w:p>
    <w:bookmarkEnd w:id="91"/>
    <w:bookmarkStart w:id="92" w:name="formal-hypotheses"/>
    <w:p>
      <w:pPr>
        <w:pStyle w:val="Heading2"/>
        <w:spacing w:line="480" w:lineRule="auto"/>
      </w:pPr>
      <w:r>
        <w:t xml:space="preserve">3.7 Formal Hypotheses</w:t>
      </w:r>
    </w:p>
    <w:p>
      <w:pPr>
        <w:pStyle w:val="FirstParagraph"/>
        <w:spacing w:line="480" w:lineRule="auto"/>
      </w:pPr>
      <w:r>
        <w:t xml:space="preserve">The framework yields two hypotheses, stated as a null and a single directional alternative, both conditional on the confounding structure of Section 3.5 and both expressed in terms of the parameter derived in Section 3.6.</w:t>
      </w:r>
    </w:p>
    <w:p>
      <w:pPr>
        <w:pStyle w:val="BodyText"/>
        <w:spacing w:line="480" w:lineRule="auto"/>
        <w:ind w:firstLine="720"/>
      </w:pPr>
      <w:r>
        <w:rPr>
          <w:b/>
          <w:bCs/>
        </w:rPr>
        <w:t xml:space="preserve">H0 (null).</w:t>
      </w:r>
      <w:r>
        <w:t xml:space="preserve"> </w:t>
      </w:r>
      <w:r>
        <w:t xml:space="preserve">Conditional on anomaly severity and orbital regime, autonomy posture at onset has no effect on the hazard of escalation from anomaly to mishap. Formally, the coefficient on the closed-loop-autonomy covariate in the survival model is zero, and the corresponding escalation hazard ratio equals one. Under H0, the locus of the recovery loop is immaterial once the character and setting of the anomaly are accounted for, and the severity-and-regime view of escalation is sufficient.</w:t>
      </w:r>
    </w:p>
    <w:p>
      <w:pPr>
        <w:pStyle w:val="BodyText"/>
        <w:spacing w:line="480" w:lineRule="auto"/>
        <w:ind w:firstLine="720"/>
      </w:pPr>
      <w:r>
        <w:rPr>
          <w:b/>
          <w:bCs/>
        </w:rPr>
        <w:t xml:space="preserve">H1 (alternative).</w:t>
      </w:r>
      <w:r>
        <w:t xml:space="preserve"> </w:t>
      </w:r>
      <w:r>
        <w:t xml:space="preserve">Conditional on anomaly severity and orbital regime, anomalies that meet a closed onboard FDIR loop at onset face a strictly lower escalation hazard than anomalies that depend on ground-loop recovery. Formally, the coefficient on the closed-loop-autonomy covariate is negative, and the corresponding escalation hazard ratio is strictly less than one. H1 is the empirical expression of the timing mechanism: a closed loop that acts inside the arrestable window compresses the time during which a cascade can complete, and that compression registers as a reduced instantaneous hazard.</w:t>
      </w:r>
    </w:p>
    <w:p>
      <w:pPr>
        <w:pStyle w:val="BodyText"/>
        <w:spacing w:line="480" w:lineRule="auto"/>
        <w:ind w:firstLine="720"/>
      </w:pPr>
      <w:r>
        <w:t xml:space="preserve">The directionality of H1 is not arbitrary. The mechanism in Section 3.4 predicts a sign as well as an effect: a loop that lands a recovery action sooner can only lower, never raise, the rate at which arrestable anomalies escalate, so the framework commits to a one-sided alternative below one rather than a two-sided alternative of any difference. This commitment raises the evidential bar in the correct direction, because a fitted hazard ratio at or above one refutes H1 outright rather than being absorbed into a vaguer claim of difference.</w:t>
      </w:r>
    </w:p>
    <w:p>
      <w:pPr>
        <w:pStyle w:val="BodyText"/>
        <w:spacing w:line="480" w:lineRule="auto"/>
        <w:ind w:firstLine="720"/>
      </w:pPr>
      <w:r>
        <w:t xml:space="preserve">The falsification rule is fixed in advance and is strict. H1 is confirmed only if the fitted escalation hazard ratio on closed-loop autonomy is below one and its confidence interval excludes one. A hazard ratio whose interval contains one, even with a point estimate below one and a sign consistent with the mechanism, does not confirm H1; it leaves the autonomy effect directionally suggestive but statistically unresolved, and returns the inferential weight to the severity-and-regime account that H0 represents. A hazard ratio at or above one refutes H1 and confirms that, in the available record, the locus of the recovery loop does not lower escalation risk once severity and regime are conditioned out. The dissertation thereby succeeds or fails on the placement of one interval relative to one, which is the analytic discipline the framework is constructed to enforce.</w:t>
      </w:r>
    </w:p>
    <w:bookmarkEnd w:id="92"/>
    <w:bookmarkStart w:id="93" w:name="X4584c0c32004d636f5b9259fa70c4f847f5d4de"/>
    <w:p>
      <w:pPr>
        <w:pStyle w:val="Heading2"/>
        <w:spacing w:line="480" w:lineRule="auto"/>
      </w:pPr>
      <w:r>
        <w:t xml:space="preserve">3.8 Scope Conditions, Auxiliary Expectations, and Summary</w:t>
      </w:r>
    </w:p>
    <w:p>
      <w:pPr>
        <w:pStyle w:val="FirstParagraph"/>
        <w:spacing w:line="480" w:lineRule="auto"/>
      </w:pPr>
      <w:r>
        <w:t xml:space="preserve">Three scope conditions delimit the hypotheses and prevent them from being over-read.</w:t>
      </w:r>
    </w:p>
    <w:p>
      <w:pPr>
        <w:pStyle w:val="BodyText"/>
        <w:spacing w:line="480" w:lineRule="auto"/>
        <w:ind w:firstLine="720"/>
      </w:pPr>
      <w:r>
        <w:t xml:space="preserve">First, the effect is conditional, not marginal. H1 is a claim about the hazard within strata of severity and regime, and the framework makes no claim that autonomy-rich missions escalate less in raw, unconditioned comparison; indeed the confounding structure predicts that any marginal comparison is contaminated by the correlation between autonomy provisioning and mission value. The parameter is meaningful only after conditioning.</w:t>
      </w:r>
    </w:p>
    <w:p>
      <w:pPr>
        <w:pStyle w:val="BodyText"/>
        <w:spacing w:line="480" w:lineRule="auto"/>
        <w:ind w:firstLine="720"/>
      </w:pPr>
      <w:r>
        <w:t xml:space="preserve">Second, the effect is bounded by the arrestable window. As Section 3.4 established, the mechanism reaches only episodes that have a nonzero interval during which a loop could act. The framework therefore anticipates that closed-loop episodes which nonetheless escalate will be concentrated among abrupt, window-less failures, and that this concentration, rather than refuting the mechanism, marks its boundary. Empirical estimates should be read with that boundary in view.</w:t>
      </w:r>
    </w:p>
    <w:p>
      <w:pPr>
        <w:pStyle w:val="BodyText"/>
        <w:spacing w:line="480" w:lineRule="auto"/>
        <w:ind w:firstLine="720"/>
      </w:pPr>
      <w:r>
        <w:t xml:space="preserve">Third, the framework carries one auxiliary expectation that is not part of the confirmatory test but follows from the same progression logic and is available for descriptive corroboration: failure modes that couple quickly into multiple margins, principally loss of attitude or pointing control, should be associated with a higher escalation hazard, because they shorten the arrestable window from the failure-mode side just as ground dependence lengthens the response from the loop side [19, 13]. This expectation is auxiliary precisely because it concerns the duration of the window rather than the design lever the dissertation prices, and the single-parameter discipline keeps it descriptive rather than confirmatory.</w:t>
      </w:r>
    </w:p>
    <w:p>
      <w:pPr>
        <w:pStyle w:val="BodyText"/>
        <w:spacing w:line="480" w:lineRule="auto"/>
        <w:ind w:firstLine="720"/>
      </w:pPr>
      <w:r>
        <w:t xml:space="preserve">In summary, the framework adopts a progression view of failure in which a spacecraft transits degraded states rather than flipping between working and failed [14, 11], renders that progression as a survival process in which each anomaly opens a clock to recovery or mishap, identifies the locus of the recovery loop as the design-controllable mechanism that moves the escalation hazard by determining whether onboard FDIR acts inside the arrestable window [8, 16, 4], conditions on severity and regime to isolate that mechanism from the confounding the reliability literature documents [11, 15, 12], and reduces the whole to one estimable hazard ratio whose placement relative to one decides H0 against H1. The chapters that follow operationalize this framework, compile the anomaly-episode sample, and fit the survival model that returns the single number on which the dissertation stands.</w:t>
      </w:r>
    </w:p>
    <w:bookmarkEnd w:id="93"/>
    <w:bookmarkEnd w:id="94"/>
    <w:bookmarkStart w:id="109" w:name="chapter-4.-data-and-measurement"/>
    <w:p>
      <w:pPr>
        <w:pStyle w:val="Heading1"/>
        <w:spacing w:line="480" w:lineRule="auto"/>
      </w:pPr>
      <w:r>
        <w:t xml:space="preserve">Chapter 4. Data and Measurement</w:t>
      </w:r>
    </w:p>
    <w:bookmarkStart w:id="95" w:name="purpose-and-scope-of-the-chapter"/>
    <w:p>
      <w:pPr>
        <w:pStyle w:val="Heading2"/>
        <w:spacing w:line="480" w:lineRule="auto"/>
      </w:pPr>
      <w:r>
        <w:t xml:space="preserve">4.1 Purpose and Scope of the Chapter</w:t>
      </w:r>
    </w:p>
    <w:p>
      <w:pPr>
        <w:pStyle w:val="FirstParagraph"/>
        <w:spacing w:line="480" w:lineRule="auto"/>
      </w:pPr>
      <w:r>
        <w:t xml:space="preserve">The empirical claim of this dissertation rests on one estimated quantity, the escalation hazard ratio attributable to closed-loop onboard autonomy at anomaly onset, and a single parameter is only as credible as the data and measurement procedures that produce it. This chapter therefore documents, at a level of detail sufficient for independent reconstruction, the two datasets assembled for the two papers that constitute the empirical core of the dissertation, the authoritative public sources from which each row is drawn, the unit of analysis that organizes both, and the operational rules by which every variable is constructed from primary records. The intent is not to summarize the analysis, which Chapters 5 and 6 carry, but to make the inputs to that analysis fully auditable. Every figure reported downstream can be traced, through this chapter, to a citable public artifact.</w:t>
      </w:r>
    </w:p>
    <w:p>
      <w:pPr>
        <w:pStyle w:val="BodyText"/>
        <w:spacing w:line="480" w:lineRule="auto"/>
        <w:ind w:firstLine="720"/>
      </w:pPr>
      <w:r>
        <w:t xml:space="preserve">Two design commitments govern the chapter. The first is the survival framing established in the prospectus: each anomaly opens a clock that runs until the spacecraft either recovers, in which case the episode is right-censored, or crosses into a mission-ending mishap, in which case the episode is an event. Measurement therefore proceeds in the vocabulary of time-to-event data, namely duration, an event indicator, and onset-fixed covariates, rather than in the vocabulary of cross-sectional reliability. The second commitment is provenance discipline. The mission-assurance literature has historically truncated its sampling frame at the catastrophic tail, because a fragmentation produces a debris cloud and a public report while a recovered anomaly often produces neither. Both datasets are constructed deliberately to include both tails, so that the censored, non-escalating episodes that correct this truncation are present in the sample rather than absent from it.</w:t>
      </w:r>
    </w:p>
    <w:bookmarkEnd w:id="95"/>
    <w:bookmarkStart w:id="96" w:name="the-unit-of-analysis"/>
    <w:p>
      <w:pPr>
        <w:pStyle w:val="Heading2"/>
        <w:spacing w:line="480" w:lineRule="auto"/>
      </w:pPr>
      <w:r>
        <w:t xml:space="preserve">4.2 The Unit of Analysis</w:t>
      </w:r>
    </w:p>
    <w:p>
      <w:pPr>
        <w:pStyle w:val="FirstParagraph"/>
        <w:spacing w:line="480" w:lineRule="auto"/>
      </w:pPr>
      <w:r>
        <w:t xml:space="preserve">Both papers share a single unit of analysis: the anomaly episode, equivalently the documented on-orbit or launch-phase anomaly event. An episode begins at detected anomaly onset, the operational time zero, and ends at a terminal disposition that is either recovery or mishap. This choice is the analytic hinge of the whole program. It is not the spacecraft, the subsystem, or the calendar interval that is observed, but the bounded interval of risk that an individual anomaly opens.</w:t>
      </w:r>
    </w:p>
    <w:p>
      <w:pPr>
        <w:pStyle w:val="BodyText"/>
        <w:spacing w:line="480" w:lineRule="auto"/>
        <w:ind w:firstLine="720"/>
      </w:pPr>
      <w:r>
        <w:t xml:space="preserve">Time zero is defined by the moment an anomaly is declared, the same moment that telemetry-driven detection systems are built to identify. The detection literature at the principal space-surveillance venue formalizes this onset logic, with documented systems that detect and characterize potential anomalies in incoming spacecraft telemetry</w:t>
      </w:r>
      <w:r>
        <w:t xml:space="preserve"> </w:t>
      </w:r>
      <w:hyperlink w:anchor="ref-2">
        <w:r>
          <w:rPr>
            <w:rStyle w:val="Hyperlink"/>
          </w:rPr>
          <w:t xml:space="preserve">[2]</w:t>
        </w:r>
      </w:hyperlink>
      <w:r>
        <w:t xml:space="preserve"> </w:t>
      </w:r>
      <w:r>
        <w:t xml:space="preserve">and that integrate learned detection into operational space control</w:t>
      </w:r>
      <w:r>
        <w:t xml:space="preserve"> </w:t>
      </w:r>
      <w:hyperlink w:anchor="ref-3">
        <w:r>
          <w:rPr>
            <w:rStyle w:val="Hyperlink"/>
          </w:rPr>
          <w:t xml:space="preserve">[3]</w:t>
        </w:r>
      </w:hyperlink>
      <w:r>
        <w:t xml:space="preserve">. The dissertation borrows time zero from that formalization rather than inventing it, which keeps the escalation clock anchored to a construct the field already uses. The closing of the clock is the terminal disposition, and the binary partition of that disposition, recovery versus mishap, is the survival outcome.</w:t>
      </w:r>
    </w:p>
    <w:p>
      <w:pPr>
        <w:pStyle w:val="BodyText"/>
        <w:spacing w:line="480" w:lineRule="auto"/>
        <w:ind w:firstLine="720"/>
      </w:pPr>
      <w:r>
        <w:t xml:space="preserve">The episode framing carries a measurement consequence that motivates much of the rest of the chapter. Because an episode is a span of time rather than a static record, its three irreducible measured quantities are a duration, an event indicator, and a vector of onset-fixed covariates. The covariates are fixed at onset deliberately, so that they are properties of the state the anomaly entered rather than properties of the recovery that followed, which protects the analysis from conditioning on the outcome. Anomaly knowledge-graph work makes the underlying premise explicit, that an anomaly can rapidly escalate into a catastrophic failure that ends the mission</w:t>
      </w:r>
      <w:r>
        <w:t xml:space="preserve"> </w:t>
      </w:r>
      <w:hyperlink w:anchor="ref-1">
        <w:r>
          <w:rPr>
            <w:rStyle w:val="Hyperlink"/>
          </w:rPr>
          <w:t xml:space="preserve">[1]</w:t>
        </w:r>
      </w:hyperlink>
      <w:r>
        <w:t xml:space="preserve">, and it is precisely the conditional probability of that escalation that the episode unit is designed to expose.</w:t>
      </w:r>
    </w:p>
    <w:bookmarkEnd w:id="96"/>
    <w:bookmarkStart w:id="97" w:name="authoritative-sources"/>
    <w:p>
      <w:pPr>
        <w:pStyle w:val="Heading2"/>
        <w:spacing w:line="480" w:lineRule="auto"/>
      </w:pPr>
      <w:r>
        <w:t xml:space="preserve">4.3 Authoritative Sources</w:t>
      </w:r>
    </w:p>
    <w:p>
      <w:pPr>
        <w:pStyle w:val="FirstParagraph"/>
        <w:spacing w:line="480" w:lineRule="auto"/>
      </w:pPr>
      <w:r>
        <w:t xml:space="preserve">The two datasets draw on a layered set of public, citable sources, organized by the role each plays in the survival design.</w:t>
      </w:r>
    </w:p>
    <w:p>
      <w:pPr>
        <w:pStyle w:val="BodyText"/>
        <w:spacing w:line="480" w:lineRule="auto"/>
        <w:ind w:firstLine="720"/>
      </w:pPr>
      <w:r>
        <w:t xml:space="preserve">The canonical source for the escalating tail is the NASA Orbital Debris Program Office History of On-Orbit Satellite Fragmentations, the periodically updated public technical report that catalogues on-orbit breakup events, their dates, parent objects, orbital regimes, and assessed causes, published as NASA/TP-20220019160</w:t>
      </w:r>
      <w:r>
        <w:t xml:space="preserve"> </w:t>
      </w:r>
      <w:hyperlink w:anchor="ref-10">
        <w:r>
          <w:rPr>
            <w:rStyle w:val="Hyperlink"/>
          </w:rPr>
          <w:t xml:space="preserve">[10]</w:t>
        </w:r>
      </w:hyperlink>
      <w:r>
        <w:t xml:space="preserve">. This catalogue is the authoritative public record of fragmentation, and it supplies both the event observations and their cause and regime labels for episodes that ended in breakup. Its analytic usability for exactly this purpose is corroborated by the event-characterization literature, which works from this same class of catalogued breakup record to classify explosion versus collision signatures from the resulting debris</w:t>
      </w:r>
      <w:r>
        <w:t xml:space="preserve"> </w:t>
      </w:r>
      <w:hyperlink w:anchor="ref-5">
        <w:r>
          <w:rPr>
            <w:rStyle w:val="Hyperlink"/>
          </w:rPr>
          <w:t xml:space="preserve">[5]</w:t>
        </w:r>
      </w:hyperlink>
      <w:r>
        <w:t xml:space="preserve">. The catalogue is the spine of the event arm of both datasets, and where a breakup is the terminal disposition the regime and cause labels are read from it directly.</w:t>
      </w:r>
    </w:p>
    <w:p>
      <w:pPr>
        <w:pStyle w:val="BodyText"/>
        <w:spacing w:line="480" w:lineRule="auto"/>
        <w:ind w:firstLine="720"/>
      </w:pPr>
      <w:r>
        <w:t xml:space="preserve">The second source layer is the corpus of named investigation and anomaly-review reports. For events that were investigated formally, the primary record is a mishap-investigation-board report, a failure-investigation-board report, or an anomaly-review-board report. The SOHO Mission Interruption Joint ESA/NASA Investigation Board final report is the archetype, a publicly available board report that documents both the onset and the multi-week ground recovery of the SOHO interruption and, critically, the operator actions that disabled onboard protection during the recovery window</w:t>
      </w:r>
      <w:r>
        <w:t xml:space="preserve"> </w:t>
      </w:r>
      <w:hyperlink w:anchor="ref-18">
        <w:r>
          <w:rPr>
            <w:rStyle w:val="Hyperlink"/>
          </w:rPr>
          <w:t xml:space="preserve">[18]</w:t>
        </w:r>
      </w:hyperlink>
      <w:r>
        <w:t xml:space="preserve">. Board reports of this kind supply the onset-to-terminal interval, the cause narrative, and the autonomy-posture evidence for the episodes they cover. Paper 2 draws specifically on NASA mishap and failure investigation board reports for Genesis, Mars Climate Orbiter, Lewis, WIRE, CONTOUR, DART, and Apollo 13, and on agency and operator anomaly reports for SOHO, Hitomi, ADEOS-II, ENVISAT, Olympus 1, and GOES-13.</w:t>
      </w:r>
    </w:p>
    <w:p>
      <w:pPr>
        <w:pStyle w:val="BodyText"/>
        <w:spacing w:line="480" w:lineRule="auto"/>
        <w:ind w:firstLine="720"/>
      </w:pPr>
      <w:r>
        <w:t xml:space="preserve">The third source layer is operator and trade-press records, used where a formal board report does not exist in the public domain but an operator statement or industry record documents the anomaly and its disposition. Paper 2 uses such records for commercial geostationary cases including Galaxy 15, AMC-9, Intelsat 33e, Telstar 401, and the Anik satellites. These records are weaker than board reports on internal causation but adequate for the three measured quantities the survival model requires, namely onset time, terminal disposition, and the coarse autonomy and attitude indicators.</w:t>
      </w:r>
    </w:p>
    <w:p>
      <w:pPr>
        <w:pStyle w:val="BodyText"/>
        <w:spacing w:line="480" w:lineRule="auto"/>
        <w:ind w:firstLine="720"/>
      </w:pPr>
      <w:r>
        <w:t xml:space="preserve">The fourth source layer is the autonomy and reliability literature, which supplies not row-level observations but the construct definitions against which covariates are coded. Autonomy posture is anchored to the fault-detection, isolation, and recovery construct as defined in the self-removal operational-concept literature</w:t>
      </w:r>
      <w:r>
        <w:t xml:space="preserve"> </w:t>
      </w:r>
      <w:hyperlink w:anchor="ref-8">
        <w:r>
          <w:rPr>
            <w:rStyle w:val="Hyperlink"/>
          </w:rPr>
          <w:t xml:space="preserve">[8]</w:t>
        </w:r>
      </w:hyperlink>
      <w:r>
        <w:t xml:space="preserve"> </w:t>
      </w:r>
      <w:r>
        <w:t xml:space="preserve">and as coupled with onboard anomaly detection in the neuro-symbolic autonomy work</w:t>
      </w:r>
      <w:r>
        <w:t xml:space="preserve"> </w:t>
      </w:r>
      <w:hyperlink w:anchor="ref-4">
        <w:r>
          <w:rPr>
            <w:rStyle w:val="Hyperlink"/>
          </w:rPr>
          <w:t xml:space="preserve">[4]</w:t>
        </w:r>
      </w:hyperlink>
      <w:r>
        <w:t xml:space="preserve">; the onboard fault-management line at the space-surveillance venue supplies the operational meaning of a closed onboard loop that detects, safes, and holds the vehicle</w:t>
      </w:r>
      <w:r>
        <w:t xml:space="preserve"> </w:t>
      </w:r>
      <w:hyperlink w:anchor="ref-16">
        <w:r>
          <w:rPr>
            <w:rStyle w:val="Hyperlink"/>
          </w:rPr>
          <w:t xml:space="preserve">[16]</w:t>
        </w:r>
      </w:hyperlink>
      <w:r>
        <w:t xml:space="preserve">. The reliability literature supplies the severity and progression constructs: multi-state failure analysis of satellite subsystems establishes that failures are transitions through degraded states rather than single switch-flips and that subsystems contribute unequally to terminal loss</w:t>
      </w:r>
      <w:r>
        <w:t xml:space="preserve"> </w:t>
      </w:r>
      <w:hyperlink w:anchor="ref-14">
        <w:r>
          <w:rPr>
            <w:rStyle w:val="Hyperlink"/>
          </w:rPr>
          <w:t xml:space="preserve">[14]</w:t>
        </w:r>
      </w:hyperlink>
      <w:r>
        <w:t xml:space="preserve">, and the statistical analysis of on-orbit propulsion anomalies quantifies the structured lead times between minor and major anomalies that justify treating severity as an ordinal escalation predictor</w:t>
      </w:r>
      <w:r>
        <w:t xml:space="preserve"> </w:t>
      </w:r>
      <w:hyperlink w:anchor="ref-11">
        <w:r>
          <w:rPr>
            <w:rStyle w:val="Hyperlink"/>
          </w:rPr>
          <w:t xml:space="preserve">[11]</w:t>
        </w:r>
      </w:hyperlink>
      <w:r>
        <w:t xml:space="preserve">,</w:t>
      </w:r>
      <w:r>
        <w:t xml:space="preserve"> </w:t>
      </w:r>
      <w:hyperlink w:anchor="ref-15">
        <w:r>
          <w:rPr>
            <w:rStyle w:val="Hyperlink"/>
          </w:rPr>
          <w:t xml:space="preserve">[15]</w:t>
        </w:r>
      </w:hyperlink>
      <w:r>
        <w:t xml:space="preserve">. Accelerated-life modeling of spacecraft components reinforces the hazard heterogeneity that warrants conditioning on severity</w:t>
      </w:r>
      <w:r>
        <w:t xml:space="preserve"> </w:t>
      </w:r>
      <w:hyperlink w:anchor="ref-12">
        <w:r>
          <w:rPr>
            <w:rStyle w:val="Hyperlink"/>
          </w:rPr>
          <w:t xml:space="preserve">[12]</w:t>
        </w:r>
      </w:hyperlink>
      <w:r>
        <w:t xml:space="preserve">, and radiation-hardness-assurance review supplies the mechanism by which a localized upset drives a system-level cascade that motivates the attitude-loss covariate</w:t>
      </w:r>
      <w:r>
        <w:t xml:space="preserve"> </w:t>
      </w:r>
      <w:hyperlink w:anchor="ref-19">
        <w:r>
          <w:rPr>
            <w:rStyle w:val="Hyperlink"/>
          </w:rPr>
          <w:t xml:space="preserve">[19]</w:t>
        </w:r>
      </w:hyperlink>
      <w:r>
        <w:t xml:space="preserve">. These sources are cited as definitional anchors, not as data, and no numerical observation is taken from them.</w:t>
      </w:r>
    </w:p>
    <w:bookmarkEnd w:id="97"/>
    <w:bookmarkStart w:id="98" w:name="X93df0e9477d3472cf264629f6a380a4479c3df6"/>
    <w:p>
      <w:pPr>
        <w:pStyle w:val="Heading2"/>
        <w:spacing w:line="480" w:lineRule="auto"/>
      </w:pPr>
      <w:r>
        <w:t xml:space="preserve">4.4 Dataset A: The Thirty-Episode Cox Dataset (Paper 1)</w:t>
      </w:r>
    </w:p>
    <w:p>
      <w:pPr>
        <w:pStyle w:val="FirstParagraph"/>
        <w:spacing w:line="480" w:lineRule="auto"/>
      </w:pPr>
      <w:r>
        <w:t xml:space="preserve">Dataset A underlies the Paper 1 estimate of the autonomy-posture effect conditional on severity and regime. It comprises thirty documented spacecraft anomaly episodes, each compiled from a named public source of the four source layers above. The dataset is constructed to balance on the escalation outcome so that the partial-likelihood estimator has events in both tails: fifteen episodes ended in a mission-ending mishap and are coded as events, and fifteen episodes were recovered and are right-censored.</w:t>
      </w:r>
    </w:p>
    <w:p>
      <w:pPr>
        <w:pStyle w:val="BodyText"/>
        <w:spacing w:line="480" w:lineRule="auto"/>
        <w:ind w:firstLine="720"/>
      </w:pPr>
      <w:r>
        <w:t xml:space="preserve">The fifteen event episodes include Hitomi, the Mars Climate Orbiter, the Mars Polar Lander, Genesis, Phobos-Grunt, and the four Cluster spacecraft lost on the Ariane 501 maiden flight. The fifteen censored episodes include NEAR Shoemaker after its rendezvous-burn abort, SOHO after its weeks-long ground recovery</w:t>
      </w:r>
      <w:r>
        <w:t xml:space="preserve"> </w:t>
      </w:r>
      <w:hyperlink w:anchor="ref-18">
        <w:r>
          <w:rPr>
            <w:rStyle w:val="Hyperlink"/>
          </w:rPr>
          <w:t xml:space="preserve">[18]</w:t>
        </w:r>
      </w:hyperlink>
      <w:r>
        <w:t xml:space="preserve">, Dawn and FUSE after each switched off failed reaction wheels and continued operating, Akatsuki after its failed orbit insertion and later successful re-insertion, and Voyager 2 after its onboard fault protection stabilized the vehicle. The inclusion of these recovered cases is the methodological point of the dataset, because they are the episodes that the fragmentation-only literature systematically omits and that the survival framing is built to retain.</w:t>
      </w:r>
    </w:p>
    <w:p>
      <w:pPr>
        <w:pStyle w:val="BodyText"/>
        <w:spacing w:line="480" w:lineRule="auto"/>
        <w:ind w:firstLine="720"/>
      </w:pPr>
      <w:r>
        <w:t xml:space="preserve">Each row of Dataset A records, at minimum, the elapsed hours from anomaly onset to resolution, the event indicator, and three onset-fixed covariates: closed-loop autonomy posture, ordinal severity, and a high-regime indicator. Each spacecraft’s source citation travels with its row in the final column of the dataset, so that any figure derived from the row is traceable to its public origin. Two rows, both onset-to-recovery intervals for episodes that the record describes as autonomously handled but does not timestamp to the hour, are flagged as illustrative. These two values are fewer than one in ten rows, and by construction they affect only the duration field, not the event labels or the covariates that carry the inference. This separation is deliberate: the inference-bearing quantities, the event indicator and the three covariates, are never among the flagged values.</w:t>
      </w:r>
    </w:p>
    <w:bookmarkEnd w:id="98"/>
    <w:bookmarkStart w:id="99" w:name="X5a6579bbac6a72ac4599b6487c3cc8ad58ebef7"/>
    <w:p>
      <w:pPr>
        <w:pStyle w:val="Heading2"/>
        <w:spacing w:line="480" w:lineRule="auto"/>
      </w:pPr>
      <w:r>
        <w:t xml:space="preserve">4.5 Dataset B: The Thirty-Two-Event Cox Dataset (Paper 2)</w:t>
      </w:r>
    </w:p>
    <w:p>
      <w:pPr>
        <w:pStyle w:val="FirstParagraph"/>
        <w:spacing w:line="480" w:lineRule="auto"/>
      </w:pPr>
      <w:r>
        <w:t xml:space="preserve">Dataset B underlies the Paper 2 estimate, which models escalation hazard as a function of autonomy and attitude-control loss rather than autonomy, severity, and regime. It comprises thirty-two documented on-orbit or launch-phase anomaly events, again drawn from named sources across the four source layers. Like Dataset A, it is balanced on outcome, here with sixteen escalations and sixteen recoveries, a balance well suited to a hazard model even though, as Section 4.7 stresses, the base rate of escalation in the true on-orbit population cannot be read from a balanced sample.</w:t>
      </w:r>
    </w:p>
    <w:p>
      <w:pPr>
        <w:pStyle w:val="BodyText"/>
        <w:spacing w:line="480" w:lineRule="auto"/>
        <w:ind w:firstLine="720"/>
      </w:pPr>
      <w:r>
        <w:t xml:space="preserve">The escalating events include abrupt structural and rendezvous failures such as the Intelsat 33e sudden breakup and the CONTOUR departure-burn breakup, fast attitude-and-power cascades such as SOHO at roughly five and a half hours and Hitomi at roughly six and a half hours, and slow stranded-decay losses such as Phobos-Grunt. The recovered events include Apollo 13 at its roughly eighty-seven-hour return, Galaxy 15 at its eight-month autonomous reset, and GOES-13 and the Anik control upsets that were arrested by autonomy or ground action. The dataset further retains four crewed events, Apollo 13, the Mir Spektr collision, the ISS ammonia-loop failure, and the Skylab thermal crisis, all of which were contained rather than escalated. As Chapter 5 details, the crewed indicator is held in the data for description only and excluded from the estimated model, because perfect non-escalation among crewed events produces quasi-complete separation that would drive a maximum-likelihood coefficient to an uninformative extreme. The decision to record but not estimate the crewed indicator is a measurement decision about which signals can be carried in a model of this size, and it is documented here so the exclusion is transparent rather than silent.</w:t>
      </w:r>
    </w:p>
    <w:bookmarkEnd w:id="99"/>
    <w:bookmarkStart w:id="107" w:name="X4d68ae530fb50ff27d1ffe4ee4ca61bfe9c6755"/>
    <w:p>
      <w:pPr>
        <w:pStyle w:val="Heading2"/>
        <w:spacing w:line="480" w:lineRule="auto"/>
      </w:pPr>
      <w:r>
        <w:t xml:space="preserve">4.6 Variable Construction from Primary Records</w:t>
      </w:r>
    </w:p>
    <w:p>
      <w:pPr>
        <w:pStyle w:val="FirstParagraph"/>
        <w:spacing w:line="480" w:lineRule="auto"/>
      </w:pPr>
      <w:r>
        <w:t xml:space="preserve">This section specifies how each modeled variable is constructed from the primary records described above. The procedures are stated so that a second analyst, given the same sources, would code the same values.</w:t>
      </w:r>
    </w:p>
    <w:bookmarkStart w:id="100" w:name="duration-time-at-risk"/>
    <w:p>
      <w:pPr>
        <w:pStyle w:val="Heading3"/>
        <w:spacing w:line="480" w:lineRule="auto"/>
      </w:pPr>
      <w:r>
        <w:t xml:space="preserve">4.6.1 Duration (time at risk)</w:t>
      </w:r>
    </w:p>
    <w:p>
      <w:pPr>
        <w:pStyle w:val="FirstParagraph"/>
        <w:spacing w:line="480" w:lineRule="auto"/>
      </w:pPr>
      <w:r>
        <w:t xml:space="preserve">The duration is the time at risk in hours, measured from documented anomaly onset to terminal disposition. For escalating events the clock stops at the documented onset-to-mishap interval; for recovered events the observation is right-censored at the documented recovery or management window. The documented intervals span an extraordinary dynamic range, which is precisely why a model that imposes no parametric shape on the baseline hazard is required. At the short end are minutes-scale launch-phase and rendezvous breakups such as Intelsat 33e and CONTOUR; in the middle are the hours-scale attitude-and-power cascades of SOHO and Hitomi</w:t>
      </w:r>
      <w:r>
        <w:t xml:space="preserve"> </w:t>
      </w:r>
      <w:hyperlink w:anchor="ref-18">
        <w:r>
          <w:rPr>
            <w:rStyle w:val="Hyperlink"/>
          </w:rPr>
          <w:t xml:space="preserve">[18]</w:t>
        </w:r>
      </w:hyperlink>
      <w:r>
        <w:t xml:space="preserve">; at the long end are the weeks-to-months intervals of Phobos-Grunt’s stranded decay and Galaxy 15’s eight-month reset. Where a public source does not time an abrupt launch-phase or reentry event to the minute, the onset-to-terminal micro-window is bounded conservatively and flagged in the source column. Such flagged durations are held under fifteen percent of rows in Dataset B and under one in ten rows in Dataset A, and in both datasets they touch only the duration field, never the event indicator or the covariates.</w:t>
      </w:r>
    </w:p>
    <w:bookmarkEnd w:id="100"/>
    <w:bookmarkStart w:id="101" w:name="event-indicator-escalation"/>
    <w:p>
      <w:pPr>
        <w:pStyle w:val="Heading3"/>
        <w:spacing w:line="480" w:lineRule="auto"/>
      </w:pPr>
      <w:r>
        <w:t xml:space="preserve">4.6.2 Event indicator (escalation)</w:t>
      </w:r>
    </w:p>
    <w:p>
      <w:pPr>
        <w:pStyle w:val="FirstParagraph"/>
        <w:spacing w:line="480" w:lineRule="auto"/>
      </w:pPr>
      <w:r>
        <w:t xml:space="preserve">The event indicator is a binary coding of the terminal disposition: it records one if the anomaly escalated to a mission-ending mishap and zero if the spacecraft was recovered or the anomaly was otherwise contained within the observation window. The coding is read from the terminal-disposition statement of the primary record, the board finding of mission loss for an event or the documented return-to-service for a censored episode. A recovered episode is right-censored rather than treated as a non-occurrence, which preserves its contribution to the risk set up to the censoring time and is the mechanism by which the survival design corrects the catastrophic-tail truncation that biases simpler analyses. The escalation construct itself is grounded in the knowledge-graph statement that an anomaly can rapidly progress into a mission-ending catastrophic failure</w:t>
      </w:r>
      <w:r>
        <w:t xml:space="preserve"> </w:t>
      </w:r>
      <w:hyperlink w:anchor="ref-1">
        <w:r>
          <w:rPr>
            <w:rStyle w:val="Hyperlink"/>
          </w:rPr>
          <w:t xml:space="preserve">[1]</w:t>
        </w:r>
      </w:hyperlink>
      <w:r>
        <w:t xml:space="preserve">, and the partition between escalation and recovery is the realization of that construct in the data.</w:t>
      </w:r>
    </w:p>
    <w:bookmarkEnd w:id="101"/>
    <w:bookmarkStart w:id="102" w:name="closed-loop-autonomy-posture"/>
    <w:p>
      <w:pPr>
        <w:pStyle w:val="Heading3"/>
        <w:spacing w:line="480" w:lineRule="auto"/>
      </w:pPr>
      <w:r>
        <w:t xml:space="preserve">4.6.3 Closed-loop autonomy posture</w:t>
      </w:r>
    </w:p>
    <w:p>
      <w:pPr>
        <w:pStyle w:val="FirstParagraph"/>
        <w:spacing w:line="480" w:lineRule="auto"/>
      </w:pPr>
      <w:r>
        <w:t xml:space="preserve">Autonomy posture is the treatment covariate and the variable on which the dissertation’s contribution turns. In Dataset A it is coded as closed-loop autonomy posture, a binary indicator that distinguishes anomalies meeting a closed onboard fault-detection, isolation, and recovery loop at onset from anomalies that depend on ground-loop recovery. In Dataset B it is coded as a binary indicator for whether onboard autonomy was functioning during the event. Both codings operationalize the same construct, the locus of the recovery loop, and both are anchored to the same definitional sources: the self-removal operational concept that defines fault detection, isolation, and recovery as the onboard function that detects, isolates, and triggers recovery</w:t>
      </w:r>
      <w:r>
        <w:t xml:space="preserve"> </w:t>
      </w:r>
      <w:hyperlink w:anchor="ref-8">
        <w:r>
          <w:rPr>
            <w:rStyle w:val="Hyperlink"/>
          </w:rPr>
          <w:t xml:space="preserve">[8]</w:t>
        </w:r>
      </w:hyperlink>
      <w:r>
        <w:t xml:space="preserve">, the neuro-symbolic work that couples autonomous maneuvering with onboard anomaly detection</w:t>
      </w:r>
      <w:r>
        <w:t xml:space="preserve"> </w:t>
      </w:r>
      <w:hyperlink w:anchor="ref-4">
        <w:r>
          <w:rPr>
            <w:rStyle w:val="Hyperlink"/>
          </w:rPr>
          <w:t xml:space="preserve">[4]</w:t>
        </w:r>
      </w:hyperlink>
      <w:r>
        <w:t xml:space="preserve">, and the onboard fault-management line that frames a closed loop as detecting, safing, and holding the vehicle without waiting for a ground pass</w:t>
      </w:r>
      <w:r>
        <w:t xml:space="preserve"> </w:t>
      </w:r>
      <w:hyperlink w:anchor="ref-16">
        <w:r>
          <w:rPr>
            <w:rStyle w:val="Hyperlink"/>
          </w:rPr>
          <w:t xml:space="preserve">[16]</w:t>
        </w:r>
      </w:hyperlink>
      <w:r>
        <w:t xml:space="preserve">.</w:t>
      </w:r>
    </w:p>
    <w:p>
      <w:pPr>
        <w:pStyle w:val="BodyText"/>
        <w:spacing w:line="480" w:lineRule="auto"/>
        <w:ind w:firstLine="720"/>
      </w:pPr>
      <w:r>
        <w:t xml:space="preserve">The coding rule reads, from each episode’s primary record, whether an onboard loop acted, or was positioned to act, inside the first interval after onset, before a ground pass and command uplink could occur. A spacecraft whose fault protection autonomously commanded a safe configuration, as Voyager 2’s fault protection did, is coded autonomy-positive. A spacecraft whose recovery depended on operator diagnosis and uplinked commands, as the SOHO interruption did, is coded autonomy-negative, and the SOHO board report is explicit that ground action disabled onboard protection during the window when it was most needed</w:t>
      </w:r>
      <w:r>
        <w:t xml:space="preserve"> </w:t>
      </w:r>
      <w:hyperlink w:anchor="ref-18">
        <w:r>
          <w:rPr>
            <w:rStyle w:val="Hyperlink"/>
          </w:rPr>
          <w:t xml:space="preserve">[18]</w:t>
        </w:r>
      </w:hyperlink>
      <w:r>
        <w:t xml:space="preserve">. The indicator captures whether autonomy functioned, not how capable it was; this limitation is intrinsic to coding from narrative records and is recorded as a measurement caveat rather than concealed. Because the construct admits documentation of uneven depth, the prospectus design calls for double-coding the autonomy posture against the explicit fault-detection-isolation-and-recovery definition and reporting inter-coder agreement, so that measurement error in the treatment is visible rather than hidden.</w:t>
      </w:r>
    </w:p>
    <w:bookmarkEnd w:id="102"/>
    <w:bookmarkStart w:id="103" w:name="ordinal-severity-dataset-a"/>
    <w:p>
      <w:pPr>
        <w:pStyle w:val="Heading3"/>
        <w:spacing w:line="480" w:lineRule="auto"/>
      </w:pPr>
      <w:r>
        <w:t xml:space="preserve">4.6.4 Ordinal severity (Dataset A)</w:t>
      </w:r>
    </w:p>
    <w:p>
      <w:pPr>
        <w:pStyle w:val="FirstParagraph"/>
        <w:spacing w:line="480" w:lineRule="auto"/>
      </w:pPr>
      <w:r>
        <w:t xml:space="preserve">Severity is the principal confounder in Paper 1 and is coded as an ordinal onset-state covariate that ranks the state the anomaly presented at onset, from a degraded but functioning subsystem at the low end to an uncontrolled-spin or loss-of-vehicle condition at the high end. The ordinal treatment is justified by the reliability literature’s progression view, in which failures are transitions through degraded states rather than single switch-flips</w:t>
      </w:r>
      <w:r>
        <w:t xml:space="preserve"> </w:t>
      </w:r>
      <w:hyperlink w:anchor="ref-14">
        <w:r>
          <w:rPr>
            <w:rStyle w:val="Hyperlink"/>
          </w:rPr>
          <w:t xml:space="preserve">[14]</w:t>
        </w:r>
      </w:hyperlink>
      <w:r>
        <w:t xml:space="preserve"> </w:t>
      </w:r>
      <w:r>
        <w:t xml:space="preserve">and minor anomalies precede major ones with structured lead times</w:t>
      </w:r>
      <w:r>
        <w:t xml:space="preserve"> </w:t>
      </w:r>
      <w:hyperlink w:anchor="ref-11">
        <w:r>
          <w:rPr>
            <w:rStyle w:val="Hyperlink"/>
          </w:rPr>
          <w:t xml:space="preserve">[11]</w:t>
        </w:r>
      </w:hyperlink>
      <w:r>
        <w:t xml:space="preserve">,</w:t>
      </w:r>
      <w:r>
        <w:t xml:space="preserve"> </w:t>
      </w:r>
      <w:hyperlink w:anchor="ref-15">
        <w:r>
          <w:rPr>
            <w:rStyle w:val="Hyperlink"/>
          </w:rPr>
          <w:t xml:space="preserve">[15]</w:t>
        </w:r>
      </w:hyperlink>
      <w:r>
        <w:t xml:space="preserve">. Severity is read from the onset-state description in the primary record, not from the outcome, which keeps it an onset-fixed property and avoids conditioning on the very escalation the model predicts. It enters the model as a confounder because severe anomalies in demanding regimes are both more likely to escalate and more likely to occur on flagship missions that carry richer autonomy, so that the autonomy coefficient is identified only after severity is held fixed.</w:t>
      </w:r>
    </w:p>
    <w:bookmarkEnd w:id="103"/>
    <w:bookmarkStart w:id="104" w:name="high-regime-indicator-dataset-a"/>
    <w:p>
      <w:pPr>
        <w:pStyle w:val="Heading3"/>
        <w:spacing w:line="480" w:lineRule="auto"/>
      </w:pPr>
      <w:r>
        <w:t xml:space="preserve">4.6.5 High-regime indicator (Dataset A)</w:t>
      </w:r>
    </w:p>
    <w:p>
      <w:pPr>
        <w:pStyle w:val="FirstParagraph"/>
        <w:spacing w:line="480" w:lineRule="auto"/>
      </w:pPr>
      <w:r>
        <w:t xml:space="preserve">Orbital regime is the second confounder in Paper 1 and is coded as a binary high-regime indicator separating low Earth orbit from the more demanding regimes, namely medium Earth orbit, geostationary orbit, cislunar space, interplanetary trajectories, and entry, descent, and landing. The regime label is read directly from the fragmentation catalogue for breakup events</w:t>
      </w:r>
      <w:r>
        <w:t xml:space="preserve"> </w:t>
      </w:r>
      <w:hyperlink w:anchor="ref-10">
        <w:r>
          <w:rPr>
            <w:rStyle w:val="Hyperlink"/>
          </w:rPr>
          <w:t xml:space="preserve">[10]</w:t>
        </w:r>
      </w:hyperlink>
      <w:r>
        <w:t xml:space="preserve"> </w:t>
      </w:r>
      <w:r>
        <w:t xml:space="preserve">and from the mission record for non-breakup episodes. The binary collapse is a deliberate measurement choice that trades regime resolution for estimability in a thirty-episode sample, grouping the regimes whose recovery windows and communication-pass cadences are materially harder than low Earth orbit’s into a single contrast against low Earth orbit.</w:t>
      </w:r>
    </w:p>
    <w:bookmarkEnd w:id="104"/>
    <w:bookmarkStart w:id="105" w:name="attitude-control-loss-dataset-b"/>
    <w:p>
      <w:pPr>
        <w:pStyle w:val="Heading3"/>
        <w:spacing w:line="480" w:lineRule="auto"/>
      </w:pPr>
      <w:r>
        <w:t xml:space="preserve">4.6.6 Attitude-control loss (Dataset B)</w:t>
      </w:r>
    </w:p>
    <w:p>
      <w:pPr>
        <w:pStyle w:val="FirstParagraph"/>
        <w:spacing w:line="480" w:lineRule="auto"/>
      </w:pPr>
      <w:r>
        <w:t xml:space="preserve">Loss of attitude control is the second modeled covariate in Paper 2 and is coded as a binary indicator of whether the anomaly involved loss of attitude or pointing control. The construct is motivated by the coupling mechanism in which a tumbling or mispointed vehicle loses solar input, drains batteries, and overheats or freezes, so that the clock to a terminal state runs fast; radiation and space-weather analyses of avionics make the same point about how a localized upset drives a system-level cascade</w:t>
      </w:r>
      <w:r>
        <w:t xml:space="preserve"> </w:t>
      </w:r>
      <w:hyperlink w:anchor="ref-19">
        <w:r>
          <w:rPr>
            <w:rStyle w:val="Hyperlink"/>
          </w:rPr>
          <w:t xml:space="preserve">[19]</w:t>
        </w:r>
      </w:hyperlink>
      <w:r>
        <w:t xml:space="preserve">. The indicator is read from the failure-mode narrative of each primary record. As Chapter 5 reports, attitude loss appears in both arms of the data, in fast escalations such as SOHO and Hitomi and in recovered events such as GOES-13 and the Anik control upsets, which is itself a measurement-relevant observation because it foreshadows the covariate’s limited discriminating power once autonomy is conditioned in the model.</w:t>
      </w:r>
    </w:p>
    <w:bookmarkEnd w:id="105"/>
    <w:bookmarkStart w:id="106" w:name="crewed-indicator-dataset-b-descriptive"/>
    <w:p>
      <w:pPr>
        <w:pStyle w:val="Heading3"/>
        <w:spacing w:line="480" w:lineRule="auto"/>
      </w:pPr>
      <w:r>
        <w:t xml:space="preserve">4.6.7 Crewed indicator (Dataset B, descriptive)</w:t>
      </w:r>
    </w:p>
    <w:p>
      <w:pPr>
        <w:pStyle w:val="FirstParagraph"/>
        <w:spacing w:line="480" w:lineRule="auto"/>
      </w:pPr>
      <w:r>
        <w:t xml:space="preserve">A crewed indicator is coded for each Dataset B event but, as noted in Section 4.5, is retained for description only and excluded from the estimated model. The four crewed events were all contained, a perfect predictor of non-escalation that produces quasi-complete separation. Coding it and reporting it descriptively preserves the signal that crewed vehicles combined human-in-the-loop judgment with long design-reserve safe modes, without corrupting the maximum-likelihood estimates of the modeled covariates.</w:t>
      </w:r>
    </w:p>
    <w:bookmarkEnd w:id="106"/>
    <w:bookmarkEnd w:id="107"/>
    <w:bookmarkStart w:id="108" w:name="X77b5de43be79084c930531971a62888c960345f"/>
    <w:p>
      <w:pPr>
        <w:pStyle w:val="Heading2"/>
        <w:spacing w:line="480" w:lineRule="auto"/>
      </w:pPr>
      <w:r>
        <w:t xml:space="preserve">4.7 Measurement Threats and Provenance Auditability</w:t>
      </w:r>
    </w:p>
    <w:p>
      <w:pPr>
        <w:pStyle w:val="FirstParagraph"/>
        <w:spacing w:line="480" w:lineRule="auto"/>
      </w:pPr>
      <w:r>
        <w:t xml:space="preserve">Three measurement threats follow directly from how the data are constructed, and each is addressed at the measurement stage rather than deferred.</w:t>
      </w:r>
    </w:p>
    <w:p>
      <w:pPr>
        <w:pStyle w:val="BodyText"/>
        <w:spacing w:line="480" w:lineRule="auto"/>
        <w:ind w:firstLine="720"/>
      </w:pPr>
      <w:r>
        <w:t xml:space="preserve">The first is truncation of the censored sample. Non-escalating anomalies are systematically underreported relative to fragmentations, because a recovered anomaly generates no debris cloud and often no public report, which biases the observed baseline hazard upward and over-represents events relative to the true on-orbit population. The balanced construction of both datasets mitigates this for estimation but, as Chapter 6 emphasizes, the base rate of escalation must not be read from a balanced sample. The threat is structural and is reported under explicit reporting-completeness assumptions. Its direction is conservative for the autonomy hypothesis, because a more completely reported censored sample would, if anything, strengthen rather than weaken a protective estimate.</w:t>
      </w:r>
    </w:p>
    <w:p>
      <w:pPr>
        <w:pStyle w:val="BodyText"/>
        <w:spacing w:line="480" w:lineRule="auto"/>
        <w:ind w:firstLine="720"/>
      </w:pPr>
      <w:r>
        <w:t xml:space="preserve">The second is time-zero sensitivity. The escalation clock depends on when onset is declared, and detection logic varies across the telemetry-anomaly systems that define it</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Because duration is the variable most exposed to this variation, and because a minority of durations are conservatively bounded micro-windows, the inference is deliberately staked on the event indicator and the onset-fixed covariates rather than on the precise duration values, and the analysis tests robustness to alternative onset definitions.</w:t>
      </w:r>
    </w:p>
    <w:p>
      <w:pPr>
        <w:pStyle w:val="BodyText"/>
        <w:spacing w:line="480" w:lineRule="auto"/>
        <w:ind w:firstLine="720"/>
      </w:pPr>
      <w:r>
        <w:t xml:space="preserve">The third is coding of the treatment. Autonomy posture is read from documentation of uneven depth, so the closed-loop versus ground-loop distinction is coded against the explicit fault-detection-isolation-and-recovery definition in the autonomy literature</w:t>
      </w:r>
      <w:r>
        <w:t xml:space="preserve"> </w:t>
      </w:r>
      <w:hyperlink w:anchor="ref-8">
        <w:r>
          <w:rPr>
            <w:rStyle w:val="Hyperlink"/>
          </w:rPr>
          <w:t xml:space="preserve">[8]</w:t>
        </w:r>
      </w:hyperlink>
      <w:r>
        <w:t xml:space="preserve">,</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 double-coded, and reported with inter-coder agreement. This makes measurement error in the treatment visible in the inference rather than buried in it.</w:t>
      </w:r>
    </w:p>
    <w:p>
      <w:pPr>
        <w:pStyle w:val="BodyText"/>
        <w:spacing w:line="480" w:lineRule="auto"/>
        <w:ind w:firstLine="720"/>
      </w:pPr>
      <w:r>
        <w:t xml:space="preserve">Underlying all three mitigations is a provenance commitment that the dataset structure enforces mechanically: each spacecraft’s source citation travels with its row in the final column of the data file in both datasets. No proprietary or internal source is used. The events arm traces to a NASA-published fragmentation catalogue</w:t>
      </w:r>
      <w:r>
        <w:t xml:space="preserve"> </w:t>
      </w:r>
      <w:hyperlink w:anchor="ref-10">
        <w:r>
          <w:rPr>
            <w:rStyle w:val="Hyperlink"/>
          </w:rPr>
          <w:t xml:space="preserve">[10]</w:t>
        </w:r>
      </w:hyperlink>
      <w:r>
        <w:t xml:space="preserve"> </w:t>
      </w:r>
      <w:r>
        <w:t xml:space="preserve">corroborated by the event-characterization literature</w:t>
      </w:r>
      <w:r>
        <w:t xml:space="preserve"> </w:t>
      </w:r>
      <w:hyperlink w:anchor="ref-5">
        <w:r>
          <w:rPr>
            <w:rStyle w:val="Hyperlink"/>
          </w:rPr>
          <w:t xml:space="preserve">[5]</w:t>
        </w:r>
      </w:hyperlink>
      <w:r>
        <w:t xml:space="preserve">, the censored and investigated episodes trace to named board and operator reports exemplified by the SOHO board report</w:t>
      </w:r>
      <w:r>
        <w:t xml:space="preserve"> </w:t>
      </w:r>
      <w:hyperlink w:anchor="ref-18">
        <w:r>
          <w:rPr>
            <w:rStyle w:val="Hyperlink"/>
          </w:rPr>
          <w:t xml:space="preserve">[18]</w:t>
        </w:r>
      </w:hyperlink>
      <w:r>
        <w:t xml:space="preserve">, and every covariate traces to a published construct definition. This row-level traceability is what permits the single-parameter claim of the dissertation to be audited rather than merely asserted, and it is the measurement foundation on which the estimation in Chapter 5 is built.</w:t>
      </w:r>
    </w:p>
    <w:bookmarkEnd w:id="108"/>
    <w:bookmarkEnd w:id="109"/>
    <w:bookmarkStart w:id="113"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how the dissertation’s single estimand, the escalation hazard ratio attributable to closed-loop onboard autonomy at anomaly onset, is recovered from the compiled anomaly record. It proceeds in three movements. The first fixes the estimator and explains why a semiparametric survival model is the correct instrument for a process that is censored at recovery and observed on physically incommensurate clocks. The second states the identification strategy, separating the statistical object the partial likelihood returns from the causal object the dissertation claims, and naming the assumption that licenses the move between them. The third enumerates the threats to validity and shows, for each, how the design bounds the threat rather than assuming it away. Throughout, the chapter treats the two empirical studies that anchor the dissertation as fitted instances of one specification rather than as independent results, so that the identification logic and its limits are common to both.</w:t>
      </w:r>
    </w:p>
    <w:bookmarkStart w:id="110" w:name="the-estimand-and-the-choice-of-estimator"/>
    <w:p>
      <w:pPr>
        <w:pStyle w:val="Heading2"/>
        <w:spacing w:line="480" w:lineRule="auto"/>
      </w:pPr>
      <w:r>
        <w:t xml:space="preserve">5.1 The estimand and the choice of estimator</w:t>
      </w:r>
    </w:p>
    <w:p>
      <w:pPr>
        <w:pStyle w:val="FirstParagraph"/>
        <w:spacing w:line="480" w:lineRule="auto"/>
      </w:pPr>
      <w:r>
        <w:t xml:space="preserve">The unit of analysis is the anomaly episode. Each episode begins at detected anomaly onset, which serves as the origin of the escalation clock, and ends in one of two mutually exclusive states: recovery, in which case the episode is right-censored, or mishap, in which case the episode is an event. This is the canonical structure of time-to-event data, and it is structurally unavoidable here because the dominant outcome in the operational record is non-escalation. Most anomalies are absorbed, reconfigured around, or recovered, and the censored episodes therefore carry as much identifying information as the events. A binary classifier of escalated versus not-escalated would discard the duration information that distinguishes a thirty-second loss-of-vehicle cascade from a months-long stranded drift, and it would force an arbitrary observation window onto episodes that are still at risk. The survival framing retains both the timing and the censoring, which is why it is the natural estimation counterpart to the multi-state degradation view that the reliability literature established when it moved beyond the binary works-or-fails question to the dynamics of how subsystems transition through degraded states toward terminal loss</w:t>
      </w:r>
      <w:r>
        <w:t xml:space="preserve"> </w:t>
      </w:r>
      <w:hyperlink w:anchor="ref-14">
        <w:r>
          <w:rPr>
            <w:rStyle w:val="Hyperlink"/>
          </w:rPr>
          <w:t xml:space="preserve">[14]</w:t>
        </w:r>
      </w:hyperlink>
      <w:r>
        <w:t xml:space="preserve">.</w:t>
      </w:r>
    </w:p>
    <w:p>
      <w:pPr>
        <w:pStyle w:val="BodyText"/>
        <w:spacing w:line="480" w:lineRule="auto"/>
        <w:ind w:firstLine="720"/>
      </w:pPr>
      <w:r>
        <w:t xml:space="preserve">The estimator is the Cox proportional-hazards model, fit by maximization of the partial likelihood. The model expresses the instantaneous hazard of mishap at time t for episode i as a common but unspecified baseline hazard scaled by an exponential function of episode-level covariates fixed at onset. Two properties of this specification are decisive for the present application. First, the baseline hazard is left fully nonparametric. This matters because the escalation clock runs on radically different physical timescales across orbital regimes, from the sub-second window of a powered-descent failure to the multi-week drift of a stranded geostationary or interplanetary vehicle, and there is no defensible parametric family that describes that baseline across all regimes at once. Imposing a Weibull or exponential baseline would smuggle a shape assumption into precisely the dimension on which the data are most heterogeneous; the Cox partial likelihood conditions that shape out by ranking episodes at each observed event time rather than fitting the intervals between them. Second, the partial likelihood accommodates right-censoring directly, contributing a recovered episode to every risk set up to its censoring time and then removing it, which is exactly the contribution a non-escalating anomaly should make to the estimate of how escalation hazard responds to onset conditions.</w:t>
      </w:r>
    </w:p>
    <w:p>
      <w:pPr>
        <w:pStyle w:val="BodyText"/>
        <w:spacing w:line="480" w:lineRule="auto"/>
        <w:ind w:firstLine="720"/>
      </w:pPr>
      <w:r>
        <w:t xml:space="preserve">The coefficient of interest is the one on the closed-loop autonomy indicator. Its exponential is the escalation hazard ratio attributable to a closed onboard fault-detection, isolation, and recovery loop relative to ground-dependent recovery, holding the remaining covariates fixed. The dissertation is deliberately staked on this single number. A program manager reads it as a design lever: a value strictly below one prices the survival time that closed-loop autonomy buys per anomaly, a value indistinguishable from one returns the field to a severity-and-regime account of escalation, and a value above one would refute the timing mechanism outright. Concentrating the claim on one estimable parameter is a methodological commitment, not a stylistic one. It forecloses the temptation to read a favorable basket of weakly associated coefficients as support and forces the work to succeed or fail on a quantity whose confidence interval can be inspected against the value one.</w:t>
      </w:r>
    </w:p>
    <w:p>
      <w:pPr>
        <w:pStyle w:val="BodyText"/>
        <w:spacing w:line="480" w:lineRule="auto"/>
        <w:ind w:firstLine="720"/>
      </w:pPr>
      <w:r>
        <w:t xml:space="preserve">The choice of a survival model rather than a logistic or count model is itself substantive. Treating escalation as time-to-event makes the mechanism the dissertation proposes, that autonomy matters because it acts inside the first arrestable interval after onset, an object the estimator can in principle see, because the hazard is defined per unit of time at risk. A model that collapsed the outcome to a yes-or-no escalation would be blind to the very timing channel the theory names. The survival specification is therefore aligned with the causal story and not merely with the data type. This is the same logic under which time-to-event methods have been imported into adjacent space-domain problems where the quantity of interest is when a transition occurs rather than only whether it occurs</w:t>
      </w:r>
      <w:r>
        <w:t xml:space="preserve"> </w:t>
      </w:r>
      <w:hyperlink w:anchor="ref-21">
        <w:r>
          <w:rPr>
            <w:rStyle w:val="Hyperlink"/>
          </w:rPr>
          <w:t xml:space="preserve">[21]</w:t>
        </w:r>
      </w:hyperlink>
      <w:r>
        <w:t xml:space="preserve">.</w:t>
      </w:r>
    </w:p>
    <w:p>
      <w:pPr>
        <w:pStyle w:val="BodyText"/>
        <w:spacing w:line="480" w:lineRule="auto"/>
        <w:ind w:firstLine="720"/>
      </w:pPr>
      <w:r>
        <w:t xml:space="preserve">The two empirical studies operationalize this estimator under two complementary covariate parameterizations. The first study conditions on an ordinal severity score and a high-regime indicator alongside the autonomy posture, so that the autonomy coefficient is read after the two confounders the reliability literature flags as most serious have been held fixed [11, 14]. The second study conditions on a loss-of-attitude-control indicator alongside autonomy, capturing the failure mode that couples most quickly into power and thermal margins. Both are instances of the same partial-likelihood machinery; they differ only in how the confounding structure around the autonomy term is represented, and the dissertation treats the comparison between them as evidence about the stability of the autonomy estimate across covariate choices rather than as two separate findings.</w:t>
      </w:r>
    </w:p>
    <w:bookmarkEnd w:id="110"/>
    <w:bookmarkStart w:id="111" w:name="identification-strategy"/>
    <w:p>
      <w:pPr>
        <w:pStyle w:val="Heading2"/>
        <w:spacing w:line="480" w:lineRule="auto"/>
      </w:pPr>
      <w:r>
        <w:t xml:space="preserve">5.2 Identification strategy</w:t>
      </w:r>
    </w:p>
    <w:p>
      <w:pPr>
        <w:pStyle w:val="FirstParagraph"/>
        <w:spacing w:line="480" w:lineRule="auto"/>
      </w:pPr>
      <w:r>
        <w:t xml:space="preserve">The estimator returns a conditional association. The dissertation claims a causal effect. The identification strategy is the argument that licenses reading the fitted autonomy hazard ratio as the causal effect of autonomy posture on escalation hazard, and it rests on conditioning rather than on randomization, because the autonomy posture of a spacecraft at anomaly onset is assigned by mission design and not by experiment.</w:t>
      </w:r>
    </w:p>
    <w:p>
      <w:pPr>
        <w:pStyle w:val="BodyText"/>
        <w:spacing w:line="480" w:lineRule="auto"/>
        <w:ind w:firstLine="720"/>
      </w:pPr>
      <w:r>
        <w:t xml:space="preserve">The central identification problem is confounding by mission class. Severe anomalies in demanding orbital regimes are both more likely to escalate and more likely to occur on flagship missions, and flagship missions tend to carry richer onboard autonomy and more conservative operational practice. A naive comparison of escalation rates between autonomy-active and ground-dependent episodes therefore conflates the effect of the recovery loop with the effect of everything else that travels with mission class. The reliability literature makes the structure of this confounding concrete: on-orbit failure rates are organized by subsystem and severity rather than being uniform across a fleet [11, 15], and component-level hazard is itself heterogeneous and time-varying across failure modes</w:t>
      </w:r>
      <w:r>
        <w:t xml:space="preserve"> </w:t>
      </w:r>
      <w:hyperlink w:anchor="ref-12">
        <w:r>
          <w:rPr>
            <w:rStyle w:val="Hyperlink"/>
          </w:rPr>
          <w:t xml:space="preserve">[12]</w:t>
        </w:r>
      </w:hyperlink>
      <w:r>
        <w:t xml:space="preserve">. Severity and orbital regime are thus not nuisance terms to be partialed out for tidiness; they are the principal backdoor paths between autonomy posture and escalation, and the identification of the autonomy effect stands or falls on whether they are adequately closed.</w:t>
      </w:r>
    </w:p>
    <w:p>
      <w:pPr>
        <w:pStyle w:val="BodyText"/>
        <w:spacing w:line="480" w:lineRule="auto"/>
        <w:ind w:firstLine="720"/>
      </w:pPr>
      <w:r>
        <w:t xml:space="preserve">The design closes them by direct conditioning. Severity enters as an ordinal covariate and orbital regime as a high-regime indicator, so the autonomy coefficient is estimated within the comparison of episodes that share a severity level and a regime class. Where the event count permits, the analysis additionally stratifies on anomaly class, allowing the baseline hazard itself to differ across propulsion, power, and control faults rather than assuming a single baseline across kinds of anomaly. Stratification is the stronger control because it removes between-class differences from the partial likelihood entirely instead of modeling them with a coefficient, and it is the route by which the dissertation guards against a misspecified functional form for severity contaminating the autonomy estimate.</w:t>
      </w:r>
    </w:p>
    <w:p>
      <w:pPr>
        <w:pStyle w:val="BodyText"/>
        <w:spacing w:line="480" w:lineRule="auto"/>
        <w:ind w:firstLine="720"/>
      </w:pPr>
      <w:r>
        <w:t xml:space="preserve">The identifying assumption can now be stated precisely. Conditional on anomaly class, severity, and orbital regime, autonomy posture at onset is taken to be independent of the unobserved escalation propensity of the episode. In words, within a stratum of comparable severity and regime, whether an anomaly happened to meet a closed onboard loop or a ground-dependent loop is assumed not to be driven by some further unmeasured feature that also drives whether it escalates. This is a conditional-ignorability assumption, and it is the single load-bearing premise of the causal reading. The dissertation does not assert it as self-evidently true. It states it explicitly, motivates it from the structure of how autonomy is provisioned, probes it against the data, and bounds its failure with a sensitivity analysis described in the next section. That posture, stating the assumption and then quantifying the cost of its violation rather than presuming it holds, is what distinguishes an identification strategy from an association reported under a causal label.</w:t>
      </w:r>
    </w:p>
    <w:p>
      <w:pPr>
        <w:pStyle w:val="BodyText"/>
        <w:spacing w:line="480" w:lineRule="auto"/>
        <w:ind w:firstLine="720"/>
      </w:pPr>
      <w:r>
        <w:t xml:space="preserve">Two features of the first study’s findings illustrate why the conditioning is doing real work rather than decorative work. Severity is the dominant and only resolved covariate, with each one-step rise in onset severity multiplying the escalation hazard by an estimated factor of 3.28 and a confidence interval that excludes one, while orbital regime adds little once severity is conditioned out, with a high-regime hazard ratio statistically indistinguishable from one. The autonomy point estimate of 0.68, a roughly one-third reduction, survives this conditioning but with an interval running from 0.16 to 2.91 that contains one. The protective sign persisting after the two most serious confounders are held fixed is more than a raw correlation would deliver, which is the identification strategy’s contribution; the width of the interval is the sample’s limitation, which the threats analysis addresses next. The second study, conditioning instead on attitude-control loss, returns a sharper protective autonomy hazard ratio of 0.14 with a p-value of 0.012, and the contrast between the two estimates is itself informative about how sensitive the autonomy term is to which confounders are represented.</w:t>
      </w:r>
    </w:p>
    <w:p>
      <w:pPr>
        <w:pStyle w:val="BodyText"/>
        <w:spacing w:line="480" w:lineRule="auto"/>
        <w:ind w:firstLine="720"/>
      </w:pPr>
      <w:r>
        <w:t xml:space="preserve">The second study also exposes a separation problem that the identification strategy handles by exclusion rather than by estimation. Every crewed episode in that sample was contained rather than escalated, which makes the crewed indicator a perfect predictor of non-escalation and produces quasi-complete separation in the partial likelihood. A maximum-likelihood coefficient on a perfectly separating covariate is driven to an uninformative extreme, so the crewed indicator is deliberately held out of the estimated model and reported only descriptively. This is an identification decision, not a data-cleaning convenience: estimating a coefficient that the likelihood cannot bound would corrupt the standard errors on the covariates that do carry the inference, and the descriptive treatment preserves the crewed signal, which is consistent with the autonomy reading under a human-in-the-loop interpretation, without poisoning the estimate of interest.</w:t>
      </w:r>
    </w:p>
    <w:bookmarkEnd w:id="111"/>
    <w:bookmarkStart w:id="112" w:name="X1d189e0776bd0a9225211f020d00b109bd29bed"/>
    <w:p>
      <w:pPr>
        <w:pStyle w:val="Heading2"/>
        <w:spacing w:line="480" w:lineRule="auto"/>
      </w:pPr>
      <w:r>
        <w:t xml:space="preserve">5.3 Threats to validity and how each is bounded</w:t>
      </w:r>
    </w:p>
    <w:p>
      <w:pPr>
        <w:pStyle w:val="FirstParagraph"/>
        <w:spacing w:line="480" w:lineRule="auto"/>
      </w:pPr>
      <w:r>
        <w:t xml:space="preserve">Four threats are material to the inference. The design’s claim is not that any of them is absent, but that each is bounded, so that the reader can see the size of the doubt rather than having it concealed.</w:t>
      </w:r>
    </w:p>
    <w:p>
      <w:pPr>
        <w:pStyle w:val="BodyText"/>
        <w:spacing w:line="480" w:lineRule="auto"/>
        <w:ind w:firstLine="720"/>
      </w:pPr>
      <w:r>
        <w:t xml:space="preserve">The first and most serious threat is truncation of the censored sample. Non-escalating anomalies are systematically underreported relative to fragmentations, because a recovered anomaly generates no debris cloud and frequently no public report, whereas a mishap generates a catalogued breakup event in the canonical public fragmentation record</w:t>
      </w:r>
      <w:r>
        <w:t xml:space="preserve"> </w:t>
      </w:r>
      <w:hyperlink w:anchor="ref-10">
        <w:r>
          <w:rPr>
            <w:rStyle w:val="Hyperlink"/>
          </w:rPr>
          <w:t xml:space="preserve">[10]</w:t>
        </w:r>
      </w:hyperlink>
      <w:r>
        <w:t xml:space="preserve">. The sampling frame is therefore truncated toward the catastrophic tail, which biases the estimated baseline hazard upward and over-represents events relative to the true on-orbit population. The design responds in three ways. It treats anomaly reporting as an explicit sampling process and reports the escalation results under stated reporting-completeness assumptions rather than as if the sample were a census. It constructs the censored arm deliberately from named recovery cases, the SOHO ground recovery</w:t>
      </w:r>
      <w:r>
        <w:t xml:space="preserve"> </w:t>
      </w:r>
      <w:hyperlink w:anchor="ref-18">
        <w:r>
          <w:rPr>
            <w:rStyle w:val="Hyperlink"/>
          </w:rPr>
          <w:t xml:space="preserve">[18]</w:t>
        </w:r>
      </w:hyperlink>
      <w:r>
        <w:t xml:space="preserve">, reaction-wheel-failure recoveries, aborted-burn recoveries, and onboard-fault-protection stabilizations, so that the non-escalating tail is populated from documented sources rather than left empty. And it observes the direction of the bias: because the truncation removes censored episodes preferentially, a more completely reported censored sample would, if anything, strengthen rather than weaken the protective autonomy estimate. The threat is real, its direction is known, and its correction can only move the headline number in the direction the hypothesis predicts. That is the sense in which it is bounded.</w:t>
      </w:r>
    </w:p>
    <w:p>
      <w:pPr>
        <w:pStyle w:val="BodyText"/>
        <w:spacing w:line="480" w:lineRule="auto"/>
        <w:ind w:firstLine="720"/>
      </w:pPr>
      <w:r>
        <w:t xml:space="preserve">The second threat is confounding by mission class, the same backdoor path that the identification strategy targets, now considered as a residual after conditioning. Even with severity and regime held fixed, an unobserved mission-class feature could in principle drive both autonomy provisioning and escalation propensity, violating conditional ignorability. The design bounds this with a sensitivity analysis that asks how strong such an unobserved confounder would have to be, in its joint association with both autonomy posture and escalation, to move the autonomy hazard ratio across the value one. Reporting that threshold converts an unfalsifiable worry into a quantity the reader can weigh against domain knowledge about how missions are actually equipped. Where the first study’s autonomy interval already spans one, the sensitivity analysis additionally clarifies that the open question is precision rather than a hidden confounder of implausible strength, and it locates the burden of resolution on sample size rather than on an unmeasured variable.</w:t>
      </w:r>
    </w:p>
    <w:p>
      <w:pPr>
        <w:pStyle w:val="BodyText"/>
        <w:spacing w:line="480" w:lineRule="auto"/>
        <w:ind w:firstLine="720"/>
      </w:pPr>
      <w:r>
        <w:t xml:space="preserve">The third threat is the definition of time zero. The escalation clock depends on when onset is declared, and the detection logic that declares it varies across the telemetry-anomaly systems that the literature has formalized [2, 3]. If the autonomy coefficient were an artifact of when the clock is started, the result would not be robust. The design bounds this by re-estimating the model under alternative onset definitions and reporting whether the autonomy coefficient is stable across them. A small subset of durations, fewer than one row in seven across the two studies, are onset-to-terminal micro-windows for abrupt launch-phase or reentry events that no public source times to the minute; these are flagged in the source column and bounded conservatively, and because they affect duration rather than the event labels or the autonomy covariate, their imprecision touches the baseline hazard rather than the inference of interest. The robustness check is therefore aimed at the dimension where time-zero ambiguity could plausibly bite, and the conservative bounding of the unconstrained micro-windows keeps them from masquerading as informative durations.</w:t>
      </w:r>
    </w:p>
    <w:p>
      <w:pPr>
        <w:pStyle w:val="BodyText"/>
        <w:spacing w:line="480" w:lineRule="auto"/>
        <w:ind w:firstLine="720"/>
      </w:pPr>
      <w:r>
        <w:t xml:space="preserve">The fourth threat is measurement error in the treatment covariate itself. The closed-loop versus ground-loop distinction is coded from investigation records and mission documentation of uneven depth, and the autonomy indicator captures whether autonomy functioned during the episode rather than how capable the onboard function was. The design bounds this in two ways. It anchors the coding to the explicit operational definition of fault detection, isolation, and recovery in the self-removal and autonomous-fault-management literature [8, 9, 16], so that the binary is applied against a fixed referent rather than an analyst’s intuition. And it double-codes the autonomy indicator and reports inter-coder agreement, so that measurement error in the treatment is visible rather than hidden. Residual misclassification that remains after this procedure is nondifferential with respect to the outcome under the coding protocol, which attenuates the autonomy coefficient toward one rather than inflating it; the protective estimates in both studies are therefore conservative with respect to this threat. The coarseness of a functioned-or-not indicator is acknowledged as a ceiling on what the present data can resolve about autonomy capability, and refining it into a graded measure is identified as the principal measurement extension rather than as a flaw to be argued away.</w:t>
      </w:r>
    </w:p>
    <w:p>
      <w:pPr>
        <w:pStyle w:val="BodyText"/>
        <w:spacing w:line="480" w:lineRule="auto"/>
        <w:ind w:firstLine="720"/>
      </w:pPr>
      <w:r>
        <w:t xml:space="preserve">A fifth consideration, the proportional-hazards assumption that the estimator imposes, is internal to the Cox specification rather than to the data, and it is treated as a modeling check rather than a threat to identification. The assumption holds that the hazard ratio on each covariate is constant over time at risk. Because the autonomy mechanism is explicitly a first-interval mechanism, a closed loop acting before the cascade develops, the dissertation has a substantive reason to inspect whether the autonomy effect is concentrated early, and the analysis reports the relevant diagnostic. Where the effect is plausibly time-varying, the appropriate response is a stratified or interacted specification rather than abandonment of the survival framing, and the chapter flags this as a refinement available within the same estimator family.</w:t>
      </w:r>
    </w:p>
    <w:p>
      <w:pPr>
        <w:pStyle w:val="BodyText"/>
        <w:spacing w:line="480" w:lineRule="auto"/>
        <w:ind w:firstLine="720"/>
      </w:pPr>
      <w:r>
        <w:t xml:space="preserve">Taken together, the four bounded threats and the one modeling check define the envelope of the dissertation’s claim. The estimator is adequate to the task; the escalation-event count, not the specification, is what governs the width of the autonomy interval, and the path to a tighter interval is an expanded catalogue drawn from the same public fragmentation and anomaly-board records rather than a different model. The threats analysis does not promise an unbiased point estimate. It promises that each source of doubt is named, signed where its direction is known, and quantified where its magnitude can be probed, so that the single parameter on which the dissertation stands is reported with its uncertainty intact rather than with its uncertainty obscured. That discipline, more than any single coefficient, is what the methods are designed to deliver.</w:t>
      </w:r>
    </w:p>
    <w:bookmarkEnd w:id="112"/>
    <w:bookmarkEnd w:id="113"/>
    <w:bookmarkStart w:id="123"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dissertation. Both studies estimate the same object, the conditional hazard that an in-orbit anomaly escalates to a mission-ending mishap, using the same estimator, the Cox proportional-hazards model fit by partial likelihood. They differ in the covariate set placed on the right-hand side and in the curated event catalogue assembled to fit it. Study 1 holds the autonomy-posture claim to its strictest test, conditioning the closed-loop covariate on both anomaly severity and orbital regime and asking whether the autonomy coefficient survives that conditioning. Study 2 relaxes the confounder set to the two onset conditions that the reliability and fault-management literatures identify as the proximate drivers of cascade, functioning onboard autonomy and loss of attitude control, and estimates their joint effect on the escalation hazard. Read together, the two studies do not return a single verdict. They return a structured disagreement that is itself the most informative result of the work, and the chapter is organized to make that disagreement legible rather than to paper over it.</w:t>
      </w:r>
    </w:p>
    <w:p>
      <w:pPr>
        <w:pStyle w:val="BodyText"/>
        <w:spacing w:line="480" w:lineRule="auto"/>
        <w:ind w:firstLine="720"/>
      </w:pPr>
      <w:r>
        <w:t xml:space="preserve">The presentation proceeds estimate by estimate. For each coefficient I report the partial-likelihood point estimate, its standard error, the implied hazard ratio, the 95 percent confidence interval on that ratio, and the p-value, and I then state plainly what the number licenses and what it does not. The tables, the dataset, the model formulas, and the diagnostic figures are embedded as Appendix A and are not reproduced here; the discussion below refers to the estimator output directly. Throughout, the interpretive discipline announced in the prospectus governs: the headline claim of the dissertation is staked on a single number, the escalation hazard ratio attributable to closed-loop onboard autonomy, and that number is allowed to mean only what its interval permits.</w:t>
      </w:r>
    </w:p>
    <w:bookmarkStart w:id="117" w:name="X6cd3ed74da20f1c1820842cac4c8d595c978762"/>
    <w:p>
      <w:pPr>
        <w:pStyle w:val="Heading2"/>
        <w:spacing w:line="480" w:lineRule="auto"/>
      </w:pPr>
      <w:r>
        <w:t xml:space="preserve">6.1 Study 1: the three-covariate model with severity and regime conditioned out</w:t>
      </w:r>
    </w:p>
    <w:p>
      <w:pPr>
        <w:pStyle w:val="FirstParagraph"/>
        <w:spacing w:line="480" w:lineRule="auto"/>
      </w:pPr>
      <w:r>
        <w:t xml:space="preserve">Study 1 fits thirty anomaly episodes, fifteen of which ended in a mission-ending mishap and are coded as events, and fifteen of which were recovered and are right-censored at resolution. The model carries three onset covariates: a binary indicator for closed-loop onboard fault detection, isolation, and recovery at anomaly onset; an ordinal severity score; and a binary high-regime indicator that separates low Earth orbit from the more demanding regimes of medium and geostationary orbit, cislunar and interplanetary space, and the entry-descent-landing phase. The estimator converged on thirty episodes with fifteen events, and the partial-likelihood fit is the basis for every quantity reported below.</w:t>
      </w:r>
    </w:p>
    <w:bookmarkStart w:id="114" w:name="severity-is-the-only-resolved-covariate"/>
    <w:p>
      <w:pPr>
        <w:pStyle w:val="Heading3"/>
        <w:spacing w:line="480" w:lineRule="auto"/>
      </w:pPr>
      <w:r>
        <w:t xml:space="preserve">6.1.1 Severity is the only resolved covariate</w:t>
      </w:r>
    </w:p>
    <w:p>
      <w:pPr>
        <w:pStyle w:val="FirstParagraph"/>
        <w:spacing w:line="480" w:lineRule="auto"/>
      </w:pPr>
      <w:r>
        <w:t xml:space="preserve">The severity coefficient is estimated at 1.1865 with a standard error of 0.4966. Exponentiating the coefficient yields a hazard ratio of approximately 3.28, so each one-step rise in onset severity multiplies the instantaneous hazard of escalation by a factor of roughly three and a third, holding autonomy posture and regime fixed. The 95 percent confidence interval on this hazard ratio runs from approximately 1.24 to 8.67, and the p-value is 0.017. This is the only covariate in Study 1 whose interval excludes one, and it does so cleanly: the entire interval lies above unity, so the data reject the null of no severity effect at conventional levels.</w:t>
      </w:r>
    </w:p>
    <w:p>
      <w:pPr>
        <w:pStyle w:val="BodyText"/>
        <w:spacing w:line="480" w:lineRule="auto"/>
        <w:ind w:firstLine="720"/>
      </w:pPr>
      <w:r>
        <w:t xml:space="preserve">The substantive reading is that what an anomaly looks like at the moment of onset is the firmest available predictor of whether it ends the mission. A degraded but bounded subsystem fault and an uncontrolled spin are not interchangeable starting conditions; the second carries more than three times the per-interval escalation hazard of a state one step milder on the severity scale. This finding aligns the survival estimate with the reliability literature that motivated the confounder, which establishes that on-orbit failure rates are structured by subsystem and severity rather than uniform across a fleet</w:t>
      </w:r>
      <w:r>
        <w:t xml:space="preserve"> </w:t>
      </w:r>
      <w:hyperlink w:anchor="ref-11">
        <w:r>
          <w:rPr>
            <w:rStyle w:val="Hyperlink"/>
          </w:rPr>
          <w:t xml:space="preserve">[11]</w:t>
        </w:r>
      </w:hyperlink>
      <w:r>
        <w:t xml:space="preserve"> </w:t>
      </w:r>
      <w:r>
        <w:t xml:space="preserve">and that the same hazard heterogeneity persists down to the component level under accelerated-life modeling</w:t>
      </w:r>
      <w:r>
        <w:t xml:space="preserve"> </w:t>
      </w:r>
      <w:hyperlink w:anchor="ref-12">
        <w:r>
          <w:rPr>
            <w:rStyle w:val="Hyperlink"/>
          </w:rPr>
          <w:t xml:space="preserve">[12]</w:t>
        </w:r>
      </w:hyperlink>
      <w:r>
        <w:t xml:space="preserve">. The contribution of Study 1 here is to carry that severity structure forward from the reliability of the part to the escalation of the episode and to confirm that severity remains the dominant ordering principle once it is placed inside a time-to-event model of the cascade itself. The width of the interval, from 1.24 to 8.67, is a reminder that thirty episodes with fifteen events estimate the magnitude of the severity effect only loosely even though its sign and significance are secure; the lower bound of 1.24 is the conservative floor a program manager should treat as established, not the point estimate of 3.28.</w:t>
      </w:r>
    </w:p>
    <w:bookmarkEnd w:id="114"/>
    <w:bookmarkStart w:id="115" w:name="X569b03bd7969e3a594eade3ad24591af49bfe4e"/>
    <w:p>
      <w:pPr>
        <w:pStyle w:val="Heading3"/>
        <w:spacing w:line="480" w:lineRule="auto"/>
      </w:pPr>
      <w:r>
        <w:t xml:space="preserve">6.1.2 Orbital regime adds nothing once severity is held fixed</w:t>
      </w:r>
    </w:p>
    <w:p>
      <w:pPr>
        <w:pStyle w:val="FirstParagraph"/>
        <w:spacing w:line="480" w:lineRule="auto"/>
      </w:pPr>
      <w:r>
        <w:t xml:space="preserve">The high-regime coefficient is estimated at 0.2809 with a standard error of 0.6924, for a hazard ratio of approximately 1.32. The 95 percent confidence interval runs from approximately 0.34 to 5.15, and the p-value is 0.685. The interval is wide and straddles one by a large margin on both sides, so the estimate is statistically indistinguishable from no effect. The point estimate is mildly above unity, which is consistent with the intuition that more demanding regimes are harsher places to suffer an anomaly, but the data provide no warrant for that intuition once severity is conditioned out.</w:t>
      </w:r>
    </w:p>
    <w:p>
      <w:pPr>
        <w:pStyle w:val="BodyText"/>
        <w:spacing w:line="480" w:lineRule="auto"/>
        <w:ind w:firstLine="720"/>
      </w:pPr>
      <w:r>
        <w:t xml:space="preserve">This is an important null, not a throwaway one. The prospectus identified severity and regime jointly as the principal confounders of the autonomy effect, on the reasoning that severe anomalies in demanding regimes are both more likely to escalate and more likely to occur on flagship missions carrying richer autonomy. Study 1 finds that, of the two, severity does the explanatory work and regime does almost none after severity is in the model. The most plausible mechanism is that regime is largely absorbed by severity and by the autonomy covariate it correlates with: the demanding-regime missions in the sample tend to present their anomalies at higher severity and to carry closed-loop recovery, so once those two channels are conditioned, the residual regime signal is thin. For the identification strategy this is reassuring, because it means the autonomy coefficient is not being purchased by an omitted regime effect masquerading as autonomy; regime is in the model and is inert.</w:t>
      </w:r>
    </w:p>
    <w:bookmarkEnd w:id="115"/>
    <w:bookmarkStart w:id="116" w:name="X3b84b291912f93ed81cd998a6cd05dce3452fe2"/>
    <w:p>
      <w:pPr>
        <w:pStyle w:val="Heading3"/>
        <w:spacing w:line="480" w:lineRule="auto"/>
      </w:pPr>
      <w:r>
        <w:t xml:space="preserve">6.1.3 The autonomy estimate: directionally favorable, statistically unresolved</w:t>
      </w:r>
    </w:p>
    <w:p>
      <w:pPr>
        <w:pStyle w:val="FirstParagraph"/>
        <w:spacing w:line="480" w:lineRule="auto"/>
      </w:pPr>
      <w:r>
        <w:t xml:space="preserve">The closed-loop autonomy coefficient is the dissertation’s stake, and its estimate is the pivot on which the whole study turns. It is estimated at -0.3858 with a standard error of 0.7418. Exponentiating yields a hazard ratio of approximately 0.68, a reduction of roughly one-third in the instantaneous escalation hazard for an anomaly that meets a closed onboard loop at onset relative to one that depends on ground-loop recovery, holding severity and regime fixed. The sign is the sign that hypothesis H1 predicted, and the magnitude is operationally meaningful: a one-third hazard reduction, if real, would be a substantial mission-assurance lever.</w:t>
      </w:r>
    </w:p>
    <w:p>
      <w:pPr>
        <w:pStyle w:val="BodyText"/>
        <w:spacing w:line="480" w:lineRule="auto"/>
        <w:ind w:firstLine="720"/>
      </w:pPr>
      <w:r>
        <w:t xml:space="preserve">The estimate is, however, imprecise. The standard error on the coefficient, 0.7418, is nearly twice the magnitude of the coefficient itself, and the 95 percent confidence interval on the hazard ratio runs from approximately 0.16 to 2.91. The p-value is 0.603. The interval contains one, and it contains it comfortably, spanning from a strong protective effect at the low end to a more than doubling of the hazard at the high end. By the falsification rule fixed in advance in the prospectus, this result does not confirm H1. A hazard ratio whose confidence interval spans one cannot reject the null that autonomy posture has no conditional effect on escalation, even though the point estimate sits below one and is consistent with the closed-loop timing mechanism articulated in the autonomy literature</w:t>
      </w:r>
      <w:r>
        <w:t xml:space="preserve"> </w:t>
      </w:r>
      <w:hyperlink w:anchor="ref-4">
        <w:r>
          <w:rPr>
            <w:rStyle w:val="Hyperlink"/>
          </w:rPr>
          <w:t xml:space="preserve">[4]</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The honest reading of Study 1 is therefore two-part, and the discipline of the single-parameter design is what makes the two parts legible rather than evasive. The protective sign on autonomy survives conditioning on the two confounders the reliability literature flags as most serious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which is strictly more than a raw bivariate correlation would deliver, because a spurious autonomy effect riding on severity or regime would have been attenuated by the conditioning and the central estimate would have collapsed toward one; it did not. At the same time, the sample does not carry enough escalation events to separate a genuine one-third reduction from sampling noise, and the width of the interval is the direct fingerprint of the fifteen-event count. At this sample size, severity is the established lever and autonomy posture is a promising but unproven one. The model is explicitly constructed not to let an attractive point estimate of 0.68 be read as a finding, and it is not read as one here.</w:t>
      </w:r>
    </w:p>
    <w:bookmarkEnd w:id="116"/>
    <w:bookmarkEnd w:id="117"/>
    <w:bookmarkStart w:id="120" w:name="X1a552350e1517ae13999bc6929bd7578905134f"/>
    <w:p>
      <w:pPr>
        <w:pStyle w:val="Heading2"/>
        <w:spacing w:line="480" w:lineRule="auto"/>
      </w:pPr>
      <w:r>
        <w:t xml:space="preserve">6.2 Study 2: the two-covariate model of onset conditions</w:t>
      </w:r>
    </w:p>
    <w:p>
      <w:pPr>
        <w:pStyle w:val="FirstParagraph"/>
        <w:spacing w:line="480" w:lineRule="auto"/>
      </w:pPr>
      <w:r>
        <w:t xml:space="preserve">Study 2 re-estimates the escalation hazard on an independently compiled catalogue of thirty-two documented on-orbit and launch-phase anomaly events, sixteen of which escalated to a mishap and sixteen of which were recovered or contained. The outcome is balanced by construction, which is well suited to hazard estimation, and the model carries two onset covariates rather than three: a binary indicator for functioning onboard autonomy during the event and a binary indicator for loss of attitude control. The Cox model is again fit by partial likelihood, and it converged on thirty-two events with sixteen escalations.</w:t>
      </w:r>
    </w:p>
    <w:p>
      <w:pPr>
        <w:pStyle w:val="BodyText"/>
        <w:spacing w:line="480" w:lineRule="auto"/>
        <w:ind w:firstLine="720"/>
      </w:pPr>
      <w:r>
        <w:t xml:space="preserve">A design choice in this study warrants its own statement because it shapes how the estimates should be read. A crewed indicator is present in the data but is deliberately excluded from the estimated model and discussed only descriptively. All four crewed events in the sample were contained rather than escalated, which makes crew presence a perfect predictor of non-escalation. Entered into the hazard model, that perfect prediction produces quasi-complete separation and drives the maximum-likelihood coefficient to an uninformative extreme with an unbounded standard error. Holding the crewed indicator out of the estimated model and reporting its pattern descriptively preserves the signal without corrupting the two coefficients that carry the inference. This is the correct handling of a separated covariate, and it is the reason the estimated model is a two-covariate model and not a three-covariate one.</w:t>
      </w:r>
    </w:p>
    <w:bookmarkStart w:id="118" w:name="X463824184f54cbb372e1616e9ea2b03d30566fa"/>
    <w:p>
      <w:pPr>
        <w:pStyle w:val="Heading3"/>
        <w:spacing w:line="480" w:lineRule="auto"/>
      </w:pPr>
      <w:r>
        <w:t xml:space="preserve">6.2.1 Functioning autonomy: a large and resolved protective effect</w:t>
      </w:r>
    </w:p>
    <w:p>
      <w:pPr>
        <w:pStyle w:val="FirstParagraph"/>
        <w:spacing w:line="480" w:lineRule="auto"/>
      </w:pPr>
      <w:r>
        <w:t xml:space="preserve">The autonomy coefficient in Study 2 is estimated at -1.9325 with a standard error of 0.7697. Exponentiating yields a hazard ratio of approximately 0.14. Read on the natural scale, an event in which onboard autonomy was functioning during the anomaly carried roughly an 86 percent lower instantaneous hazard of escalating to a mishap than an event that depended on the ground command loop, holding the attitude-loss indicator fixed. The p-value is 0.012, and the estimate is statistically significant at conventional levels. The standard error of 0.7697 is smaller than the magnitude of the coefficient, so the estimate is resolved away from zero, which is precisely the property the autonomy coefficient lacked in Study 1.</w:t>
      </w:r>
    </w:p>
    <w:p>
      <w:pPr>
        <w:pStyle w:val="BodyText"/>
        <w:spacing w:line="480" w:lineRule="auto"/>
        <w:ind w:firstLine="720"/>
      </w:pPr>
      <w:r>
        <w:t xml:space="preserve">This is the strongest result in the dissertation, and it supports hypothesis H1 of Study 2 directly. The substantive interpretation is that the locus of the recovery loop, not merely the presence of a fault, governs escalation. A spacecraft that can detect, safe, and hold itself without waiting for a ground pass acts inside the first interval after onset, the interval in which the anomaly is most arrestable and before degraded states cascade into one another. The estimated hazard ratio of 0.14 is large enough to change how autonomy investment should be understood: it implies that autonomous fault detection and robust safe modes function less like incremental reliability improvements and more like a brake applied directly to the escalation process. That quantified interpretation gives empirical weight to the fault-management literature, which had argued the mechanism qualitatively, that onboard detection and safing arrest a developing failure before it propagates</w:t>
      </w:r>
      <w:r>
        <w:t xml:space="preserve"> </w:t>
      </w:r>
      <w:hyperlink w:anchor="ref-16">
        <w:r>
          <w:rPr>
            <w:rStyle w:val="Hyperlink"/>
          </w:rPr>
          <w:t xml:space="preserve">[16]</w:t>
        </w:r>
      </w:hyperlink>
      <w:r>
        <w:t xml:space="preserve">, and to the broader knowledge-graph framing in which an anomaly can rapidly escalate into a catastrophic mission-ending failure if the recovery loop is too slow</w:t>
      </w:r>
      <w:r>
        <w:t xml:space="preserve"> </w:t>
      </w:r>
      <w:hyperlink w:anchor="ref-13">
        <w:r>
          <w:rPr>
            <w:rStyle w:val="Hyperlink"/>
          </w:rPr>
          <w:t xml:space="preserve">[13]</w:t>
        </w:r>
      </w:hyperlink>
      <w:r>
        <w:t xml:space="preserve">.</w:t>
      </w:r>
    </w:p>
    <w:p>
      <w:pPr>
        <w:pStyle w:val="BodyText"/>
        <w:spacing w:line="480" w:lineRule="auto"/>
        <w:ind w:firstLine="720"/>
      </w:pPr>
      <w:r>
        <w:t xml:space="preserve">The result is also internally coherent with the structure of the sample. The handful of autonomy-active events that nonetheless escalated were dominated by abrupt structural or rendezvous failures that left essentially no recovery interval for any loop, onboard or ground, to act within; the larger group of autonomy-active events was recovered. The protective coefficient is therefore not an artifact of autonomy being assigned only to easy cases, because the autonomy-active escalations are present in the data and the estimate accommodates them. The width of the inference is bounded by the same thirty-two-event ceiling that constrains everything in this work, and the standard error of 0.7697 should be carried forward honestly, but the autonomy estimate clears the falsification bar that the Study 1 autonomy estimate did not.</w:t>
      </w:r>
    </w:p>
    <w:bookmarkEnd w:id="118"/>
    <w:bookmarkStart w:id="119" w:name="X60e7b272d89c9391b0ca709519f66bc5a6734bd"/>
    <w:p>
      <w:pPr>
        <w:pStyle w:val="Heading3"/>
        <w:spacing w:line="480" w:lineRule="auto"/>
      </w:pPr>
      <w:r>
        <w:t xml:space="preserve">6.2.2 Attitude loss: the right sign, no resolution</w:t>
      </w:r>
    </w:p>
    <w:p>
      <w:pPr>
        <w:pStyle w:val="FirstParagraph"/>
        <w:spacing w:line="480" w:lineRule="auto"/>
      </w:pPr>
      <w:r>
        <w:t xml:space="preserve">The attitude-loss coefficient is estimated at 0.2291 with a standard error of 0.5252, for a hazard ratio of approximately 1.26. The point estimate points in the hypothesized accelerant direction: anomalies involving loss of attitude control carried a higher estimated instantaneous hazard of escalation, consistent with the physical argument that a tumbling or mispointed vehicle loses solar input, drains its batteries, and runs toward a thermal or power-starvation terminal state on a fast clock. The p-value, however, is 0.663, so the association is not statistically significant, and hypothesis H2 is directionally supported but not confirmed in this sample.</w:t>
      </w:r>
    </w:p>
    <w:p>
      <w:pPr>
        <w:pStyle w:val="BodyText"/>
        <w:spacing w:line="480" w:lineRule="auto"/>
        <w:ind w:firstLine="720"/>
      </w:pPr>
      <w:r>
        <w:t xml:space="preserve">The most plausible reason the attitude-loss coefficient fails to resolve is that attitude loss is common to both arms of the data and therefore has weak discriminating power once autonomy is in the model. It appears in fast escalations and also in events that were ultimately recovered through working autonomy or timely ground action. Because attitude loss occurs on both sides of the outcome, it cannot by itself separate escalations from recoveries, and the autonomy covariate captures much of the variation that distinguishes the two. The radiation and space-weather literature makes the companion point about how a localized upset can drive a system-level cascade</w:t>
      </w:r>
      <w:r>
        <w:t xml:space="preserve"> </w:t>
      </w:r>
      <w:hyperlink w:anchor="ref-19">
        <w:r>
          <w:rPr>
            <w:rStyle w:val="Hyperlink"/>
          </w:rPr>
          <w:t xml:space="preserve">[19]</w:t>
        </w:r>
      </w:hyperlink>
      <w:r>
        <w:t xml:space="preserve">, which is the mechanism the attitude-loss covariate is meant to proxy, but the sample at thirty-two events does not contain enough independent attitude-loss escalations, net of autonomy, to estimate that mechanism precisely. The coefficient is best read as a correctly signed but unresolved estimate that a larger catalogue, one that separates attitude loss in the presence and absence of working autonomy, would be needed to pin down.</w:t>
      </w:r>
    </w:p>
    <w:p>
      <w:pPr>
        <w:pStyle w:val="BodyText"/>
        <w:spacing w:line="480" w:lineRule="auto"/>
        <w:ind w:firstLine="720"/>
      </w:pPr>
      <w:r>
        <w:t xml:space="preserve">The descriptive crewed pattern is consistent with the autonomy finding read broadly. The crewed vehicles combined human-in-the-loop judgment with long design-reserve safe modes, and none of their anomalies escalated within the observation window. That pattern is reported as context rather than estimate, for the separation reason given above, but it points in the same direction as the autonomy coefficient: a fast, capable recovery loop, whether automated onboard or supplied by a trained crew with deep margins, is what keeps an anomaly from becoming a mishap.</w:t>
      </w:r>
    </w:p>
    <w:bookmarkEnd w:id="119"/>
    <w:bookmarkEnd w:id="120"/>
    <w:bookmarkStart w:id="121" w:name="reconciling-the-two-autonomy-estimates"/>
    <w:p>
      <w:pPr>
        <w:pStyle w:val="Heading2"/>
        <w:spacing w:line="480" w:lineRule="auto"/>
      </w:pPr>
      <w:r>
        <w:t xml:space="preserve">6.3 Reconciling the two autonomy estimates</w:t>
      </w:r>
    </w:p>
    <w:p>
      <w:pPr>
        <w:pStyle w:val="FirstParagraph"/>
        <w:spacing w:line="480" w:lineRule="auto"/>
      </w:pPr>
      <w:r>
        <w:t xml:space="preserve">The two studies place the autonomy coefficient in different places relative to the significance threshold, and the reconciliation of that difference is the central interpretive task of this chapter. Study 1 estimates the closed-loop autonomy coefficient at -0.3858, a hazard ratio of about 0.68, with a p-value of 0.603 and an interval that contains one. Study 2 estimates the functioning-autonomy coefficient at -1.9325, a hazard ratio of about 0.14, with a p-value of 0.012 and an estimate resolved away from one. Both coefficients are negative, so both studies agree on the sign and therefore on the direction of the mechanism: autonomy lowers the escalation hazard. They disagree on magnitude and on resolution.</w:t>
      </w:r>
    </w:p>
    <w:p>
      <w:pPr>
        <w:pStyle w:val="BodyText"/>
        <w:spacing w:line="480" w:lineRule="auto"/>
        <w:ind w:firstLine="720"/>
      </w:pPr>
      <w:r>
        <w:t xml:space="preserve">Three differences between the studies account for the gap, and none of them implies that either estimate is wrong. The first is the covariate set. Study 1 conditions autonomy on severity and regime simultaneously, and the severity covariate is doing strong, resolved work in that model; some of the protective signal that a bivariate view would attribute to autonomy is, in Study 1, correctly absorbed by severity, which pulls the autonomy hazard ratio toward one and inflates its standard error. Study 2 conditions only on attitude loss, which is itself unresolved, so the autonomy coefficient in Study 2 is not competing with a strong severity term for the same variance and is free to take a larger, sharper value. The second difference is the operationalization of the treatment. Study 1 codes autonomy posture as the presence of a closed FDIR loop at onset; Study 2 codes whether onboard autonomy was functioning during the event. The second coding is closer to the realized recovery and is mechanically more strongly associated with the outcome, which is consistent with its larger coefficient. The third difference is the event catalogue: the two studies were compiled from overlapping but distinct source sets, so the two estimates are not two draws from one sample but two related estimates from two samples, and a magnitude difference between them is expected.</w:t>
      </w:r>
    </w:p>
    <w:p>
      <w:pPr>
        <w:pStyle w:val="BodyText"/>
        <w:spacing w:line="480" w:lineRule="auto"/>
        <w:ind w:firstLine="720"/>
      </w:pPr>
      <w:r>
        <w:t xml:space="preserve">The defensible synthesis is conservative. The dissertation has one estimate of the autonomy effect that survives the strictest available conditioning but does not reach significance, and a second estimate that is large and significant but conditions on a thinner confounder set. The sign is consistent across both, which is more than sampling noise alone would reliably produce, but the magnitude is sample- and specification-dependent, and the strict-conditioning estimate, the one in Study 1, is the one the prospectus committed to as the headline number. On that commitment, the headline verdict is the divided one: the autonomy effect is directionally consistent with the closed-loop timing argument and statistically unresolved under full conditioning, while severity is resolved and large. Study 2 raises the posterior weight on a real protective effect without overturning the falsification rule, because the rule was written against the fully conditioned Study 1 estimate, and that estimate still spans one.</w:t>
      </w:r>
    </w:p>
    <w:bookmarkEnd w:id="121"/>
    <w:bookmarkStart w:id="122" w:name="summary-of-findings"/>
    <w:p>
      <w:pPr>
        <w:pStyle w:val="Heading2"/>
        <w:spacing w:line="480" w:lineRule="auto"/>
      </w:pPr>
      <w:r>
        <w:t xml:space="preserve">6.4 Summary of findings</w:t>
      </w:r>
    </w:p>
    <w:p>
      <w:pPr>
        <w:pStyle w:val="FirstParagraph"/>
        <w:spacing w:line="480" w:lineRule="auto"/>
      </w:pPr>
      <w:r>
        <w:t xml:space="preserve">Four results stand at the close of this chapter. First, severity is the firmest predictor of escalation in the data: each one-step rise in onset severity multiplies the escalation hazard by an estimated 3.28 (95 percent interval 1.24 to 8.67, p = 0.017), and it is the only covariate in the fully conditioned model whose interval excludes one. Second, orbital regime is inert once severity is conditioned out, with a hazard ratio of 1.32 (interval 0.34 to 5.15, p = 0.685) that the data cannot distinguish from one, which simultaneously closes off a rival explanation and clears the autonomy coefficient of an omitted regime effect. Third, the autonomy posture covariate, the dissertation’s staked parameter, returns a hazard ratio of 0.68 under full conditioning in Study 1 with a standard error of 0.7418, a p-value of 0.603, and an interval from 0.16 to 2.91 that contains one, so it does not confirm H1; the protective sign is real and survives conditioning, but the magnitude is unresolved at fifteen events. Fourth, when the model is re-estimated on the thirty-two-event catalogue conditioning only on attitude loss, functioning autonomy returns a hazard ratio of 0.14 with a standard error of 0.7697 and a p-value of 0.012, a large and significant protective effect, while attitude loss is correctly signed at a hazard ratio of 1.26 but unresolved (p = 0.663).</w:t>
      </w:r>
    </w:p>
    <w:p>
      <w:pPr>
        <w:pStyle w:val="BodyText"/>
        <w:spacing w:line="480" w:lineRule="auto"/>
        <w:ind w:firstLine="720"/>
      </w:pPr>
      <w:r>
        <w:t xml:space="preserve">The through-line is that escalation is a process that unfolds in time, and the conditions that lengthen the time an anomaly remains arrestable are the conditions that keep it from becoming a mishap. Severity sets how fast that clock runs, and the data establish its effect firmly. Autonomy posture is the lever the dissertation set out to price, and the data establish its sign and its mechanism but, under the strict conditioning the headline claim was staked on, not yet its magnitude with confidence. The path to resolving the autonomy question is sample size rather than a different estimator: the same Cox specification applied to a catalogue several times larger, drawn from the same public fragmentation and anomaly-board records, would tighten the fully conditioned autonomy interval enough either to pull it below one or to close the question. Chapter 7 takes up what these findings imply for mission-assurance investment, for the identification assumptions that condition them, and for the expansion that would convert the promising autonomy estimate into a confirmed one.</w:t>
      </w:r>
    </w:p>
    <w:bookmarkEnd w:id="122"/>
    <w:bookmarkEnd w:id="123"/>
    <w:bookmarkStart w:id="131" w:name="X21322cb5e29cbf4eb576afddcad42f86ace4e0d"/>
    <w:p>
      <w:pPr>
        <w:pStyle w:val="Heading1"/>
        <w:spacing w:line="480" w:lineRule="auto"/>
      </w:pPr>
      <w:r>
        <w:t xml:space="preserve">Chapter 7. Discussion and Governance Implications</w:t>
      </w:r>
    </w:p>
    <w:bookmarkStart w:id="124" w:name="Xc631fc538f21beadeb8bc7c8ef4b93063a39b96"/>
    <w:p>
      <w:pPr>
        <w:pStyle w:val="Heading2"/>
        <w:spacing w:line="480" w:lineRule="auto"/>
      </w:pPr>
      <w:r>
        <w:t xml:space="preserve">7.1 What the Dissertation Established and What It Did Not</w:t>
      </w:r>
    </w:p>
    <w:p>
      <w:pPr>
        <w:pStyle w:val="FirstParagraph"/>
        <w:spacing w:line="480" w:lineRule="auto"/>
      </w:pPr>
      <w:r>
        <w:t xml:space="preserve">This dissertation set out to answer a conditional question that the mission-assurance community has largely left unmodeled. The detection literature establishes when an anomaly begins [2, 3], and the event-characterization literature establishes what an anomaly leaves behind when it ends a mission [5, 6, 7], but neither follows the post-onset trajectory that decides whether a recoverable anomaly becomes a mission-ending mishap. The escalation process is the object that sits between the alarm and the debris cloud, and it is the object this work modeled directly. By treating each documented anomaly as opening a clock that runs from onset until the spacecraft either recovers, in which case the episode is right-censored, or crosses into mishap, in which case the episode is an event, the dissertation converted a familiar narrative form, the post-event mishap board, into an estimable hazard. That conversion is the durable contribution, and it survives independent of any single coefficient.</w:t>
      </w:r>
    </w:p>
    <w:p>
      <w:pPr>
        <w:pStyle w:val="BodyText"/>
        <w:spacing w:line="480" w:lineRule="auto"/>
        <w:ind w:firstLine="720"/>
      </w:pPr>
      <w:r>
        <w:t xml:space="preserve">The empirical results are more interesting than a clean confirmation would have been, because the two estimation studies converge on a mechanism while disagreeing on the strength of one effect. The study that conditioned the autonomy estimate on ordinal severity and orbital regime found severity to be the firmest lever in the model: each one-step rise in onset severity multiplied the escalation hazard by an estimated factor of 3.28, with a confidence interval from 1.24 to 8.67 and a p-value of 0.017, the only covariate whose interval excluded one. In that same conditioned model the closed-loop-autonomy hazard ratio was 0.68, a roughly one-third reduction that moved in the protective direction predicted by the timing mechanism but whose confidence interval, from 0.16 to 2.91, contained one. By the falsification rule set in advance, that estimate could not reject the null that autonomy posture has no conditional effect. The companion study, which modeled functioning onboard autonomy and loss of attitude control without the severity stratification, estimated an autonomy hazard ratio of 0.14 with a p-value of 0.012, an apparent eighty-six percent reduction in the instantaneous hazard of escalation, and an attitude-loss hazard ratio of 1.26 that pointed in the accelerant direction but was not statistically resolved at a p-value of 0.66.</w:t>
      </w:r>
    </w:p>
    <w:p>
      <w:pPr>
        <w:pStyle w:val="BodyText"/>
        <w:spacing w:line="480" w:lineRule="auto"/>
        <w:ind w:firstLine="720"/>
      </w:pPr>
      <w:r>
        <w:t xml:space="preserve">The honest synthesis is not that one study confirmed the autonomy hypothesis and the other refuted it. It is that the protective sign on autonomy is robust to specification, appearing in both models, while the magnitude and the statistical resolution of that effect depend heavily on what is conditioned out. When severity is held fixed, much of the apparent autonomy benefit is absorbed by the severity term, because the missions that fly capable closed-loop fault management are disproportionately the missions whose anomalies present at lower onset severity, and the autonomy coefficient that remains is directionally protective but imprecise. When severity is not conditioned, autonomy carries the combined signal and appears large and significant. The governance reader should take from this neither the strong claim nor its dismissal, but the conditional structure itself: autonomy posture and onset severity are entangled in the operational record, and disentangling them is a sample-size problem before it is a modeling problem. This chapter draws out what that conditional structure means for NASA program management and JPL decision-making, states the limitations candidly, and lays out the research program that would resolve the open question.</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is a reordering of investment certainty rather than a single recommendation, and the reordering is the point. The mission-assurance community has historically chosen between prevention-first and recovery-first investment strategies by intuition, because the field lacked an estimated escalation hazard against which to price the two. This work supplies that hazard and, with it, a defensible ranking. Severity reduction, by which is meant the design and operational choices that keep an anomaly from presenting as a control-authority or loss-of-vehicle event at onset, is supported by the firmest coefficient in either model and should be funded as the first lever. Closed-loop onboard autonomy is supported by a consistent protective sign and a clear timing mechanism but has not yet earned the status of an established hazard reducer in the severity-conditioned specification. A program that funds autonomy should therefore do so as a well-motivated hypothesis with a favorable central estimate, not as a settled return, and should size the investment accordingly.</w:t>
      </w:r>
    </w:p>
    <w:p>
      <w:pPr>
        <w:pStyle w:val="BodyText"/>
        <w:spacing w:line="480" w:lineRule="auto"/>
        <w:ind w:firstLine="720"/>
      </w:pPr>
      <w:r>
        <w:t xml:space="preserve">The second implication concerns where in the program lifecycle the lever is actually pulled. The escalation clock is most arrestable in the first interval after onset, before degraded states cascade, and the locus of the recovery loop determines who can act inside that interval. A closed onboard loop can detect a fault, command a safe configuration, and hold the vehicle without waiting for a ground pass, a diagnosis, and an uplink; a ground-dependent loop cannot. This is the mechanism the self-removal operational concept formalizes when it defines fault detection, isolation, and recovery as the onboard function that detects, isolates, and triggers recovery</w:t>
      </w:r>
      <w:r>
        <w:t xml:space="preserve"> </w:t>
      </w:r>
      <w:hyperlink w:anchor="ref-8">
        <w:r>
          <w:rPr>
            <w:rStyle w:val="Hyperlink"/>
          </w:rPr>
          <w:t xml:space="preserve">[8]</w:t>
        </w:r>
      </w:hyperlink>
      <w:r>
        <w:t xml:space="preserve">, and that the autonomous fault-management literature argues qualitatively when it claims that onboard detection and safing arrest a developing failure before it propagates</w:t>
      </w:r>
      <w:r>
        <w:t xml:space="preserve"> </w:t>
      </w:r>
      <w:hyperlink w:anchor="ref-16">
        <w:r>
          <w:rPr>
            <w:rStyle w:val="Hyperlink"/>
          </w:rPr>
          <w:t xml:space="preserve">[16]</w:t>
        </w:r>
      </w:hyperlink>
      <w:r>
        <w:t xml:space="preserve">. The program-management consequence is that autonomy posture is fixed early, in the avionics and flight-software architecture decisions made well before launch, and cannot be retrofitted into the first critical interval after an anomaly that has already begun. A program that wants the escalation-braking benefit must buy it at design time. The reliability literature reinforces why this matters: failures are better understood as transitions through degraded states than as single switch-flips, and subsystems contribute unequally to terminal loss</w:t>
      </w:r>
      <w:r>
        <w:t xml:space="preserve"> </w:t>
      </w:r>
      <w:hyperlink w:anchor="ref-14">
        <w:r>
          <w:rPr>
            <w:rStyle w:val="Hyperlink"/>
          </w:rPr>
          <w:t xml:space="preserve">[14]</w:t>
        </w:r>
      </w:hyperlink>
      <w:r>
        <w:t xml:space="preserve">, so the architecture that governs which degraded states are reachable and how fast they cascade is a mission-assurance decision, not merely an avionics one.</w:t>
      </w:r>
    </w:p>
    <w:p>
      <w:pPr>
        <w:pStyle w:val="BodyText"/>
        <w:spacing w:line="480" w:lineRule="auto"/>
        <w:ind w:firstLine="720"/>
      </w:pPr>
      <w:r>
        <w:t xml:space="preserve">The third implication is about how mission-assurance evidence should be read at the portfolio level. Because the autonomy effect is entangled with mission class, a naive portfolio review that credits flagship survival to autonomy will overstate the autonomy return and understate the severity return. Flagship missions carry both richer autonomy and more conservative operations, and the dissertation’s conditioning was designed precisely to keep an apparent autonomy effect from being a mission-class effect in disguise. A program office reading survival data across a heterogeneous portfolio should resist attributing recoveries to the most salient design feature and should instead ask the conditional question this work formalizes: within a stratum of comparable onset severity and regime, did the closed-loop missions survive at a higher rate. The answer, in the present data, is a directional yes that is not yet statistically resolved, and a portfolio review that reports it that way is reporting it correctly.</w:t>
      </w:r>
    </w:p>
    <w:p>
      <w:pPr>
        <w:pStyle w:val="BodyText"/>
        <w:spacing w:line="480" w:lineRule="auto"/>
        <w:ind w:firstLine="720"/>
      </w:pPr>
      <w:r>
        <w:t xml:space="preserve">The fourth implication is for the human side of the recovery loop, which the data illuminate from an unexpected angle. The companion study found that every crewed anomaly in its sample was contained rather than escalated, a perfect predictor of non-escalation that had to be excluded from the estimated model to avoid quasi-complete separation but that carries a real signal when read descriptively: crewed vehicles combined human-in-the-loop judgment with long design-reserve safe modes. At the same time, the recovered case that most sharply illustrates the failure mode of the ground loop is one in which operator action during the very window when autonomy was most needed disabled the vehicle’s protection and extended the recovery into weeks</w:t>
      </w:r>
      <w:r>
        <w:t xml:space="preserve"> </w:t>
      </w:r>
      <w:hyperlink w:anchor="ref-18">
        <w:r>
          <w:rPr>
            <w:rStyle w:val="Hyperlink"/>
          </w:rPr>
          <w:t xml:space="preserve">[18]</w:t>
        </w:r>
      </w:hyperlink>
      <w:r>
        <w:t xml:space="preserve">. The governance reading is that the recovery loop is sociotechnical, not merely technical. Closed-loop autonomy lowers the escalation hazard by shortening the loop, but the human elements of the ground loop, including crew-resource-management discipline and the procedures that govern operator intervention during an anomaly, are themselves determinants of escalation that the program office controls. The emerging argument for crew-resource-management training in space-domain operations speaks directly to this</w:t>
      </w:r>
      <w:r>
        <w:t xml:space="preserve"> </w:t>
      </w:r>
      <w:hyperlink w:anchor="ref-26">
        <w:r>
          <w:rPr>
            <w:rStyle w:val="Hyperlink"/>
          </w:rPr>
          <w:t xml:space="preserve">[26]</w:t>
        </w:r>
      </w:hyperlink>
      <w:r>
        <w:t xml:space="preserve">, and it complements rather than competes with the autonomy investment: autonomy shortens the loop, and disciplined human procedure keeps the shortened loop from being broken by intervention.</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For JPL specifically, the dissertation’s findings map onto a portfolio whose dominant escalation exposure is in regimes where the ground loop is structurally slow. Deep-space and interplanetary missions operate at light-time delays that make ground-loop recovery impossible inside the first arrestable interval for any fast-cascading anomaly, which is exactly the condition under which closed-loop onboard autonomy should matter most. The dissertation’s severity-conditioned estimate did not find the high-regime indicator to be a significant driver of escalation once severity was held fixed, with a hazard ratio of 1.32 and an interval from 0.34 to 5.15, but that null is best read as a statement about the present sample rather than as a claim that regime is irrelevant to JPL’s exposure. The more useful reading for JPL is mechanistic: the value of autonomy is greatest precisely where the ground loop is slowest, and JPL’s mission set sits at the slow-ground-loop end of the regime spectrum. The case record in the dissertation supports this, with interplanetary and entry-descent-landing failures occupying the sub-second-to-hours window in which only onboard action can act, and with the recovered deep-space cases being those in which onboard fault protection stabilized the vehicle before ground intervention was even possible.</w:t>
      </w:r>
    </w:p>
    <w:p>
      <w:pPr>
        <w:pStyle w:val="BodyText"/>
        <w:spacing w:line="480" w:lineRule="auto"/>
        <w:ind w:firstLine="720"/>
      </w:pPr>
      <w:r>
        <w:t xml:space="preserve">This points to a concrete decision lever for JPL flight-software and fault-protection architecture. The dissertation’s coding of autonomy posture captured whether autonomy functioned during the event, not how capable it was, which means the estimated benefit is a lower bound on what a well-designed and well-tested fault-protection system could deliver. JPL’s investment question is therefore not whether to carry onboard fault protection, which its mission profiles already demand, but how to allocate the fault-protection budget across the severity classes that the severity-dominant finding flags as the firmest lever. A fault-protection system that reliably prevents a recoverable anomaly from presenting as a control-authority or loss-of-vehicle event at onset is acting on the severity term, the coefficient with the tightest interval in the model, and is therefore buying the best-established reduction in escalation hazard available. The autonomy-versus-severity framing collapses, for JPL, into a single design discipline: build fault protection that both shortens the recovery loop and holds onset severity down, and the two effects compound.</w:t>
      </w:r>
    </w:p>
    <w:p>
      <w:pPr>
        <w:pStyle w:val="BodyText"/>
        <w:spacing w:line="480" w:lineRule="auto"/>
        <w:ind w:firstLine="720"/>
      </w:pPr>
      <w:r>
        <w:t xml:space="preserve">A second JPL-specific implication concerns test and verification investment. The dissertation could only observe whether autonomy functioned, and several autonomy-active events still escalated because they were abrupt structural or rendezvous failures that left no recovery interval at all. The lesson is that the protective value of autonomy is conditional on the autonomy actually executing correctly in the regime where it is needed, which is a verification problem. JPL’s existing emphasis on flight-software verification and fault-protection testing is, in the language of this dissertation, an investment in ensuring that the favorable autonomy hazard ratio is realized rather than nominal. The radiation-hardness-assurance literature makes a parallel point about how a localized upset can drive a system-level cascade if the avionics are not engineered and tested against it</w:t>
      </w:r>
      <w:r>
        <w:t xml:space="preserve"> </w:t>
      </w:r>
      <w:hyperlink w:anchor="ref-19">
        <w:r>
          <w:rPr>
            <w:rStyle w:val="Hyperlink"/>
          </w:rPr>
          <w:t xml:space="preserve">[19]</w:t>
        </w:r>
      </w:hyperlink>
      <w:r>
        <w:t xml:space="preserve">, and the implication for JPL is that the autonomy benefit and the radiation-hardness benefit are not separate line items but two faces of the same requirement: the onboard loop must remain intact and correct during the anomaly for it to brake the escalation.</w:t>
      </w:r>
    </w:p>
    <w:p>
      <w:pPr>
        <w:pStyle w:val="BodyText"/>
        <w:spacing w:line="480" w:lineRule="auto"/>
        <w:ind w:firstLine="720"/>
      </w:pPr>
      <w:r>
        <w:t xml:space="preserve">A third implication is about knowledge capture across the JPL mission set. The dissertation was built on narrative investigation records, mishap-board reports, and a public fragmentation catalog</w:t>
      </w:r>
      <w:r>
        <w:t xml:space="preserve"> </w:t>
      </w:r>
      <w:hyperlink w:anchor="ref-10">
        <w:r>
          <w:rPr>
            <w:rStyle w:val="Hyperlink"/>
          </w:rPr>
          <w:t xml:space="preserve">[10]</w:t>
        </w:r>
      </w:hyperlink>
      <w:r>
        <w:t xml:space="preserve">, and its central data limitation was that recovered anomalies generate no debris cloud and often no public report, so the censored sample is systematically truncated. JPL is one of the few institutions that holds the internal anomaly-review-board record for a large and diverse mission portfolio, which is precisely the censored sample the public record lacks. The institution that can assemble both tails of the escalation outcome, the escalating fragmentations and the recovered anomalies, is positioned to fit the same hazard model on a sample several times larger and to resolve the autonomy interval that the public-data study could not. This is not merely a research observation; it is a recommendation that JPL treat its anomaly-review record as an estimable asset for mission-assurance decision-making, structured so that onset severity, regime, autonomy posture, and time-to-resolution are coded consistently across missions. Knowledge-graph approaches to space-systems data offer one path to that structured capture</w:t>
      </w:r>
      <w:r>
        <w:t xml:space="preserve"> </w:t>
      </w:r>
      <w:hyperlink w:anchor="ref-13">
        <w:r>
          <w:rPr>
            <w:rStyle w:val="Hyperlink"/>
          </w:rPr>
          <w:t xml:space="preserve">[13]</w:t>
        </w:r>
      </w:hyperlink>
      <w:r>
        <w:t xml:space="preserve">, and agent-based and structured-database methods for anomaly records offer complementary tooling.</w:t>
      </w:r>
    </w:p>
    <w:bookmarkEnd w:id="126"/>
    <w:bookmarkStart w:id="127" w:name="Xcd4f7007703d7fc7d20297c227dcadf4b4cfa7d"/>
    <w:p>
      <w:pPr>
        <w:pStyle w:val="Heading2"/>
        <w:spacing w:line="480" w:lineRule="auto"/>
      </w:pPr>
      <w:r>
        <w:t xml:space="preserve">7.4 Implications for Cross-Program and International Governance</w:t>
      </w:r>
    </w:p>
    <w:p>
      <w:pPr>
        <w:pStyle w:val="FirstParagraph"/>
        <w:spacing w:line="480" w:lineRule="auto"/>
      </w:pPr>
      <w:r>
        <w:t xml:space="preserve">Beyond the single program office, the dissertation has implications for how escalation evidence should be shared across organizations that do not share data by default. The truncation problem is not a defect of any one institution’s record; it is a structural feature of a domain in which mishaps are public and recoveries are private. No single operator holds enough escalation events and enough comparably documented recoveries to fit a precise autonomy hazard ratio, which means the parameter that would settle the design question can only be estimated on a pooled sample. This is an argument for the kind of operational-risk-information sharing that the norms-development literature has proposed, in which operators contribute structured anomaly and recovery records to a common evidence base that no participant could assemble alone</w:t>
      </w:r>
      <w:r>
        <w:t xml:space="preserve"> </w:t>
      </w:r>
      <w:hyperlink w:anchor="ref-23">
        <w:r>
          <w:rPr>
            <w:rStyle w:val="Hyperlink"/>
          </w:rPr>
          <w:t xml:space="preserve">[23]</w:t>
        </w:r>
      </w:hyperlink>
      <w:r>
        <w:t xml:space="preserve">. The dissertation gives that argument a concrete payload: the specific quantity the pooled record would estimate is the escalation hazard ratio attributable to closed-loop autonomy, a single number that program offices across organizations could read as a shared design lever rather than each rediscovering by intuition.</w:t>
      </w:r>
    </w:p>
    <w:p>
      <w:pPr>
        <w:pStyle w:val="BodyText"/>
        <w:spacing w:line="480" w:lineRule="auto"/>
        <w:ind w:firstLine="720"/>
      </w:pPr>
      <w:r>
        <w:t xml:space="preserve">The autonomy result also intersects with the governance debate over how much authority to delegate to onboard systems. The literature on artificial intelligence and autonomy in space frames the delegation question as a balance between the risks and benefits of autonomous action, particularly where autonomous responses could have escalatory consequences in a multi-actor setting</w:t>
      </w:r>
      <w:r>
        <w:t xml:space="preserve"> </w:t>
      </w:r>
      <w:hyperlink w:anchor="ref-22">
        <w:r>
          <w:rPr>
            <w:rStyle w:val="Hyperlink"/>
          </w:rPr>
          <w:t xml:space="preserve">[22]</w:t>
        </w:r>
      </w:hyperlink>
      <w:r>
        <w:t xml:space="preserve">. The present work contributes a mission-assurance counterweight to the caution side of that ledger: within a single vehicle’s own survival, the locus of the recovery loop is protective, and shortening it by closing the onboard loop lowers the hazard that an anomaly ends the mission. That is not a license for unbounded autonomy, because the same delegation that brakes escalation can, if mis-specified or mis-tested, execute the wrong safing action inside the interval where no human can intervene. The governance implication is that autonomy authority should be granted in proportion to verification rigor and to the slowness of the ground loop in the relevant regime, which is a more discriminating posture than either blanket caution or blanket delegation.</w:t>
      </w:r>
    </w:p>
    <w:bookmarkEnd w:id="127"/>
    <w:bookmarkStart w:id="128" w:name="limitations"/>
    <w:p>
      <w:pPr>
        <w:pStyle w:val="Heading2"/>
        <w:spacing w:line="480" w:lineRule="auto"/>
      </w:pPr>
      <w:r>
        <w:t xml:space="preserve">7.5 Limitations</w:t>
      </w:r>
    </w:p>
    <w:p>
      <w:pPr>
        <w:pStyle w:val="FirstParagraph"/>
        <w:spacing w:line="480" w:lineRule="auto"/>
      </w:pPr>
      <w:r>
        <w:t xml:space="preserve">The limitations of this work are specific and were addressed by design rather than waved away, but they bound the claims tightly and must be stated plainly.</w:t>
      </w:r>
    </w:p>
    <w:p>
      <w:pPr>
        <w:pStyle w:val="BodyText"/>
        <w:spacing w:line="480" w:lineRule="auto"/>
        <w:ind w:firstLine="720"/>
      </w:pPr>
      <w:r>
        <w:t xml:space="preserve">The first and most consequential limitation is sample size. Both estimation studies were built on roughly thirty documented anomaly episodes with roughly fifteen escalation events each, and the autonomy interval in the severity-conditioned model is wide for exactly this reason. The estimator is adequate; the escalation-event count is not. The path to resolution is a larger catalogue, not a different model, and the single-parameter design was chosen deliberately so that the headline claim stands ready to be confirmed or refuted by precisely that expansion. A reader should not over-interpret the divided verdict on autonomy as evidence against the hypothesis; it is evidence that thirty episodes cannot separate a real one-third reduction from sampling noise.</w:t>
      </w:r>
    </w:p>
    <w:p>
      <w:pPr>
        <w:pStyle w:val="BodyText"/>
        <w:spacing w:line="480" w:lineRule="auto"/>
        <w:ind w:firstLine="720"/>
      </w:pPr>
      <w:r>
        <w:t xml:space="preserve">The second limitation is the truncation of the censored sample. Non-escalating anomalies are systematically underreported relative to fragmentations, because a recovered anomaly generates no debris cloud and often no public report. The balanced design of the samples, with equal numbers of escalations and recoveries, helps the estimation but should not be read as the true on-orbit base rate, which is far more heavily weighted toward recovery. This truncation biases the baseline hazard upward and, if anything, biases against the protective autonomy estimate, because the recovered autonomy-active cases that the public record omits would strengthen rather than weaken the protective sign. The direction of the bias is therefore conservative for the dissertation’s central claim, but the bias is real and the base rate cannot be recovered from this sample.</w:t>
      </w:r>
    </w:p>
    <w:p>
      <w:pPr>
        <w:pStyle w:val="BodyText"/>
        <w:spacing w:line="480" w:lineRule="auto"/>
        <w:ind w:firstLine="720"/>
      </w:pPr>
      <w:r>
        <w:t xml:space="preserve">The third limitation is in the coding of the treatment covariate. Autonomy posture was read from narrative investigation records of uneven depth, so the indicator captures whether autonomy functioned during the event, not how capable the autonomy was. Two distinct architectures, a minimal safe-mode trigger and a sophisticated onboard fault-management system, both register as closed-loop in the coding, which means the estimated effect is an average across heterogeneous autonomy capability rather than an estimate for any specific architecture. A small number of durations were also marked illustrative where the record described autonomous handling but did not timestamp the interval to the hour; these were fewer than one in ten rows and affected duration rather than the event labels or the covariates that carry the inference, but their presence is a measurement limitation to acknowledge.</w:t>
      </w:r>
    </w:p>
    <w:p>
      <w:pPr>
        <w:pStyle w:val="BodyText"/>
        <w:spacing w:line="480" w:lineRule="auto"/>
        <w:ind w:firstLine="720"/>
      </w:pPr>
      <w:r>
        <w:t xml:space="preserve">The fourth limitation is the time-zero definition. The escalation clock depends on when onset is declared, and detection logic varies across the telemetry-anomaly systems that define it [2, 3]. Where the record permitted, robustness to alternative onset definitions was examined, but the abrupt launch-phase and reentry events that compress to sub-minute micro-windows are intrinsically harder to time consistently, and the duration coding for those rows is conservative rather than precise. Because the Cox specification makes no parametric assumption about the baseline hazard, the inference is more robust to this than a parametric model would be, but the time-zero ambiguity remains a source of measurement error in the duration variable.</w:t>
      </w:r>
    </w:p>
    <w:p>
      <w:pPr>
        <w:pStyle w:val="BodyText"/>
        <w:spacing w:line="480" w:lineRule="auto"/>
        <w:ind w:firstLine="720"/>
      </w:pPr>
      <w:r>
        <w:t xml:space="preserve">The fifth limitation is the residual possibility of confounding by an unobserved mission-class propensity. The conditioning on severity and regime targets the most serious confounders the reliability literature flags [9, 14], but the identifying assumption, that within a level of severity and regime autonomy posture is not assigned by an unobserved escalation propensity, is an assumption rather than a guarantee. A sensitivity analysis can quantify how large such an unobserved confounder would have to be to move the hazard ratio across one, and the appropriate posture is to report the autonomy estimate as conditional on that assumption rather than as a clean causal effect.</w:t>
      </w:r>
    </w:p>
    <w:bookmarkEnd w:id="128"/>
    <w:bookmarkStart w:id="129" w:name="future-research"/>
    <w:p>
      <w:pPr>
        <w:pStyle w:val="Heading2"/>
        <w:spacing w:line="480" w:lineRule="auto"/>
      </w:pPr>
      <w:r>
        <w:t xml:space="preserve">7.6 Future Research</w:t>
      </w:r>
    </w:p>
    <w:p>
      <w:pPr>
        <w:pStyle w:val="FirstParagraph"/>
        <w:spacing w:line="480" w:lineRule="auto"/>
      </w:pPr>
      <w:r>
        <w:t xml:space="preserve">The most direct extension is the one the single-parameter design was built to invite: refit the same Cox specification on a catalogue several times larger, drawn from the same class of public fragmentation and anomaly-board records and, where access permits, from institutional anomaly-review records that hold the censored episodes the public record omits. The expansion does not require methodological novelty. It requires the patient assembly of a larger and more completely reported sample, with consistent coding of onset severity, regime, autonomy posture, and time-to-resolution, so that the autonomy interval tightens enough to either pull below one or close the question. This is the highest-value next step because the dissertation’s headline claim is staked on exactly that number.</w:t>
      </w:r>
    </w:p>
    <w:p>
      <w:pPr>
        <w:pStyle w:val="BodyText"/>
        <w:spacing w:line="480" w:lineRule="auto"/>
        <w:ind w:firstLine="720"/>
      </w:pPr>
      <w:r>
        <w:t xml:space="preserve">A second line of work is to enrich the covariate set once the sample supports it. With thirty episodes the model can carry only a small number of covariates, but a catalogue of a few hundred would permit subsystem-class strata so that the baseline hazard is allowed to differ across propulsion, power, and control faults, which the multi-state failure literature shows behave differently</w:t>
      </w:r>
      <w:r>
        <w:t xml:space="preserve"> </w:t>
      </w:r>
      <w:hyperlink w:anchor="ref-14">
        <w:r>
          <w:rPr>
            <w:rStyle w:val="Hyperlink"/>
          </w:rPr>
          <w:t xml:space="preserve">[14]</w:t>
        </w:r>
      </w:hyperlink>
      <w:r>
        <w:t xml:space="preserve">, and would permit separating attitude-control loss in the presence and absence of working autonomy, which the companion study identified as the reason the attitude-loss effect was directionally accelerant but unresolved. Distinguishing autonomy capability, rather than mere autonomy presence, would address the measurement limitation in the treatment coding and would let the model estimate a dose-response relationship between fault-management sophistication and escalation hazard rather than a single binary contrast.</w:t>
      </w:r>
    </w:p>
    <w:p>
      <w:pPr>
        <w:pStyle w:val="BodyText"/>
        <w:spacing w:line="480" w:lineRule="auto"/>
        <w:ind w:firstLine="720"/>
      </w:pPr>
      <w:r>
        <w:t xml:space="preserve">A third extension applies the survival framing to the maneuver and behavior literature that has already adopted time-to-event methods for related questions, such as modeling the occurrence of maneuvers in non-cooperative satellites</w:t>
      </w:r>
      <w:r>
        <w:t xml:space="preserve"> </w:t>
      </w:r>
      <w:hyperlink w:anchor="ref-21">
        <w:r>
          <w:rPr>
            <w:rStyle w:val="Hyperlink"/>
          </w:rPr>
          <w:t xml:space="preserve">[21]</w:t>
        </w:r>
      </w:hyperlink>
      <w:r>
        <w:t xml:space="preserve">. The escalation hazard and the maneuver hazard are estimable on the same statistical footing, and a unified treatment would let mission-assurance and space-domain-awareness analysts share a vocabulary for the conditions that lengthen or compress the time a vehicle spends in an at-risk state. The particle-filter and stream-mining methods developed for detecting anomalies and maneuvers from observational data offer a path to constructing onset definitions at scale, which would both enlarge the sample and reduce the time-zero measurement error.</w:t>
      </w:r>
    </w:p>
    <w:p>
      <w:pPr>
        <w:pStyle w:val="BodyText"/>
        <w:spacing w:line="480" w:lineRule="auto"/>
        <w:ind w:firstLine="720"/>
      </w:pPr>
      <w:r>
        <w:t xml:space="preserve">A fourth direction is to integrate the escalation model with the structured-data and knowledge-graph infrastructure now emerging in space systems. Knowledge-graph representations of space-systems data make the escalation pathway from anomaly to catastrophic failure explicit</w:t>
      </w:r>
      <w:r>
        <w:t xml:space="preserve"> </w:t>
      </w:r>
      <w:hyperlink w:anchor="ref-13">
        <w:r>
          <w:rPr>
            <w:rStyle w:val="Hyperlink"/>
          </w:rPr>
          <w:t xml:space="preserve">[13]</w:t>
        </w:r>
      </w:hyperlink>
      <w:r>
        <w:t xml:space="preserve">, and embedding the survival model inside such a representation would let the hazard be queried alongside the engineering relationships that generate it, turning a single estimated parameter into a queryable mission-assurance decision aid. Agent-based and structured-database approaches to anomaly records offer complementary tooling for assembling the larger sample the first extension requires.</w:t>
      </w:r>
    </w:p>
    <w:p>
      <w:pPr>
        <w:pStyle w:val="BodyText"/>
        <w:spacing w:line="480" w:lineRule="auto"/>
        <w:ind w:firstLine="720"/>
      </w:pPr>
      <w:r>
        <w:t xml:space="preserve">A final and more speculative direction is to close the loop between the escalation model and the autonomy systems whose effect it estimates. If closed-loop autonomy lowers the escalation hazard by shortening the recovery loop, then an onboard system that carries an internal estimate of its own escalation hazard could in principle modulate its safing aggressiveness in proportion to that hazard, acting more decisively when the estimated hazard is high and the ground loop is slow. The neuro-symbolic and hybrid fault-management architectures now under development [4, 16] are the natural host for such a capability, and the survival framing developed here supplies the quantity such a system would need to reason about. This direction returns the dissertation to its starting motivation: the escalation process is the object that decides whether an anomaly ends a mission, and modeling it as a survival process is what makes it both estimable for the analyst and, eventually, actionable for the spacecraft itself.</w:t>
      </w:r>
    </w:p>
    <w:bookmarkEnd w:id="129"/>
    <w:bookmarkStart w:id="130" w:name="concluding-synthesis"/>
    <w:p>
      <w:pPr>
        <w:pStyle w:val="Heading2"/>
        <w:spacing w:line="480" w:lineRule="auto"/>
      </w:pPr>
      <w:r>
        <w:t xml:space="preserve">7.7 Concluding Synthesis</w:t>
      </w:r>
    </w:p>
    <w:p>
      <w:pPr>
        <w:pStyle w:val="FirstParagraph"/>
        <w:spacing w:line="480" w:lineRule="auto"/>
      </w:pPr>
      <w:r>
        <w:t xml:space="preserve">The dissertation began from an asymmetry that is the central fact of mission assurance: the operational record contains far more anomalies than mishaps, yet the analytic apparatus pointed at that record is lopsided toward detecting anomalies and characterizing catastrophes, with the escalation process between them left unmodeled. The contribution is to model that process as a survival problem and to stake the claim on a single estimable quantity, the escalation hazard ratio attributable to closed-loop onboard autonomy. The result is a disciplined divided verdict. Onset severity is the established lever, supported by the firmest coefficient in the conditioned model. Closed-loop autonomy is a promising lever, protective in sign across both specifications and consistent with a clear timing mechanism, but not yet statistically resolved once severity is conditioned out, and resolvable only by the larger sample the design was built to invite. For NASA program management and for JPL, the practical reading is to fund severity reduction first as the best-established reduction in escalation hazard, to fund closed-loop autonomy as a well-motivated hypothesis whose value is greatest precisely where the ground loop is slowest, and to treat the institutional anomaly record as the asset that can convert the present divided verdict into a settled number. The survival framing is the durable result: escalation unfolds in time, and the conditions that lengthen the time a vehicle spends in the arrestable state are the conditions that keep an anomaly from becoming a mishap.</w:t>
      </w:r>
    </w:p>
    <w:bookmarkEnd w:id="130"/>
    <w:bookmarkEnd w:id="131"/>
    <w:bookmarkStart w:id="194" w:name="chapter-8.-conclusion"/>
    <w:p>
      <w:pPr>
        <w:pStyle w:val="Heading1"/>
        <w:spacing w:line="480" w:lineRule="auto"/>
      </w:pPr>
      <w:r>
        <w:t xml:space="preserve">Chapter 8. Conclusion</w:t>
      </w:r>
    </w:p>
    <w:bookmarkStart w:id="132" w:name="the-argument-in-one-sentence"/>
    <w:p>
      <w:pPr>
        <w:pStyle w:val="Heading2"/>
        <w:spacing w:line="480" w:lineRule="auto"/>
      </w:pPr>
      <w:r>
        <w:t xml:space="preserve">8.1 The Argument in One Sentence</w:t>
      </w:r>
    </w:p>
    <w:p>
      <w:pPr>
        <w:pStyle w:val="FirstParagraph"/>
        <w:spacing w:line="480" w:lineRule="auto"/>
      </w:pPr>
      <w:r>
        <w:t xml:space="preserve">This dissertation has argued that anomaly-to-mishap escalation is best understood not as a categorical accident but as a survival process, a clock that opens at anomaly onset and runs until the spacecraft either recovers or is lost, and that the conditions present at onset, rather than the bare fact of an anomaly, govern how fast that clock runs. The mission assurance community has long known that the operational record of spaceflight contains many more anomalies than mishaps. The asymmetry is the central fact of the field, yet the analytic apparatus pointed at it has been lopsided, mature on the detection of anomalies and mature on the forensic reconstruction of catastrophes, but comparatively silent on the conditional process that joins the two. A reaction wheel pits, a star tracker drops, a thruster fires long, and the spacecraft most often recovers. A minority of anomalies run the other way, the margins thin, and within hours or days the vehicle is lost. Knowledge-graph work on space systems states the problem plainly: an anomaly can rapidly escalate into a catastrophic failure that ends the mission</w:t>
      </w:r>
      <w:r>
        <w:t xml:space="preserve"> </w:t>
      </w:r>
      <w:hyperlink w:anchor="ref-13">
        <w:r>
          <w:rPr>
            <w:rStyle w:val="Hyperlink"/>
          </w:rPr>
          <w:t xml:space="preserve">[13]</w:t>
        </w:r>
      </w:hyperlink>
      <w:r>
        <w:t xml:space="preserve">. The question that organizes this dissertation is therefore not how often anomalies occur, but what governs whether a given anomaly escalates, and how quickly. The answer this work develops is that escalation is a time-to-event phenomenon with heavy right-censoring, and that the time a spacecraft spends in the at-risk state, more than the categorical label attached to its fault, is the quantity a program can actually manage.</w:t>
      </w:r>
    </w:p>
    <w:bookmarkEnd w:id="132"/>
    <w:bookmarkStart w:id="133" w:name="synthesis-of-the-argument"/>
    <w:p>
      <w:pPr>
        <w:pStyle w:val="Heading2"/>
        <w:spacing w:line="480" w:lineRule="auto"/>
      </w:pPr>
      <w:r>
        <w:t xml:space="preserve">8.2 Synthesis of the Argument</w:t>
      </w:r>
    </w:p>
    <w:p>
      <w:pPr>
        <w:pStyle w:val="FirstParagraph"/>
        <w:spacing w:line="480" w:lineRule="auto"/>
      </w:pPr>
      <w:r>
        <w:t xml:space="preserve">The dissertation built this case in stages, and the synthesis is worth stating as a single connected chain rather than as a list of separate findings.</w:t>
      </w:r>
    </w:p>
    <w:p>
      <w:pPr>
        <w:pStyle w:val="BodyText"/>
        <w:spacing w:line="480" w:lineRule="auto"/>
        <w:ind w:firstLine="720"/>
      </w:pPr>
      <w:r>
        <w:t xml:space="preserve">The point of departure was a decision-facing asymmetry in where mission assurance places its investment. A program manager cannot buy fewer anomalies. Anomalies are intrinsic to operating complex systems in a hostile environment. What a program manager can in principle buy is a lower probability that any given anomaly escalates into a mission-ending mishap, purchased through autonomy posture, redundancy, and operational tempo. To price those purchases, the field needs an estimate of the escalation hazard and of what moves it, and that estimate is exactly what the detection literature and the forensic literature, taken alone, do not provide. Telemetry-driven anomaly detection defines the moment an anomaly begins but stops at the alarm [2, 3]. Event characterization reconstructs what broke from the debris cloud</w:t>
      </w:r>
      <w:r>
        <w:t xml:space="preserve"> </w:t>
      </w:r>
      <w:hyperlink w:anchor="ref-5">
        <w:r>
          <w:rPr>
            <w:rStyle w:val="Hyperlink"/>
          </w:rPr>
          <w:t xml:space="preserve">[5]</w:t>
        </w:r>
      </w:hyperlink>
      <w:r>
        <w:t xml:space="preserve"> </w:t>
      </w:r>
      <w:r>
        <w:t xml:space="preserve">but is silent about the anomalies that never became debris. Between the alarm and the cloud sits the escalation process, and that interval is where this dissertation set its estimand.</w:t>
      </w:r>
    </w:p>
    <w:p>
      <w:pPr>
        <w:pStyle w:val="BodyText"/>
        <w:spacing w:line="480" w:lineRule="auto"/>
        <w:ind w:firstLine="720"/>
      </w:pPr>
      <w:r>
        <w:t xml:space="preserve">The theoretical move was to recognize that escalation already carries a survival structure. Reliability research on spacecraft has shifted from the binary question of whether a vehicle works to the dynamics of how it degrades. The multi-state failure program established that satellite failures are better understood as transitions through degraded states than as single switch-flips, and that subsystems contribute unequally to terminal loss</w:t>
      </w:r>
      <w:r>
        <w:t xml:space="preserve"> </w:t>
      </w:r>
      <w:hyperlink w:anchor="ref-14">
        <w:r>
          <w:rPr>
            <w:rStyle w:val="Hyperlink"/>
          </w:rPr>
          <w:t xml:space="preserve">[14]</w:t>
        </w:r>
      </w:hyperlink>
      <w:r>
        <w:t xml:space="preserve">. The companion analysis of on-orbit propulsion anomalies quantified the long lead times between minor and major anomalies, reinforcing the view that anomalies and mishaps occupy different points on a single progression rather than belonging to different categories [11, 15]. The survival framing adopted throughout this dissertation is the natural estimation counterpart to that progression view: it models the time spent in the at-risk state and the covariates that compress or extend it. That this framing is sound for space-domain time-to-event data is reinforced by independent survival-analytic work on the timing of non-cooperative satellite maneuvers</w:t>
      </w:r>
      <w:r>
        <w:t xml:space="preserve"> </w:t>
      </w:r>
      <w:hyperlink w:anchor="ref-21">
        <w:r>
          <w:rPr>
            <w:rStyle w:val="Hyperlink"/>
          </w:rPr>
          <w:t xml:space="preserve">[21]</w:t>
        </w:r>
      </w:hyperlink>
      <w:r>
        <w:t xml:space="preserve">, which demonstrates that hazard models transfer cleanly onto orbital event records.</w:t>
      </w:r>
    </w:p>
    <w:p>
      <w:pPr>
        <w:pStyle w:val="BodyText"/>
        <w:spacing w:line="480" w:lineRule="auto"/>
        <w:ind w:firstLine="720"/>
      </w:pPr>
      <w:r>
        <w:t xml:space="preserve">The mechanism the dissertation placed at the center of the model was the locus of the recovery loop. An anomaly is most arrestable in the first interval after onset, before degraded states cascade. A closed onboard loop can act inside that interval; a ground-dependent loop cannot act until a pass is acquired, a fault is diagnosed, and commands are uplinked. The autonomy literature supplies both the construct and the timing argument. The self-removal operational concept defines fault detection, isolation, and recovery as the onboard function that detects a fault, isolates it, and triggers recovery</w:t>
      </w:r>
      <w:r>
        <w:t xml:space="preserve"> </w:t>
      </w:r>
      <w:hyperlink w:anchor="ref-8">
        <w:r>
          <w:rPr>
            <w:rStyle w:val="Hyperlink"/>
          </w:rPr>
          <w:t xml:space="preserve">[8]</w:t>
        </w:r>
      </w:hyperlink>
      <w:r>
        <w:t xml:space="preserve">; the autonomous fault-management literature argues that on-board detection and safing arrest a developing failure before it propagates</w:t>
      </w:r>
      <w:r>
        <w:t xml:space="preserve"> </w:t>
      </w:r>
      <w:hyperlink w:anchor="ref-16">
        <w:r>
          <w:rPr>
            <w:rStyle w:val="Hyperlink"/>
          </w:rPr>
          <w:t xml:space="preserve">[16]</w:t>
        </w:r>
      </w:hyperlink>
      <w:r>
        <w:t xml:space="preserve">; recent neuro-symbolic work couples autonomous maneuvering with onboard anomaly detection</w:t>
      </w:r>
      <w:r>
        <w:t xml:space="preserve"> </w:t>
      </w:r>
      <w:hyperlink w:anchor="ref-4">
        <w:r>
          <w:rPr>
            <w:rStyle w:val="Hyperlink"/>
          </w:rPr>
          <w:t xml:space="preserve">[4]</w:t>
        </w:r>
      </w:hyperlink>
      <w:r>
        <w:t xml:space="preserve">; and complementary aggregation-and-inspection work frames shortening the path from a satellite anomaly to a corrective action as a first-class objective</w:t>
      </w:r>
      <w:r>
        <w:t xml:space="preserve"> </w:t>
      </w:r>
      <w:hyperlink w:anchor="ref-17">
        <w:r>
          <w:rPr>
            <w:rStyle w:val="Hyperlink"/>
          </w:rPr>
          <w:t xml:space="preserve">[17]</w:t>
        </w:r>
      </w:hyperlink>
      <w:r>
        <w:t xml:space="preserve">. Against that mechanism stands a cautionary case, the SOHO interruption, in which the ground command loop was not merely slow but was disabled outright by operator action during the very window when autonomy was most needed</w:t>
      </w:r>
      <w:r>
        <w:t xml:space="preserve"> </w:t>
      </w:r>
      <w:hyperlink w:anchor="ref-18">
        <w:r>
          <w:rPr>
            <w:rStyle w:val="Hyperlink"/>
          </w:rPr>
          <w:t xml:space="preserve">[18]</w:t>
        </w:r>
      </w:hyperlink>
      <w:r>
        <w:t xml:space="preserve">. The expectation that followed was directional and falsifiable: functioning closed-loop autonomy should lower the escalation hazard once severity and orbital regime are held fixed.</w:t>
      </w:r>
    </w:p>
    <w:p>
      <w:pPr>
        <w:pStyle w:val="BodyText"/>
        <w:spacing w:line="480" w:lineRule="auto"/>
        <w:ind w:firstLine="720"/>
      </w:pPr>
      <w:r>
        <w:t xml:space="preserve">The empirical program tested that expectation twice, on two independently compiled samples, and the synthesis of the two results is the intellectual core of the dissertation. The unit of analysis in both was the anomaly episode, each row drawn from a named public source, a mishap or anomaly investigation board report, an agency or operator statement, or the canonical public catalogue of on-orbit fragmentations</w:t>
      </w:r>
      <w:r>
        <w:t xml:space="preserve"> </w:t>
      </w:r>
      <w:hyperlink w:anchor="ref-10">
        <w:r>
          <w:rPr>
            <w:rStyle w:val="Hyperlink"/>
          </w:rPr>
          <w:t xml:space="preserve">[10]</w:t>
        </w:r>
      </w:hyperlink>
      <w:r>
        <w:t xml:space="preserve">, with every spacecraft’s citation traveling with its row. The first study fit a Cox proportional-hazards model on thirty episodes with fifteen events, controlling severity and a high-regime indicator as the principal confounders the reliability literature flags as most serious [11, 12]. The second fit a Cox model on thirty-two episodes balanced sixteen to sixteen on outcome, using functioning onboard autonomy and loss of attitude control as covariates.</w:t>
      </w:r>
    </w:p>
    <w:p>
      <w:pPr>
        <w:pStyle w:val="BodyText"/>
        <w:spacing w:line="480" w:lineRule="auto"/>
        <w:ind w:firstLine="720"/>
      </w:pPr>
      <w:r>
        <w:t xml:space="preserve">The two studies agree on direction and disagree on resolution, and that pattern is itself the finding. In the conditioned, three-covariate model, severity dominated. Each one-step rise in onset severity multiplied the escalation hazard by an estimated factor of 3.28, with a confidence interval from 1.24 to 8.67, the only covariate whose interval excluded one. Orbital regime added little once severity was conditioned out. Closed-loop autonomy moved in the protective direction the timing mechanism predicted, with a hazard ratio of 0.68, a roughly one-third reduction, but its confidence interval ran from 0.16 to 2.91 and contained one. By the falsification rule set in advance, that estimate could not reject the null. The second study, coding autonomy as a simple functioning-or-not indicator alongside attitude-control loss, returned a much stronger protective association, a hazard ratio of 0.14, significant at a p-value of 0.012, while loss of attitude control pointed in the hypothesized accelerant direction with a hazard ratio of 1.26 but was not statistically distinguishable from one.</w:t>
      </w:r>
    </w:p>
    <w:p>
      <w:pPr>
        <w:pStyle w:val="BodyText"/>
        <w:spacing w:line="480" w:lineRule="auto"/>
        <w:ind w:firstLine="720"/>
      </w:pPr>
      <w:r>
        <w:t xml:space="preserve">The synthesis is therefore neither a triumphant confirmation nor a flat refutation, and the discipline of staking the headline claim on a single number is what makes the divided verdict informative rather than evasive. Read together, the two studies establish that the protective sign on autonomy is robust to specification and sample, appearing in both fits and in the consistent descriptive pattern that autonomy-active episodes which nonetheless escalated were dominated by abrupt structural or rendezvous failures that left no recovery interval. What is not yet established is the magnitude with confidence intervals tight enough to bank. When autonomy is conditioned against severity, the most established lever in the data, its independent contribution becomes imprecise; when severity is replaced by a coarser failure-mode covariate, autonomy’s apparent effect is large and significant. The honest reading that the dissertation defends is that severity is the resolved and large lever, autonomy is a directionally protective and mechanistically grounded but statistically unresolved lever, and the gap between the two studies is a gap in evidentiary resolution that more escalation events, not a different estimator, will close.</w:t>
      </w:r>
    </w:p>
    <w:bookmarkEnd w:id="133"/>
    <w:bookmarkStart w:id="134"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at three levels: conceptual, methodological, and decision-facing.</w:t>
      </w:r>
    </w:p>
    <w:p>
      <w:pPr>
        <w:pStyle w:val="BodyText"/>
        <w:spacing w:line="480" w:lineRule="auto"/>
        <w:ind w:firstLine="720"/>
      </w:pPr>
      <w:r>
        <w:t xml:space="preserve">The conceptual contribution is the reframing of escalation as a survival process with onset-state covariates. The mission assurance literature had detection on one side and forensic characterization on the other, joined by narrative mishap-board reasoning that runs backward from the catastrophe. By placing the estimand in the interval between the alarm and the loss, and by modeling that interval as a hazard over a sample that deliberately includes both escalating and non-escalating anomalies, this work converts a familiar narrative into an estimable quantity. The progression view of reliability had been argued qualitatively [13, 14]; this dissertation supplies its estimation counterpart and shows that the time at risk, not the categorical fault label, is the manageable variable. The framing is the durable contribution, because escalation is a process that unfolds in time, and the conditions that lengthen the time at risk are precisely the conditions that keep an anomaly from becoming a mishap.</w:t>
      </w:r>
    </w:p>
    <w:p>
      <w:pPr>
        <w:pStyle w:val="BodyText"/>
        <w:spacing w:line="480" w:lineRule="auto"/>
        <w:ind w:firstLine="720"/>
      </w:pPr>
      <w:r>
        <w:t xml:space="preserve">The methodological contribution is twofold. First, it is the demonstration that publicly retrievable records, fragmentation catalogues for the escalating tail</w:t>
      </w:r>
      <w:r>
        <w:t xml:space="preserve"> </w:t>
      </w:r>
      <w:hyperlink w:anchor="ref-10">
        <w:r>
          <w:rPr>
            <w:rStyle w:val="Hyperlink"/>
          </w:rPr>
          <w:t xml:space="preserve">[10]</w:t>
        </w:r>
      </w:hyperlink>
      <w:r>
        <w:t xml:space="preserve"> </w:t>
      </w:r>
      <w:r>
        <w:t xml:space="preserve">and open investigation-board and operator records for the censored tail, can be assembled into a censored event-history dataset with full provenance, each covariate traceable to a citable public artifact and each duration either timestamped or conservatively bounded and flagged. This matters because the central data threat in the field is truncation: recovered anomalies generate no debris cloud and often no public report, so the naive sample is truncated at the catastrophic tail. Treating non-escalation as right-censoring rather than as absence is the methodological correction the survival framing was built to deliver, and the dissertation shows it is operationally achievable from open sources alone. Second, the dissertation contributes a principled handling of the boundary cases that defeat naive estimation, chiefly the deliberate exclusion of the crewed indicator from the estimated model on the ground that all crewed episodes were contained, a perfect predictor of non-escalation that would have produced quasi-complete separation and an uninformative coefficient, retained instead as a descriptive signal so that information is preserved without corrupting the estimates.</w:t>
      </w:r>
    </w:p>
    <w:p>
      <w:pPr>
        <w:pStyle w:val="BodyText"/>
        <w:spacing w:line="480" w:lineRule="auto"/>
        <w:ind w:firstLine="720"/>
      </w:pPr>
      <w:r>
        <w:t xml:space="preserve">The decision-facing contribution is the translation of the estimate into a single parameter a program manager can read directly: the escalation hazard ratio attributable to closed-loop autonomy, holding anomaly class and regime fixed. The single-parameter design was chosen so that the dissertation succeeds or fails on one number rather than on a basket of associations, and that design discipline is itself a contribution to how mission-assurance evidence should be reported. The actionable result is a ranking of certainty rather than a single recommendation. Severity reduction, meaning design and operational choices that keep an anomaly from presenting as a control-authority or loss-of-vehicle event at onset, rests on the firmest coefficient in the data and should be funded as the first lever. Closed-loop autonomy carries a favorable central estimate and a clear timing mechanism and is worth funding as a hypothesis, but a program that spends on it should do so understanding that the conditioned evidence cannot yet rule out no effect. That is a more useful statement to a budget holder than an overclaimed point estimate would be, because it tells the manager not only what to buy first but how much confidence to attach to each purchase.</w:t>
      </w:r>
    </w:p>
    <w:bookmarkEnd w:id="134"/>
    <w:bookmarkStart w:id="135" w:name="limitations-honestly-held"/>
    <w:p>
      <w:pPr>
        <w:pStyle w:val="Heading2"/>
        <w:spacing w:line="480" w:lineRule="auto"/>
      </w:pPr>
      <w:r>
        <w:t xml:space="preserve">8.4 Limitations Honestly Held</w:t>
      </w:r>
    </w:p>
    <w:p>
      <w:pPr>
        <w:pStyle w:val="FirstParagraph"/>
        <w:spacing w:line="480" w:lineRule="auto"/>
      </w:pPr>
      <w:r>
        <w:t xml:space="preserve">The dissertation does not rest its contribution on more than the evidence can bear, and three limitations bound the claim. The samples are curated sets of documented anomalies, which over-represent events notable enough to generate a public report and therefore likely over-represent escalations relative to the true on-orbit population; the balanced and conditioned designs aid estimation, but the base rate of escalation must not be read from them. The covariates are coded from narrative investigation records, so the autonomy indicator captures whether autonomy functioned, not how capable it was, and measurement error in the treatment is therefore present even where it is bounded by double coding. And at thirty to thirty-two episodes the models can carry only a small covariate set, which is exactly why the conditioned autonomy interval spans one even as the sign holds. None of these limitations undermines the framing; each one points to the same remedy.</w:t>
      </w:r>
    </w:p>
    <w:bookmarkEnd w:id="135"/>
    <w:bookmarkStart w:id="136" w:name="the-path-forward"/>
    <w:p>
      <w:pPr>
        <w:pStyle w:val="Heading2"/>
        <w:spacing w:line="480" w:lineRule="auto"/>
      </w:pPr>
      <w:r>
        <w:t xml:space="preserve">8.5 The Path Forward</w:t>
      </w:r>
    </w:p>
    <w:p>
      <w:pPr>
        <w:pStyle w:val="FirstParagraph"/>
        <w:spacing w:line="480" w:lineRule="auto"/>
      </w:pPr>
      <w:r>
        <w:t xml:space="preserve">The path to resolution is sample size, not a different model. The estimator is adequate and the escalation-event count is not. The same Cox specification applied to a catalogue several times larger, drawn from the same public fragmentation and anomaly-board records</w:t>
      </w:r>
      <w:r>
        <w:t xml:space="preserve"> </w:t>
      </w:r>
      <w:hyperlink w:anchor="ref-10">
        <w:r>
          <w:rPr>
            <w:rStyle w:val="Hyperlink"/>
          </w:rPr>
          <w:t xml:space="preserve">[10]</w:t>
        </w:r>
      </w:hyperlink>
      <w:r>
        <w:t xml:space="preserve"> </w:t>
      </w:r>
      <w:r>
        <w:t xml:space="preserve">and from the structured anomaly databases the reliability literature has assembled [14, 15], would tighten the autonomy interval enough either to pull it decisively below one or to close the question. Because truncation of the censored sample biases toward over-representing events, a larger and more completely reported censored sample would, if anything, strengthen rather than weaken the protective estimate. A natural extension adds subsystem-class strata so the baseline hazard is allowed to differ across propulsion, power, and control faults, recognizing that loss of attitude control couples quickly into power and thermal margins and that radiation-driven upsets can drive a localized fault into a system-level cascade</w:t>
      </w:r>
      <w:r>
        <w:t xml:space="preserve"> </w:t>
      </w:r>
      <w:hyperlink w:anchor="ref-19">
        <w:r>
          <w:rPr>
            <w:rStyle w:val="Hyperlink"/>
          </w:rPr>
          <w:t xml:space="preserve">[19]</w:t>
        </w:r>
      </w:hyperlink>
      <w:r>
        <w:t xml:space="preserve">. The single-parameter design means the dissertation’s headline claim stands ready to be confirmed or refuted by exactly that expansion, and the framing ensures that any such expansion will be answering the right question.</w:t>
      </w:r>
    </w:p>
    <w:bookmarkEnd w:id="136"/>
    <w:bookmarkStart w:id="137" w:name="closing-statement"/>
    <w:p>
      <w:pPr>
        <w:pStyle w:val="Heading2"/>
        <w:spacing w:line="480" w:lineRule="auto"/>
      </w:pPr>
      <w:r>
        <w:t xml:space="preserve">8.6 Closing Statement</w:t>
      </w:r>
    </w:p>
    <w:p>
      <w:pPr>
        <w:pStyle w:val="FirstParagraph"/>
        <w:spacing w:line="480" w:lineRule="auto"/>
      </w:pPr>
      <w:r>
        <w:t xml:space="preserve">The operational asymmetry that opened this dissertation, far more anomalies than mishaps, is not a nuisance to be detected away. It is the signal. Most anomalies are arrested, and the arrest happens in time, inside the first interval after onset when a developing failure is still reversible. This work has shown that escalation can be modeled as the consumption of that interval, that the time a spacecraft spends at risk is an estimable hazard, and that the locus of the recovery loop is a candidate brake on the process whose protective sign survives across two independent samples while its magnitude awaits the events that will resolve it. Severity is the established lever; autonomy is the promising one. A spacecraft that can detect, safe, and hold itself buys time, and time is the resource that an escalating anomaly consumes. The contribution of this dissertation is to have made that resource measurable, to have priced it with the honesty that a single staked parameter enforces, and to have left behind a framing in which the next mission lost, and the many more that are not, will speak in the same estimable language. Escalation is a process that unfolds in time. The conditions that lengthen the time at risk are the conditions that keep an anomaly from becoming a mishap, and those conditions are now, at last, things a program can estimate, rank, and buy.</w:t>
      </w:r>
    </w:p>
    <w:bookmarkEnd w:id="137"/>
    <w:bookmarkStart w:id="193" w:name="references"/>
    <w:p>
      <w:pPr>
        <w:pStyle w:val="Heading2"/>
        <w:spacing w:line="480" w:lineRule="auto"/>
      </w:pPr>
      <w:r>
        <w:t xml:space="preserve">References</w:t>
      </w:r>
    </w:p>
    <w:p>
      <w:pPr>
        <w:pStyle w:val="FirstParagraph"/>
        <w:spacing w:line="480" w:lineRule="auto"/>
      </w:pPr>
      <w:bookmarkStart w:id="138" w:name="ref-1"/>
      <w:bookmarkEnd w:id="138"/>
      <w:r>
        <w:t xml:space="preserve">1. C. Reglero Andres, E. Salcedo de Zarraga, S. Hawthorne, M. Cote, N. Ansell, and Y. Dasgupta,</w:t>
      </w:r>
      <w:r>
        <w:t xml:space="preserve"> </w:t>
      </w:r>
      <w:r>
        <w:t xml:space="preserve">“Reducing Decision Time for on-orbit Operations with Virtualized Ground Stations and Machine Learning,”</w:t>
      </w:r>
      <w:r>
        <w:t xml:space="preserve"> </w:t>
      </w:r>
      <w:r>
        <w:t xml:space="preserve">Proc. Advanced Maui Optical and Space Surveillance Technologies (AMOS) Conference, 2022.</w:t>
      </w:r>
    </w:p>
    <w:p>
      <w:pPr>
        <w:pStyle w:val="BodyText"/>
        <w:spacing w:line="480" w:lineRule="auto"/>
        <w:ind w:firstLine="720"/>
      </w:pPr>
      <w:bookmarkStart w:id="139" w:name="ref-2"/>
      <w:bookmarkEnd w:id="139"/>
      <w:r>
        <w:t xml:space="preserve">2. Z. Li,</w:t>
      </w:r>
      <w:r>
        <w:t xml:space="preserve"> </w:t>
      </w:r>
      <w:r>
        <w:t xml:space="preserve">“Creating Situational Awareness in Spacecraft Operations with the Machine Learning Approach,”</w:t>
      </w:r>
      <w:r>
        <w:t xml:space="preserve"> </w:t>
      </w:r>
      <w:r>
        <w:t xml:space="preserve">Proc. Advanced Maui Optical and Space Surveillance Technologies (AMOS) Conference, 2016.</w:t>
      </w:r>
    </w:p>
    <w:p>
      <w:pPr>
        <w:pStyle w:val="BodyText"/>
        <w:spacing w:line="480" w:lineRule="auto"/>
        <w:ind w:firstLine="720"/>
      </w:pPr>
      <w:bookmarkStart w:id="140" w:name="ref-3"/>
      <w:bookmarkEnd w:id="140"/>
      <w:r>
        <w:t xml:space="preserve">3. K. G. Kelly,</w:t>
      </w:r>
      <w:r>
        <w:t xml:space="preserve"> </w:t>
      </w:r>
      <w:r>
        <w:t xml:space="preserve">“Integrating Machine Learning into Space Operations,”</w:t>
      </w:r>
      <w:r>
        <w:t xml:space="preserve"> </w:t>
      </w:r>
      <w:r>
        <w:t xml:space="preserve">Proc. Advanced Maui Optical and Space Surveillance Technologies (AMOS) Conference, 2017.</w:t>
      </w:r>
    </w:p>
    <w:p>
      <w:pPr>
        <w:pStyle w:val="BodyText"/>
        <w:spacing w:line="480" w:lineRule="auto"/>
        <w:ind w:firstLine="720"/>
      </w:pPr>
      <w:bookmarkStart w:id="141" w:name="ref-4"/>
      <w:bookmarkEnd w:id="141"/>
      <w:r>
        <w:t xml:space="preserve">4. A. Grosvenor, A. Wahab, K. Bohachov, A. Zemlyansky, R. Adams, and D. Deighan,</w:t>
      </w:r>
      <w:r>
        <w:t xml:space="preserve"> </w:t>
      </w:r>
      <w:r>
        <w:t xml:space="preserve">“Hierarchical Neuro-Symbolic AI for Autonomous Spacecraft Maneuvering and Anomaly Detection,”</w:t>
      </w:r>
      <w:r>
        <w:t xml:space="preserve"> </w:t>
      </w:r>
      <w:r>
        <w:t xml:space="preserve">Proc. Advanced Maui Optical and Space Surveillance Technologies (AMOS) Conference, 2025. doi:</w:t>
      </w:r>
      <w:r>
        <w:t xml:space="preserve"> </w:t>
      </w:r>
      <w:hyperlink r:id="rId142">
        <w:r>
          <w:rPr>
            <w:rStyle w:val="Hyperlink"/>
          </w:rPr>
          <w:t xml:space="preserve">10.64861/RAAN7205</w:t>
        </w:r>
      </w:hyperlink>
    </w:p>
    <w:p>
      <w:pPr>
        <w:pStyle w:val="BodyText"/>
        <w:spacing w:line="480" w:lineRule="auto"/>
        <w:ind w:firstLine="720"/>
      </w:pPr>
      <w:bookmarkStart w:id="143" w:name="ref-5"/>
      <w:bookmarkEnd w:id="143"/>
      <w:r>
        <w:t xml:space="preserve">5. B. Joshi, S. Arumugam, Siri L., T. Ansari, and T. Ahmed,</w:t>
      </w:r>
      <w:r>
        <w:t xml:space="preserve"> </w:t>
      </w:r>
      <w:r>
        <w:t xml:space="preserve">“Satellite Debris Classification Framework: Using Graph Neural Networks for Explosion and Collision Event Characterization,”</w:t>
      </w:r>
      <w:r>
        <w:t xml:space="preserve"> </w:t>
      </w:r>
      <w:r>
        <w:t xml:space="preserve">Proc. Advanced Maui Optical and Space Surveillance Technologies (AMOS) Conference, 2025. doi:</w:t>
      </w:r>
      <w:r>
        <w:t xml:space="preserve"> </w:t>
      </w:r>
      <w:hyperlink r:id="rId144">
        <w:r>
          <w:rPr>
            <w:rStyle w:val="Hyperlink"/>
          </w:rPr>
          <w:t xml:space="preserve">10.64861/PHBD6598</w:t>
        </w:r>
      </w:hyperlink>
    </w:p>
    <w:p>
      <w:pPr>
        <w:pStyle w:val="BodyText"/>
        <w:spacing w:line="480" w:lineRule="auto"/>
        <w:ind w:firstLine="720"/>
      </w:pPr>
      <w:bookmarkStart w:id="145" w:name="ref-6"/>
      <w:bookmarkEnd w:id="145"/>
      <w:r>
        <w:t xml:space="preserve">6. A. Black and C. Frueh,</w:t>
      </w:r>
      <w:r>
        <w:t xml:space="preserve"> </w:t>
      </w:r>
      <w:r>
        <w:t xml:space="preserve">“Characterizing Cislunar Fragmentations,”</w:t>
      </w:r>
      <w:r>
        <w:t xml:space="preserve"> </w:t>
      </w:r>
      <w:r>
        <w:t xml:space="preserve">Proc. Advanced Maui Optical and Space Surveillance Technologies (AMOS) Conference, 2023. doi:</w:t>
      </w:r>
      <w:r>
        <w:t xml:space="preserve"> </w:t>
      </w:r>
      <w:hyperlink r:id="rId146">
        <w:r>
          <w:rPr>
            <w:rStyle w:val="Hyperlink"/>
          </w:rPr>
          <w:t xml:space="preserve">10.64861/QLJS5432</w:t>
        </w:r>
      </w:hyperlink>
    </w:p>
    <w:p>
      <w:pPr>
        <w:pStyle w:val="BodyText"/>
        <w:spacing w:line="480" w:lineRule="auto"/>
        <w:ind w:firstLine="720"/>
      </w:pPr>
      <w:bookmarkStart w:id="147" w:name="ref-7"/>
      <w:bookmarkEnd w:id="147"/>
      <w:r>
        <w:t xml:space="preserve">7. W. Faber, W. Zaidi, and P. Schumacher, Jr.,</w:t>
      </w:r>
      <w:r>
        <w:t xml:space="preserve"> </w:t>
      </w:r>
      <w:r>
        <w:t xml:space="preserve">“Early Blast Point Determination For Large GEO Fragmentation Events,”</w:t>
      </w:r>
      <w:r>
        <w:t xml:space="preserve"> </w:t>
      </w:r>
      <w:r>
        <w:t xml:space="preserve">Proc. Advanced Maui Optical and Space Surveillance Technologies (AMOS) Conference, 2018.</w:t>
      </w:r>
    </w:p>
    <w:p>
      <w:pPr>
        <w:pStyle w:val="BodyText"/>
        <w:spacing w:line="480" w:lineRule="auto"/>
        <w:ind w:firstLine="720"/>
      </w:pPr>
      <w:bookmarkStart w:id="148" w:name="ref-8"/>
      <w:bookmarkEnd w:id="148"/>
      <w:r>
        <w:t xml:space="preserve">8. A. Wander, K. Konstantinidis, R. Förstner, and P. Voigt,</w:t>
      </w:r>
      <w:r>
        <w:t xml:space="preserve"> </w:t>
      </w:r>
      <w:r>
        <w:t xml:space="preserve">“Autonomy and operational concept for self-removal of spacecraft: Status detection, removal triggering and passivation,”</w:t>
      </w:r>
      <w:r>
        <w:t xml:space="preserve"> </w:t>
      </w:r>
      <w:r>
        <w:t xml:space="preserve">Acta Astronautica, vol. 164, 2019. doi:</w:t>
      </w:r>
      <w:r>
        <w:t xml:space="preserve"> </w:t>
      </w:r>
      <w:hyperlink r:id="rId149">
        <w:r>
          <w:rPr>
            <w:rStyle w:val="Hyperlink"/>
          </w:rPr>
          <w:t xml:space="preserve">10.1016/j.actaastro.2019.07.014</w:t>
        </w:r>
      </w:hyperlink>
    </w:p>
    <w:p>
      <w:pPr>
        <w:pStyle w:val="BodyText"/>
        <w:spacing w:line="480" w:lineRule="auto"/>
        <w:ind w:firstLine="720"/>
      </w:pPr>
      <w:bookmarkStart w:id="150" w:name="ref-9"/>
      <w:bookmarkEnd w:id="150"/>
      <w:r>
        <w:t xml:space="preserve">9.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w:t>
      </w:r>
    </w:p>
    <w:p>
      <w:pPr>
        <w:pStyle w:val="BodyText"/>
        <w:spacing w:line="480" w:lineRule="auto"/>
        <w:ind w:firstLine="720"/>
      </w:pPr>
      <w:bookmarkStart w:id="151" w:name="ref-10"/>
      <w:bookmarkEnd w:id="151"/>
      <w:r>
        <w:t xml:space="preserve">10. National Aeronautics and Space Administration, Orbital Debris Program Office,</w:t>
      </w:r>
      <w:r>
        <w:t xml:space="preserve"> </w:t>
      </w:r>
      <w:r>
        <w:t xml:space="preserve">“History of On-Orbit Satellite Fragmentations,”</w:t>
      </w:r>
      <w:r>
        <w:t xml:space="preserve"> </w:t>
      </w:r>
      <w:r>
        <w:t xml:space="preserve">16th ed., NASA/TP-20220019160, 2022.</w:t>
      </w:r>
    </w:p>
    <w:p>
      <w:pPr>
        <w:pStyle w:val="BodyText"/>
        <w:spacing w:line="480" w:lineRule="auto"/>
        <w:ind w:firstLine="720"/>
      </w:pPr>
      <w:bookmarkStart w:id="152" w:name="ref-11"/>
      <w:bookmarkEnd w:id="152"/>
      <w:r>
        <w:t xml:space="preserve">11. J. H. Saleh, F. Geng, M. Ku, and M. L. R. Walker,</w:t>
      </w:r>
      <w:r>
        <w:t xml:space="preserve"> </w:t>
      </w:r>
      <w:r>
        <w:t xml:space="preserve">“Electric propulsion reliability: Statistical analysis of on-orbit anomalies and comparative analysis of electric versus chemical propulsion failure rates,”</w:t>
      </w:r>
      <w:r>
        <w:t xml:space="preserve"> </w:t>
      </w:r>
      <w:r>
        <w:t xml:space="preserve">Acta Astronautica, vol. 139, 2017. doi:</w:t>
      </w:r>
      <w:r>
        <w:t xml:space="preserve"> </w:t>
      </w:r>
      <w:hyperlink r:id="rId153">
        <w:r>
          <w:rPr>
            <w:rStyle w:val="Hyperlink"/>
          </w:rPr>
          <w:t xml:space="preserve">10.1016/j.actaastro.2017.06.034</w:t>
        </w:r>
      </w:hyperlink>
    </w:p>
    <w:p>
      <w:pPr>
        <w:pStyle w:val="BodyText"/>
        <w:spacing w:line="480" w:lineRule="auto"/>
        <w:ind w:firstLine="720"/>
      </w:pPr>
      <w:bookmarkStart w:id="154" w:name="ref-12"/>
      <w:bookmarkEnd w:id="154"/>
      <w:r>
        <w:t xml:space="preserve">12. C. Zhang, L. Pan, S. Wang, X. Wang, and M. Tomovic,</w:t>
      </w:r>
      <w:r>
        <w:t xml:space="preserve"> </w:t>
      </w:r>
      <w:r>
        <w:t xml:space="preserve">“An accelerated life test model for solid lubricated bearings used in space based on time-varying dependence analysis of different failure modes,”</w:t>
      </w:r>
      <w:r>
        <w:t xml:space="preserve"> </w:t>
      </w:r>
      <w:r>
        <w:t xml:space="preserve">Acta Astronautica, vol. 152, 2018. doi:</w:t>
      </w:r>
      <w:r>
        <w:t xml:space="preserve"> </w:t>
      </w:r>
      <w:hyperlink r:id="rId155">
        <w:r>
          <w:rPr>
            <w:rStyle w:val="Hyperlink"/>
          </w:rPr>
          <w:t xml:space="preserve">10.1016/j.actaastro.2018.08.027</w:t>
        </w:r>
      </w:hyperlink>
    </w:p>
    <w:p>
      <w:pPr>
        <w:pStyle w:val="BodyText"/>
        <w:spacing w:line="480" w:lineRule="auto"/>
        <w:ind w:firstLine="720"/>
      </w:pPr>
      <w:bookmarkStart w:id="156" w:name="ref-13"/>
      <w:bookmarkEnd w:id="156"/>
      <w:r>
        <w:t xml:space="preserve">13. L. Patrignani, E. Laurenza, E. Sallinger, A. Vlad, and P. Gaudenzi,</w:t>
      </w:r>
      <w:r>
        <w:t xml:space="preserve"> </w:t>
      </w:r>
      <w:r>
        <w:t xml:space="preserve">“SpaceKG: Towards exploiting Knowledge Graphs in space systems,”</w:t>
      </w:r>
      <w:r>
        <w:t xml:space="preserve"> </w:t>
      </w:r>
      <w:r>
        <w:t xml:space="preserve">Acta Astronautica, vol. 236, 2025. doi:</w:t>
      </w:r>
      <w:r>
        <w:t xml:space="preserve"> </w:t>
      </w:r>
      <w:hyperlink r:id="rId157">
        <w:r>
          <w:rPr>
            <w:rStyle w:val="Hyperlink"/>
          </w:rPr>
          <w:t xml:space="preserve">10.1016/j.actaastro.2025.07.007</w:t>
        </w:r>
      </w:hyperlink>
    </w:p>
    <w:p>
      <w:pPr>
        <w:pStyle w:val="BodyText"/>
        <w:spacing w:line="480" w:lineRule="auto"/>
        <w:ind w:firstLine="720"/>
      </w:pPr>
      <w:bookmarkStart w:id="158" w:name="ref-14"/>
      <w:bookmarkEnd w:id="158"/>
      <w:r>
        <w:t xml:space="preserve">14. J.-F. Castet and J. H. Saleh,</w:t>
      </w:r>
      <w:r>
        <w:t xml:space="preserve"> </w:t>
      </w:r>
      <w:r>
        <w:t xml:space="preserve">“Beyond reliability, multi-state failure analysis of satellite subsystems: A statistical approach,”</w:t>
      </w:r>
      <w:r>
        <w:t xml:space="preserve"> </w:t>
      </w:r>
      <w:r>
        <w:t xml:space="preserve">Reliability Engineering and System Safety, vol. 95, no. 4, pp. 311-322, 2010. doi:</w:t>
      </w:r>
      <w:r>
        <w:t xml:space="preserve"> </w:t>
      </w:r>
      <w:hyperlink r:id="rId159">
        <w:r>
          <w:rPr>
            <w:rStyle w:val="Hyperlink"/>
          </w:rPr>
          <w:t xml:space="preserve">10.1016/j.ress.2009.11.001</w:t>
        </w:r>
      </w:hyperlink>
    </w:p>
    <w:p>
      <w:pPr>
        <w:pStyle w:val="BodyText"/>
        <w:spacing w:line="480" w:lineRule="auto"/>
        <w:ind w:firstLine="720"/>
      </w:pPr>
      <w:bookmarkStart w:id="160" w:name="ref-15"/>
      <w:bookmarkEnd w:id="160"/>
      <w:r>
        <w:t xml:space="preserve">15. F. Geng, J. H. Saleh, M. Ku, and M. L. R. Walker,</w:t>
      </w:r>
      <w:r>
        <w:t xml:space="preserve"> </w:t>
      </w:r>
      <w:r>
        <w:t xml:space="preserve">“Electric propulsion reliability: Statistical analysis of on-orbit anomalies and comparative analysis of electric versus chemical propulsion failure rates,”</w:t>
      </w:r>
      <w:r>
        <w:t xml:space="preserve"> </w:t>
      </w:r>
      <w:r>
        <w:t xml:space="preserve">Acta Astronautica, vol. 139, pp. 416-430, 2017. doi:</w:t>
      </w:r>
      <w:r>
        <w:t xml:space="preserve"> </w:t>
      </w:r>
      <w:hyperlink r:id="rId153">
        <w:r>
          <w:rPr>
            <w:rStyle w:val="Hyperlink"/>
          </w:rPr>
          <w:t xml:space="preserve">10.1016/j.actaastro.2017.06.034</w:t>
        </w:r>
      </w:hyperlink>
    </w:p>
    <w:p>
      <w:pPr>
        <w:pStyle w:val="BodyText"/>
        <w:spacing w:line="480" w:lineRule="auto"/>
        <w:ind w:firstLine="720"/>
      </w:pPr>
      <w:bookmarkStart w:id="161" w:name="ref-16"/>
      <w:bookmarkEnd w:id="161"/>
      <w:r>
        <w:t xml:space="preserve">16. R. Stottler, S. Ramachandran, C. Healy, and A. Singhal,</w:t>
      </w:r>
      <w:r>
        <w:t xml:space="preserve"> </w:t>
      </w:r>
      <w:r>
        <w:t xml:space="preserve">“Autonomous, Hybrid Space System Fault and Anomaly Detection, Diagnosis, Root Cause Determination, and Recovery,”</w:t>
      </w:r>
      <w:r>
        <w:t xml:space="preserve"> </w:t>
      </w:r>
      <w:r>
        <w:t xml:space="preserve">Proc. Advanced Maui Optical and Space Surveillance Technologies (AMOS) Conference, 2023. doi:</w:t>
      </w:r>
      <w:r>
        <w:t xml:space="preserve"> </w:t>
      </w:r>
      <w:hyperlink r:id="rId162">
        <w:r>
          <w:rPr>
            <w:rStyle w:val="Hyperlink"/>
          </w:rPr>
          <w:t xml:space="preserve">10.64861/XHRO4751</w:t>
        </w:r>
      </w:hyperlink>
    </w:p>
    <w:p>
      <w:pPr>
        <w:pStyle w:val="BodyText"/>
        <w:spacing w:line="480" w:lineRule="auto"/>
        <w:ind w:firstLine="720"/>
      </w:pPr>
      <w:bookmarkStart w:id="163" w:name="ref-17"/>
      <w:bookmarkEnd w:id="163"/>
      <w:r>
        <w:t xml:space="preserve">17. S. Zamoum, T. Husson, F. Kebe, M. Barthelemy, B. Gigleux, J. Sombrin, and F. Durand-Carrier,</w:t>
      </w:r>
      <w:r>
        <w:t xml:space="preserve"> </w:t>
      </w:r>
      <w:r>
        <w:t xml:space="preserve">“A Complete SSA Scheme for a Sustainable Low Earth Orbit: Space Data Aggregation and IA Combined with In-orbit Inspection,”</w:t>
      </w:r>
      <w:r>
        <w:t xml:space="preserve"> </w:t>
      </w:r>
      <w:r>
        <w:t xml:space="preserve">Proc. Advanced Maui Optical and Space Surveillance Technologies (AMOS) Conference, 2021.</w:t>
      </w:r>
    </w:p>
    <w:p>
      <w:pPr>
        <w:pStyle w:val="BodyText"/>
        <w:spacing w:line="480" w:lineRule="auto"/>
        <w:ind w:firstLine="720"/>
      </w:pPr>
      <w:bookmarkStart w:id="164" w:name="ref-18"/>
      <w:bookmarkEnd w:id="164"/>
      <w:r>
        <w:t xml:space="preserve">18. SOHO Mission Interruption Joint ESA/NASA Investigation Board,</w:t>
      </w:r>
      <w:r>
        <w:t xml:space="preserve"> </w:t>
      </w:r>
      <w:r>
        <w:t xml:space="preserve">“SOHO Mission Interruption Failure Investigation Final Report,”</w:t>
      </w:r>
      <w:r>
        <w:t xml:space="preserve"> </w:t>
      </w:r>
      <w:r>
        <w:t xml:space="preserve">1998. Available: https://umbra.nascom.nasa.gov/soho/SOHO_final_report.html.</w:t>
      </w:r>
    </w:p>
    <w:p>
      <w:pPr>
        <w:pStyle w:val="BodyText"/>
        <w:spacing w:line="480" w:lineRule="auto"/>
        <w:ind w:firstLine="720"/>
      </w:pPr>
      <w:bookmarkStart w:id="165" w:name="ref-19"/>
      <w:bookmarkEnd w:id="165"/>
      <w:r>
        <w:t xml:space="preserve">19. J. Dijks, S. de Jong, A. Menicucci, and I. Akay,</w:t>
      </w:r>
      <w:r>
        <w:t xml:space="preserve"> </w:t>
      </w:r>
      <w:r>
        <w:t xml:space="preserve">“Systematic review of engineering and testing approaches for radiation hardness assurance in commercial space avionics,”</w:t>
      </w:r>
      <w:r>
        <w:t xml:space="preserve"> </w:t>
      </w:r>
      <w:r>
        <w:t xml:space="preserve">Acta Astronautica, vol. 238, 2025. doi:</w:t>
      </w:r>
      <w:r>
        <w:t xml:space="preserve"> </w:t>
      </w:r>
      <w:hyperlink r:id="rId166">
        <w:r>
          <w:rPr>
            <w:rStyle w:val="Hyperlink"/>
          </w:rPr>
          <w:t xml:space="preserve">10.1016/j.actaastro.2025.07.055</w:t>
        </w:r>
      </w:hyperlink>
    </w:p>
    <w:p>
      <w:pPr>
        <w:pStyle w:val="BodyText"/>
        <w:spacing w:line="480" w:lineRule="auto"/>
        <w:ind w:firstLine="720"/>
      </w:pPr>
      <w:bookmarkStart w:id="167" w:name="ref-20"/>
      <w:bookmarkEnd w:id="167"/>
      <w:r>
        <w:t xml:space="preserve">20. Nathan Boone, Air Force Institute of Technology; Robert Bettinger,Air Force Institute of Technology. Artificial Debris Collision Risk Following a Catastrophic Spacecraft Mishap in Lunar Orbit (2021).</w:t>
      </w:r>
    </w:p>
    <w:p>
      <w:pPr>
        <w:pStyle w:val="BodyText"/>
        <w:spacing w:line="480" w:lineRule="auto"/>
        <w:ind w:firstLine="720"/>
      </w:pPr>
      <w:bookmarkStart w:id="168" w:name="ref-21"/>
      <w:bookmarkEnd w:id="168"/>
      <w:r>
        <w:t xml:space="preserve">21. S Shivshankar, Indian Institute of Science; Debasish Ghose, Indian Institute of Science. Time-to-Event Data (Survival Analysis) based Modelling of Maneuver Occurrence of Non-Cooperative Satellites (2023). doi:</w:t>
      </w:r>
      <w:r>
        <w:t xml:space="preserve"> </w:t>
      </w:r>
      <w:hyperlink r:id="rId169">
        <w:r>
          <w:rPr>
            <w:rStyle w:val="Hyperlink"/>
          </w:rPr>
          <w:t xml:space="preserve">10.64861/LPFK9568</w:t>
        </w:r>
      </w:hyperlink>
    </w:p>
    <w:p>
      <w:pPr>
        <w:pStyle w:val="BodyText"/>
        <w:spacing w:line="480" w:lineRule="auto"/>
        <w:ind w:firstLine="720"/>
      </w:pPr>
      <w:bookmarkStart w:id="170" w:name="ref-22"/>
      <w:bookmarkEnd w:id="170"/>
      <w:r>
        <w:t xml:space="preserve">22.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w:t>
      </w:r>
    </w:p>
    <w:p>
      <w:pPr>
        <w:pStyle w:val="BodyText"/>
        <w:spacing w:line="480" w:lineRule="auto"/>
        <w:ind w:firstLine="720"/>
      </w:pPr>
      <w:bookmarkStart w:id="171" w:name="ref-23"/>
      <w:bookmarkEnd w:id="171"/>
      <w:r>
        <w:t xml:space="preserve">23.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172" w:name="ref-24"/>
      <w:bookmarkEnd w:id="172"/>
      <w:r>
        <w:t xml:space="preserve">24. David Kurtenbach, Kansas State University; Megan Manly, Kansas State University; Zach Metzinger, Kansas State University. Applying Deep Learning to Anomaly Detection of Russian Satellite Activity for Indications Prior to Military Activity (2025). doi:</w:t>
      </w:r>
      <w:r>
        <w:t xml:space="preserve"> </w:t>
      </w:r>
      <w:hyperlink r:id="rId173">
        <w:r>
          <w:rPr>
            <w:rStyle w:val="Hyperlink"/>
          </w:rPr>
          <w:t xml:space="preserve">10.64861/RBSH8666</w:t>
        </w:r>
      </w:hyperlink>
    </w:p>
    <w:p>
      <w:pPr>
        <w:pStyle w:val="BodyText"/>
        <w:spacing w:line="480" w:lineRule="auto"/>
        <w:ind w:firstLine="720"/>
      </w:pPr>
      <w:bookmarkStart w:id="174" w:name="ref-25"/>
      <w:bookmarkEnd w:id="174"/>
      <w:r>
        <w:t xml:space="preserve">25. Daniel Kline, Johns Hopkins University. Cybersecurity for Responsible AI/ML Usage in SDA Applications (2025). doi:</w:t>
      </w:r>
      <w:r>
        <w:t xml:space="preserve"> </w:t>
      </w:r>
      <w:hyperlink r:id="rId175">
        <w:r>
          <w:rPr>
            <w:rStyle w:val="Hyperlink"/>
          </w:rPr>
          <w:t xml:space="preserve">10.64861/VEWW9997</w:t>
        </w:r>
      </w:hyperlink>
    </w:p>
    <w:p>
      <w:pPr>
        <w:pStyle w:val="BodyText"/>
        <w:spacing w:line="480" w:lineRule="auto"/>
        <w:ind w:firstLine="720"/>
      </w:pPr>
      <w:bookmarkStart w:id="176" w:name="ref-26"/>
      <w:bookmarkEnd w:id="176"/>
      <w:r>
        <w:t xml:space="preserve">26. Jason Goldberg, Riverside Research Institute; Timothy Waltz, Riverside Research Institute. Bridging the Gap: The Critical Need for Crew Resource Management (CRM) Training in Space Domain Operations (2025). doi:</w:t>
      </w:r>
      <w:r>
        <w:t xml:space="preserve"> </w:t>
      </w:r>
      <w:hyperlink r:id="rId177">
        <w:r>
          <w:rPr>
            <w:rStyle w:val="Hyperlink"/>
          </w:rPr>
          <w:t xml:space="preserve">10.64861/CXGE3201</w:t>
        </w:r>
      </w:hyperlink>
    </w:p>
    <w:p>
      <w:pPr>
        <w:pStyle w:val="BodyText"/>
        <w:spacing w:line="480" w:lineRule="auto"/>
        <w:ind w:firstLine="720"/>
      </w:pPr>
      <w:bookmarkStart w:id="178" w:name="ref-27"/>
      <w:bookmarkEnd w:id="178"/>
      <w:r>
        <w:t xml:space="preserve">27. Luca Patrignani; Eleonora Laurenza; Emanuel Sallinger; Adriano Vlad; Paolo Gaudenzi. SpaceKG: Towards exploiting Knowledge Graphs in space systems (2025). doi:</w:t>
      </w:r>
      <w:r>
        <w:t xml:space="preserve"> </w:t>
      </w:r>
      <w:hyperlink r:id="rId157">
        <w:r>
          <w:rPr>
            <w:rStyle w:val="Hyperlink"/>
          </w:rPr>
          <w:t xml:space="preserve">10.1016/j.actaastro.2025.07.007</w:t>
        </w:r>
      </w:hyperlink>
    </w:p>
    <w:p>
      <w:pPr>
        <w:pStyle w:val="BodyText"/>
        <w:spacing w:line="480" w:lineRule="auto"/>
        <w:ind w:firstLine="720"/>
      </w:pPr>
      <w:bookmarkStart w:id="179" w:name="ref-28"/>
      <w:bookmarkEnd w:id="179"/>
      <w:r>
        <w:t xml:space="preserve">28.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80">
        <w:r>
          <w:rPr>
            <w:rStyle w:val="Hyperlink"/>
          </w:rPr>
          <w:t xml:space="preserve">10.1016/j.actaastro.2024.05.007</w:t>
        </w:r>
      </w:hyperlink>
    </w:p>
    <w:p>
      <w:pPr>
        <w:pStyle w:val="BodyText"/>
        <w:spacing w:line="480" w:lineRule="auto"/>
        <w:ind w:firstLine="720"/>
      </w:pPr>
      <w:bookmarkStart w:id="181" w:name="ref-29"/>
      <w:bookmarkEnd w:id="181"/>
      <w:r>
        <w:t xml:space="preserve">29. David Shorten; Melissa Humphries; John Maclean; Yang Yang; Matthew Roughan. Optimal proposal particle filters for detecting anomalies and manoeuvres from two line element data (2024). doi:</w:t>
      </w:r>
      <w:r>
        <w:t xml:space="preserve"> </w:t>
      </w:r>
      <w:hyperlink r:id="rId182">
        <w:r>
          <w:rPr>
            <w:rStyle w:val="Hyperlink"/>
          </w:rPr>
          <w:t xml:space="preserve">10.1016/j.actaastro.2024.11.033</w:t>
        </w:r>
      </w:hyperlink>
    </w:p>
    <w:p>
      <w:pPr>
        <w:pStyle w:val="BodyText"/>
        <w:spacing w:line="480" w:lineRule="auto"/>
        <w:ind w:firstLine="720"/>
      </w:pPr>
      <w:bookmarkStart w:id="183" w:name="ref-30"/>
      <w:bookmarkEnd w:id="183"/>
      <w:r>
        <w:t xml:space="preserve">30. Michael Ibrahim; Samuel P. Eshima; Nagi Gebraeel; James Nabity; Stephen K. Robinson. A generative machine learning framework for anomaly response in cyclical processes in the ECLSS on a deep space habitat (2025). doi:</w:t>
      </w:r>
      <w:r>
        <w:t xml:space="preserve"> </w:t>
      </w:r>
      <w:hyperlink r:id="rId184">
        <w:r>
          <w:rPr>
            <w:rStyle w:val="Hyperlink"/>
          </w:rPr>
          <w:t xml:space="preserve">10.1016/j.actaastro.2025.09.088</w:t>
        </w:r>
      </w:hyperlink>
    </w:p>
    <w:p>
      <w:pPr>
        <w:pStyle w:val="BodyText"/>
        <w:spacing w:line="480" w:lineRule="auto"/>
        <w:ind w:firstLine="720"/>
      </w:pPr>
      <w:bookmarkStart w:id="185" w:name="ref-31"/>
      <w:bookmarkEnd w:id="185"/>
      <w:r>
        <w:t xml:space="preserve">31. Jeimmy Nataly Buitrago-Leiva; Mohamed El Khayati Ramouz; Adriano Camps; Joan A. Ruiz-de-Azua. Towards a second life for Zombie Satellites: Anomaly occurrence and potential recycling assessment (2024). doi:</w:t>
      </w:r>
      <w:r>
        <w:t xml:space="preserve"> </w:t>
      </w:r>
      <w:hyperlink r:id="rId186">
        <w:r>
          <w:rPr>
            <w:rStyle w:val="Hyperlink"/>
          </w:rPr>
          <w:t xml:space="preserve">10.1016/j.actaastro.2024.01.048</w:t>
        </w:r>
      </w:hyperlink>
    </w:p>
    <w:p>
      <w:pPr>
        <w:pStyle w:val="BodyText"/>
        <w:spacing w:line="480" w:lineRule="auto"/>
        <w:ind w:firstLine="720"/>
      </w:pPr>
      <w:bookmarkStart w:id="187" w:name="ref-32"/>
      <w:bookmarkEnd w:id="187"/>
      <w:r>
        <w:t xml:space="preserve">32.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88">
        <w:r>
          <w:rPr>
            <w:rStyle w:val="Hyperlink"/>
          </w:rPr>
          <w:t xml:space="preserve">10.1016/j.actaastro.2025.10.018</w:t>
        </w:r>
      </w:hyperlink>
    </w:p>
    <w:p>
      <w:pPr>
        <w:pStyle w:val="BodyText"/>
        <w:spacing w:line="480" w:lineRule="auto"/>
        <w:ind w:firstLine="720"/>
      </w:pPr>
      <w:bookmarkStart w:id="189" w:name="ref-33"/>
      <w:bookmarkEnd w:id="189"/>
      <w:r>
        <w:t xml:space="preserve">33. Bozhidar Stevanoski; Dragi Kocev; Aljaž Osojnik; Ivica Dimitrovski; Sašo Džeroski. Data stream mining for predicting the thermal power consumption of the Mars Express spacecraft (2023). doi:</w:t>
      </w:r>
      <w:r>
        <w:t xml:space="preserve"> </w:t>
      </w:r>
      <w:hyperlink r:id="rId190">
        <w:r>
          <w:rPr>
            <w:rStyle w:val="Hyperlink"/>
          </w:rPr>
          <w:t xml:space="preserve">10.1016/j.actaastro.2023.04.037</w:t>
        </w:r>
      </w:hyperlink>
    </w:p>
    <w:p>
      <w:pPr>
        <w:pStyle w:val="BodyText"/>
        <w:spacing w:line="480" w:lineRule="auto"/>
        <w:ind w:firstLine="720"/>
      </w:pPr>
      <w:bookmarkStart w:id="191" w:name="ref-34"/>
      <w:bookmarkEnd w:id="191"/>
      <w:r>
        <w:t xml:space="preserve">34. Justin Walsh; Rao Hamza Ali; Ryan Shihabi; Erik Linstead. Facility usage on the International Space Station (2025). doi:</w:t>
      </w:r>
      <w:r>
        <w:t xml:space="preserve"> </w:t>
      </w:r>
      <w:hyperlink r:id="rId192">
        <w:r>
          <w:rPr>
            <w:rStyle w:val="Hyperlink"/>
          </w:rPr>
          <w:t xml:space="preserve">10.1016/j.actaastro.2025.11.056</w:t>
        </w:r>
      </w:hyperlink>
    </w:p>
    <w:bookmarkEnd w:id="193"/>
    <w:bookmarkEnd w:id="194"/>
    <w:bookmarkStart w:id="21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2" w:name="Xb94a26717c52904395e0f82334ae471e7c0ca44"/>
    <w:p>
      <w:pPr>
        <w:pStyle w:val="Heading2"/>
        <w:spacing w:line="480" w:lineRule="auto"/>
      </w:pPr>
      <w:r>
        <w:t xml:space="preserve">A.1 Anomaly-to-Mishap Escalation as a Survival Process: A Cox Proportional-Hazards Estimate of the Autonomy-Posture Effect</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C</m:t>
              </m:r>
              <m:r>
                <m:rPr>
                  <m:sty m:val="p"/>
                </m:rPr>
                <m:t>l</m:t>
              </m:r>
              <m:r>
                <m:rPr>
                  <m:sty m:val="p"/>
                </m:rPr>
                <m:t>o</m:t>
              </m:r>
              <m:r>
                <m:rPr>
                  <m:sty m:val="p"/>
                </m:rPr>
                <m:t>s</m:t>
              </m:r>
              <m:r>
                <m:rPr>
                  <m:sty m:val="p"/>
                </m:rPr>
                <m:t>e</m:t>
              </m:r>
              <m:r>
                <m:rPr>
                  <m:sty m:val="p"/>
                </m:rPr>
                <m:t>d</m:t>
              </m:r>
              <m:r>
                <m:rPr>
                  <m:sty m:val="p"/>
                </m:rPr>
                <m:t>L</m:t>
              </m:r>
              <m:r>
                <m:rPr>
                  <m:sty m:val="p"/>
                </m:rPr>
                <m:t>o</m:t>
              </m:r>
              <m:r>
                <m:rPr>
                  <m:sty m:val="p"/>
                </m:rPr>
                <m:t>o</m:t>
              </m:r>
              <m:r>
                <m:rPr>
                  <m:sty m:val="p"/>
                </m:rPr>
                <m:t>p</m:t>
              </m:r>
              <m:r>
                <m:rPr>
                  <m:sty m:val="p"/>
                </m:rPr>
                <m:t>F</m:t>
              </m:r>
              <m:r>
                <m:rPr>
                  <m:sty m:val="p"/>
                </m:rPr>
                <m:t>D</m:t>
              </m:r>
              <m:r>
                <m:rPr>
                  <m:sty m:val="p"/>
                </m:rPr>
                <m:t>I</m:t>
              </m:r>
              <m:r>
                <m:rPr>
                  <m:sty m:val="p"/>
                </m:rPr>
                <m:t>R</m:t>
              </m:r>
              <m:r>
                <m:rPr>
                  <m:sty m:val="p"/>
                </m:rPr>
                <m:t>+</m:t>
              </m:r>
              <m:sSub>
                <m:e>
                  <m:r>
                    <m:t>β</m:t>
                  </m:r>
                </m:e>
                <m:sub>
                  <m:r>
                    <m:t>2</m:t>
                  </m:r>
                </m:sub>
              </m:sSub>
              <m:r>
                <m:t> </m:t>
              </m:r>
              <m:r>
                <m:rPr>
                  <m:sty m:val="p"/>
                </m:rPr>
                <m:t>S</m:t>
              </m:r>
              <m:r>
                <m:rPr>
                  <m:sty m:val="p"/>
                </m:rPr>
                <m:t>e</m:t>
              </m:r>
              <m:r>
                <m:rPr>
                  <m:sty m:val="p"/>
                </m:rPr>
                <m:t>v</m:t>
              </m:r>
              <m:r>
                <m:rPr>
                  <m:sty m:val="p"/>
                </m:rPr>
                <m:t>e</m:t>
              </m:r>
              <m:r>
                <m:rPr>
                  <m:sty m:val="p"/>
                </m:rPr>
                <m:t>r</m:t>
              </m:r>
              <m:r>
                <m:rPr>
                  <m:sty m:val="p"/>
                </m:rPr>
                <m:t>i</m:t>
              </m:r>
              <m:r>
                <m:rPr>
                  <m:sty m:val="p"/>
                </m:rPr>
                <m:t>t</m:t>
              </m:r>
              <m:r>
                <m:rPr>
                  <m:sty m:val="p"/>
                </m:rPr>
                <m:t>y</m:t>
              </m:r>
              <m:r>
                <m:rPr>
                  <m:sty m:val="p"/>
                </m:rPr>
                <m:t>+</m:t>
              </m:r>
              <m:sSub>
                <m:e>
                  <m:r>
                    <m:t>β</m:t>
                  </m:r>
                </m:e>
                <m:sub>
                  <m:r>
                    <m:t>3</m:t>
                  </m:r>
                </m:sub>
              </m:sSub>
              <m:r>
                <m:t> </m:t>
              </m:r>
              <m:r>
                <m:rPr>
                  <m:sty m:val="p"/>
                </m:rPr>
                <m:t>H</m:t>
              </m:r>
              <m:r>
                <m:rPr>
                  <m:sty m:val="p"/>
                </m:rPr>
                <m:t>i</m:t>
              </m:r>
              <m:r>
                <m:rPr>
                  <m:sty m:val="p"/>
                </m:rPr>
                <m:t>g</m:t>
              </m:r>
              <m:r>
                <m:rPr>
                  <m:sty m:val="p"/>
                </m:rPr>
                <m:t>h</m:t>
              </m:r>
              <m:r>
                <m:rPr>
                  <m:sty m:val="p"/>
                </m:rPr>
                <m:t>R</m:t>
              </m:r>
              <m:r>
                <m:rPr>
                  <m:sty m:val="p"/>
                </m:rPr>
                <m:t>e</m:t>
              </m:r>
              <m:r>
                <m:rPr>
                  <m:sty m:val="p"/>
                </m:rPr>
                <m:t>g</m:t>
              </m:r>
              <m:r>
                <m:rPr>
                  <m:sty m:val="p"/>
                </m:rPr>
                <m:t>i</m:t>
              </m:r>
              <m:r>
                <m:rPr>
                  <m:sty m:val="p"/>
                </m:rPr>
                <m:t>m</m:t>
              </m:r>
              <m:r>
                <m:rPr>
                  <m:sty m:val="p"/>
                </m:rPr>
                <m:t>e</m:t>
              </m:r>
            </m:e>
          </m:d>
        </m:oMath>
      </m:oMathPara>
    </w:p>
    <w:bookmarkStart w:id="19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-0.3858</w:t>
            </w:r>
          </w:p>
        </w:tc>
        <w:tc>
          <w:tcPr>
            <w:tcW w:w="0" w:type="auto"/>
          </w:tcPr>
          <w:p>
            <w:pPr>
              <w:spacing w:line="240" w:lineRule="auto" w:before="0" w:after="0"/>
              <w:pStyle w:val="Compact"/>
            </w:pPr>
            <w:r>
              <w:rPr>
                <w:sz w:val="20"/>
                <w:szCs w:val="20"/>
              </w:rPr>
              <w:t xml:space="preserve">0.7418</w:t>
            </w:r>
          </w:p>
        </w:tc>
        <w:tc>
          <w:tcPr>
            <w:tcW w:w="0" w:type="auto"/>
          </w:tcPr>
          <w:p>
            <w:pPr>
              <w:spacing w:line="240" w:lineRule="auto" w:before="0" w:after="0"/>
              <w:pStyle w:val="Compact"/>
            </w:pPr>
            <w:r>
              <w:rPr>
                <w:sz w:val="20"/>
                <w:szCs w:val="20"/>
              </w:rPr>
              <w:t xml:space="preserve">-0.5201</w:t>
            </w:r>
          </w:p>
        </w:tc>
        <w:tc>
          <w:tcPr>
            <w:tcW w:w="0" w:type="auto"/>
          </w:tcPr>
          <w:p>
            <w:pPr>
              <w:spacing w:line="240" w:lineRule="auto" w:before="0" w:after="0"/>
              <w:pStyle w:val="Compact"/>
            </w:pPr>
            <w:r>
              <w:rPr>
                <w:sz w:val="20"/>
                <w:szCs w:val="20"/>
              </w:rPr>
              <w:t xml:space="preserve">0.603</w:t>
            </w:r>
          </w:p>
        </w:tc>
        <w:tc>
          <w:tcPr>
            <w:tcW w:w="0" w:type="auto"/>
          </w:tcPr>
          <w:p>
            <w:pPr>
              <w:spacing w:line="240" w:lineRule="auto" w:before="0" w:after="0"/>
              <w:pStyle w:val="Compact"/>
            </w:pPr>
            <w:r>
              <w:rPr>
                <w:sz w:val="20"/>
                <w:szCs w:val="20"/>
              </w:rPr>
              <w:t xml:space="preserve">[-1.8396, 1.0681]</w:t>
            </w:r>
          </w:p>
        </w:tc>
        <w:tc>
          <w:tcPr>
            <w:tcW w:w="0" w:type="auto"/>
          </w:tcPr>
          <w:p>
            <w:pPr>
              <w:spacing w:line="240" w:lineRule="auto" w:before="0" w:after="0"/>
              <w:pStyle w:val="Compact"/>
            </w:pPr>
            <w:r>
              <w:rPr>
                <w:sz w:val="20"/>
                <w:szCs w:val="20"/>
              </w:rPr>
              <w:t xml:space="preserve">0.6799</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1.1865</w:t>
            </w:r>
          </w:p>
        </w:tc>
        <w:tc>
          <w:tcPr>
            <w:tcW w:w="0" w:type="auto"/>
          </w:tcPr>
          <w:p>
            <w:pPr>
              <w:spacing w:line="240" w:lineRule="auto" w:before="0" w:after="0"/>
              <w:pStyle w:val="Compact"/>
            </w:pPr>
            <w:r>
              <w:rPr>
                <w:sz w:val="20"/>
                <w:szCs w:val="20"/>
              </w:rPr>
              <w:t xml:space="preserve">0.4966</w:t>
            </w:r>
          </w:p>
        </w:tc>
        <w:tc>
          <w:tcPr>
            <w:tcW w:w="0" w:type="auto"/>
          </w:tcPr>
          <w:p>
            <w:pPr>
              <w:spacing w:line="240" w:lineRule="auto" w:before="0" w:after="0"/>
              <w:pStyle w:val="Compact"/>
            </w:pPr>
            <w:r>
              <w:rPr>
                <w:sz w:val="20"/>
                <w:szCs w:val="20"/>
              </w:rPr>
              <w:t xml:space="preserve">2.3894</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[0.2132, 2.1597]</w:t>
            </w:r>
          </w:p>
        </w:tc>
        <w:tc>
          <w:tcPr>
            <w:tcW w:w="0" w:type="auto"/>
          </w:tcPr>
          <w:p>
            <w:pPr>
              <w:spacing w:line="240" w:lineRule="auto" w:before="0" w:after="0"/>
              <w:pStyle w:val="Compact"/>
            </w:pPr>
            <w:r>
              <w:rPr>
                <w:sz w:val="20"/>
                <w:szCs w:val="20"/>
              </w:rPr>
              <w:t xml:space="preserve">3.2755</w:t>
            </w:r>
          </w:p>
        </w:tc>
      </w:tr>
      <w:tr>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0.2809</w:t>
            </w:r>
          </w:p>
        </w:tc>
        <w:tc>
          <w:tcPr>
            <w:tcW w:w="0" w:type="auto"/>
          </w:tcPr>
          <w:p>
            <w:pPr>
              <w:spacing w:line="240" w:lineRule="auto" w:before="0" w:after="0"/>
              <w:pStyle w:val="Compact"/>
            </w:pPr>
            <w:r>
              <w:rPr>
                <w:sz w:val="20"/>
                <w:szCs w:val="20"/>
              </w:rPr>
              <w:t xml:space="preserve">0.6924</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[-1.0762, 1.6381]</w:t>
            </w:r>
          </w:p>
        </w:tc>
        <w:tc>
          <w:tcPr>
            <w:tcW w:w="0" w:type="auto"/>
          </w:tcPr>
          <w:p>
            <w:pPr>
              <w:spacing w:line="240" w:lineRule="auto" w:before="0" w:after="0"/>
              <w:pStyle w:val="Compact"/>
            </w:pPr>
            <w:r>
              <w:rPr>
                <w:sz w:val="20"/>
                <w:szCs w:val="20"/>
              </w:rPr>
              <w:t xml:space="preserve">1.3244</w:t>
            </w:r>
          </w:p>
        </w:tc>
      </w:tr>
    </w:tbl>
    <w:p>
      <w:pPr>
        <w:pStyle w:val="BodyText"/>
        <w:spacing w:line="480" w:lineRule="auto"/>
        <w:ind w:firstLine="720"/>
      </w:pPr>
      <w:r>
        <w:t xml:space="preserve">Fit: N = 30 events = 15</w:t>
      </w:r>
    </w:p>
    <w:bookmarkEnd w:id="195"/>
    <w:bookmarkStart w:id="19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ime from anomaly onset to resolution against onset severity for 30 documented spacecraft anomaly episodes; episodes ending in mission-ending mishap (event) and those recovered (censored) span the severity range, motivating the conditional hazard model." title="" id="197" name="Picture"/>
            <a:graphic>
              <a:graphicData uri="http://schemas.openxmlformats.org/drawingml/2006/picture">
                <pic:pic>
                  <pic:nvPicPr>
                    <pic:cNvPr descr="D:/Claude_Code/brain/collegium/candidates/dissertations/JPL_MGMT_SMA_TECH_03/research_papers/p1/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Time from anomaly onset to resolution against onset severity for 30 documented spacecraft anomaly episodes; episodes ending in mission-ending mishap (event) and those recovered (censored) span the severity range, motivating the conditional hazard model.</w:t>
      </w:r>
    </w:p>
    <w:bookmarkEnd w:id="199"/>
    <w:bookmarkStart w:id="20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anomaly_class</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mishap</w:t>
            </w:r>
          </w:p>
        </w:tc>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Hitomi (ASTRO-H)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NASA/JAXA-documented; Spaceflight Now 2016-04-18</w:t>
            </w:r>
            <w:r>
              <w:rPr>
                <w:sz w:val="20"/>
                <w:szCs w:val="20"/>
              </w:rPr>
              <w:t xml:space="preserve"> </w:t>
            </w:r>
            <w:r>
              <w:rPr>
                <w:sz w:val="20"/>
                <w:szCs w:val="20"/>
              </w:rPr>
              <w:t xml:space="preserve">‘Attitude control failures led to break-up’</w:t>
            </w:r>
            <w:r>
              <w:rPr>
                <w:sz w:val="20"/>
                <w:szCs w:val="20"/>
              </w:rPr>
              <w:t xml:space="preserve">; IRU anomaly 25 Mar 19:10 UTC to breakup 26 Mar ~01:42 UTC; safe-hold engaged but ground recovery did not arrest escalation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navigation_gnc</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DART Mishap Investigation Board,</w:t>
            </w:r>
            <w:r>
              <w:rPr>
                <w:sz w:val="20"/>
                <w:szCs w:val="20"/>
              </w:rPr>
              <w:t xml:space="preserve"> </w:t>
            </w:r>
            <w:r>
              <w:rPr>
                <w:sz w:val="20"/>
                <w:szCs w:val="20"/>
              </w:rPr>
              <w:t xml:space="preserve">‘Overview of the DART Mishap Investigation Results’</w:t>
            </w:r>
            <w:r>
              <w:rPr>
                <w:sz w:val="20"/>
                <w:szCs w:val="20"/>
              </w:rPr>
              <w:t xml:space="preserve"> </w:t>
            </w:r>
            <w:r>
              <w:rPr>
                <w:sz w:val="20"/>
                <w:szCs w:val="20"/>
              </w:rPr>
              <w:t xml:space="preserve">(2006), nasa.gov/wp-content/uploads/2015/01/148072main_DART_mishap_overview.pdf; excessive thruster firings on bad nav data, propellant depletion, collision ~1.5 m/s</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NEAR Anomaly Review Board; Hoffman 1999,</w:t>
            </w:r>
            <w:r>
              <w:rPr>
                <w:sz w:val="20"/>
                <w:szCs w:val="20"/>
              </w:rPr>
              <w:t xml:space="preserve"> </w:t>
            </w:r>
            <w:r>
              <w:rPr>
                <w:sz w:val="20"/>
                <w:szCs w:val="20"/>
              </w:rPr>
              <w:t xml:space="preserve">‘NEAR Rendezvous Burn Anomaly of December 1998’</w:t>
            </w:r>
            <w:r>
              <w:rPr>
                <w:sz w:val="20"/>
                <w:szCs w:val="20"/>
              </w:rPr>
              <w:t xml:space="preserve">; autonomous abort and safing recovered the spacecraft, rendezvous re-achieved</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mission; SpaceNews</w:t>
            </w:r>
            <w:r>
              <w:rPr>
                <w:sz w:val="20"/>
                <w:szCs w:val="20"/>
              </w:rPr>
              <w:t xml:space="preserve"> </w:t>
            </w:r>
            <w:r>
              <w:rPr>
                <w:sz w:val="20"/>
                <w:szCs w:val="20"/>
              </w:rPr>
              <w:t xml:space="preserve">‘No long-term effects from Kepler spacecraft anomaly’</w:t>
            </w:r>
            <w:r>
              <w:rPr>
                <w:sz w:val="20"/>
                <w:szCs w:val="20"/>
              </w:rPr>
              <w:t xml:space="preserve">; second wheel failed 2013-05-11, safe mode, recovery attempts to 2013-08-15 declared unrecoverable for primary mission</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ESA/NASA SOHO Mission Interruption Joint Board Report (1998); spin-stabilization lost 1998-06-25, recovered after ~weeks of ground recovery; classed non-mission-ending</w:t>
            </w:r>
          </w:p>
        </w:tc>
      </w:tr>
      <w:tr>
        <w:tc>
          <w:tcPr>
            <w:tcW w:w="0" w:type="auto"/>
          </w:tcPr>
          <w:p>
            <w:pPr>
              <w:spacing w:line="240" w:lineRule="auto" w:before="0" w:after="0"/>
              <w:pStyle w:val="Compact"/>
            </w:pPr>
            <w:r>
              <w:rPr>
                <w:sz w:val="20"/>
                <w:szCs w:val="20"/>
              </w:rPr>
              <w:t xml:space="preserve">Galaxy 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command_anomaly</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Intelsat/Orbital Sciences public reports;</w:t>
            </w:r>
            <w:r>
              <w:rPr>
                <w:sz w:val="20"/>
                <w:szCs w:val="20"/>
              </w:rPr>
              <w:t xml:space="preserve"> </w:t>
            </w:r>
            <w:r>
              <w:rPr>
                <w:sz w:val="20"/>
                <w:szCs w:val="20"/>
              </w:rPr>
              <w:t xml:space="preserve">‘zombie sat’</w:t>
            </w:r>
            <w:r>
              <w:rPr>
                <w:sz w:val="20"/>
                <w:szCs w:val="20"/>
              </w:rPr>
              <w:t xml:space="preserve"> </w:t>
            </w:r>
            <w:r>
              <w:rPr>
                <w:sz w:val="20"/>
                <w:szCs w:val="20"/>
              </w:rPr>
              <w:t xml:space="preserve">drifted ~4 months in GEO from 2010-04-05, recovered after battery drain reset 2010-12; mission continued</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investigation commission report (2012); upper-stage burns failed to fire after 2011-11-08 launch, stranded in LEO, reentered 2012-01-15</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Genesis Mishap Investigation Board Report Vol I (2005); G-switch sensors installed inverted, drogue/parafoil never deployed, capsule impact 2004-09-08</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navigation_gnc</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MCO Mishap Investigation Board Phase I Report (1999); units mismatch (lbf-s vs N-s) in ground software, orbit insertion too low, loss of signal 1999-09-23</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MPL Loss Report (2000, Casani/JPL Special Review Board); premature engine cutoff from spurious touchdown signal during descent 1999-12-03</w:t>
            </w:r>
          </w:p>
        </w:tc>
      </w:tr>
      <w:tr>
        <w:tc>
          <w:tcPr>
            <w:tcW w:w="0" w:type="auto"/>
          </w:tcPr>
          <w:p>
            <w:pPr>
              <w:spacing w:line="240" w:lineRule="auto" w:before="0" w:after="0"/>
              <w:pStyle w:val="Compact"/>
            </w:pPr>
            <w:r>
              <w:rPr>
                <w:sz w:val="20"/>
                <w:szCs w:val="20"/>
              </w:rPr>
              <w:t xml:space="preserve">Lewis (TRW)</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Lewis Spacecraft Mission Failure Investigation Board Final Report (1998); ACS design flaw, entered flat spin, loss of power, reentry after ~3 days from 1997-08-23</w:t>
            </w:r>
          </w:p>
        </w:tc>
      </w:tr>
      <w:tr>
        <w:tc>
          <w:tcPr>
            <w:tcW w:w="0" w:type="auto"/>
          </w:tcPr>
          <w:p>
            <w:pPr>
              <w:spacing w:line="240" w:lineRule="auto" w:before="0" w:after="0"/>
              <w:pStyle w:val="Compact"/>
            </w:pPr>
            <w:r>
              <w:rPr>
                <w:sz w:val="20"/>
                <w:szCs w:val="20"/>
              </w:rPr>
              <w:t xml:space="preserve">Solar Maximum Mission</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4380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SMM; fuse failures in attitude control 1980-11; degraded ops, recovered after Shuttle STS-41C servicing 1984; classed non-mission-ending</w:t>
            </w:r>
          </w:p>
        </w:tc>
      </w:tr>
      <w:tr>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instrument_anomaly</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GOES-13 anomaly reports; imager/sounder vibration anomaly 2012-09, taken offline, recovered after ~1 month back to service</w:t>
            </w:r>
          </w:p>
        </w:tc>
      </w:tr>
      <w:tr>
        <w:tc>
          <w:tcPr>
            <w:tcW w:w="0" w:type="auto"/>
          </w:tcPr>
          <w:p>
            <w:pPr>
              <w:spacing w:line="240" w:lineRule="auto" w:before="0" w:after="0"/>
              <w:pStyle w:val="Compact"/>
            </w:pPr>
            <w:r>
              <w:rPr>
                <w:sz w:val="20"/>
                <w:szCs w:val="20"/>
              </w:rPr>
              <w:t xml:space="preserve">Intelsat IS-29e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propulsion_leak</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Intelsat/Boeing public statements + ExoAnalytic tracking (2019); propellant leak then second anomaly 2019-04, total loss within ~a week, fragmentation in GEO</w:t>
            </w:r>
          </w:p>
        </w:tc>
      </w:tr>
      <w:tr>
        <w:tc>
          <w:tcPr>
            <w:tcW w:w="0" w:type="auto"/>
          </w:tcPr>
          <w:p>
            <w:pPr>
              <w:spacing w:line="240" w:lineRule="auto" w:before="0" w:after="0"/>
              <w:pStyle w:val="Compact"/>
            </w:pPr>
            <w:r>
              <w:rPr>
                <w:sz w:val="20"/>
                <w:szCs w:val="20"/>
              </w:rPr>
              <w:t xml:space="preserve">AMC-9 (GE-12)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public statements (2017); anomaly 2017-06-17 caused drift and fragments, partial recovery and controlled to graveyard; spacecraft stabilized</w:t>
            </w:r>
          </w:p>
        </w:tc>
      </w:tr>
      <w:tr>
        <w:tc>
          <w:tcPr>
            <w:tcW w:w="0" w:type="auto"/>
          </w:tcPr>
          <w:p>
            <w:pPr>
              <w:spacing w:line="240" w:lineRule="auto" w:before="0" w:after="0"/>
              <w:pStyle w:val="Compact"/>
            </w:pPr>
            <w:r>
              <w:rPr>
                <w:sz w:val="20"/>
                <w:szCs w:val="20"/>
              </w:rPr>
              <w:t xml:space="preserve">Telstar 401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power_bus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AT&amp;T/Loral reports; sudden power-system anomaly 1997-01-11 (geomagnetic-storm linked) led to total loss in hours, GEO</w:t>
            </w:r>
          </w:p>
        </w:tc>
      </w:tr>
      <w:tr>
        <w:tc>
          <w:tcPr>
            <w:tcW w:w="0" w:type="auto"/>
          </w:tcPr>
          <w:p>
            <w:pPr>
              <w:spacing w:line="240" w:lineRule="auto" w:before="0" w:after="0"/>
              <w:pStyle w:val="Compact"/>
            </w:pPr>
            <w:r>
              <w:rPr>
                <w:sz w:val="20"/>
                <w:szCs w:val="20"/>
              </w:rPr>
              <w:t xml:space="preserve">ANIK E1/E2</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reports; magnetic-storm-induced momentum-wheel control failures 1994-01-20; E2 recovered via ground backup control over months; non-mission-ending</w:t>
            </w:r>
          </w:p>
        </w:tc>
      </w:tr>
      <w:tr>
        <w:tc>
          <w:tcPr>
            <w:tcW w:w="0" w:type="auto"/>
          </w:tcPr>
          <w:p>
            <w:pPr>
              <w:spacing w:line="240" w:lineRule="auto" w:before="0" w:after="0"/>
              <w:pStyle w:val="Compact"/>
            </w:pPr>
            <w:r>
              <w:rPr>
                <w:sz w:val="20"/>
                <w:szCs w:val="20"/>
              </w:rPr>
              <w:t xml:space="preserve">FUSE</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FUSE; reaction wheel failures from 2001; mission continued using magnetic torquer bars for control; classed recovered/degraded</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Dawn mission reports; multiple reaction wheel failures 2010-2012, switched to hydrazine RCS attitude control, mission continued to Ceres</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reaction_wheel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APL TIMED; momentum-wheel anomaly handled by onboard reconfiguration; mission continued; [illustrative] onset-to-recovery interval</w:t>
            </w:r>
          </w:p>
        </w:tc>
      </w:tr>
      <w:tr>
        <w:tc>
          <w:tcPr>
            <w:tcW w:w="0" w:type="auto"/>
          </w:tcPr>
          <w:p>
            <w:pPr>
              <w:spacing w:line="240" w:lineRule="auto" w:before="0" w:after="0"/>
              <w:pStyle w:val="Compact"/>
            </w:pPr>
            <w:r>
              <w:rPr>
                <w:sz w:val="20"/>
                <w:szCs w:val="20"/>
              </w:rPr>
              <w:t xml:space="preserve">STEREO-B</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command_loss</w:t>
            </w:r>
          </w:p>
        </w:tc>
        <w:tc>
          <w:tcPr>
            <w:tcW w:w="0" w:type="auto"/>
          </w:tcPr>
          <w:p>
            <w:pPr>
              <w:spacing w:line="240" w:lineRule="auto" w:before="0" w:after="0"/>
              <w:pStyle w:val="Compact"/>
            </w:pPr>
            <w:r>
              <w:rPr>
                <w:sz w:val="20"/>
                <w:szCs w:val="20"/>
              </w:rPr>
              <w:t xml:space="preserve">8760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STEREO; loss of contact 2014-10-01 during hard-reset test, contact briefly regained 2016 but spacecraft not recovered to ops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Spitzer; routine safe-mode entries autonomously triggered and ground-recovered through mission; [illustrative] representative interval</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thruster_anomaly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LISA Pathfinder; micro-propulsion anomalies handled by onboard FDIR and reconfiguration; mission objectives met</w:t>
            </w:r>
          </w:p>
        </w:tc>
      </w:tr>
      <w:tr>
        <w:tc>
          <w:tcPr>
            <w:tcW w:w="0" w:type="auto"/>
          </w:tcPr>
          <w:p>
            <w:pPr>
              <w:spacing w:line="240" w:lineRule="auto" w:before="0" w:after="0"/>
              <w:pStyle w:val="Compact"/>
            </w:pPr>
            <w:r>
              <w:rPr>
                <w:sz w:val="20"/>
                <w:szCs w:val="20"/>
              </w:rPr>
              <w:t xml:space="preserve">Cluster (original)</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launch_gnc</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ESA/Ariane 501 Inquiry Board Report (Lions, 1996); Ariane 5 software exception ~37 s after liftoff destroyed all four Cluster spacecraft 1996-06-04</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reentry_eDL</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ESA/UK Beagle 2 Commission of Inquiry (2004); presumed solar-panel deployment failure on Mars descent 2003-12-25, no signal</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propulsion_burn</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Akatsuki; main-engine orbit-insertion failure 2010-12-07, onboard abort safed the craft, RCS used for successful re-insertion 2015</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safe_mode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Cassini; bit-flip-induced safing events autonomously detected and recovered repeatedly through mission to 2017</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attitude_control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Voyager 2; onboard fault-protection autonomously turned off systems and stabilized after a 2020 maneuver overdraw; ground re-enabled science</w:t>
            </w:r>
          </w:p>
        </w:tc>
      </w:tr>
      <w:tr>
        <w:tc>
          <w:tcPr>
            <w:tcW w:w="0" w:type="auto"/>
          </w:tcPr>
          <w:p>
            <w:pPr>
              <w:spacing w:line="240" w:lineRule="auto" w:before="0" w:after="0"/>
              <w:pStyle w:val="Compact"/>
            </w:pPr>
            <w:r>
              <w:rPr>
                <w:sz w:val="20"/>
                <w:szCs w:val="20"/>
              </w:rPr>
              <w:t xml:space="preserve">MGS (Mars Global Surveyor)</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power_attitude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MGS Operations Review Board (2007); battery overheating from mispointing after a parameter-update error, loss of contact 2006-11-02</w:t>
            </w:r>
          </w:p>
        </w:tc>
      </w:tr>
      <w:tr>
        <w:tc>
          <w:tcPr>
            <w:tcW w:w="0" w:type="auto"/>
          </w:tcPr>
          <w:p>
            <w:pPr>
              <w:spacing w:line="240" w:lineRule="auto" w:before="0" w:after="0"/>
              <w:pStyle w:val="Compact"/>
            </w:pPr>
            <w:r>
              <w:rPr>
                <w:sz w:val="20"/>
                <w:szCs w:val="20"/>
              </w:rPr>
              <w:t xml:space="preserve">ADEOS-II (Midori-II)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power_bus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ADEOS-II anomaly board; solar-array power-system failure 2003-10-25 led to sudden total loss, LEO</w:t>
            </w:r>
          </w:p>
        </w:tc>
      </w:tr>
    </w:tbl>
    <w:bookmarkEnd w:id="200"/>
    <w:bookmarkStart w:id="20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time in hours from detected anomaly onset (clock start) to resolution, where resolution is either recovery (censored) or mission-ending mishap (event)</w:t>
            </w:r>
          </w:p>
        </w:tc>
        <w:tc>
          <w:tcPr>
            <w:tcW w:w="0" w:type="auto"/>
          </w:tcPr>
          <w:p>
            <w:pPr>
              <w:spacing w:line="240" w:lineRule="auto" w:before="0" w:after="0"/>
              <w:pStyle w:val="Compact"/>
            </w:pPr>
            <w:r>
              <w:rPr>
                <w:sz w:val="20"/>
                <w:szCs w:val="20"/>
              </w:rPr>
              <w:t xml:space="preserve">Anomaly onset and resolution timestamps from each episode’s cited mishap-board report, anomaly-review-board report, or operator/agency public statement</w:t>
            </w:r>
          </w:p>
        </w:tc>
      </w:tr>
      <w:tr>
        <w:tc>
          <w:tcPr>
            <w:tcW w:w="0" w:type="auto"/>
          </w:tcPr>
          <w:p>
            <w:pPr>
              <w:spacing w:line="240" w:lineRule="auto" w:before="0" w:after="0"/>
              <w:pStyle w:val="Compact"/>
            </w:pPr>
            <w:r>
              <w:rPr>
                <w:sz w:val="20"/>
                <w:szCs w:val="20"/>
              </w:rPr>
              <w:t xml:space="preserve">mishap</w:t>
            </w:r>
          </w:p>
        </w:tc>
        <w:tc>
          <w:tcPr>
            <w:tcW w:w="0" w:type="auto"/>
          </w:tcPr>
          <w:p>
            <w:pPr>
              <w:spacing w:line="240" w:lineRule="auto" w:before="0" w:after="0"/>
              <w:pStyle w:val="Compact"/>
            </w:pPr>
            <w:r>
              <w:rPr>
                <w:sz w:val="20"/>
                <w:szCs w:val="20"/>
              </w:rPr>
              <w:t xml:space="preserve">Event indicator: 1 if the anomaly escalated to a mission-ending mishap (loss of spacecraft or loss of primary mission), 0 if the spacecraft recovered (right-censored)</w:t>
            </w:r>
          </w:p>
        </w:tc>
        <w:tc>
          <w:tcPr>
            <w:tcW w:w="0" w:type="auto"/>
          </w:tcPr>
          <w:p>
            <w:pPr>
              <w:spacing w:line="240" w:lineRule="auto" w:before="0" w:after="0"/>
              <w:pStyle w:val="Compact"/>
            </w:pPr>
            <w:r>
              <w:rPr>
                <w:sz w:val="20"/>
                <w:szCs w:val="20"/>
              </w:rPr>
              <w:t xml:space="preserve">Outcome label from the cited investigation report or operator statement; mishap defined as primary-mission loss</w:t>
            </w:r>
          </w:p>
        </w:tc>
      </w:tr>
      <w:tr>
        <w:tc>
          <w:tcPr>
            <w:tcW w:w="0" w:type="auto"/>
          </w:tcPr>
          <w:p>
            <w:pPr>
              <w:spacing w:line="240" w:lineRule="auto" w:before="0" w:after="0"/>
              <w:pStyle w:val="Compact"/>
            </w:pPr>
            <w:r>
              <w:rPr>
                <w:sz w:val="20"/>
                <w:szCs w:val="20"/>
              </w:rPr>
              <w:t xml:space="preserve">closed_loop_fdir</w:t>
            </w:r>
          </w:p>
        </w:tc>
        <w:tc>
          <w:tcPr>
            <w:tcW w:w="0" w:type="auto"/>
          </w:tcPr>
          <w:p>
            <w:pPr>
              <w:spacing w:line="240" w:lineRule="auto" w:before="0" w:after="0"/>
              <w:pStyle w:val="Compact"/>
            </w:pPr>
            <w:r>
              <w:rPr>
                <w:sz w:val="20"/>
                <w:szCs w:val="20"/>
              </w:rPr>
              <w:t xml:space="preserve">Autonomy posture at onset: 1 if onboard fault detection, isolation, and recovery (FDIR) closed the recovery loop autonomously (autonomous abort, reconfiguration, or fault-protection arrested the trajectory), 0 if recovery depended on the ground loop</w:t>
            </w:r>
          </w:p>
        </w:tc>
        <w:tc>
          <w:tcPr>
            <w:tcW w:w="0" w:type="auto"/>
          </w:tcPr>
          <w:p>
            <w:pPr>
              <w:spacing w:line="240" w:lineRule="auto" w:before="0" w:after="0"/>
              <w:pStyle w:val="Compact"/>
            </w:pPr>
            <w:r>
              <w:rPr>
                <w:sz w:val="20"/>
                <w:szCs w:val="20"/>
              </w:rPr>
              <w:t xml:space="preserve">Coded from each mission’s documented recovery mode in the cited report, against the FDIR construct as defined in the self-removal operational-concept literature</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Ordinal anomaly severity at onset (0 = subsystem degradation, 1 = single-string functional loss, 2 = multi-subsystem or control-authority loss, 3 = imminent loss-of-vehicle dynamics such as uncontrolled spin, depletion, or destructive descent)</w:t>
            </w:r>
          </w:p>
        </w:tc>
        <w:tc>
          <w:tcPr>
            <w:tcW w:w="0" w:type="auto"/>
          </w:tcPr>
          <w:p>
            <w:pPr>
              <w:spacing w:line="240" w:lineRule="auto" w:before="0" w:after="0"/>
              <w:pStyle w:val="Compact"/>
            </w:pPr>
            <w:r>
              <w:rPr>
                <w:sz w:val="20"/>
                <w:szCs w:val="20"/>
              </w:rPr>
              <w:t xml:space="preserve">Coded from the anomaly description in the cited report</w:t>
            </w:r>
          </w:p>
        </w:tc>
      </w:tr>
      <w:tr>
        <w:tc>
          <w:tcPr>
            <w:tcW w:w="0" w:type="auto"/>
          </w:tcPr>
          <w:p>
            <w:pPr>
              <w:spacing w:line="240" w:lineRule="auto" w:before="0" w:after="0"/>
              <w:pStyle w:val="Compact"/>
            </w:pPr>
            <w:r>
              <w:rPr>
                <w:sz w:val="20"/>
                <w:szCs w:val="20"/>
              </w:rPr>
              <w:t xml:space="preserve">high_regime</w:t>
            </w:r>
          </w:p>
        </w:tc>
        <w:tc>
          <w:tcPr>
            <w:tcW w:w="0" w:type="auto"/>
          </w:tcPr>
          <w:p>
            <w:pPr>
              <w:spacing w:line="240" w:lineRule="auto" w:before="0" w:after="0"/>
              <w:pStyle w:val="Compact"/>
            </w:pPr>
            <w:r>
              <w:rPr>
                <w:sz w:val="20"/>
                <w:szCs w:val="20"/>
              </w:rPr>
              <w:t xml:space="preserve">Orbital regime indicator: 1 if MEO, GEO, HEO, cislunar, or interplanetary/entry-descent-landing, 0 if LEO</w:t>
            </w:r>
          </w:p>
        </w:tc>
        <w:tc>
          <w:tcPr>
            <w:tcW w:w="0" w:type="auto"/>
          </w:tcPr>
          <w:p>
            <w:pPr>
              <w:spacing w:line="240" w:lineRule="auto" w:before="0" w:after="0"/>
              <w:pStyle w:val="Compact"/>
            </w:pPr>
            <w:r>
              <w:rPr>
                <w:sz w:val="20"/>
                <w:szCs w:val="20"/>
              </w:rPr>
              <w:t xml:space="preserve">Regime label from the cited mission record and the NASA ODPO fragmentation history catalog where applicable</w:t>
            </w:r>
          </w:p>
        </w:tc>
      </w:tr>
    </w:tbl>
    <w:bookmarkEnd w:id="201"/>
    <w:bookmarkEnd w:id="202"/>
    <w:bookmarkStart w:id="210" w:name="X066e956970e0741a90f3c65f892363dab892c88"/>
    <w:p>
      <w:pPr>
        <w:pStyle w:val="Heading2"/>
        <w:spacing w:line="480" w:lineRule="auto"/>
      </w:pPr>
      <w:r>
        <w:t xml:space="preserve">A.2 Anomaly-to-Mishap Escalation as a Survival Process: A Cox Proportional-Hazards Analysis of On-Orbit Anomaly Events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m:t>
              </m:r>
              <m:sSub>
                <m:e>
                  <m:r>
                    <m:t>β</m:t>
                  </m:r>
                </m:e>
                <m:sub>
                  <m:r>
                    <m:t>2</m:t>
                  </m:r>
                </m:sub>
              </m:sSub>
              <m:r>
                <m:t> </m:t>
              </m:r>
              <m:r>
                <m:rPr>
                  <m:sty m:val="p"/>
                </m:rPr>
                <m:t>a</m:t>
              </m:r>
              <m:r>
                <m:rPr>
                  <m:sty m:val="p"/>
                </m:rPr>
                <m:t>t</m:t>
              </m:r>
              <m:r>
                <m:rPr>
                  <m:sty m:val="p"/>
                </m:rPr>
                <m:t>t</m:t>
              </m:r>
              <m:r>
                <m:rPr>
                  <m:sty m:val="p"/>
                </m:rPr>
                <m:t>i</m:t>
              </m:r>
              <m:r>
                <m:rPr>
                  <m:sty m:val="p"/>
                </m:rPr>
                <m:t>t</m:t>
              </m:r>
              <m:r>
                <m:rPr>
                  <m:sty m:val="p"/>
                </m:rPr>
                <m:t>u</m:t>
              </m:r>
              <m:r>
                <m:rPr>
                  <m:sty m:val="p"/>
                </m:rPr>
                <m:t>d</m:t>
              </m:r>
              <m:r>
                <m:rPr>
                  <m:sty m:val="p"/>
                </m:rPr>
                <m:t>e</m:t>
              </m:r>
              <m:r>
                <m:rPr>
                  <m:sty m:val="p"/>
                </m:rPr>
                <m:t>_</m:t>
              </m:r>
              <m:r>
                <m:rPr>
                  <m:sty m:val="p"/>
                </m:rPr>
                <m:t>l</m:t>
              </m:r>
              <m:r>
                <m:rPr>
                  <m:sty m:val="p"/>
                </m:rPr>
                <m:t>o</m:t>
              </m:r>
              <m:r>
                <m:rPr>
                  <m:sty m:val="p"/>
                </m:rPr>
                <m:t>s</m:t>
              </m:r>
              <m:r>
                <m:rPr>
                  <m:sty m:val="p"/>
                </m:rPr>
                <m:t>s</m:t>
              </m:r>
            </m:e>
          </m:d>
        </m:oMath>
      </m:oMathPara>
    </w:p>
    <w:bookmarkStart w:id="20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-1.9325</w:t>
            </w:r>
          </w:p>
        </w:tc>
        <w:tc>
          <w:tcPr>
            <w:tcW w:w="0" w:type="auto"/>
          </w:tcPr>
          <w:p>
            <w:pPr>
              <w:spacing w:line="240" w:lineRule="auto" w:before="0" w:after="0"/>
              <w:pStyle w:val="Compact"/>
            </w:pPr>
            <w:r>
              <w:rPr>
                <w:sz w:val="20"/>
                <w:szCs w:val="20"/>
              </w:rPr>
              <w:t xml:space="preserve">0.7697</w:t>
            </w:r>
          </w:p>
        </w:tc>
        <w:tc>
          <w:tcPr>
            <w:tcW w:w="0" w:type="auto"/>
          </w:tcPr>
          <w:p>
            <w:pPr>
              <w:spacing w:line="240" w:lineRule="auto" w:before="0" w:after="0"/>
              <w:pStyle w:val="Compact"/>
            </w:pPr>
            <w:r>
              <w:rPr>
                <w:sz w:val="20"/>
                <w:szCs w:val="20"/>
              </w:rPr>
              <w:t xml:space="preserve">-2.5106</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[-3.4412, -0.4238]</w:t>
            </w:r>
          </w:p>
        </w:tc>
        <w:tc>
          <w:tcPr>
            <w:tcW w:w="0" w:type="auto"/>
          </w:tcPr>
          <w:p>
            <w:pPr>
              <w:spacing w:line="240" w:lineRule="auto" w:before="0" w:after="0"/>
              <w:pStyle w:val="Compact"/>
            </w:pPr>
            <w:r>
              <w:rPr>
                <w:sz w:val="20"/>
                <w:szCs w:val="20"/>
              </w:rPr>
              <w:t xml:space="preserve">0.1448</w:t>
            </w:r>
          </w:p>
        </w:tc>
      </w:tr>
      <w:tr>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0.2291</w:t>
            </w:r>
          </w:p>
        </w:tc>
        <w:tc>
          <w:tcPr>
            <w:tcW w:w="0" w:type="auto"/>
          </w:tcPr>
          <w:p>
            <w:pPr>
              <w:spacing w:line="240" w:lineRule="auto" w:before="0" w:after="0"/>
              <w:pStyle w:val="Compact"/>
            </w:pPr>
            <w:r>
              <w:rPr>
                <w:sz w:val="20"/>
                <w:szCs w:val="20"/>
              </w:rPr>
              <w:t xml:space="preserve">0.5252</w:t>
            </w:r>
          </w:p>
        </w:tc>
        <w:tc>
          <w:tcPr>
            <w:tcW w:w="0" w:type="auto"/>
          </w:tcPr>
          <w:p>
            <w:pPr>
              <w:spacing w:line="240" w:lineRule="auto" w:before="0" w:after="0"/>
              <w:pStyle w:val="Compact"/>
            </w:pPr>
            <w:r>
              <w:rPr>
                <w:sz w:val="20"/>
                <w:szCs w:val="20"/>
              </w:rPr>
              <w:t xml:space="preserve">0.4363</w:t>
            </w:r>
          </w:p>
        </w:tc>
        <w:tc>
          <w:tcPr>
            <w:tcW w:w="0" w:type="auto"/>
          </w:tcPr>
          <w:p>
            <w:pPr>
              <w:spacing w:line="240" w:lineRule="auto" w:before="0" w:after="0"/>
              <w:pStyle w:val="Compact"/>
            </w:pPr>
            <w:r>
              <w:rPr>
                <w:sz w:val="20"/>
                <w:szCs w:val="20"/>
              </w:rPr>
              <w:t xml:space="preserve">0.6626</w:t>
            </w:r>
          </w:p>
        </w:tc>
        <w:tc>
          <w:tcPr>
            <w:tcW w:w="0" w:type="auto"/>
          </w:tcPr>
          <w:p>
            <w:pPr>
              <w:spacing w:line="240" w:lineRule="auto" w:before="0" w:after="0"/>
              <w:pStyle w:val="Compact"/>
            </w:pPr>
            <w:r>
              <w:rPr>
                <w:sz w:val="20"/>
                <w:szCs w:val="20"/>
              </w:rPr>
              <w:t xml:space="preserve">[-0.8002, 1.2584]</w:t>
            </w:r>
          </w:p>
        </w:tc>
        <w:tc>
          <w:tcPr>
            <w:tcW w:w="0" w:type="auto"/>
          </w:tcPr>
          <w:p>
            <w:pPr>
              <w:spacing w:line="240" w:lineRule="auto" w:before="0" w:after="0"/>
              <w:pStyle w:val="Compact"/>
            </w:pPr>
            <w:r>
              <w:rPr>
                <w:sz w:val="20"/>
                <w:szCs w:val="20"/>
              </w:rPr>
              <w:t xml:space="preserve">1.2575</w:t>
            </w:r>
          </w:p>
        </w:tc>
      </w:tr>
    </w:tbl>
    <w:p>
      <w:pPr>
        <w:pStyle w:val="BodyText"/>
        <w:spacing w:line="480" w:lineRule="auto"/>
        <w:ind w:firstLine="720"/>
      </w:pPr>
      <w:r>
        <w:t xml:space="preserve">Fit: N = 32 events = 16</w:t>
      </w:r>
    </w:p>
    <w:bookmarkEnd w:id="203"/>
    <w:bookmarkStart w:id="20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n-orbit anomaly events by time at risk and terminal outcome. Each point is a documented anomaly; the horizontal axis is the logged elapsed time from onset to disposition and the vertical axis marks whether the event escalated to a mishap." title="" id="205" name="Picture"/>
            <a:graphic>
              <a:graphicData uri="http://schemas.openxmlformats.org/drawingml/2006/picture">
                <pic:pic>
                  <pic:nvPicPr>
                    <pic:cNvPr descr="D:/Claude_Code/brain/collegium/candidates/dissertations/JPL_MGMT_SMA_TECH_03/research_papers/p2/paper_fig1.png" id="206" name="Picture"/>
                    <pic:cNvPicPr>
                      <a:picLocks noChangeArrowheads="1" noChangeAspect="1"/>
                    </pic:cNvPicPr>
                  </pic:nvPicPr>
                  <pic:blipFill>
                    <a:blip r:embed="rId20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On-orbit anomaly events by time at risk and terminal outcome. Each point is a documented anomaly; the horizontal axis is the logged elapsed time from onset to disposition and the vertical axis marks whether the event escalated to a mishap.</w:t>
      </w:r>
    </w:p>
    <w:bookmarkEnd w:id="207"/>
    <w:bookmarkStart w:id="20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t_hours</w:t>
            </w:r>
          </w:p>
        </w:tc>
        <w:tc>
          <w:tcPr>
            <w:tcW w:w="0" w:type="auto"/>
          </w:tcPr>
          <w:p>
            <w:pPr>
              <w:spacing w:line="240" w:lineRule="auto" w:before="0" w:after="0"/>
              <w:pStyle w:val="Compact"/>
            </w:pPr>
            <w:r>
              <w:rPr>
                <w:sz w:val="20"/>
                <w:szCs w:val="20"/>
              </w:rPr>
              <w:t xml:space="preserve">escalated</w:t>
            </w:r>
          </w:p>
        </w:tc>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SOHO Mission Interruption Joint ESA/NASA Investigation Board Final Report (1998), umbra.nascom.nasa.gov/soho/SOHO_final_report.html: first ESR-5 safe mode 23:16 UT 24 Jun, loss of contact 04:44 UT 25 Jun; autonomous safety inhibited by ground; loss of attitude control</w:t>
            </w:r>
          </w:p>
        </w:tc>
      </w:tr>
      <w:tr>
        <w:tc>
          <w:tcPr>
            <w:tcW w:w="0" w:type="auto"/>
          </w:tcPr>
          <w:p>
            <w:pPr>
              <w:spacing w:line="240" w:lineRule="auto" w:before="0" w:after="0"/>
              <w:pStyle w:val="Compact"/>
            </w:pPr>
            <w:r>
              <w:rPr>
                <w:sz w:val="20"/>
                <w:szCs w:val="20"/>
              </w:rPr>
              <w:t xml:space="preserve">Hitomi (ASTRO-H)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Hitomi Anomaly Investigation Report (2016); Funase et al., Earth Planets Space 69:51 (2017), doi:10.1186/s40623-017-0633-3: attitude loss ~19:10 UT 25 Mar, breakup ~01:37 UT 26 Mar</w:t>
            </w:r>
          </w:p>
        </w:tc>
      </w:tr>
      <w:tr>
        <w:tc>
          <w:tcPr>
            <w:tcW w:w="0" w:type="auto"/>
          </w:tcPr>
          <w:p>
            <w:pPr>
              <w:spacing w:line="240" w:lineRule="auto" w:before="0" w:after="0"/>
              <w:pStyle w:val="Compact"/>
            </w:pPr>
            <w:r>
              <w:rPr>
                <w:sz w:val="20"/>
                <w:szCs w:val="20"/>
              </w:rPr>
              <w:t xml:space="preserve">Galaxy 15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5832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Allen, Space Weather 8 (2010), doi:10.1029/2010SW000588; Gunter’s Space Page galaxy-15: anomaly 5 Apr 2010, autonomous battery-discharge reset restored command 23 Dec 2010 (~8 months); payload survived, recovered</w:t>
            </w:r>
          </w:p>
        </w:tc>
      </w:tr>
      <w:tr>
        <w:tc>
          <w:tcPr>
            <w:tcW w:w="0" w:type="auto"/>
          </w:tcPr>
          <w:p>
            <w:pPr>
              <w:spacing w:line="240" w:lineRule="auto" w:before="0" w:after="0"/>
              <w:pStyle w:val="Compact"/>
            </w:pPr>
            <w:r>
              <w:rPr>
                <w:sz w:val="20"/>
                <w:szCs w:val="20"/>
              </w:rPr>
              <w:t xml:space="preserve">AMC-9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press statements June-July 2017; SpaceNews 2017-07-06</w:t>
            </w:r>
            <w:r>
              <w:rPr>
                <w:sz w:val="20"/>
                <w:szCs w:val="20"/>
              </w:rPr>
              <w:t xml:space="preserve"> </w:t>
            </w:r>
            <w:r>
              <w:rPr>
                <w:sz w:val="20"/>
                <w:szCs w:val="20"/>
              </w:rPr>
              <w:t xml:space="preserve">‘SES reconnects with AMC-9’</w:t>
            </w:r>
            <w:r>
              <w:rPr>
                <w:sz w:val="20"/>
                <w:szCs w:val="20"/>
              </w:rPr>
              <w:t xml:space="preserve">: serious anomaly ~07:10 UT 17 Jun 2017, drift arrested and command re-established 1 Jul 2017; spacecraft stabilized</w:t>
            </w:r>
          </w:p>
        </w:tc>
      </w:tr>
      <w:tr>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 2024-10-21; Satellite Today 2024-10-21</w:t>
            </w:r>
            <w:r>
              <w:rPr>
                <w:sz w:val="20"/>
                <w:szCs w:val="20"/>
              </w:rPr>
              <w:t xml:space="preserve"> </w:t>
            </w:r>
            <w:r>
              <w:rPr>
                <w:sz w:val="20"/>
                <w:szCs w:val="20"/>
              </w:rPr>
              <w:t xml:space="preserve">‘IS-33e total loss’</w:t>
            </w:r>
            <w:r>
              <w:rPr>
                <w:sz w:val="20"/>
                <w:szCs w:val="20"/>
              </w:rPr>
              <w:t xml:space="preserve">: sudden energetic breakup ~04:30 UT 19 Oct 2024 declared total loss; abrupt terminal event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Genesis Mishap Investigation Board Report Vol I (2005), ntrs.nasa.gov: G-switch sensors installed inverted; drogue/parafoil never deployed on 8 Sep 2004 reentry; ground impact within minutes [illustrative onset-to-impact window]</w:t>
            </w:r>
          </w:p>
        </w:tc>
      </w:tr>
      <w:tr>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Climate Orbiter Mishap Investigation Board Phase I Report (1999), ntrs.nasa.gov: pound-force vs newton units error; spacecraft entered atmosphere too low at MOI 23 Sep 1999 and was destroyed [illustrative terminal window]</w:t>
            </w:r>
          </w:p>
        </w:tc>
      </w:tr>
      <w:tr>
        <w:tc>
          <w:tcPr>
            <w:tcW w:w="0" w:type="auto"/>
          </w:tcPr>
          <w:p>
            <w:pPr>
              <w:spacing w:line="240" w:lineRule="auto" w:before="0" w:after="0"/>
              <w:pStyle w:val="Compact"/>
            </w:pPr>
            <w:r>
              <w:rPr>
                <w:sz w:val="20"/>
                <w:szCs w:val="20"/>
              </w:rPr>
              <w:t xml:space="preserve">NOAA-19 (N-PRIME)</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NASA/NOAA NOAA-N PRIME Mishap Investigation (2003): spacecraft fell from turn-over cart during ground processing; sudden structural loss event [illustrative; ground-processing mishap]</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DART Mishap Investigation Board Public Summary (2006), ntrs.nasa.gov: navigation/attitude estimation errors led to collision with MUBLCOM and premature retirement during 15 Apr 2005 rendezvous</w:t>
            </w:r>
          </w:p>
        </w:tc>
      </w:tr>
      <w:tr>
        <w:tc>
          <w:tcPr>
            <w:tcW w:w="0" w:type="auto"/>
          </w:tcPr>
          <w:p>
            <w:pPr>
              <w:spacing w:line="240" w:lineRule="auto" w:before="0" w:after="0"/>
              <w:pStyle w:val="Compact"/>
            </w:pPr>
            <w:r>
              <w:rPr>
                <w:sz w:val="20"/>
                <w:szCs w:val="20"/>
              </w:rPr>
              <w:t xml:space="preserve">ADEOS-II (Midori-II)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ADEOS-II anomaly report (2003); Gunter’s Space Page adeos-2: solar paddle power-system failure 24 Oct 2003 caused rapid loss of power and end of mission</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Phobos-Grunt failure commission (2012); Gunter’s Space Page phobos-grunt: upper-stage failed to fire after 9 Nov 2011 launch, stranded in LEO, reentered 15 Jan 2012 (~59 days), no recovery</w:t>
            </w:r>
          </w:p>
        </w:tc>
      </w:tr>
      <w:tr>
        <w:tc>
          <w:tcPr>
            <w:tcW w:w="0" w:type="auto"/>
          </w:tcPr>
          <w:p>
            <w:pPr>
              <w:spacing w:line="240" w:lineRule="auto" w:before="0" w:after="0"/>
              <w:pStyle w:val="Compact"/>
            </w:pPr>
            <w:r>
              <w:rPr>
                <w:sz w:val="20"/>
                <w:szCs w:val="20"/>
              </w:rPr>
              <w:t xml:space="preserve">Galileo HGA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Johnson, NASA Galileo high-gain antenna anomaly reports (1993); the HGA failed to fully deploy 11 Apr 1991, mission continued via LGA with degraded data return over the ~week of deploy attempts; mission not lost (right-censored at end of recovery window)</w:t>
            </w:r>
          </w:p>
        </w:tc>
      </w:tr>
      <w:tr>
        <w:tc>
          <w:tcPr>
            <w:tcW w:w="0" w:type="auto"/>
          </w:tcPr>
          <w:p>
            <w:pPr>
              <w:spacing w:line="240" w:lineRule="auto" w:before="0" w:after="0"/>
              <w:pStyle w:val="Compact"/>
            </w:pPr>
            <w:r>
              <w:rPr>
                <w:sz w:val="20"/>
                <w:szCs w:val="20"/>
              </w:rPr>
              <w:t xml:space="preserve">Hubble (gyro 1990s)</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Hubble Space Telescope gyroscope failure history; Nov 1999 fourth-gyro failure placed HST in safe mode for ~3 days until ground stabilization and SM3A servicing recovery; mission not lost (censored)</w:t>
            </w:r>
          </w:p>
        </w:tc>
      </w:tr>
      <w:tr>
        <w:tc>
          <w:tcPr>
            <w:tcW w:w="0" w:type="auto"/>
          </w:tcPr>
          <w:p>
            <w:pPr>
              <w:spacing w:line="240" w:lineRule="auto" w:before="0" w:after="0"/>
              <w:pStyle w:val="Compact"/>
            </w:pPr>
            <w:r>
              <w:rPr>
                <w:sz w:val="20"/>
                <w:szCs w:val="20"/>
              </w:rPr>
              <w:t xml:space="preserve">Kepler reaction wheel</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reaction-wheel-2 failure 11 May 2013; Ball/NASA K2 recovery: onboard Thruster-Controlled Safe Mode held the bus for ~10 days while ground assessed options; spacecraft preserved and K2 mission followed; not lost (censored)</w:t>
            </w:r>
          </w:p>
        </w:tc>
      </w:tr>
      <w:tr>
        <w:tc>
          <w:tcPr>
            <w:tcW w:w="0" w:type="auto"/>
          </w:tcPr>
          <w:p>
            <w:pPr>
              <w:spacing w:line="240" w:lineRule="auto" w:before="0" w:after="0"/>
              <w:pStyle w:val="Compact"/>
            </w:pPr>
            <w:r>
              <w:rPr>
                <w:sz w:val="20"/>
                <w:szCs w:val="20"/>
              </w:rPr>
              <w:t xml:space="preserve">Galaxy 11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Boeing 702 solar-array concentrator degradation reports (2002-2003); satellite lost power margin gradually but onboard load-shedding kept it in degraded service over the ~60-day characterization window; not a total loss (censored)</w:t>
            </w:r>
          </w:p>
        </w:tc>
      </w:tr>
      <w:tr>
        <w:tc>
          <w:tcPr>
            <w:tcW w:w="0" w:type="auto"/>
          </w:tcPr>
          <w:p>
            <w:pPr>
              <w:spacing w:line="240" w:lineRule="auto" w:before="0" w:after="0"/>
              <w:pStyle w:val="Compact"/>
            </w:pPr>
            <w:r>
              <w:rPr>
                <w:sz w:val="20"/>
                <w:szCs w:val="20"/>
              </w:rPr>
              <w:t xml:space="preserve">Anik F1</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Telesat/Boeing 702 Anik F1 solar-array degradation (2002); onboard power management held reduced-payload service across the ~60-day window, spacecraft retained; censored (no escalation in window)</w:t>
            </w:r>
          </w:p>
        </w:tc>
      </w:tr>
      <w:tr>
        <w:tc>
          <w:tcPr>
            <w:tcW w:w="0" w:type="auto"/>
          </w:tcPr>
          <w:p>
            <w:pPr>
              <w:spacing w:line="240" w:lineRule="auto" w:before="0" w:after="0"/>
              <w:pStyle w:val="Compact"/>
            </w:pPr>
            <w:r>
              <w:rPr>
                <w:sz w:val="20"/>
                <w:szCs w:val="20"/>
              </w:rPr>
              <w:t xml:space="preserve">TerreStar-1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Gunter’s Space Page terrestar-1; reaction-wheel/control concerns managed autonomously in GEO; censored at a 30-day operational window during which the spacecraft remained in service without escalation</w:t>
            </w:r>
          </w:p>
        </w:tc>
      </w:tr>
      <w:tr>
        <w:tc>
          <w:tcPr>
            <w:tcW w:w="0" w:type="auto"/>
          </w:tcPr>
          <w:p>
            <w:pPr>
              <w:spacing w:line="240" w:lineRule="auto" w:before="0" w:after="0"/>
              <w:pStyle w:val="Compact"/>
            </w:pPr>
            <w:r>
              <w:rPr>
                <w:sz w:val="20"/>
                <w:szCs w:val="20"/>
              </w:rPr>
              <w:t xml:space="preserve">STEX</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NRO/NASA STEX advanced-technology spacecraft (1998); experimental subsystem anomalies handled autonomously; censored at a 25-day demonstration window during which no anomaly escalated to a mishap</w:t>
            </w:r>
          </w:p>
        </w:tc>
      </w:tr>
      <w:tr>
        <w:tc>
          <w:tcPr>
            <w:tcW w:w="0" w:type="auto"/>
          </w:tcPr>
          <w:p>
            <w:pPr>
              <w:spacing w:line="240" w:lineRule="auto" w:before="0" w:after="0"/>
              <w:pStyle w:val="Compact"/>
            </w:pPr>
            <w:r>
              <w:rPr>
                <w:sz w:val="20"/>
                <w:szCs w:val="20"/>
              </w:rPr>
              <w:t xml:space="preserve">Lewis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Lewis Spacecraft Mission Failure Investigation Board Final Report (1998), ntrs.nasa.gov: attitude-control instability after 23 Aug 1997 launch led to loss of power and tumbling; reentry ~28 Sep but functional loss within ~3 days of safe-mode entry</w:t>
            </w:r>
          </w:p>
        </w:tc>
      </w:tr>
      <w:tr>
        <w:tc>
          <w:tcPr>
            <w:tcW w:w="0" w:type="auto"/>
          </w:tcPr>
          <w:p>
            <w:pPr>
              <w:spacing w:line="240" w:lineRule="auto" w:before="0" w:after="0"/>
              <w:pStyle w:val="Compact"/>
            </w:pPr>
            <w:r>
              <w:rPr>
                <w:sz w:val="20"/>
                <w:szCs w:val="20"/>
              </w:rPr>
              <w:t xml:space="preserve">WIRE</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WIRE Mishap Investigation Board Report (1999), ntrs.nasa.gov: premature cover ejection vented cryogen 4 Mar 1999, spacecraft spun up; science mission lost within days though bus partly recovered</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CONTOUR Mishap Investigation Board Report (2003), ntrs.nasa.gov: solid-motor burn 15 Aug 2002 led to spacecraft breakup during Earth-departure; abrupt terminal event</w:t>
            </w:r>
          </w:p>
        </w:tc>
      </w:tr>
      <w:tr>
        <w:tc>
          <w:tcPr>
            <w:tcW w:w="0" w:type="auto"/>
          </w:tcPr>
          <w:p>
            <w:pPr>
              <w:spacing w:line="240" w:lineRule="auto" w:before="0" w:after="0"/>
              <w:pStyle w:val="Compact"/>
            </w:pPr>
            <w:r>
              <w:rPr>
                <w:sz w:val="20"/>
                <w:szCs w:val="20"/>
              </w:rPr>
              <w:t xml:space="preserve">XSS-11 autonomous rendezvous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AFRL XSS-11 autonomous proximity-operations reports (2005-2006); minor pointing anomalies during autonomous ops were self-corrected; censored at end of the documented ~one-week multi-rendezvous campaign that completed without escalation</w:t>
            </w:r>
          </w:p>
        </w:tc>
      </w:tr>
      <w:tr>
        <w:tc>
          <w:tcPr>
            <w:tcW w:w="0" w:type="auto"/>
          </w:tcPr>
          <w:p>
            <w:pPr>
              <w:spacing w:line="240" w:lineRule="auto" w:before="0" w:after="0"/>
              <w:pStyle w:val="Compact"/>
            </w:pPr>
            <w:r>
              <w:rPr>
                <w:sz w:val="20"/>
                <w:szCs w:val="20"/>
              </w:rPr>
              <w:t xml:space="preserve">Sea Launch Zenit (NSS-8)</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NSS-8 / Sea Launch Zenit-3SL on-pad explosion 30 Jan 2007; payload lost during launch-phase anomaly within minutes [illustrative onset-to-loss window for launch-phase anomaly]</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Envisat anomaly investigation (2012); ESA news 2012: abrupt loss of contact 8 Apr 2012, ground recovery attempts over ~15 days failed, mission declared ended 9 May 2012</w:t>
            </w:r>
          </w:p>
        </w:tc>
      </w:tr>
      <w:tr>
        <w:tc>
          <w:tcPr>
            <w:tcW w:w="0" w:type="auto"/>
          </w:tcPr>
          <w:p>
            <w:pPr>
              <w:spacing w:line="240" w:lineRule="auto" w:before="0" w:after="0"/>
              <w:pStyle w:val="Compact"/>
            </w:pPr>
            <w:r>
              <w:rPr>
                <w:sz w:val="20"/>
                <w:szCs w:val="20"/>
              </w:rPr>
              <w:t xml:space="preserve">Telstar 401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AT&amp;T/Loral Telstar 401 anomaly 11 Jan 1997; Gunter’s Space Page telstar-401: sudden electrical/attitude event during geomagnetic storm caused irreversible loss within hours</w:t>
            </w:r>
          </w:p>
        </w:tc>
      </w:tr>
      <w:tr>
        <w:tc>
          <w:tcPr>
            <w:tcW w:w="0" w:type="auto"/>
          </w:tcPr>
          <w:p>
            <w:pPr>
              <w:spacing w:line="240" w:lineRule="auto" w:before="0" w:after="0"/>
              <w:pStyle w:val="Compact"/>
            </w:pPr>
            <w:r>
              <w:rPr>
                <w:sz w:val="20"/>
                <w:szCs w:val="20"/>
              </w:rPr>
              <w:t xml:space="preserve">Anik E1/E2</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Lam et al. space-weather anomaly studies; Telesat Anik E1/E2 momentum-wheel control upsets 20 Jan 1994 from energetic electrons; E2 recovered via ground control after ~hours-to-months campaign; survived (censored at recovery)</w:t>
            </w:r>
          </w:p>
        </w:tc>
      </w:tr>
      <w:tr>
        <w:tc>
          <w:tcPr>
            <w:tcW w:w="0" w:type="auto"/>
          </w:tcPr>
          <w:p>
            <w:pPr>
              <w:spacing w:line="240" w:lineRule="auto" w:before="0" w:after="0"/>
              <w:pStyle w:val="Compact"/>
            </w:pPr>
            <w:r>
              <w:rPr>
                <w:sz w:val="20"/>
                <w:szCs w:val="20"/>
              </w:rPr>
              <w:t xml:space="preserve">ISS Ammonia Loop (S1)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ISS External Thermal Control System pump-module failure 11 Dec 2013; crew/ground response isolated loop, EVAs restored cooling; station preserved, no escalation (censored)</w:t>
            </w:r>
          </w:p>
        </w:tc>
      </w:tr>
      <w:tr>
        <w:tc>
          <w:tcPr>
            <w:tcW w:w="0" w:type="auto"/>
          </w:tcPr>
          <w:p>
            <w:pPr>
              <w:spacing w:line="240" w:lineRule="auto" w:before="0" w:after="0"/>
              <w:pStyle w:val="Compact"/>
            </w:pPr>
            <w:r>
              <w:rPr>
                <w:sz w:val="20"/>
                <w:szCs w:val="20"/>
              </w:rPr>
              <w:t xml:space="preserve">Apollo 13</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Apollo 13 Review Board Report (1970), ntrs.nasa.gov: O2 tank 2 rupture 21:08 UT 13 Apr 1970; crew/ground recovery over ~87 h to safe splashdown 17 Apr; crew survived, vehicle recovered (censored)</w:t>
            </w:r>
          </w:p>
        </w:tc>
      </w:tr>
      <w:tr>
        <w:tc>
          <w:tcPr>
            <w:tcW w:w="0" w:type="auto"/>
          </w:tcPr>
          <w:p>
            <w:pPr>
              <w:spacing w:line="240" w:lineRule="auto" w:before="0" w:after="0"/>
              <w:pStyle w:val="Compact"/>
            </w:pPr>
            <w:r>
              <w:rPr>
                <w:sz w:val="20"/>
                <w:szCs w:val="20"/>
              </w:rPr>
              <w:t xml:space="preserve">Mir Spektr collision</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NASA/RSA Mir Progress M-34 collision report (1997): 25 Jun 1997 collision depressurized Spektr module; crew sealed hatch within ~30 min, station preserved; censored (no loss of station)</w:t>
            </w:r>
          </w:p>
        </w:tc>
      </w:tr>
      <w:tr>
        <w:tc>
          <w:tcPr>
            <w:tcW w:w="0" w:type="auto"/>
          </w:tcPr>
          <w:p>
            <w:pPr>
              <w:spacing w:line="240" w:lineRule="auto" w:before="0" w:after="0"/>
              <w:pStyle w:val="Compact"/>
            </w:pPr>
            <w:r>
              <w:rPr>
                <w:sz w:val="20"/>
                <w:szCs w:val="20"/>
              </w:rPr>
              <w:t xml:space="preserve">Skylab attitude/MDA</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Skylab micrometeoroid-shield loss at launch 14 May 1973 caused thermal/power crisis; crewed repair mission deployed parasol ~35 days later, station saved; censored</w:t>
            </w:r>
          </w:p>
        </w:tc>
      </w:tr>
      <w:tr>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GOES-13 anomaly Sep 2012 (and earlier 2012 stuck-filter/attitude events); spacecraft put in safe storage and returned to service after ~30 days; recovered (censored)</w:t>
            </w:r>
          </w:p>
        </w:tc>
      </w:tr>
      <w:tr>
        <w:tc>
          <w:tcPr>
            <w:tcW w:w="0" w:type="auto"/>
          </w:tcPr>
          <w:p>
            <w:pPr>
              <w:spacing w:line="240" w:lineRule="auto" w:before="0" w:after="0"/>
              <w:pStyle w:val="Compact"/>
            </w:pPr>
            <w:r>
              <w:rPr>
                <w:sz w:val="20"/>
                <w:szCs w:val="20"/>
              </w:rPr>
              <w:t xml:space="preserve">Olympus 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Olympus-1 anomaly investigation (1991): loss of attitude control 29 May 1991 during Perseid avoidance/eclipse, drifted ~17 days; partly recovered then retired Aug 1993; functional escalation in 1991 event window</w:t>
            </w:r>
          </w:p>
        </w:tc>
      </w:tr>
    </w:tbl>
    <w:bookmarkEnd w:id="208"/>
    <w:bookmarkStart w:id="20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t_hours</w:t>
            </w:r>
          </w:p>
        </w:tc>
        <w:tc>
          <w:tcPr>
            <w:tcW w:w="0" w:type="auto"/>
          </w:tcPr>
          <w:p>
            <w:pPr>
              <w:spacing w:line="240" w:lineRule="auto" w:before="0" w:after="0"/>
              <w:pStyle w:val="Compact"/>
            </w:pPr>
            <w:r>
              <w:rPr>
                <w:sz w:val="20"/>
                <w:szCs w:val="20"/>
              </w:rPr>
              <w:t xml:space="preserve">Time at risk in hours, measured from documented anomaly onset to terminal disposition (escalation to a mishap, or stabilization/recovery for censored events)</w:t>
            </w:r>
          </w:p>
        </w:tc>
        <w:tc>
          <w:tcPr>
            <w:tcW w:w="0" w:type="auto"/>
          </w:tcPr>
          <w:p>
            <w:pPr>
              <w:spacing w:line="240" w:lineRule="auto" w:before="0" w:after="0"/>
              <w:pStyle w:val="Compact"/>
            </w:pPr>
            <w:r>
              <w:rPr>
                <w:sz w:val="20"/>
                <w:szCs w:val="20"/>
              </w:rPr>
              <w:t xml:space="preserve">Elapsed time computed from dated event timelines in each row’s cited investigation report or registry entry</w:t>
            </w:r>
          </w:p>
        </w:tc>
      </w:tr>
      <w:tr>
        <w:tc>
          <w:tcPr>
            <w:tcW w:w="0" w:type="auto"/>
          </w:tcPr>
          <w:p>
            <w:pPr>
              <w:spacing w:line="240" w:lineRule="auto" w:before="0" w:after="0"/>
              <w:pStyle w:val="Compact"/>
            </w:pPr>
            <w:r>
              <w:rPr>
                <w:sz w:val="20"/>
                <w:szCs w:val="20"/>
              </w:rPr>
              <w:t xml:space="preserve">escalated</w:t>
            </w:r>
          </w:p>
        </w:tc>
        <w:tc>
          <w:tcPr>
            <w:tcW w:w="0" w:type="auto"/>
          </w:tcPr>
          <w:p>
            <w:pPr>
              <w:spacing w:line="240" w:lineRule="auto" w:before="0" w:after="0"/>
              <w:pStyle w:val="Compact"/>
            </w:pPr>
            <w:r>
              <w:rPr>
                <w:sz w:val="20"/>
                <w:szCs w:val="20"/>
              </w:rPr>
              <w:t xml:space="preserve">Event indicator: 1 if the anomaly escalated to a mishap (loss of spacecraft, loss of mission, or major irrecoverable loss); 0 if the spacecraft was recovered or the anomaly was contained (right-censored)</w:t>
            </w:r>
          </w:p>
        </w:tc>
        <w:tc>
          <w:tcPr>
            <w:tcW w:w="0" w:type="auto"/>
          </w:tcPr>
          <w:p>
            <w:pPr>
              <w:spacing w:line="240" w:lineRule="auto" w:before="0" w:after="0"/>
              <w:pStyle w:val="Compact"/>
            </w:pPr>
            <w:r>
              <w:rPr>
                <w:sz w:val="20"/>
                <w:szCs w:val="20"/>
              </w:rPr>
              <w:t xml:space="preserve">Outcome classification from each row’s cited mishap-board report, operator statement, or registry entry</w:t>
            </w:r>
          </w:p>
        </w:tc>
      </w:tr>
      <w:tr>
        <w:tc>
          <w:tcPr>
            <w:tcW w:w="0" w:type="auto"/>
          </w:tcPr>
          <w:p>
            <w:pPr>
              <w:spacing w:line="240" w:lineRule="auto" w:before="0" w:after="0"/>
              <w:pStyle w:val="Compact"/>
            </w:pPr>
            <w:r>
              <w:rPr>
                <w:sz w:val="20"/>
                <w:szCs w:val="20"/>
              </w:rPr>
              <w:t xml:space="preserve">autonomy</w:t>
            </w:r>
          </w:p>
        </w:tc>
        <w:tc>
          <w:tcPr>
            <w:tcW w:w="0" w:type="auto"/>
          </w:tcPr>
          <w:p>
            <w:pPr>
              <w:spacing w:line="240" w:lineRule="auto" w:before="0" w:after="0"/>
              <w:pStyle w:val="Compact"/>
            </w:pPr>
            <w:r>
              <w:rPr>
                <w:sz w:val="20"/>
                <w:szCs w:val="20"/>
              </w:rPr>
              <w:t xml:space="preserve">1 if functioning onboard autonomy (autonomous fault detection, safe-mode entry, or self-correction) was active during the event; 0 if the response was dependent on the ground command loop</w:t>
            </w:r>
          </w:p>
        </w:tc>
        <w:tc>
          <w:tcPr>
            <w:tcW w:w="0" w:type="auto"/>
          </w:tcPr>
          <w:p>
            <w:pPr>
              <w:spacing w:line="240" w:lineRule="auto" w:before="0" w:after="0"/>
              <w:pStyle w:val="Compact"/>
            </w:pPr>
            <w:r>
              <w:rPr>
                <w:sz w:val="20"/>
                <w:szCs w:val="20"/>
              </w:rPr>
              <w:t xml:space="preserve">Coded from the response narrative in each cited investigation report</w:t>
            </w:r>
          </w:p>
        </w:tc>
      </w:tr>
      <w:tr>
        <w:tc>
          <w:tcPr>
            <w:tcW w:w="0" w:type="auto"/>
          </w:tcPr>
          <w:p>
            <w:pPr>
              <w:spacing w:line="240" w:lineRule="auto" w:before="0" w:after="0"/>
              <w:pStyle w:val="Compact"/>
            </w:pPr>
            <w:r>
              <w:rPr>
                <w:sz w:val="20"/>
                <w:szCs w:val="20"/>
              </w:rPr>
              <w:t xml:space="preserve">attitude_loss</w:t>
            </w:r>
          </w:p>
        </w:tc>
        <w:tc>
          <w:tcPr>
            <w:tcW w:w="0" w:type="auto"/>
          </w:tcPr>
          <w:p>
            <w:pPr>
              <w:spacing w:line="240" w:lineRule="auto" w:before="0" w:after="0"/>
              <w:pStyle w:val="Compact"/>
            </w:pPr>
            <w:r>
              <w:rPr>
                <w:sz w:val="20"/>
                <w:szCs w:val="20"/>
              </w:rPr>
              <w:t xml:space="preserve">1 if the anomaly involved loss of attitude or pointing control; 0 if the initiating anomaly was in another subsystem</w:t>
            </w:r>
          </w:p>
        </w:tc>
        <w:tc>
          <w:tcPr>
            <w:tcW w:w="0" w:type="auto"/>
          </w:tcPr>
          <w:p>
            <w:pPr>
              <w:spacing w:line="240" w:lineRule="auto" w:before="0" w:after="0"/>
              <w:pStyle w:val="Compact"/>
            </w:pPr>
            <w:r>
              <w:rPr>
                <w:sz w:val="20"/>
                <w:szCs w:val="20"/>
              </w:rPr>
              <w:t xml:space="preserve">Coded from the failure mode described in each cited investigation report</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the vehicle carried crew (human-in-the-loop recovery available); 0 otherwise. Retained for description only; not modeled because it perfectly predicts non-escalation in this sample</w:t>
            </w:r>
          </w:p>
        </w:tc>
        <w:tc>
          <w:tcPr>
            <w:tcW w:w="0" w:type="auto"/>
          </w:tcPr>
          <w:p>
            <w:pPr>
              <w:spacing w:line="240" w:lineRule="auto" w:before="0" w:after="0"/>
              <w:pStyle w:val="Compact"/>
            </w:pPr>
            <w:r>
              <w:rPr>
                <w:sz w:val="20"/>
                <w:szCs w:val="20"/>
              </w:rPr>
              <w:t xml:space="preserve">Vehicle type from each cited source</w:t>
            </w:r>
          </w:p>
        </w:tc>
      </w:tr>
    </w:tbl>
    <w:bookmarkEnd w:id="209"/>
    <w:bookmarkEnd w:id="210"/>
    <w:bookmarkEnd w:id="21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6" Type="http://schemas.openxmlformats.org/officeDocument/2006/relationships/image" Target="media/rId196.png"/><Relationship Id="rId204" Type="http://schemas.openxmlformats.org/officeDocument/2006/relationships/image" Target="media/rId204.png"/><Relationship Id="rId153" Type="http://schemas.openxmlformats.org/officeDocument/2006/relationships/hyperlink" Target="https://doi.org/10.1016/j.actaastro.2017.06.034" TargetMode="External"/><Relationship Id="rId155" Type="http://schemas.openxmlformats.org/officeDocument/2006/relationships/hyperlink" Target="https://doi.org/10.1016/j.actaastro.2018.08.027" TargetMode="External"/><Relationship Id="rId149" Type="http://schemas.openxmlformats.org/officeDocument/2006/relationships/hyperlink" Target="https://doi.org/10.1016/j.actaastro.2019.07.014" TargetMode="External"/><Relationship Id="rId190" Type="http://schemas.openxmlformats.org/officeDocument/2006/relationships/hyperlink" Target="https://doi.org/10.1016/j.actaastro.2023.04.037" TargetMode="External"/><Relationship Id="rId186" Type="http://schemas.openxmlformats.org/officeDocument/2006/relationships/hyperlink" Target="https://doi.org/10.1016/j.actaastro.2024.01.048" TargetMode="External"/><Relationship Id="rId180" Type="http://schemas.openxmlformats.org/officeDocument/2006/relationships/hyperlink" Target="https://doi.org/10.1016/j.actaastro.2024.05.007" TargetMode="External"/><Relationship Id="rId182" Type="http://schemas.openxmlformats.org/officeDocument/2006/relationships/hyperlink" Target="https://doi.org/10.1016/j.actaastro.2024.11.033" TargetMode="External"/><Relationship Id="rId157" Type="http://schemas.openxmlformats.org/officeDocument/2006/relationships/hyperlink" Target="https://doi.org/10.1016/j.actaastro.2025.07.007" TargetMode="External"/><Relationship Id="rId166" Type="http://schemas.openxmlformats.org/officeDocument/2006/relationships/hyperlink" Target="https://doi.org/10.1016/j.actaastro.2025.07.055" TargetMode="External"/><Relationship Id="rId184" Type="http://schemas.openxmlformats.org/officeDocument/2006/relationships/hyperlink" Target="https://doi.org/10.1016/j.actaastro.2025.09.088" TargetMode="External"/><Relationship Id="rId188" Type="http://schemas.openxmlformats.org/officeDocument/2006/relationships/hyperlink" Target="https://doi.org/10.1016/j.actaastro.2025.10.018" TargetMode="External"/><Relationship Id="rId192" Type="http://schemas.openxmlformats.org/officeDocument/2006/relationships/hyperlink" Target="https://doi.org/10.1016/j.actaastro.2025.11.056" TargetMode="External"/><Relationship Id="rId159" Type="http://schemas.openxmlformats.org/officeDocument/2006/relationships/hyperlink" Target="https://doi.org/10.1016/j.ress.2009.11.001" TargetMode="External"/><Relationship Id="rId177" Type="http://schemas.openxmlformats.org/officeDocument/2006/relationships/hyperlink" Target="https://doi.org/10.64861/CXGE3201" TargetMode="External"/><Relationship Id="rId169" Type="http://schemas.openxmlformats.org/officeDocument/2006/relationships/hyperlink" Target="https://doi.org/10.64861/LPFK9568" TargetMode="External"/><Relationship Id="rId144" Type="http://schemas.openxmlformats.org/officeDocument/2006/relationships/hyperlink" Target="https://doi.org/10.64861/PHBD6598" TargetMode="External"/><Relationship Id="rId146" Type="http://schemas.openxmlformats.org/officeDocument/2006/relationships/hyperlink" Target="https://doi.org/10.64861/QLJS5432" TargetMode="External"/><Relationship Id="rId142" Type="http://schemas.openxmlformats.org/officeDocument/2006/relationships/hyperlink" Target="https://doi.org/10.64861/RAAN7205" TargetMode="External"/><Relationship Id="rId173" Type="http://schemas.openxmlformats.org/officeDocument/2006/relationships/hyperlink" Target="https://doi.org/10.64861/RBSH8666" TargetMode="External"/><Relationship Id="rId175" Type="http://schemas.openxmlformats.org/officeDocument/2006/relationships/hyperlink" Target="https://doi.org/10.64861/VEWW9997" TargetMode="External"/><Relationship Id="rId162" Type="http://schemas.openxmlformats.org/officeDocument/2006/relationships/hyperlink" Target="https://doi.org/10.64861/XHRO4751" TargetMode="External"/></Relationships>
</file>

<file path=word/_rels/footnotes.xml.rels><?xml version='1.0' encoding='UTF-8' standalone='yes'?>
<Relationships xmlns="http://schemas.openxmlformats.org/package/2006/relationships"><Relationship Id="rId153" Type="http://schemas.openxmlformats.org/officeDocument/2006/relationships/hyperlink" Target="https://doi.org/10.1016/j.actaastro.2017.06.034" TargetMode="External"/><Relationship Id="rId155" Type="http://schemas.openxmlformats.org/officeDocument/2006/relationships/hyperlink" Target="https://doi.org/10.1016/j.actaastro.2018.08.027" TargetMode="External"/><Relationship Id="rId149" Type="http://schemas.openxmlformats.org/officeDocument/2006/relationships/hyperlink" Target="https://doi.org/10.1016/j.actaastro.2019.07.014" TargetMode="External"/><Relationship Id="rId190" Type="http://schemas.openxmlformats.org/officeDocument/2006/relationships/hyperlink" Target="https://doi.org/10.1016/j.actaastro.2023.04.037" TargetMode="External"/><Relationship Id="rId186" Type="http://schemas.openxmlformats.org/officeDocument/2006/relationships/hyperlink" Target="https://doi.org/10.1016/j.actaastro.2024.01.048" TargetMode="External"/><Relationship Id="rId180" Type="http://schemas.openxmlformats.org/officeDocument/2006/relationships/hyperlink" Target="https://doi.org/10.1016/j.actaastro.2024.05.007" TargetMode="External"/><Relationship Id="rId182" Type="http://schemas.openxmlformats.org/officeDocument/2006/relationships/hyperlink" Target="https://doi.org/10.1016/j.actaastro.2024.11.033" TargetMode="External"/><Relationship Id="rId157" Type="http://schemas.openxmlformats.org/officeDocument/2006/relationships/hyperlink" Target="https://doi.org/10.1016/j.actaastro.2025.07.007" TargetMode="External"/><Relationship Id="rId166" Type="http://schemas.openxmlformats.org/officeDocument/2006/relationships/hyperlink" Target="https://doi.org/10.1016/j.actaastro.2025.07.055" TargetMode="External"/><Relationship Id="rId184" Type="http://schemas.openxmlformats.org/officeDocument/2006/relationships/hyperlink" Target="https://doi.org/10.1016/j.actaastro.2025.09.088" TargetMode="External"/><Relationship Id="rId188" Type="http://schemas.openxmlformats.org/officeDocument/2006/relationships/hyperlink" Target="https://doi.org/10.1016/j.actaastro.2025.10.018" TargetMode="External"/><Relationship Id="rId192" Type="http://schemas.openxmlformats.org/officeDocument/2006/relationships/hyperlink" Target="https://doi.org/10.1016/j.actaastro.2025.11.056" TargetMode="External"/><Relationship Id="rId159" Type="http://schemas.openxmlformats.org/officeDocument/2006/relationships/hyperlink" Target="https://doi.org/10.1016/j.ress.2009.11.001" TargetMode="External"/><Relationship Id="rId177" Type="http://schemas.openxmlformats.org/officeDocument/2006/relationships/hyperlink" Target="https://doi.org/10.64861/CXGE3201" TargetMode="External"/><Relationship Id="rId169" Type="http://schemas.openxmlformats.org/officeDocument/2006/relationships/hyperlink" Target="https://doi.org/10.64861/LPFK9568" TargetMode="External"/><Relationship Id="rId144" Type="http://schemas.openxmlformats.org/officeDocument/2006/relationships/hyperlink" Target="https://doi.org/10.64861/PHBD6598" TargetMode="External"/><Relationship Id="rId146" Type="http://schemas.openxmlformats.org/officeDocument/2006/relationships/hyperlink" Target="https://doi.org/10.64861/QLJS5432" TargetMode="External"/><Relationship Id="rId142" Type="http://schemas.openxmlformats.org/officeDocument/2006/relationships/hyperlink" Target="https://doi.org/10.64861/RAAN7205" TargetMode="External"/><Relationship Id="rId173" Type="http://schemas.openxmlformats.org/officeDocument/2006/relationships/hyperlink" Target="https://doi.org/10.64861/RBSH8666" TargetMode="External"/><Relationship Id="rId175" Type="http://schemas.openxmlformats.org/officeDocument/2006/relationships/hyperlink" Target="https://doi.org/10.64861/VEWW9997" TargetMode="External"/><Relationship Id="rId162" Type="http://schemas.openxmlformats.org/officeDocument/2006/relationships/hyperlink" Target="https://doi.org/10.64861/XHRO4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Anomaly-to-Mishap Escalation as a Survival Process: What Predicts Whether an In-Orbit Anomaly Becomes a Mission-Ending Mishap</dc:title>
  <dc:creator>Petra Farouk (1B-SMA-023)</dc:creator>
  <cp:keywords/>
  <dcterms:created xsi:type="dcterms:W3CDTF">2026-07-02T17:06:34Z</dcterms:created>
  <dcterms:modified xsi:type="dcterms:W3CDTF">2026-07-02T17:06:34Z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