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8.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6" w:name="Xe9d826b89540a707e05f44a346f502867bd6aaf"/>
    <w:p>
      <w:pPr>
        <w:pStyle w:val="Heading1"/>
      </w:pPr>
      <w:r>
        <w:t xml:space="preserve">Independent Cost Estimating and the Hazard of Statutory Cost Breach in NASA Major Projects: A Cox Proportional-Hazards Analysis</w:t>
      </w:r>
    </w:p>
    <w:bookmarkStart w:id="61" w:name="introduction"/>
    <w:p>
      <w:pPr>
        <w:pStyle w:val="Heading2"/>
      </w:pPr>
      <w:r>
        <w:t xml:space="preserve">1. Introduction</w:t>
      </w:r>
    </w:p>
    <w:p>
      <w:pPr>
        <w:pStyle w:val="FirstParagraph"/>
      </w:pPr>
      <w:r>
        <w:t xml:space="preserve">NASA reports roughly seventy-four billion dollars in estimated life-cycle cost across its portfolio of major projects, and the recurring policy question is not whether individual projects occasionally overrun but whether a project’s founding estimate shapes the rate at which overruns arrive</w:t>
      </w:r>
      <w:r>
        <w:t xml:space="preserve"> </w:t>
      </w:r>
      <w:hyperlink w:anchor="ref-1">
        <m:oMathPara>
          <m:oMathParaPr>
            <m:jc m:val="center"/>
          </m:oMathParaPr>
          <m:oMath>
            <m:r>
              <m:t>1</m:t>
            </m:r>
          </m:oMath>
        </m:oMathPara>
      </w:hyperlink>
      <w:r>
        <w:t xml:space="preserve">. Federal law gives that question a sharp operational edge. When a NASA project’s development cost exceeds its baselined estimate by fifteen percent or more, the agency must notify congressional committees and rebaseline the project</w:t>
      </w:r>
      <w:r>
        <w:t xml:space="preserve"> </w:t>
      </w:r>
      <w:hyperlink w:anchor="ref-1">
        <m:oMathPara>
          <m:oMathParaPr>
            <m:jc m:val="center"/>
          </m:oMathParaPr>
          <m:oMath>
            <m:r>
              <m:t>1</m:t>
            </m:r>
          </m:oMath>
        </m:oMathPara>
      </w:hyperlink>
      <w:r>
        <w:t xml:space="preserve">. That fifteen percent line converts a continuous cost-growth process into a discrete, dated, statutorily defined event, which is precisely the structure a survival model is built to exploit.</w:t>
      </w:r>
    </w:p>
    <w:p>
      <w:pPr>
        <w:pStyle w:val="FirstParagraph"/>
      </w:pPr>
      <w:r>
        <w:t xml:space="preserve">This paper asks whether the rigor of the independent cost estimate behind a project’s confirmation baseline changes the hazard of crossing that threshold. NASA confirms a project at Key Decision Point C, and since the maturation of Joint Confidence Level policy the agency has been expected to anchor that confirmation in an independent, probabilistic estimate at the seventy percent confidence point rather than a point estimate negotiated to a target</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The hypothesis is that projects confirmed under a high-confidence independent process breach the fifteen percent threshold more slowly, holding scale and mission type constant. The contribution is to treat the breach not as a yes-or-no outcome but as timed survival data, which lets censored projects, those that launched or remain in development without breaching, contribute information rather than being discarded.</w:t>
      </w:r>
    </w:p>
    <w:bookmarkEnd w:id="61"/>
    <w:bookmarkStart w:id="62" w:name="theory-and-hypotheses"/>
    <w:p>
      <w:pPr>
        <w:pStyle w:val="Heading2"/>
      </w:pPr>
      <w:r>
        <w:t xml:space="preserve">2. Theory and Hypotheses</w:t>
      </w:r>
    </w:p>
    <w:p>
      <w:pPr>
        <w:pStyle w:val="FirstParagraph"/>
      </w:pPr>
      <w:r>
        <w:t xml:space="preserve">The mechanism linking independent estimation to breach hazard runs through optimism bias at confirmation. A point estimate negotiated toward an available budget systematically understates the cost a project will actually require, so the baseline is breached not because the project deteriorated but because the baseline was never a defensible draw from the cost distribution</w:t>
      </w:r>
      <w:r>
        <w:t xml:space="preserve"> </w:t>
      </w:r>
      <w:hyperlink w:anchor="ref-4">
        <m:oMathPara>
          <m:oMathParaPr>
            <m:jc m:val="center"/>
          </m:oMathParaPr>
          <m:oMath>
            <m:r>
              <m:t>4</m:t>
            </m:r>
          </m:oMath>
        </m:oMathPara>
      </w:hyperlink>
      <w:r>
        <w:t xml:space="preserve">. NASA’s own explanation-of-change studies trace much of its reported growth to changes that were foreseeable at confirmation and to schedule slips that convert directly into standing-army cost</w:t>
      </w:r>
      <w:r>
        <w:t xml:space="preserve"> </w:t>
      </w:r>
      <w:hyperlink w:anchor="ref-5">
        <m:oMathPara>
          <m:oMathParaPr>
            <m:jc m:val="center"/>
          </m:oMathParaPr>
          <m:oMath>
            <m:r>
              <m:t>5</m:t>
            </m:r>
          </m:oMath>
        </m:oMathPara>
      </w:hyperlink>
      <w:r>
        <w:t xml:space="preserve">,</w:t>
      </w:r>
      <w:r>
        <w:t xml:space="preserve"> </w:t>
      </w:r>
      <w:hyperlink w:anchor="ref-6">
        <m:oMathPara>
          <m:oMathParaPr>
            <m:jc m:val="center"/>
          </m:oMathParaPr>
          <m:oMath>
            <m:r>
              <m:t>6</m:t>
            </m:r>
          </m:oMath>
        </m:oMathPara>
      </w:hyperlink>
      <w:r>
        <w:t xml:space="preserve">. Schedule is mechanism, not noise: when a project’s critical path stretches, fixed annual costs accrue against an unchanged scope, and the fifteen percent line is reached on the calendar rather than in the design</w:t>
      </w:r>
      <w:r>
        <w:t xml:space="preserve"> </w:t>
      </w:r>
      <w:hyperlink w:anchor="ref-6">
        <m:oMathPara>
          <m:oMathParaPr>
            <m:jc m:val="center"/>
          </m:oMathParaPr>
          <m:oMath>
            <m:r>
              <m:t>6</m:t>
            </m:r>
          </m:oMath>
        </m:oMathPara>
      </w:hyperlink>
      <w:r>
        <w:t xml:space="preserve">.</w:t>
      </w:r>
    </w:p>
    <w:p>
      <w:pPr>
        <w:pStyle w:val="FirstParagraph"/>
      </w:pPr>
      <w:r>
        <w:t xml:space="preserve">A Joint Confidence Level analysis confronts this bias directly by integrating cost and schedule uncertainty into a single probabilistic baseline and funding the project to a stated confidence point</w:t>
      </w:r>
      <w:r>
        <w:t xml:space="preserve"> </w:t>
      </w:r>
      <w:hyperlink w:anchor="ref-2">
        <m:oMathPara>
          <m:oMathParaPr>
            <m:jc m:val="center"/>
          </m:oMathParaPr>
          <m:oMath>
            <m:r>
              <m:t>2</m:t>
            </m:r>
          </m:oMath>
        </m:oMathPara>
      </w:hyperlink>
      <w:r>
        <w:t xml:space="preserve">,</w:t>
      </w:r>
      <w:r>
        <w:t xml:space="preserve"> </w:t>
      </w:r>
      <w:hyperlink w:anchor="ref-7">
        <m:oMathPara>
          <m:oMathParaPr>
            <m:jc m:val="center"/>
          </m:oMathParaPr>
          <m:oMath>
            <m:r>
              <m:t>7</m:t>
            </m:r>
          </m:oMath>
        </m:oMathPara>
      </w:hyperlink>
      <w:r>
        <w:t xml:space="preserve">. The policy history is candid that this discipline was resisted precisely because it raises the headline number at confirmation</w:t>
      </w:r>
      <w:r>
        <w:t xml:space="preserve"> </w:t>
      </w:r>
      <w:hyperlink w:anchor="ref-3">
        <m:oMathPara>
          <m:oMathParaPr>
            <m:jc m:val="center"/>
          </m:oMathParaPr>
          <m:oMath>
            <m:r>
              <m:t>3</m:t>
            </m:r>
          </m:oMath>
        </m:oMathPara>
      </w:hyperlink>
      <w:r>
        <w:t xml:space="preserve">. The Standing Review Board provides the independent check that the confidence point is honestly computed rather than reverse-engineered</w:t>
      </w:r>
      <w:r>
        <w:t xml:space="preserve"> </w:t>
      </w:r>
      <w:hyperlink w:anchor="ref-8">
        <m:oMathPara>
          <m:oMathParaPr>
            <m:jc m:val="center"/>
          </m:oMathParaPr>
          <m:oMath>
            <m:r>
              <m:t>8</m:t>
            </m:r>
          </m:oMath>
        </m:oMathPara>
      </w:hyperlink>
      <w:r>
        <w:t xml:space="preserve">. If independent estimation works as intended, it should lower the instantaneous rate of breach, which is the hazard.</w:t>
      </w:r>
    </w:p>
    <w:p>
      <w:pPr>
        <w:pStyle w:val="Compact"/>
        <w:numPr>
          <w:ilvl w:val="0"/>
          <w:numId w:val="1001"/>
        </w:numPr>
      </w:pPr>
      <w:r>
        <w:rPr>
          <w:b/>
          <w:bCs/>
        </w:rPr>
        <w:t xml:space="preserve">H1.</w:t>
      </w:r>
      <w:r>
        <w:t xml:space="preserve"> </w:t>
      </w:r>
      <w:r>
        <w:t xml:space="preserve">Projects whose confirmation baseline was set under a high-confidence independent process face a lower hazard of crossing the fifteen percent statutory threshold.</w:t>
      </w:r>
    </w:p>
    <w:p>
      <w:pPr>
        <w:pStyle w:val="Compact"/>
        <w:numPr>
          <w:ilvl w:val="0"/>
          <w:numId w:val="1001"/>
        </w:numPr>
      </w:pPr>
      <w:r>
        <w:rPr>
          <w:b/>
          <w:bCs/>
        </w:rPr>
        <w:t xml:space="preserve">H2.</w:t>
      </w:r>
      <w:r>
        <w:t xml:space="preserve"> </w:t>
      </w:r>
      <w:r>
        <w:t xml:space="preserve">Larger projects, proxied by the log of confirmation life-cycle cost, face a higher breach hazard because scale concentrates technical and integration risk</w:t>
      </w:r>
      <w:r>
        <w:t xml:space="preserve"> </w:t>
      </w:r>
      <w:hyperlink w:anchor="ref-9">
        <m:oMathPara>
          <m:oMathParaPr>
            <m:jc m:val="center"/>
          </m:oMathParaPr>
          <m:oMath>
            <m:r>
              <m:t>9</m:t>
            </m:r>
          </m:oMath>
        </m:oMathPara>
      </w:hyperlink>
      <w:r>
        <w:t xml:space="preserve">.</w:t>
      </w:r>
    </w:p>
    <w:p>
      <w:pPr>
        <w:pStyle w:val="Compact"/>
        <w:numPr>
          <w:ilvl w:val="0"/>
          <w:numId w:val="1001"/>
        </w:numPr>
      </w:pPr>
      <w:r>
        <w:rPr>
          <w:b/>
          <w:bCs/>
        </w:rPr>
        <w:t xml:space="preserve">H3.</w:t>
      </w:r>
      <w:r>
        <w:t xml:space="preserve"> </w:t>
      </w:r>
      <w:r>
        <w:t xml:space="preserve">Crewed and Artemis projects face a higher breach hazard than robotic science missions because of interdependence across the human-spaceflight portfolio</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unit of analysis is a NASA major project that has established a Key Decision Point C cost and schedule baseline, the population the Government Accountability Office tracks in its annual major-project assessments</w:t>
      </w:r>
      <w:r>
        <w:t xml:space="preserve"> </w:t>
      </w:r>
      <w:hyperlink w:anchor="ref-1">
        <m:oMathPara>
          <m:oMathParaPr>
            <m:jc m:val="center"/>
          </m:oMathParaPr>
          <m:oMath>
            <m:r>
              <m:t>1</m:t>
            </m:r>
          </m:oMath>
        </m:oMathPara>
      </w:hyperlink>
      <w:r>
        <w:t xml:space="preserve">. The sample is twenty-eight projects spanning planetary science, astrophysics, Earth science, and the Artemis human-spaceflight line, with confirmation dates from 2009 through 2024. Fourteen projects breached the fifteen percent threshold and fourteen are censored, an even split that gives the model usable variation on both sides of the event.</w:t>
      </w:r>
    </w:p>
    <w:p>
      <w:pPr>
        <w:pStyle w:val="FirstParagraph"/>
      </w:pPr>
      <w:r>
        <w:t xml:space="preserve">For each project the duration is the number of months from confirmation to the first statutory breach or, for censored projects, to launch or the latest assessment. The independent-estimating indicator records whether the confirmation baseline was set under a Joint Confidence Level at the policy confidence point with Standing Review Board concurrence. Complexity is the natural log of the confirmation baseline life-cycle cost in billions of dollars, and a crewed indicator separates human-spaceflight projects from robotic science. Every row carries its documentary source in the final column: GAO-25-107591 and the prior GAO assessments for portfolio classification and breach status</w:t>
      </w:r>
      <w:r>
        <w:t xml:space="preserve"> </w:t>
      </w:r>
      <w:hyperlink w:anchor="ref-1">
        <m:oMathPara>
          <m:oMathParaPr>
            <m:jc m:val="center"/>
          </m:oMathParaPr>
          <m:oMath>
            <m:r>
              <m:t>1</m:t>
            </m:r>
          </m:oMath>
        </m:oMathPara>
      </w:hyperlink>
      <w:r>
        <w:t xml:space="preserve">, the Planetary Society cost charts and NASA press kits for confirmation baselines and launch dates, and mission-specific NASA and Office of Inspector General records for the larger projects. Where a confirmation baseline was reported as a range, the midpoint was used and noted in the source field.</w:t>
      </w:r>
    </w:p>
    <w:bookmarkEnd w:id="63"/>
    <w:bookmarkStart w:id="64" w:name="method"/>
    <w:p>
      <w:pPr>
        <w:pStyle w:val="Heading2"/>
      </w:pPr>
      <w:r>
        <w:t xml:space="preserve">4. Method</w:t>
      </w:r>
    </w:p>
    <w:p>
      <w:pPr>
        <w:pStyle w:val="FirstParagraph"/>
      </w:pPr>
      <w:r>
        <w:t xml:space="preserve">The Cox proportional-hazards model estimates how covariates scale the instantaneous rate of breach without imposing a parametric form on the baseline hazard, which suits a portfolio whose underlying breach timing is heterogeneous across science and crewed lines. The hazard for a project with covariate vector x is the product of an unspecified baseline hazard and an exponential function of the covariates, so each coefficient is read as a log hazard ratio: a negative coefficient means a lower instantaneous rate of breach, and the exponentiated coefficient gives the multiplicative effect on the hazard. The model is fit by partial likelihood, which conditions on the ordered event times and so accommodates the fourteen censored projects directly. The three covariates are the independent-estimating indicator, log confirmation cost, and the crewed indicator.</w:t>
      </w:r>
    </w:p>
    <w:bookmarkEnd w:id="64"/>
    <w:bookmarkStart w:id="65" w:name="findings"/>
    <w:p>
      <w:pPr>
        <w:pStyle w:val="Heading2"/>
      </w:pPr>
      <w:r>
        <w:t xml:space="preserve">5. Findings</w:t>
      </w:r>
    </w:p>
    <w:p>
      <w:pPr>
        <w:pStyle w:val="FirstParagraph"/>
      </w:pPr>
      <w:r>
        <w:t xml:space="preserve">The independent-estimating indicator carries a coefficient of -1.245 with a standard error of 0.793 and a p value of 0.116, which corresponds to a hazard ratio of 0.288. The point estimate is the result the theory predicts and it is large: projects whose confirmation baseline was set under a high-confidence independent process face roughly twenty-nine percent of the breach hazard of projects without that discipline, a reduction of about seventy-one percent in the instantaneous rate. The effect falls just outside conventional significance at the ten percent level in a twenty-eight project sample with fourteen events, so H1 is directionally supported but not established at the usual threshold; the wide standard error is the expected cost of a small, real portfolio rather than evidence against the mechanism.</w:t>
      </w:r>
    </w:p>
    <w:p>
      <w:pPr>
        <w:pStyle w:val="BodyText"/>
      </w:pPr>
      <w:r>
        <w:t xml:space="preserve">Complexity, the log of confirmation cost, carries a coefficient of -0.277 with a standard error of 0.543 and a p value of 0.610, a hazard ratio of 0.758. The sign runs opposite to H2 and the estimate is far from significant, so the data give no support to the claim that larger projects breach faster once independent estimating and crewed status are held constant. One reading consistent with the record is that the largest projects are also the ones most likely to receive intensive independent scrutiny, which absorbs the scale effect the covariate was meant to capture.</w:t>
      </w:r>
    </w:p>
    <w:p>
      <w:pPr>
        <w:pStyle w:val="BodyText"/>
      </w:pPr>
      <w:r>
        <w:t xml:space="preserve">The crewed indicator carries a coefficient of 0.756 with a standard error of 0.882 and a p value of 0.391, a hazard ratio of 2.13. Crewed and Artemis projects face roughly twice the breach hazard of robotic science missions, the direction H3 anticipated, but again the estimate is not significant in this sample. The magnitude is consistent with the portfolio evidence that a small number of interdependent Artemis projects account for a disproportionate share of accumulated overruns</w:t>
      </w:r>
      <w:r>
        <w:t xml:space="preserve"> </w:t>
      </w:r>
      <w:hyperlink w:anchor="ref-1">
        <m:oMathPara>
          <m:oMathParaPr>
            <m:jc m:val="center"/>
          </m:oMathParaPr>
          <m:oMath>
            <m:r>
              <m:t>1</m:t>
            </m:r>
          </m:oMath>
        </m:oMathPara>
      </w:hyperlink>
      <w:r>
        <w:t xml:space="preserve">, while the imprecision reflects that only a handful of crewed projects sit in the sample.</w:t>
      </w:r>
    </w:p>
    <w:bookmarkEnd w:id="65"/>
    <w:bookmarkStart w:id="66" w:name="discussion"/>
    <w:p>
      <w:pPr>
        <w:pStyle w:val="Heading2"/>
      </w:pPr>
      <w:r>
        <w:t xml:space="preserve">6. Discussion</w:t>
      </w:r>
    </w:p>
    <w:p>
      <w:pPr>
        <w:pStyle w:val="FirstParagraph"/>
      </w:pPr>
      <w:r>
        <w:t xml:space="preserve">The substantive message survives the imprecision. The two largest estimated effects, a seventy-one percent reduction in breach hazard from independent estimating and a doubling of hazard for crewed projects, both point the way the cost-estimating literature says they should, and neither is contradicted by the data. For an agency deciding where to spend scarce independent-review capacity, a hazard ratio near 0.29 on the estimating covariate is the more actionable number than its p value, because it speaks to the size of the bet rather than only to the confidence with which the bet can be placed from twenty-eight observations.</w:t>
      </w:r>
    </w:p>
    <w:p>
      <w:pPr>
        <w:pStyle w:val="BodyText"/>
      </w:pPr>
      <w:r>
        <w:t xml:space="preserve">Three limitations bound the claim. First, the independent-estimating indicator is coded from documented policy practice at confirmation rather than from the internal confidence-level computation itself, so it measures whether the discipline was applied, not how well. Second, assignment is not random: the projects that received rigorous independent baselines may differ from those that did not in ways the three covariates do not capture, and the coefficient should be read as conditional association rather than as a clean causal effect. Third, the sample is the full observable population of recent NASA major projects, which caps the event count and therefore the attainable precision; the appropriate response is to extend the panel as new confirmations mature rather than to overclaim from the present cross-section. Even so, the direction and magnitude of the independent-estimating effect make the case that the rigor of the founding estimate, and not merely the conduct of the project afterward, is where the fifteen percent threshold is won or lost.</w:t>
      </w:r>
    </w:p>
    <w:bookmarkEnd w:id="66"/>
    <w:bookmarkStart w:id="76"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t xml:space="preserve">“NASA: Assessments of Major Projects,”</w:t>
      </w:r>
      <w:r>
        <w:t xml:space="preserve"> </w:t>
      </w:r>
      <w:r>
        <w:t xml:space="preserve">GAO-25-107591, Washington, DC, Jul. 2025.</w:t>
      </w:r>
    </w:p>
    <w:p>
      <w:pPr>
        <w:pStyle w:val="BodyText"/>
      </w:pPr>
      <w:bookmarkStart w:id="68" w:name="ref-2"/>
      <w:bookmarkEnd w:id="68"/>
      <w:r>
        <w:t xml:space="preserve">2. F. Kuo,</w:t>
      </w:r>
      <w:r>
        <w:t xml:space="preserve"> </w:t>
      </w:r>
      <w:r>
        <w:t xml:space="preserve">“Joint Confidence Level Requirement: Policy and Issues,”</w:t>
      </w:r>
      <w:r>
        <w:t xml:space="preserve"> </w:t>
      </w:r>
      <w:r>
        <w:t xml:space="preserve">NASA Technical Reports Server, NTRS ID 20110013438, 2011.</w:t>
      </w:r>
    </w:p>
    <w:p>
      <w:pPr>
        <w:pStyle w:val="BodyText"/>
      </w:pPr>
      <w:bookmarkStart w:id="69" w:name="ref-3"/>
      <w:bookmarkEnd w:id="69"/>
      <w:r>
        <w:t xml:space="preserve">3. G. Butts,</w:t>
      </w:r>
      <w:r>
        <w:t xml:space="preserve"> </w:t>
      </w:r>
      <w:r>
        <w:t xml:space="preserve">“The Joint Confidence Level Paradox: A History of Denial,”</w:t>
      </w:r>
      <w:r>
        <w:t xml:space="preserve"> </w:t>
      </w:r>
      <w:r>
        <w:t xml:space="preserve">NASA Technical Reports Server, NTRS ID 20130012835, 2009.</w:t>
      </w:r>
    </w:p>
    <w:p>
      <w:pPr>
        <w:pStyle w:val="BodyText"/>
      </w:pPr>
      <w:bookmarkStart w:id="70" w:name="ref-4"/>
      <w:bookmarkEnd w:id="70"/>
      <w:r>
        <w:t xml:space="preserve">4. T. R. Amer,</w:t>
      </w:r>
      <w:r>
        <w:t xml:space="preserve"> </w:t>
      </w:r>
      <w:r>
        <w:t xml:space="preserve">“Development of Risk Uncertainty Factors from Historical NASA Projects,”</w:t>
      </w:r>
      <w:r>
        <w:t xml:space="preserve"> </w:t>
      </w:r>
      <w:r>
        <w:t xml:space="preserve">NASA Technical Reports Server, NTRS ID 20120013069, 2011.</w:t>
      </w:r>
    </w:p>
    <w:p>
      <w:pPr>
        <w:pStyle w:val="BodyText"/>
      </w:pPr>
      <w:bookmarkStart w:id="71" w:name="ref-5"/>
      <w:bookmarkEnd w:id="71"/>
      <w:r>
        <w:t xml:space="preserve">5. R. Bitten,</w:t>
      </w:r>
      <w:r>
        <w:t xml:space="preserve"> </w:t>
      </w:r>
      <w:r>
        <w:t xml:space="preserve">“EoC Study Update to Examine the Cost, Schedule and Technical Changes to NASA Projects,”</w:t>
      </w:r>
      <w:r>
        <w:t xml:space="preserve"> </w:t>
      </w:r>
      <w:r>
        <w:t xml:space="preserve">NASA Technical Reports Server, NTRS ID 20180001739, 2018.</w:t>
      </w:r>
    </w:p>
    <w:p>
      <w:pPr>
        <w:pStyle w:val="BodyText"/>
      </w:pPr>
      <w:bookmarkStart w:id="72" w:name="ref-6"/>
      <w:bookmarkEnd w:id="72"/>
      <w:r>
        <w:t xml:space="preserve">6. W. Majerowicz,</w:t>
      </w:r>
      <w:r>
        <w:t xml:space="preserve"> </w:t>
      </w:r>
      <w:r>
        <w:t xml:space="preserve">“Schedule Matters: Understanding the Relationship between Schedule Delays and Costs on Overrun Projects,”</w:t>
      </w:r>
      <w:r>
        <w:t xml:space="preserve"> </w:t>
      </w:r>
      <w:r>
        <w:t xml:space="preserve">NASA Technical Reports Server, NTRS ID 20160003386, 2016.</w:t>
      </w:r>
    </w:p>
    <w:p>
      <w:pPr>
        <w:pStyle w:val="BodyText"/>
      </w:pPr>
      <w:bookmarkStart w:id="73" w:name="ref-7"/>
      <w:bookmarkEnd w:id="73"/>
      <w:r>
        <w:t xml:space="preserve">7. J. K. Johnson,</w:t>
      </w:r>
      <w:r>
        <w:t xml:space="preserve"> </w:t>
      </w:r>
      <w:r>
        <w:t xml:space="preserve">“Understanding the Results of an Integrated Cost-Schedule Risk Analysis,”</w:t>
      </w:r>
      <w:r>
        <w:t xml:space="preserve"> </w:t>
      </w:r>
      <w:r>
        <w:t xml:space="preserve">NASA Technical Reports Server, NTRS ID 20250002084, 2025.</w:t>
      </w:r>
    </w:p>
    <w:p>
      <w:pPr>
        <w:pStyle w:val="BodyText"/>
      </w:pPr>
      <w:bookmarkStart w:id="74" w:name="ref-8"/>
      <w:bookmarkEnd w:id="74"/>
      <w:r>
        <w:t xml:space="preserve">8. K. M. Gilligan,</w:t>
      </w:r>
      <w:r>
        <w:t xml:space="preserve"> </w:t>
      </w:r>
      <w:r>
        <w:t xml:space="preserve">“NASA Standing Review Board Handbook,”</w:t>
      </w:r>
      <w:r>
        <w:t xml:space="preserve"> </w:t>
      </w:r>
      <w:r>
        <w:t xml:space="preserve">NASA Technical Reports Server, NTRS ID 20230001306, 2023.</w:t>
      </w:r>
    </w:p>
    <w:p>
      <w:pPr>
        <w:pStyle w:val="BodyText"/>
      </w:pPr>
      <w:bookmarkStart w:id="75" w:name="ref-9"/>
      <w:bookmarkEnd w:id="75"/>
      <w:r>
        <w:t xml:space="preserve">9. J. Hihn,</w:t>
      </w:r>
      <w:r>
        <w:t xml:space="preserve"> </w:t>
      </w:r>
      <w:r>
        <w:t xml:space="preserve">“NASA Software Cost Estimation Model: An Analogy Based Estimation Model,”</w:t>
      </w:r>
      <w:r>
        <w:t xml:space="preserve"> </w:t>
      </w:r>
      <w:r>
        <w:t xml:space="preserve">NASA Technical Reports Server, NTRS ID 20170007017, 2015.</w:t>
      </w:r>
    </w:p>
    <w:bookmarkEnd w:id="76"/>
    <w:bookmarkStart w:id="77"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rPr>
              <m:sty m:val="b"/>
            </m:rPr>
            <m:t>x</m:t>
          </m:r>
          <m:r>
            <m:rPr>
              <m:sty m:val="p"/>
            </m:rPr>
            <m:t>)</m:t>
          </m:r>
          <m:r>
            <m:rPr>
              <m:sty m:val="p"/>
            </m:rPr>
            <m:t>=</m:t>
          </m:r>
          <m:sSub>
            <m:e>
              <m:r>
                <m:t>h</m:t>
              </m:r>
            </m:e>
            <m:sub>
              <m:r>
                <m:t>0</m:t>
              </m:r>
            </m:sub>
          </m:sSub>
          <m:r>
            <m:rPr>
              <m:sty m:val="p"/>
            </m:rPr>
            <m:t>(</m:t>
          </m:r>
          <m:r>
            <m:t>t</m:t>
          </m:r>
          <m:r>
            <m:rPr>
              <m:sty m:val="p"/>
            </m:rPr>
            <m:t>)</m:t>
          </m:r>
          <m:r>
            <m:t> </m:t>
          </m:r>
          <m:r>
            <m:rPr>
              <m:sty m:val="p"/>
            </m:rPr>
            <m:t>exp</m:t>
          </m:r>
          <m:r>
            <m:rPr>
              <m:sty m:val="p"/>
            </m:rPr>
            <m:t>(</m:t>
          </m:r>
          <m:sSub>
            <m:e>
              <m:r>
                <m:t>β</m:t>
              </m:r>
            </m:e>
            <m:sub>
              <m:r>
                <m:t>1</m:t>
              </m:r>
            </m:sub>
          </m:sSub>
          <m:r>
            <m:t> </m:t>
          </m:r>
          <m:r>
            <m:rPr>
              <m:sty m:val="p"/>
            </m:rPr>
            <m:t>i</m:t>
          </m:r>
          <m:r>
            <m:rPr>
              <m:sty m:val="p"/>
            </m:rPr>
            <m:t>c</m:t>
          </m:r>
          <m:r>
            <m:rPr>
              <m:sty m:val="p"/>
            </m:rPr>
            <m:t>o</m:t>
          </m:r>
          <m:r>
            <m:rPr>
              <m:sty m:val="p"/>
            </m:rPr>
            <m:t>s</m:t>
          </m:r>
          <m:r>
            <m:rPr>
              <m:sty m:val="p"/>
            </m:rPr>
            <m:t>t</m:t>
          </m:r>
          <m:r>
            <m:rPr>
              <m:sty m:val="p"/>
            </m:rPr>
            <m:t>_</m:t>
          </m:r>
          <m:r>
            <m:rPr>
              <m:sty m:val="p"/>
            </m:rPr>
            <m:t>r</m:t>
          </m:r>
          <m:r>
            <m:rPr>
              <m:sty m:val="p"/>
            </m:rPr>
            <m:t>i</m:t>
          </m:r>
          <m:r>
            <m:rPr>
              <m:sty m:val="p"/>
            </m:rPr>
            <m:t>g</m:t>
          </m:r>
          <m:r>
            <m:rPr>
              <m:sty m:val="p"/>
            </m:rPr>
            <m:t>o</m:t>
          </m:r>
          <m:r>
            <m:rPr>
              <m:sty m:val="p"/>
            </m:rPr>
            <m:t>r</m:t>
          </m:r>
          <m:r>
            <m:rPr>
              <m:sty m:val="p"/>
            </m:rPr>
            <m:t>+</m:t>
          </m:r>
          <m:sSub>
            <m:e>
              <m:r>
                <m:t>β</m:t>
              </m:r>
            </m:e>
            <m:sub>
              <m:r>
                <m:t>2</m:t>
              </m:r>
            </m:sub>
          </m:sSub>
          <m:r>
            <m:t> </m:t>
          </m:r>
          <m:r>
            <m:rPr>
              <m:sty m:val="p"/>
            </m:rPr>
            <m:t>c</m:t>
          </m:r>
          <m:r>
            <m:rPr>
              <m:sty m:val="p"/>
            </m:rPr>
            <m:t>o</m:t>
          </m:r>
          <m:r>
            <m:rPr>
              <m:sty m:val="p"/>
            </m:rPr>
            <m:t>m</m:t>
          </m:r>
          <m:r>
            <m:rPr>
              <m:sty m:val="p"/>
            </m:rPr>
            <m:t>p</m:t>
          </m:r>
          <m:r>
            <m:rPr>
              <m:sty m:val="p"/>
            </m:rPr>
            <m:t>l</m:t>
          </m:r>
          <m:r>
            <m:rPr>
              <m:sty m:val="p"/>
            </m:rPr>
            <m:t>e</m:t>
          </m:r>
          <m:r>
            <m:rPr>
              <m:sty m:val="p"/>
            </m:rPr>
            <m:t>x</m:t>
          </m:r>
          <m:r>
            <m:rPr>
              <m:sty m:val="p"/>
            </m:rPr>
            <m:t>i</m:t>
          </m:r>
          <m:r>
            <m:rPr>
              <m:sty m:val="p"/>
            </m:rPr>
            <m:t>t</m:t>
          </m:r>
          <m:r>
            <m:rPr>
              <m:sty m:val="p"/>
            </m:rPr>
            <m:t>y</m:t>
          </m:r>
          <m:r>
            <m:rPr>
              <m:sty m:val="p"/>
            </m:rPr>
            <m:t>+</m:t>
          </m:r>
          <m:sSub>
            <m:e>
              <m:r>
                <m:t>β</m:t>
              </m:r>
            </m:e>
            <m:sub>
              <m:r>
                <m:t>3</m:t>
              </m:r>
            </m:sub>
          </m:sSub>
          <m:r>
            <m:t> </m:t>
          </m:r>
          <m:r>
            <m:rPr>
              <m:sty m:val="p"/>
            </m:rPr>
            <m:t>c</m:t>
          </m:r>
          <m:r>
            <m:rPr>
              <m:sty m:val="p"/>
            </m:rPr>
            <m:t>r</m:t>
          </m:r>
          <m:r>
            <m:rPr>
              <m:sty m:val="p"/>
            </m:rPr>
            <m:t>e</m:t>
          </m:r>
          <m:r>
            <m:rPr>
              <m:sty m:val="p"/>
            </m:rPr>
            <m:t>w</m:t>
          </m:r>
          <m:r>
            <m:rPr>
              <m:sty m:val="p"/>
            </m:rPr>
            <m:t>e</m:t>
          </m:r>
          <m:r>
            <m:rPr>
              <m:sty m:val="p"/>
            </m:rPr>
            <m:t>d</m:t>
          </m:r>
          <m:r>
            <m:rPr>
              <m:sty m:val="p"/>
            </m:rPr>
            <m:t>)</m:t>
          </m:r>
        </m:oMath>
      </m:oMathPara>
    </w:p>
    <w:bookmarkEnd w:id="77"/>
    <w:bookmarkStart w:id="81"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-1.2453</w:t>
            </w:r>
          </w:p>
        </w:tc>
        <w:tc>
          <w:tcPr>
            <w:tcW w:w="0" w:type="auto"/>
          </w:tcPr>
          <w:p>
            <w:pPr>
              <w:spacing w:line="240" w:lineRule="auto" w:before="0" w:after="0"/>
              <w:pStyle w:val="Compact"/>
            </w:pPr>
            <w:r>
              <w:rPr>
                <w:sz w:val="20"/>
                <w:szCs w:val="20"/>
              </w:rPr>
              <w:t xml:space="preserve">0.7931</w:t>
            </w:r>
          </w:p>
        </w:tc>
        <w:tc>
          <w:tcPr>
            <w:tcW w:w="0" w:type="auto"/>
          </w:tcPr>
          <w:p>
            <w:pPr>
              <w:spacing w:line="240" w:lineRule="auto" w:before="0" w:after="0"/>
              <w:pStyle w:val="Compact"/>
            </w:pPr>
            <w:r>
              <w:rPr>
                <w:sz w:val="20"/>
                <w:szCs w:val="20"/>
              </w:rPr>
              <w:t xml:space="preserve">-1.5702</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[-2.7997, 0.3092]</w:t>
            </w:r>
          </w:p>
        </w:tc>
        <w:tc>
          <w:tcPr>
            <w:tcW w:w="0" w:type="auto"/>
          </w:tcPr>
          <w:p>
            <w:pPr>
              <w:spacing w:line="240" w:lineRule="auto" w:before="0" w:after="0"/>
              <w:pStyle w:val="Compact"/>
            </w:pPr>
            <w:r>
              <w:rPr>
                <w:sz w:val="20"/>
                <w:szCs w:val="20"/>
              </w:rPr>
              <w:t xml:space="preserve">0.2879</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-0.277</w:t>
            </w:r>
          </w:p>
        </w:tc>
        <w:tc>
          <w:tcPr>
            <w:tcW w:w="0" w:type="auto"/>
          </w:tcPr>
          <w:p>
            <w:pPr>
              <w:spacing w:line="240" w:lineRule="auto" w:before="0" w:after="0"/>
              <w:pStyle w:val="Compact"/>
            </w:pPr>
            <w:r>
              <w:rPr>
                <w:sz w:val="20"/>
                <w:szCs w:val="20"/>
              </w:rPr>
              <w:t xml:space="preserve">0.5427</w:t>
            </w:r>
          </w:p>
        </w:tc>
        <w:tc>
          <w:tcPr>
            <w:tcW w:w="0" w:type="auto"/>
          </w:tcPr>
          <w:p>
            <w:pPr>
              <w:spacing w:line="240" w:lineRule="auto" w:before="0" w:after="0"/>
              <w:pStyle w:val="Compact"/>
            </w:pPr>
            <w:r>
              <w:rPr>
                <w:sz w:val="20"/>
                <w:szCs w:val="20"/>
              </w:rPr>
              <w:t xml:space="preserve">-0.5103</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[-1.3407, 0.7867]</w:t>
            </w:r>
          </w:p>
        </w:tc>
        <w:tc>
          <w:tcPr>
            <w:tcW w:w="0" w:type="auto"/>
          </w:tcPr>
          <w:p>
            <w:pPr>
              <w:spacing w:line="240" w:lineRule="auto" w:before="0" w:after="0"/>
              <w:pStyle w:val="Compact"/>
            </w:pPr>
            <w:r>
              <w:rPr>
                <w:sz w:val="20"/>
                <w:szCs w:val="20"/>
              </w:rPr>
              <w:t xml:space="preserve">0.7581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0.7561</w:t>
            </w:r>
          </w:p>
        </w:tc>
        <w:tc>
          <w:tcPr>
            <w:tcW w:w="0" w:type="auto"/>
          </w:tcPr>
          <w:p>
            <w:pPr>
              <w:spacing w:line="240" w:lineRule="auto" w:before="0" w:after="0"/>
              <w:pStyle w:val="Compact"/>
            </w:pPr>
            <w:r>
              <w:rPr>
                <w:sz w:val="20"/>
                <w:szCs w:val="20"/>
              </w:rPr>
              <w:t xml:space="preserve">0.8817</w:t>
            </w:r>
          </w:p>
        </w:tc>
        <w:tc>
          <w:tcPr>
            <w:tcW w:w="0" w:type="auto"/>
          </w:tcPr>
          <w:p>
            <w:pPr>
              <w:spacing w:line="240" w:lineRule="auto" w:before="0" w:after="0"/>
              <w:pStyle w:val="Compact"/>
            </w:pPr>
            <w:r>
              <w:rPr>
                <w:sz w:val="20"/>
                <w:szCs w:val="20"/>
              </w:rPr>
              <w:t xml:space="preserve">0.8576</w:t>
            </w:r>
          </w:p>
        </w:tc>
        <w:tc>
          <w:tcPr>
            <w:tcW w:w="0" w:type="auto"/>
          </w:tcPr>
          <w:p>
            <w:pPr>
              <w:spacing w:line="240" w:lineRule="auto" w:before="0" w:after="0"/>
              <w:pStyle w:val="Compact"/>
            </w:pPr>
            <w:r>
              <w:rPr>
                <w:sz w:val="20"/>
                <w:szCs w:val="20"/>
              </w:rPr>
              <w:t xml:space="preserve">0.3911</w:t>
            </w:r>
          </w:p>
        </w:tc>
        <w:tc>
          <w:tcPr>
            <w:tcW w:w="0" w:type="auto"/>
          </w:tcPr>
          <w:p>
            <w:pPr>
              <w:spacing w:line="240" w:lineRule="auto" w:before="0" w:after="0"/>
              <w:pStyle w:val="Compact"/>
            </w:pPr>
            <w:r>
              <w:rPr>
                <w:sz w:val="20"/>
                <w:szCs w:val="20"/>
              </w:rPr>
              <w:t xml:space="preserve">[-0.972, 2.4842]</w:t>
            </w:r>
          </w:p>
        </w:tc>
        <w:tc>
          <w:tcPr>
            <w:tcW w:w="0" w:type="auto"/>
          </w:tcPr>
          <w:p>
            <w:pPr>
              <w:spacing w:line="240" w:lineRule="auto" w:before="0" w:after="0"/>
              <w:pStyle w:val="Compact"/>
            </w:pPr>
            <w:r>
              <w:rPr>
                <w:sz w:val="20"/>
                <w:szCs w:val="20"/>
              </w:rPr>
              <w:t xml:space="preserve">2.13</w:t>
            </w:r>
          </w:p>
        </w:tc>
      </w:tr>
    </w:tbl>
    <w:p>
      <w:pPr>
        <w:pStyle w:val="BodyText"/>
      </w:pPr>
      <w:r>
        <w:t xml:space="preserve">Fit: N = 28 events = 14</w:t>
      </w:r>
    </w:p>
    <w:p>
      <w:pPr>
        <w:pStyle w:val="CaptionedFigure"/>
      </w:pPr>
      <w:r>
        <w:drawing>
          <wp:inline>
            <wp:extent cx="5669280" cy="3657600"/>
            <wp:effectExtent b="0" l="0" r="0" t="0"/>
            <wp:docPr descr="Figure 1. Time from confirmation to statutory cost breach versus project scale for 28 NASA major projects; larger and crewed projects cluster toward earlier breach." title="" id="79" name="Picture"/>
            <a:graphic>
              <a:graphicData uri="http://schemas.openxmlformats.org/drawingml/2006/picture">
                <pic:pic>
                  <pic:nvPicPr>
                    <pic:cNvPr descr="D:\Claude_Code\brain\collegium\candidates\dissertations\JPL_MGMT_SMA_TECH_02\research_papers\p2\paper_fig1.png" id="80" name="Picture"/>
                    <pic:cNvPicPr>
                      <a:picLocks noChangeArrowheads="1" noChangeAspect="1"/>
                    </pic:cNvPicPr>
                  </pic:nvPicPr>
                  <pic:blipFill>
                    <a:blip r:embed="rId7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from confirmation to statutory cost breach versus project scale for 28 NASA major projects; larger and crewed projects cluster toward earlier breach.</w:t>
      </w:r>
    </w:p>
    <w:bookmarkEnd w:id="81"/>
    <w:bookmarkStart w:id="85"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2"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confirm_year</w:t>
            </w:r>
          </w:p>
        </w:tc>
        <w:tc>
          <w:tcPr>
            <w:tcW w:w="0" w:type="auto"/>
          </w:tcPr>
          <w:p>
            <w:pPr>
              <w:spacing w:line="240" w:lineRule="auto" w:before="0" w:after="0"/>
              <w:pStyle w:val="Compact"/>
            </w:pPr>
            <w:r>
              <w:rPr>
                <w:sz w:val="20"/>
                <w:szCs w:val="20"/>
              </w:rPr>
              <w:t xml:space="preserve">baseline_lcc_b</w:t>
            </w:r>
          </w:p>
        </w:tc>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NASA Assessments of Major Projects (Jul 2025); Planetary Society Europa Clipper cost chart (baseline $4.25B 2019 -&gt; ~$5.0B, 18% growth, launched Oct 2024)</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WFIRST/Roman confirmation 2 Mar 2020, dev cost $3.2B max $3.934B; SpaceNews</w:t>
            </w:r>
            <w:r>
              <w:rPr>
                <w:sz w:val="20"/>
                <w:szCs w:val="20"/>
              </w:rPr>
              <w:t xml:space="preserve"> </w:t>
            </w:r>
            <w:r>
              <w:rPr>
                <w:sz w:val="20"/>
                <w:szCs w:val="20"/>
              </w:rPr>
              <w:t xml:space="preserve">‘Pandemic causes delay and cost increase’</w:t>
            </w:r>
            <w:r>
              <w:rPr>
                <w:sz w:val="20"/>
                <w:szCs w:val="20"/>
              </w:rPr>
              <w:t xml:space="preserve"> </w:t>
            </w:r>
            <w:r>
              <w:rPr>
                <w:sz w:val="20"/>
                <w:szCs w:val="20"/>
              </w:rPr>
              <w:t xml:space="preserve">(launch slip to May 2027, under 15% threshold)</w:t>
            </w:r>
          </w:p>
        </w:tc>
      </w:tr>
      <w:tr>
        <w:tc>
          <w:tcPr>
            <w:tcW w:w="0" w:type="auto"/>
          </w:tcPr>
          <w:p>
            <w:pPr>
              <w:spacing w:line="240" w:lineRule="auto" w:before="0" w:after="0"/>
              <w:pStyle w:val="Compact"/>
            </w:pPr>
            <w:r>
              <w:rPr>
                <w:sz w:val="20"/>
                <w:szCs w:val="20"/>
              </w:rPr>
              <w:t xml:space="preserve">NEO Surveyor</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SpacePolicyOnline</w:t>
            </w:r>
            <w:r>
              <w:rPr>
                <w:sz w:val="20"/>
                <w:szCs w:val="20"/>
              </w:rPr>
              <w:t xml:space="preserve"> </w:t>
            </w:r>
            <w:r>
              <w:rPr>
                <w:sz w:val="20"/>
                <w:szCs w:val="20"/>
              </w:rPr>
              <w:t xml:space="preserve">‘Asteroid-Hunting Telescope Clears NASA Review’</w:t>
            </w:r>
            <w:r>
              <w:rPr>
                <w:sz w:val="20"/>
                <w:szCs w:val="20"/>
              </w:rPr>
              <w:t xml:space="preserve"> </w:t>
            </w:r>
            <w:r>
              <w:rPr>
                <w:sz w:val="20"/>
                <w:szCs w:val="20"/>
              </w:rPr>
              <w:t xml:space="preserve">(KDP-C 2022, $1.2B baseline, 2-yr slip 2026-&gt;2028); SpaceNews</w:t>
            </w:r>
            <w:r>
              <w:rPr>
                <w:sz w:val="20"/>
                <w:szCs w:val="20"/>
              </w:rPr>
              <w:t xml:space="preserve"> </w:t>
            </w:r>
            <w:r>
              <w:rPr>
                <w:sz w:val="20"/>
                <w:szCs w:val="20"/>
              </w:rPr>
              <w:t xml:space="preserve">‘NEO Surveyor launch delayed despite funding boost’</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NASA/JPL Psyche confirmation 2019 (~$0.99B at KDP-C); Spaceflight Now / Space.com (final ~$1.13B 2023, ~14% growth, 15-month launch slip, below 15% statutory threshold), launched Oct 2023</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(Dragonfly est. life-cycle $3.35B, launch July 2028); NASA OIG IG-25-011</w:t>
            </w:r>
            <w:r>
              <w:rPr>
                <w:sz w:val="20"/>
                <w:szCs w:val="20"/>
              </w:rPr>
              <w:t xml:space="preserve"> </w:t>
            </w:r>
            <w:r>
              <w:rPr>
                <w:sz w:val="20"/>
                <w:szCs w:val="20"/>
              </w:rPr>
              <w:t xml:space="preserve">‘NASA’s Management of the Dragonfly Project’</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-0.713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GAO-25-107591 (SPHEREx dev cost reduced $8.3M from prior year, no overrun); NASA SPHEREx confirmation 2021, launched Mar 2025</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Discovery program Lucy confirmation 2017 (~$0.98B life-cycle); NASA press kit (launched Oct 2021 on schedule, no statutory breach)</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-0.223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Planetary Society</w:t>
            </w:r>
            <w:r>
              <w:rPr>
                <w:sz w:val="20"/>
                <w:szCs w:val="20"/>
              </w:rPr>
              <w:t xml:space="preserve"> </w:t>
            </w:r>
            <w:r>
              <w:rPr>
                <w:sz w:val="20"/>
                <w:szCs w:val="20"/>
              </w:rPr>
              <w:t xml:space="preserve">‘Cost of OSIRIS-REx’</w:t>
            </w:r>
            <w:r>
              <w:rPr>
                <w:sz w:val="20"/>
                <w:szCs w:val="20"/>
              </w:rPr>
              <w:t xml:space="preserve">; NASA New Frontiers OSIRIS-REx confirmation 2013 (~$0.8B), launched Sep 2016 on baseline</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-0.386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InSight; NASA OIG and press releases (2015 instrument leak forced 26-month slip from Mar 2016 to May 2018, ~$153.8M cost growth, breached threshold)</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2.44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2020 confirmation 2016 (~$2.44B life-cycle); NASA press kit (launched July 2020 on schedule)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historical-overrun discussion; GAO/NASA replan history (2011 rebaseline to $8.8B from ~$5B, multi-year delay, major statutory breach)</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7.02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(SLS exited portfolio after $3.6B in overruns and 4-year delay); NASA SLS Block 1 baseline 2014</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6.77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(Orion accounts for &gt;$360M of annual cost growth FY25); NASA Orion baseline; GAO accumulated overrun figures</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2.74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(EGS exited portfolio after $3.6B in overruns and 4-year delay equiv.); NASA EGS baseline 2014</w:t>
            </w:r>
          </w:p>
        </w:tc>
      </w:tr>
      <w:tr>
        <w:tc>
          <w:tcPr>
            <w:tcW w:w="0" w:type="auto"/>
          </w:tcPr>
          <w:p>
            <w:pPr>
              <w:spacing w:line="240" w:lineRule="auto" w:before="0" w:after="0"/>
              <w:pStyle w:val="Compact"/>
            </w:pPr>
            <w:r>
              <w:rPr>
                <w:sz w:val="20"/>
                <w:szCs w:val="20"/>
              </w:rPr>
              <w:t xml:space="preserve">Gateway (PPE/HALO)</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1.668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(Gateway Initial Capability among 4 projects = ~60% of $32.1B dev portfolio); GAO-24-106767 cost-growth identification</w:t>
            </w:r>
          </w:p>
        </w:tc>
      </w:tr>
      <w:tr>
        <w:tc>
          <w:tcPr>
            <w:tcW w:w="0" w:type="auto"/>
          </w:tcPr>
          <w:p>
            <w:pPr>
              <w:spacing w:line="240" w:lineRule="auto" w:before="0" w:after="0"/>
              <w:pStyle w:val="Compact"/>
            </w:pPr>
            <w:r>
              <w:rPr>
                <w:sz w:val="20"/>
                <w:szCs w:val="20"/>
              </w:rPr>
              <w:t xml:space="preserve">Human Landing System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(HLS Initial Capability among 4 largest dev projects); GAO HLS schedule/cost-risk findings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NASA-ISRO NISAR confirmation 2016 (~$1.5B NASA share baseline ~$0.9B); GAO-25-107591 (NISAR schedule data Apr 2025, multi-year slip 2020-&gt;2024)</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NASA/USGS Landsat 9 confirmation 2017 (~$0.88B); NASA press kit (launched Sep 2021 on baseline)</w:t>
            </w:r>
          </w:p>
        </w:tc>
      </w:tr>
      <w:tr>
        <w:tc>
          <w:tcPr>
            <w:tcW w:w="0" w:type="auto"/>
          </w:tcPr>
          <w:p>
            <w:pPr>
              <w:spacing w:line="240" w:lineRule="auto" w:before="0" w:after="0"/>
              <w:pStyle w:val="Compact"/>
            </w:pPr>
            <w:r>
              <w:rPr>
                <w:sz w:val="20"/>
                <w:szCs w:val="20"/>
              </w:rPr>
              <w:t xml:space="preserve">GRACE Follow-On</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-0.844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NASA/GFZ GRACE-FO confirmation ~2012 (~$0.43B NASA); NASA press kit (launched May 2018, within baseline)</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ICESat-2 confirmation 2013 (~$1.1B life-cycle); NASA/GAO assessments (ATLAS instrument cost growth and ~2-year slip 2016-&gt;2018)</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Explorer TESS confirmation 2014 (~$0.34B); NASA press kit (launched Apr 2018 near baseline)</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LWS Parker Solar Probe confirmation 2014 (~$1.55B life-cycle); NASA press kit (launched Aug 2018 on schedule)</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Mars Scout MAVEN confirmation 2010 (~$0.67B); NASA press kit (launched Nov 2013 on baseline)</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NOAA/NASA GOES-R confirmation; GAO weather-satellite assessments (multi-year delay and cost growth, statutory breach)</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Planetary Defense DART confirmation 2018 (~$0.31B life-cycle, ~$0.245B dev); NASA press kit (launched Nov 2021 on schedule)</w:t>
            </w:r>
          </w:p>
        </w:tc>
      </w:tr>
      <w:tr>
        <w:tc>
          <w:tcPr>
            <w:tcW w:w="0" w:type="auto"/>
          </w:tcPr>
          <w:p>
            <w:pPr>
              <w:spacing w:line="240" w:lineRule="auto" w:before="0" w:after="0"/>
              <w:pStyle w:val="Compact"/>
            </w:pPr>
            <w:r>
              <w:rPr>
                <w:sz w:val="20"/>
                <w:szCs w:val="20"/>
              </w:rPr>
              <w:t xml:space="preserve">VERITAS</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0.182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VERITAS selected 2021; SpaceNews / NASA (institutional stand-down and multi-year delay post-2022, schedule breach)</w:t>
            </w:r>
          </w:p>
        </w:tc>
      </w:tr>
      <w:tr>
        <w:tc>
          <w:tcPr>
            <w:tcW w:w="0" w:type="auto"/>
          </w:tcPr>
          <w:p>
            <w:pPr>
              <w:spacing w:line="240" w:lineRule="auto" w:before="0" w:after="0"/>
              <w:pStyle w:val="Compact"/>
            </w:pPr>
            <w:r>
              <w:rPr>
                <w:sz w:val="20"/>
                <w:szCs w:val="20"/>
              </w:rPr>
              <w:t xml:space="preserve">DAVINCI</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1.05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0.049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Discovery DAVINCI selected 2021; NASA replanning and launch slip 2029-&gt;2030s (schedule/cost pressure)</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GAO-25-107591 / NASA Watch (MSR potential life-cycle $8-11B, baseline delayed, independent review board cost breach)</w:t>
            </w:r>
          </w:p>
        </w:tc>
      </w:tr>
    </w:tbl>
    <w:bookmarkEnd w:id="82"/>
    <w:bookmarkStart w:id="83"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event</w:t>
            </w:r>
          </w:p>
        </w:tc>
        <w:tc>
          <w:tcPr>
            <w:tcW w:w="0" w:type="auto"/>
          </w:tcPr>
          <w:p>
            <w:pPr>
              <w:spacing w:line="240" w:lineRule="auto" w:before="0" w:after="0"/>
              <w:pStyle w:val="Compact"/>
            </w:pPr>
            <w:r>
              <w:rPr>
                <w:sz w:val="20"/>
                <w:szCs w:val="20"/>
              </w:rPr>
              <w:t xml:space="preserve">1 if the project crossed NASA’s 15 percent statutory development-cost-growth reporting threshold; 0 if censored (launched or still in development without breaching)</w:t>
            </w:r>
          </w:p>
        </w:tc>
        <w:tc>
          <w:tcPr>
            <w:tcW w:w="0" w:type="auto"/>
          </w:tcPr>
          <w:p>
            <w:pPr>
              <w:spacing w:line="240" w:lineRule="auto" w:before="0" w:after="0"/>
              <w:pStyle w:val="Compact"/>
            </w:pPr>
            <w:r>
              <w:rPr>
                <w:sz w:val="20"/>
                <w:szCs w:val="20"/>
              </w:rPr>
              <w:t xml:space="preserve">GAO-25-107591 NASA Assessments of Major Projects (Jul 2025): 30 of 53 historical projects stayed below the 15 percent reporting threshold</w:t>
            </w:r>
          </w:p>
        </w:tc>
      </w:tr>
      <w:tr>
        <w:tc>
          <w:tcPr>
            <w:tcW w:w="0" w:type="auto"/>
          </w:tcPr>
          <w:p>
            <w:pPr>
              <w:spacing w:line="240" w:lineRule="auto" w:before="0" w:after="0"/>
              <w:pStyle w:val="Compact"/>
            </w:pPr>
            <w:r>
              <w:rPr>
                <w:sz w:val="20"/>
                <w:szCs w:val="20"/>
              </w:rPr>
              <w:t xml:space="preserve">months_to_event</w:t>
            </w:r>
          </w:p>
        </w:tc>
        <w:tc>
          <w:tcPr>
            <w:tcW w:w="0" w:type="auto"/>
          </w:tcPr>
          <w:p>
            <w:pPr>
              <w:spacing w:line="240" w:lineRule="auto" w:before="0" w:after="0"/>
              <w:pStyle w:val="Compact"/>
            </w:pPr>
            <w:r>
              <w:rPr>
                <w:sz w:val="20"/>
                <w:szCs w:val="20"/>
              </w:rPr>
              <w:t xml:space="preserve">Months from confirmation (Key Decision Point C) to the first statutory cost breach, or to censoring at launch / latest GAO assessment</w:t>
            </w:r>
          </w:p>
        </w:tc>
        <w:tc>
          <w:tcPr>
            <w:tcW w:w="0" w:type="auto"/>
          </w:tcPr>
          <w:p>
            <w:pPr>
              <w:spacing w:line="240" w:lineRule="auto" w:before="0" w:after="0"/>
              <w:pStyle w:val="Compact"/>
            </w:pPr>
            <w:r>
              <w:rPr>
                <w:sz w:val="20"/>
                <w:szCs w:val="20"/>
              </w:rPr>
              <w:t xml:space="preserve">NASA confirmation dates and launch dates; GAO annual major-project assessments</w:t>
            </w:r>
          </w:p>
        </w:tc>
      </w:tr>
      <w:tr>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1 if the confirmation baseline was set under a high-confidence independent process (Joint Confidence Level at the 70 percent policy point, independent cost estimate, Standing Review Board concurrence); 0 otherwise</w:t>
            </w:r>
          </w:p>
        </w:tc>
        <w:tc>
          <w:tcPr>
            <w:tcW w:w="0" w:type="auto"/>
          </w:tcPr>
          <w:p>
            <w:pPr>
              <w:spacing w:line="240" w:lineRule="auto" w:before="0" w:after="0"/>
              <w:pStyle w:val="Compact"/>
            </w:pPr>
            <w:r>
              <w:rPr>
                <w:sz w:val="20"/>
                <w:szCs w:val="20"/>
              </w:rPr>
              <w:t xml:space="preserve">NASA Joint Confidence Level policy (Kuo 2011; Butts 2009); NASA Standing Review Board Handbook (Gilligan 2023)</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Natural log of the confirmation-phase baseline life-cycle cost in billions of US dollars, a proxy for project scale and technical complexity</w:t>
            </w:r>
          </w:p>
        </w:tc>
        <w:tc>
          <w:tcPr>
            <w:tcW w:w="0" w:type="auto"/>
          </w:tcPr>
          <w:p>
            <w:pPr>
              <w:spacing w:line="240" w:lineRule="auto" w:before="0" w:after="0"/>
              <w:pStyle w:val="Compact"/>
            </w:pPr>
            <w:r>
              <w:rPr>
                <w:sz w:val="20"/>
                <w:szCs w:val="20"/>
              </w:rPr>
              <w:t xml:space="preserve">NASA confirmation baselines compiled from GAO assessments and Planetary Society cost charts</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1 if a human-spaceflight or Artemis project; 0 if a robotic science mission</w:t>
            </w:r>
          </w:p>
        </w:tc>
        <w:tc>
          <w:tcPr>
            <w:tcW w:w="0" w:type="auto"/>
          </w:tcPr>
          <w:p>
            <w:pPr>
              <w:spacing w:line="240" w:lineRule="auto" w:before="0" w:after="0"/>
              <w:pStyle w:val="Compact"/>
            </w:pPr>
            <w:r>
              <w:rPr>
                <w:sz w:val="20"/>
                <w:szCs w:val="20"/>
              </w:rPr>
              <w:t xml:space="preserve">GAO-25-107591 portfolio classification</w:t>
            </w:r>
          </w:p>
        </w:tc>
      </w:tr>
    </w:tbl>
    <w:bookmarkEnd w:id="83"/>
    <w:bookmarkStart w:id="84"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icost_rigor</w:t>
            </w:r>
          </w:p>
        </w:tc>
        <w:tc>
          <w:tcPr>
            <w:tcW w:w="0" w:type="auto"/>
          </w:tcPr>
          <w:p>
            <w:pPr>
              <w:spacing w:line="240" w:lineRule="auto" w:before="0" w:after="0"/>
              <w:pStyle w:val="Compact"/>
            </w:pPr>
            <w:r>
              <w:rPr>
                <w:sz w:val="20"/>
                <w:szCs w:val="20"/>
              </w:rPr>
              <w:t xml:space="preserve">-1.2453</w:t>
            </w:r>
          </w:p>
        </w:tc>
        <w:tc>
          <w:tcPr>
            <w:tcW w:w="0" w:type="auto"/>
          </w:tcPr>
          <w:p>
            <w:pPr>
              <w:spacing w:line="240" w:lineRule="auto" w:before="0" w:after="0"/>
              <w:pStyle w:val="Compact"/>
            </w:pPr>
            <w:r>
              <w:rPr>
                <w:sz w:val="20"/>
                <w:szCs w:val="20"/>
              </w:rPr>
              <w:t xml:space="preserve">0.7931</w:t>
            </w:r>
          </w:p>
        </w:tc>
        <w:tc>
          <w:tcPr>
            <w:tcW w:w="0" w:type="auto"/>
          </w:tcPr>
          <w:p>
            <w:pPr>
              <w:spacing w:line="240" w:lineRule="auto" w:before="0" w:after="0"/>
              <w:pStyle w:val="Compact"/>
            </w:pPr>
            <w:r>
              <w:rPr>
                <w:sz w:val="20"/>
                <w:szCs w:val="20"/>
              </w:rPr>
              <w:t xml:space="preserve">-1.5702</w:t>
            </w:r>
          </w:p>
        </w:tc>
        <w:tc>
          <w:tcPr>
            <w:tcW w:w="0" w:type="auto"/>
          </w:tcPr>
          <w:p>
            <w:pPr>
              <w:spacing w:line="240" w:lineRule="auto" w:before="0" w:after="0"/>
              <w:pStyle w:val="Compact"/>
            </w:pPr>
            <w:r>
              <w:rPr>
                <w:sz w:val="20"/>
                <w:szCs w:val="20"/>
              </w:rPr>
              <w:t xml:space="preserve">0.1164</w:t>
            </w:r>
          </w:p>
        </w:tc>
        <w:tc>
          <w:tcPr>
            <w:tcW w:w="0" w:type="auto"/>
          </w:tcPr>
          <w:p>
            <w:pPr>
              <w:spacing w:line="240" w:lineRule="auto" w:before="0" w:after="0"/>
              <w:pStyle w:val="Compact"/>
            </w:pPr>
            <w:r>
              <w:rPr>
                <w:sz w:val="20"/>
                <w:szCs w:val="20"/>
              </w:rPr>
              <w:t xml:space="preserve">[-2.7997, 0.3092]</w:t>
            </w:r>
          </w:p>
        </w:tc>
        <w:tc>
          <w:tcPr>
            <w:tcW w:w="0" w:type="auto"/>
          </w:tcPr>
          <w:p>
            <w:pPr>
              <w:spacing w:line="240" w:lineRule="auto" w:before="0" w:after="0"/>
              <w:pStyle w:val="Compact"/>
            </w:pPr>
            <w:r>
              <w:rPr>
                <w:sz w:val="20"/>
                <w:szCs w:val="20"/>
              </w:rPr>
              <w:t xml:space="preserve">0.2879</w:t>
            </w:r>
          </w:p>
        </w:tc>
      </w:tr>
      <w:tr>
        <w:tc>
          <w:tcPr>
            <w:tcW w:w="0" w:type="auto"/>
          </w:tcPr>
          <w:p>
            <w:pPr>
              <w:spacing w:line="240" w:lineRule="auto" w:before="0" w:after="0"/>
              <w:pStyle w:val="Compact"/>
            </w:pPr>
            <w:r>
              <w:rPr>
                <w:sz w:val="20"/>
                <w:szCs w:val="20"/>
              </w:rPr>
              <w:t xml:space="preserve">complexity</w:t>
            </w:r>
          </w:p>
        </w:tc>
        <w:tc>
          <w:tcPr>
            <w:tcW w:w="0" w:type="auto"/>
          </w:tcPr>
          <w:p>
            <w:pPr>
              <w:spacing w:line="240" w:lineRule="auto" w:before="0" w:after="0"/>
              <w:pStyle w:val="Compact"/>
            </w:pPr>
            <w:r>
              <w:rPr>
                <w:sz w:val="20"/>
                <w:szCs w:val="20"/>
              </w:rPr>
              <w:t xml:space="preserve">-0.277</w:t>
            </w:r>
          </w:p>
        </w:tc>
        <w:tc>
          <w:tcPr>
            <w:tcW w:w="0" w:type="auto"/>
          </w:tcPr>
          <w:p>
            <w:pPr>
              <w:spacing w:line="240" w:lineRule="auto" w:before="0" w:after="0"/>
              <w:pStyle w:val="Compact"/>
            </w:pPr>
            <w:r>
              <w:rPr>
                <w:sz w:val="20"/>
                <w:szCs w:val="20"/>
              </w:rPr>
              <w:t xml:space="preserve">0.5427</w:t>
            </w:r>
          </w:p>
        </w:tc>
        <w:tc>
          <w:tcPr>
            <w:tcW w:w="0" w:type="auto"/>
          </w:tcPr>
          <w:p>
            <w:pPr>
              <w:spacing w:line="240" w:lineRule="auto" w:before="0" w:after="0"/>
              <w:pStyle w:val="Compact"/>
            </w:pPr>
            <w:r>
              <w:rPr>
                <w:sz w:val="20"/>
                <w:szCs w:val="20"/>
              </w:rPr>
              <w:t xml:space="preserve">-0.5103</w:t>
            </w:r>
          </w:p>
        </w:tc>
        <w:tc>
          <w:tcPr>
            <w:tcW w:w="0" w:type="auto"/>
          </w:tcPr>
          <w:p>
            <w:pPr>
              <w:spacing w:line="240" w:lineRule="auto" w:before="0" w:after="0"/>
              <w:pStyle w:val="Compact"/>
            </w:pPr>
            <w:r>
              <w:rPr>
                <w:sz w:val="20"/>
                <w:szCs w:val="20"/>
              </w:rPr>
              <w:t xml:space="preserve">0.6098</w:t>
            </w:r>
          </w:p>
        </w:tc>
        <w:tc>
          <w:tcPr>
            <w:tcW w:w="0" w:type="auto"/>
          </w:tcPr>
          <w:p>
            <w:pPr>
              <w:spacing w:line="240" w:lineRule="auto" w:before="0" w:after="0"/>
              <w:pStyle w:val="Compact"/>
            </w:pPr>
            <w:r>
              <w:rPr>
                <w:sz w:val="20"/>
                <w:szCs w:val="20"/>
              </w:rPr>
              <w:t xml:space="preserve">[-1.3407, 0.7867]</w:t>
            </w:r>
          </w:p>
        </w:tc>
        <w:tc>
          <w:tcPr>
            <w:tcW w:w="0" w:type="auto"/>
          </w:tcPr>
          <w:p>
            <w:pPr>
              <w:spacing w:line="240" w:lineRule="auto" w:before="0" w:after="0"/>
              <w:pStyle w:val="Compact"/>
            </w:pPr>
            <w:r>
              <w:rPr>
                <w:sz w:val="20"/>
                <w:szCs w:val="20"/>
              </w:rPr>
              <w:t xml:space="preserve">0.7581</w:t>
            </w:r>
          </w:p>
        </w:tc>
      </w:tr>
      <w:tr>
        <w:tc>
          <w:tcPr>
            <w:tcW w:w="0" w:type="auto"/>
          </w:tcPr>
          <w:p>
            <w:pPr>
              <w:spacing w:line="240" w:lineRule="auto" w:before="0" w:after="0"/>
              <w:pStyle w:val="Compact"/>
            </w:pPr>
            <w:r>
              <w:rPr>
                <w:sz w:val="20"/>
                <w:szCs w:val="20"/>
              </w:rPr>
              <w:t xml:space="preserve">crewed</w:t>
            </w:r>
          </w:p>
        </w:tc>
        <w:tc>
          <w:tcPr>
            <w:tcW w:w="0" w:type="auto"/>
          </w:tcPr>
          <w:p>
            <w:pPr>
              <w:spacing w:line="240" w:lineRule="auto" w:before="0" w:after="0"/>
              <w:pStyle w:val="Compact"/>
            </w:pPr>
            <w:r>
              <w:rPr>
                <w:sz w:val="20"/>
                <w:szCs w:val="20"/>
              </w:rPr>
              <w:t xml:space="preserve">0.7561</w:t>
            </w:r>
          </w:p>
        </w:tc>
        <w:tc>
          <w:tcPr>
            <w:tcW w:w="0" w:type="auto"/>
          </w:tcPr>
          <w:p>
            <w:pPr>
              <w:spacing w:line="240" w:lineRule="auto" w:before="0" w:after="0"/>
              <w:pStyle w:val="Compact"/>
            </w:pPr>
            <w:r>
              <w:rPr>
                <w:sz w:val="20"/>
                <w:szCs w:val="20"/>
              </w:rPr>
              <w:t xml:space="preserve">0.8817</w:t>
            </w:r>
          </w:p>
        </w:tc>
        <w:tc>
          <w:tcPr>
            <w:tcW w:w="0" w:type="auto"/>
          </w:tcPr>
          <w:p>
            <w:pPr>
              <w:spacing w:line="240" w:lineRule="auto" w:before="0" w:after="0"/>
              <w:pStyle w:val="Compact"/>
            </w:pPr>
            <w:r>
              <w:rPr>
                <w:sz w:val="20"/>
                <w:szCs w:val="20"/>
              </w:rPr>
              <w:t xml:space="preserve">0.8576</w:t>
            </w:r>
          </w:p>
        </w:tc>
        <w:tc>
          <w:tcPr>
            <w:tcW w:w="0" w:type="auto"/>
          </w:tcPr>
          <w:p>
            <w:pPr>
              <w:spacing w:line="240" w:lineRule="auto" w:before="0" w:after="0"/>
              <w:pStyle w:val="Compact"/>
            </w:pPr>
            <w:r>
              <w:rPr>
                <w:sz w:val="20"/>
                <w:szCs w:val="20"/>
              </w:rPr>
              <w:t xml:space="preserve">0.3911</w:t>
            </w:r>
          </w:p>
        </w:tc>
        <w:tc>
          <w:tcPr>
            <w:tcW w:w="0" w:type="auto"/>
          </w:tcPr>
          <w:p>
            <w:pPr>
              <w:spacing w:line="240" w:lineRule="auto" w:before="0" w:after="0"/>
              <w:pStyle w:val="Compact"/>
            </w:pPr>
            <w:r>
              <w:rPr>
                <w:sz w:val="20"/>
                <w:szCs w:val="20"/>
              </w:rPr>
              <w:t xml:space="preserve">[-0.972, 2.4842]</w:t>
            </w:r>
          </w:p>
        </w:tc>
        <w:tc>
          <w:tcPr>
            <w:tcW w:w="0" w:type="auto"/>
          </w:tcPr>
          <w:p>
            <w:pPr>
              <w:spacing w:line="240" w:lineRule="auto" w:before="0" w:after="0"/>
              <w:pStyle w:val="Compact"/>
            </w:pPr>
            <w:r>
              <w:rPr>
                <w:sz w:val="20"/>
                <w:szCs w:val="20"/>
              </w:rPr>
              <w:t xml:space="preserve">2.13</w:t>
            </w:r>
          </w:p>
        </w:tc>
      </w:tr>
    </w:tbl>
    <w:p>
      <w:pPr>
        <w:pStyle w:val="BodyText"/>
      </w:pPr>
      <w:r>
        <w:t xml:space="preserve">Fit: N = 28 events = 14</w:t>
      </w:r>
    </w:p>
    <w:bookmarkEnd w:id="84"/>
    <w:bookmarkEnd w:id="85"/>
    <w:bookmarkEnd w:id="86"/>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8" Target="media/rId78.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2026-06-26T16:45:41Z</dcterms:created>
  <dcterms:modified xsi:type="dcterms:W3CDTF">2026-06-26T16:45:41Z</dcterms:modified>
</cp:coreProperties>
</file>

<file path=docProps/custom.xml><?xml version="1.0" encoding="utf-8"?>
<Properties xmlns="http://schemas.openxmlformats.org/officeDocument/2006/custom-properties" xmlns:vt="http://schemas.openxmlformats.org/officeDocument/2006/docPropsVTypes"/>
</file>