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567b1168a3d885434d4308275e43f37f4abd318"/>
    <w:p>
      <w:pPr>
        <w:pStyle w:val="Heading1"/>
      </w:pPr>
      <w:r>
        <w:t xml:space="preserve">Does an Independent Cost Estimate Delay the First Baseline Breach? A Survival Analysis of NASA Major Projects</w:t>
      </w:r>
    </w:p>
    <w:bookmarkStart w:id="61" w:name="introduction"/>
    <w:p>
      <w:pPr>
        <w:pStyle w:val="Heading2"/>
      </w:pPr>
      <w:r>
        <w:t xml:space="preserve">1. Introduction</w:t>
      </w:r>
    </w:p>
    <w:p>
      <w:pPr>
        <w:pStyle w:val="FirstParagraph"/>
      </w:pPr>
      <w:r>
        <w:t xml:space="preserve">Civil space programs confirm a baseline at a single gate, then spend the rest of their development trying to hold it. The institutional remedy most often prescribed for the cost and schedule growth that follows is the independent cost estimate, produced outside the program office and binding on the confirmation decision. The premise that this estimating discipline improves realized outcomes is asserted far more often than it is measured. The estimating literature has invested heavily in the accuracy of the instruments themselves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yet the connection between commissioning an independent estimate and the trajectory a program actually follows after confirmation has not been tested as a survival process.</w:t>
      </w:r>
    </w:p>
    <w:p>
      <w:pPr>
        <w:pStyle w:val="FirstParagraph"/>
      </w:pPr>
      <w:r>
        <w:t xml:space="preserve">This paper reframes the question in the language of time-to-event. Rather than asking how large a program’s eventual cost growth becomes, it asks how long a program survives before its first baseline breach, defined as the first moment it crosses NASA’s own congressional re-reporting trigger of fifteen percent development cost growth or a six-month milestone slip. A program that never breaches within its observation window is censored, not coded as a success or a failure of magnitude. The estimand is the hazard of first breach, and the treatment of interest is whether a binding independent cost and schedule estimate was applied at confirmation. This is the procedural lever a program executive can actually pull, and the survival framing isolates the question of timing that a cost-growth regression cannot address.</w:t>
      </w:r>
    </w:p>
    <w:bookmarkEnd w:id="61"/>
    <w:bookmarkStart w:id="62" w:name="theory-and-hypotheses"/>
    <w:p>
      <w:pPr>
        <w:pStyle w:val="Heading2"/>
      </w:pPr>
      <w:r>
        <w:t xml:space="preserve">2. Theory and Hypotheses</w:t>
      </w:r>
    </w:p>
    <w:p>
      <w:pPr>
        <w:pStyle w:val="FirstParagraph"/>
      </w:pPr>
      <w:r>
        <w:t xml:space="preserve">Two mechanisms motivate the expectation that an independent estimate lowers the breach hazard. First, an externally produced estimate enters implementation with a more honest reserve posture, because the confirmed baseline is set against a distribution of outcomes rather than a single optimistic point</w:t>
      </w:r>
      <w:r>
        <w:t xml:space="preserve"> </w:t>
      </w:r>
      <w:hyperlink w:anchor="ref-1">
        <m:oMathPara>
          <m:oMathParaPr>
            <m:jc m:val="center"/>
          </m:oMathParaPr>
          <m:oMath>
            <m:r>
              <m:t>1</m:t>
            </m:r>
          </m:oMath>
        </m:oMathPara>
      </w:hyperlink>
      <w:r>
        <w:t xml:space="preserve">. A program that confirms against a rigorous independent estimate should therefore absorb early surprises out of reserve rather than out of its baseline, delaying or avoiding the first breach. Second, the act of commissioning an independent estimate signals oversight attention that disciplines optimistic scope and schedule assumptions before they are locked in</w:t>
      </w:r>
      <w:r>
        <w:t xml:space="preserve"> </w:t>
      </w:r>
      <w:hyperlink w:anchor="ref-2">
        <m:oMathPara>
          <m:oMathParaPr>
            <m:jc m:val="center"/>
          </m:oMathParaPr>
          <m:oMath>
            <m:r>
              <m:t>2</m:t>
            </m:r>
          </m:oMath>
        </m:oMathPara>
      </w:hyperlink>
      <w:r>
        <w:t xml:space="preserve">. The construction of cost estimating relationships under thin empirical priors, the dominant concern of the estimating literature, is valuable precisely because it feeds this confirmation discipline rather than because the point estimate is accurate in isolation</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p>
      <w:pPr>
        <w:pStyle w:val="FirstParagraph"/>
      </w:pPr>
      <w:r>
        <w:t xml:space="preserve">Technology maturity enters as a competing hazard. Programs that confirm with immature driving subsystems carry unresolved technical risk that surfaces as cost and schedule pressure regardless of estimating discipline, so the technology readiness level at confirmation should independently shape the breach hazard. Program scope, proxied by baseline cost, may also raise the hazard through sheer integration complexity. These considerations yield the central hypothesis and two controls.</w:t>
      </w:r>
    </w:p>
    <w:p>
      <w:pPr>
        <w:pStyle w:val="Compact"/>
        <w:numPr>
          <w:ilvl w:val="0"/>
          <w:numId w:val="1001"/>
        </w:numPr>
      </w:pPr>
      <w:r>
        <w:rPr>
          <w:b/>
          <w:bCs/>
        </w:rPr>
        <w:t xml:space="preserve">H1.</w:t>
      </w:r>
      <w:r>
        <w:t xml:space="preserve"> </w:t>
      </w:r>
      <w:r>
        <w:t xml:space="preserve">Conditional on program scope and technology maturity, programs confirmed with a binding independent cost and schedule estimate face a lower hazard of first baseline breach, a hazard ratio below one, than programs confirmed on the program office estimate alone.</w:t>
      </w:r>
    </w:p>
    <w:p>
      <w:pPr>
        <w:pStyle w:val="Compact"/>
        <w:numPr>
          <w:ilvl w:val="0"/>
          <w:numId w:val="1001"/>
        </w:numPr>
      </w:pPr>
      <w:r>
        <w:t xml:space="preserve">The technology readiness level at confirmation is expected to lower the hazard, and log baseline cost is expected to raise it.</w:t>
      </w:r>
    </w:p>
    <w:bookmarkEnd w:id="62"/>
    <w:bookmarkStart w:id="63" w:name="data"/>
    <w:p>
      <w:pPr>
        <w:pStyle w:val="Heading2"/>
      </w:pPr>
      <w:r>
        <w:t xml:space="preserve">3. Data</w:t>
      </w:r>
    </w:p>
    <w:p>
      <w:pPr>
        <w:pStyle w:val="FirstParagraph"/>
      </w:pPr>
      <w:r>
        <w:t xml:space="preserve">The study population is thirty-eight NASA major projects drawn from the Government Accountability Office annual assessments of selected NASA large-scale projects, spanning the 2009 assessment through the 2025 assessment (GAO-09-306SP through GAO-25-107591), supplemented by NASA project reporting for confirmation and milestone dates. Each row records the months from confirmation to first baseline breach or to censoring, an indicator for whether a breach occurred, the treatment indicator for an independent cost and schedule estimate at confirmation, the log of the confirmed baseline cost, and the technology readiness level of the driving subsystem at confirmation. The final column of the dataset cites the documented source for each observation.</w:t>
      </w:r>
    </w:p>
    <w:p>
      <w:pPr>
        <w:pStyle w:val="BodyText"/>
      </w:pPr>
      <w:r>
        <w:t xml:space="preserve">The treatment varies across the panel chiefly because NASA’s Joint Confidence Level mandate took full effect around 2009. Programs confirmed before that mandate, including Kepler, Glory, the Lunar Reconnaissance Orbiter, and Mars Reconnaissance Orbiter, supply genuine untreated observations with documented cost growth and launch delay figures from GAO-09-306SP. Programs confirmed after the mandate, including Psyche, Europa Clipper, Roman, and the Space Launch System triad, supply the treated arm. Of thirty-eight projects, twenty-seven were confirmed with an independent estimate and eleven without; twenty-three recorded a first breach within their observation window. One observation, a Stratospheric Observatory upgrade, is marked illustrative where exact figures were not separately published; it constitutes under three percent of the panel.</w:t>
      </w:r>
    </w:p>
    <w:bookmarkEnd w:id="63"/>
    <w:bookmarkStart w:id="64" w:name="method"/>
    <w:p>
      <w:pPr>
        <w:pStyle w:val="Heading2"/>
      </w:pPr>
      <w:r>
        <w:t xml:space="preserve">4. Method</w:t>
      </w:r>
    </w:p>
    <w:p>
      <w:pPr>
        <w:pStyle w:val="FirstParagraph"/>
      </w:pPr>
      <w:r>
        <w:t xml:space="preserve">The estimator is a Cox proportional-hazards model fit by partial likelihood, with the hazard of first baseline breach modeled as a function of the independent-estimate indicator, log baseline cost, and technology readiness level at confirmation. The baseline hazard is left unspecified, which suits a small heterogeneous portfolio in which the shape of the timing distribution is not of interest. Coefficients are reported as hazard ratios, the multiplicative effect of each covariate on the instantaneous breach hazard, with a ratio below one indicating a protective effect that delays breach. Censoring handles the programs that completed development or remained in flight without crossing the breach threshold, so that their survival contributes information without being miscoded as either an overrun or a clean delivery.</w:t>
      </w:r>
    </w:p>
    <w:bookmarkEnd w:id="64"/>
    <w:bookmarkStart w:id="65" w:name="findings"/>
    <w:p>
      <w:pPr>
        <w:pStyle w:val="Heading2"/>
      </w:pPr>
      <w:r>
        <w:t xml:space="preserve">5. Findings</w:t>
      </w:r>
    </w:p>
    <w:p>
      <w:pPr>
        <w:pStyle w:val="FirstParagraph"/>
      </w:pPr>
      <w:r>
        <w:t xml:space="preserve">The fitted model covers thirty-eight programs and twenty-three breach events. The independent-estimate coefficient is negative, as hypothesized, at minus 0.4644 with a standard error of 0.4436, corresponding to a hazard ratio of 0.628. Programs confirmed with an independent cost and schedule estimate face roughly a thirty-seven percent lower instantaneous hazard of first baseline breach than programs confirmed without one. The effect is not statistically distinguishable from zero, however, with a z-statistic of minus 1.05 and a p-value of 0.295, and a ninety-five percent confidence interval on the hazard ratio that runs from 0.263 to 1.50. The point estimate sits squarely in the direction H1 predicts, but the interval comfortably includes a hazard ratio of one, so the data cannot reject the null of no effect at conventional thresholds. With only eleven untreated programs and twenty-three events, this is the imprecision the design anticipated rather than evidence of a null effect.</w:t>
      </w:r>
    </w:p>
    <w:p>
      <w:pPr>
        <w:pStyle w:val="BodyText"/>
      </w:pPr>
      <w:r>
        <w:t xml:space="preserve">The technology readiness level at confirmation is the one covariate that moves decisively. Its coefficient is minus 1.1084 with a standard error of 0.4071, a hazard ratio of 0.330, a z-statistic of minus 2.72, and a p-value of 0.0065, with a confidence interval on the hazard ratio from 0.149 to 0.733. Each additional readiness level at confirmation cuts the breach hazard by about two-thirds, and the interval lies entirely below one. Log baseline cost carries a small positive coefficient of 0.1242 with a standard error of 0.2299 and a p-value of 0.589, consistent with the expected sign that larger programs breach sooner but far from significant. The clear signal in the panel is that maturity at confirmation, not program size, drives the timing of the first breach.</w:t>
      </w:r>
    </w:p>
    <w:bookmarkEnd w:id="65"/>
    <w:bookmarkStart w:id="66" w:name="discussion"/>
    <w:p>
      <w:pPr>
        <w:pStyle w:val="Heading2"/>
      </w:pPr>
      <w:r>
        <w:t xml:space="preserve">6. Discussion</w:t>
      </w:r>
    </w:p>
    <w:p>
      <w:pPr>
        <w:pStyle w:val="FirstParagraph"/>
      </w:pPr>
      <w:r>
        <w:t xml:space="preserve">The survival framing yields a disciplined and honest result. The independent estimate moves the breach hazard in the protective direction by a magnitude that would matter to a program executive, a thirty-seven percent reduction, but the eleven-program untreated arm cannot carry that estimate across the line of significance. The responsible reading is that the data are consistent with H1 without confirming it, and that the dominant measured driver of early breach is technology immaturity at confirmation. This sharpens the policy question rather than settling it: an independent estimate may discipline the reserve posture, but a program that confirms with an immature driving subsystem appears to inherit a breach hazard that estimating discipline alone does not neutralize. The two levers are not substitutes.</w:t>
      </w:r>
    </w:p>
    <w:p>
      <w:pPr>
        <w:pStyle w:val="BodyText"/>
      </w:pPr>
      <w:r>
        <w:t xml:space="preserve">Three limitations bound the inference. The treatment is entangled with confirmation era, because the independent-estimate mandate and the modern portfolio arrived together, so era effects and the treatment cannot be fully separated in this panel. The sample is small and the events are few, which is intrinsic to the NASA major-program population and not a remediable sampling choice. The proportional-hazards assumption is imposed rather than tested here, and a richer design would probe it and would instrument the treatment to address the discretionary commissioning of estimates near policy thresholds. These are the same boundaries the dissertation prospectus names, and the survival result motivates the companion regression-discontinuity design that exploits the dollar-threshold mandate to recover a cleaner local effect.</w:t>
      </w:r>
    </w:p>
    <w:bookmarkEnd w:id="66"/>
    <w:bookmarkStart w:id="73"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68">
        <w:r>
          <w:rPr>
            <w:rStyle w:val="Hyperlink"/>
          </w:rPr>
          <w:t xml:space="preserve">10.1016/j.actaastro.2019.09.030</w:t>
        </w:r>
      </w:hyperlink>
    </w:p>
    <w:p>
      <w:pPr>
        <w:pStyle w:val="BodyText"/>
      </w:pPr>
      <w:bookmarkStart w:id="69" w:name="ref-2"/>
      <w:bookmarkEnd w:id="69"/>
      <w:r>
        <w:t xml:space="preserve">2. A. Probst, C. Nitzl, F. J. Kraus, and R. Forstner,</w:t>
      </w:r>
      <w:r>
        <w:t xml:space="preserve"> </w:t>
      </w:r>
      <w:r>
        <w:t xml:space="preserve">“Cost estimation of an asteroid mining mission using partial least squares structural equation modelling (PLS-SEM),”</w:t>
      </w:r>
      <w:r>
        <w:t xml:space="preserve"> </w:t>
      </w:r>
      <w:r>
        <w:rPr>
          <w:i/>
          <w:iCs/>
        </w:rPr>
        <w:t xml:space="preserve">Acta Astronautica</w:t>
      </w:r>
      <w:r>
        <w:t xml:space="preserve">, vol. 167, 2019. doi:</w:t>
      </w:r>
      <w:r>
        <w:t xml:space="preserve"> </w:t>
      </w:r>
      <w:hyperlink r:id="rId70">
        <w:r>
          <w:rPr>
            <w:rStyle w:val="Hyperlink"/>
          </w:rPr>
          <w:t xml:space="preserve">10.1016/j.actaastro.2019.07.032</w:t>
        </w:r>
      </w:hyperlink>
    </w:p>
    <w:p>
      <w:pPr>
        <w:pStyle w:val="BodyText"/>
      </w:pPr>
      <w:bookmarkStart w:id="71" w:name="ref-3"/>
      <w:bookmarkEnd w:id="71"/>
      <w:r>
        <w:t xml:space="preserve">3. U.S. Government Accountability Office,</w:t>
      </w:r>
      <w:r>
        <w:t xml:space="preserve"> </w:t>
      </w:r>
      <w:r>
        <w:t xml:space="preserve">“NASA: Assessments of Selected Large-Scale Projects,”</w:t>
      </w:r>
      <w:r>
        <w:t xml:space="preserve"> </w:t>
      </w:r>
      <w:r>
        <w:t xml:space="preserve">GAO-09-306SP, March 2009.</w:t>
      </w:r>
    </w:p>
    <w:p>
      <w:pPr>
        <w:pStyle w:val="BodyText"/>
      </w:pPr>
      <w:bookmarkStart w:id="72" w:name="ref-4"/>
      <w:bookmarkEnd w:id="72"/>
      <w:r>
        <w:t xml:space="preserve">4. U.S. Government Accountability Office,</w:t>
      </w:r>
      <w:r>
        <w:t xml:space="preserve"> </w:t>
      </w:r>
      <w:r>
        <w:t xml:space="preserve">“NASA: Assessments of Major Projects,”</w:t>
      </w:r>
      <w:r>
        <w:t xml:space="preserve"> </w:t>
      </w:r>
      <w:r>
        <w:t xml:space="preserve">GAO-25-107591, 2025.</w:t>
      </w:r>
    </w:p>
    <w:bookmarkEnd w:id="73"/>
    <w:bookmarkStart w:id="7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I</m:t>
              </m:r>
              <m:r>
                <m:rPr>
                  <m:sty m:val="p"/>
                </m:rPr>
                <m:t>n</m:t>
              </m:r>
              <m:r>
                <m:rPr>
                  <m:sty m:val="p"/>
                </m:rPr>
                <m:t>d</m:t>
              </m:r>
              <m:r>
                <m:rPr>
                  <m:sty m:val="p"/>
                </m:rPr>
                <m:t>e</m:t>
              </m:r>
              <m:r>
                <m:rPr>
                  <m:sty m:val="p"/>
                </m:rPr>
                <m:t>p</m:t>
              </m:r>
              <m:r>
                <m:rPr>
                  <m:sty m:val="p"/>
                </m:rPr>
                <m:t>e</m:t>
              </m:r>
              <m:r>
                <m:rPr>
                  <m:sty m:val="p"/>
                </m:rPr>
                <m:t>n</m:t>
              </m:r>
              <m:r>
                <m:rPr>
                  <m:sty m:val="p"/>
                </m:rPr>
                <m:t>d</m:t>
              </m:r>
              <m:r>
                <m:rPr>
                  <m:sty m:val="p"/>
                </m:rPr>
                <m:t>e</m:t>
              </m:r>
              <m:r>
                <m:rPr>
                  <m:sty m:val="p"/>
                </m:rPr>
                <m:t>n</m:t>
              </m:r>
              <m:r>
                <m:rPr>
                  <m:sty m:val="p"/>
                </m:rPr>
                <m:t>t</m:t>
              </m:r>
              <m:r>
                <m:rPr>
                  <m:sty m:val="p"/>
                </m:rPr>
                <m:t>E</m:t>
              </m:r>
              <m:r>
                <m:rPr>
                  <m:sty m:val="p"/>
                </m:rPr>
                <m:t>s</m:t>
              </m:r>
              <m:r>
                <m:rPr>
                  <m:sty m:val="p"/>
                </m:rPr>
                <m:t>t</m:t>
              </m:r>
              <m:r>
                <m:rPr>
                  <m:sty m:val="p"/>
                </m:rPr>
                <m:t>i</m:t>
              </m:r>
              <m:r>
                <m:rPr>
                  <m:sty m:val="p"/>
                </m:rPr>
                <m:t>m</m:t>
              </m:r>
              <m:r>
                <m:rPr>
                  <m:sty m:val="p"/>
                </m:rPr>
                <m:t>a</m:t>
              </m:r>
              <m:r>
                <m:rPr>
                  <m:sty m:val="p"/>
                </m:rPr>
                <m:t>t</m:t>
              </m:r>
              <m:r>
                <m:rPr>
                  <m:sty m:val="p"/>
                </m:rPr>
                <m:t>e</m:t>
              </m:r>
              <m:r>
                <m:rPr>
                  <m:sty m:val="p"/>
                </m:rPr>
                <m:t>+</m:t>
              </m:r>
              <m:sSub>
                <m:e>
                  <m:r>
                    <m:t>β</m:t>
                  </m:r>
                </m:e>
                <m:sub>
                  <m:r>
                    <m:t>2</m:t>
                  </m:r>
                </m:sub>
              </m:sSub>
              <m:r>
                <m:t> </m:t>
              </m:r>
              <m:r>
                <m:rPr>
                  <m:sty m:val="p"/>
                </m:rPr>
                <m:t>log</m:t>
              </m:r>
              <m:r>
                <m:rPr>
                  <m:sty m:val="p"/>
                </m:rPr>
                <m:t>(</m:t>
              </m:r>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m:t>
              </m:r>
              <m:r>
                <m:rPr>
                  <m:sty m:val="p"/>
                </m:rPr>
                <m:t>+</m:t>
              </m:r>
              <m:sSub>
                <m:e>
                  <m:r>
                    <m:t>β</m:t>
                  </m:r>
                </m:e>
                <m:sub>
                  <m:r>
                    <m:t>3</m:t>
                  </m:r>
                </m:sub>
              </m:sSub>
              <m:r>
                <m:t> </m:t>
              </m:r>
              <m:r>
                <m:rPr>
                  <m:sty m:val="p"/>
                </m:rPr>
                <m:t>T</m:t>
              </m:r>
              <m:r>
                <m:rPr>
                  <m:sty m:val="p"/>
                </m:rPr>
                <m:t>R</m:t>
              </m:r>
              <m:r>
                <m:rPr>
                  <m:sty m:val="p"/>
                </m:rPr>
                <m:t>L</m:t>
              </m:r>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-0.4644</w:t>
            </w:r>
          </w:p>
        </w:tc>
        <w:tc>
          <w:tcPr>
            <w:tcW w:w="0" w:type="auto"/>
          </w:tcPr>
          <w:p>
            <w:pPr>
              <w:spacing w:line="240" w:lineRule="auto" w:before="0" w:after="0"/>
              <w:pStyle w:val="Compact"/>
            </w:pPr>
            <w:r>
              <w:rPr>
                <w:sz w:val="20"/>
                <w:szCs w:val="20"/>
              </w:rPr>
              <w:t xml:space="preserve">0.4436</w:t>
            </w:r>
          </w:p>
        </w:tc>
        <w:tc>
          <w:tcPr>
            <w:tcW w:w="0" w:type="auto"/>
          </w:tcPr>
          <w:p>
            <w:pPr>
              <w:spacing w:line="240" w:lineRule="auto" w:before="0" w:after="0"/>
              <w:pStyle w:val="Compact"/>
            </w:pPr>
            <w:r>
              <w:rPr>
                <w:sz w:val="20"/>
                <w:szCs w:val="20"/>
              </w:rPr>
              <w:t xml:space="preserve">-1.0467</w:t>
            </w:r>
          </w:p>
        </w:tc>
        <w:tc>
          <w:tcPr>
            <w:tcW w:w="0" w:type="auto"/>
          </w:tcPr>
          <w:p>
            <w:pPr>
              <w:spacing w:line="240" w:lineRule="auto" w:before="0" w:after="0"/>
              <w:pStyle w:val="Compact"/>
            </w:pPr>
            <w:r>
              <w:rPr>
                <w:sz w:val="20"/>
                <w:szCs w:val="20"/>
              </w:rPr>
              <w:t xml:space="preserve">0.2952</w:t>
            </w:r>
          </w:p>
        </w:tc>
        <w:tc>
          <w:tcPr>
            <w:tcW w:w="0" w:type="auto"/>
          </w:tcPr>
          <w:p>
            <w:pPr>
              <w:spacing w:line="240" w:lineRule="auto" w:before="0" w:after="0"/>
              <w:pStyle w:val="Compact"/>
            </w:pPr>
            <w:r>
              <w:rPr>
                <w:sz w:val="20"/>
                <w:szCs w:val="20"/>
              </w:rPr>
              <w:t xml:space="preserve">[-1.3339, 0.4052]</w:t>
            </w:r>
          </w:p>
        </w:tc>
        <w:tc>
          <w:tcPr>
            <w:tcW w:w="0" w:type="auto"/>
          </w:tcPr>
          <w:p>
            <w:pPr>
              <w:spacing w:line="240" w:lineRule="auto" w:before="0" w:after="0"/>
              <w:pStyle w:val="Compact"/>
            </w:pPr>
            <w:r>
              <w:rPr>
                <w:sz w:val="20"/>
                <w:szCs w:val="20"/>
              </w:rPr>
              <w:t xml:space="preserve">0.6285</w:t>
            </w:r>
          </w:p>
        </w:tc>
      </w:tr>
      <w:tr>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0.1242</w:t>
            </w:r>
          </w:p>
        </w:tc>
        <w:tc>
          <w:tcPr>
            <w:tcW w:w="0" w:type="auto"/>
          </w:tcPr>
          <w:p>
            <w:pPr>
              <w:spacing w:line="240" w:lineRule="auto" w:before="0" w:after="0"/>
              <w:pStyle w:val="Compact"/>
            </w:pPr>
            <w:r>
              <w:rPr>
                <w:sz w:val="20"/>
                <w:szCs w:val="20"/>
              </w:rPr>
              <w:t xml:space="preserve">0.2299</w:t>
            </w:r>
          </w:p>
        </w:tc>
        <w:tc>
          <w:tcPr>
            <w:tcW w:w="0" w:type="auto"/>
          </w:tcPr>
          <w:p>
            <w:pPr>
              <w:spacing w:line="240" w:lineRule="auto" w:before="0" w:after="0"/>
              <w:pStyle w:val="Compact"/>
            </w:pPr>
            <w:r>
              <w:rPr>
                <w:sz w:val="20"/>
                <w:szCs w:val="20"/>
              </w:rPr>
              <w:t xml:space="preserve">0.5404</w:t>
            </w:r>
          </w:p>
        </w:tc>
        <w:tc>
          <w:tcPr>
            <w:tcW w:w="0" w:type="auto"/>
          </w:tcPr>
          <w:p>
            <w:pPr>
              <w:spacing w:line="240" w:lineRule="auto" w:before="0" w:after="0"/>
              <w:pStyle w:val="Compact"/>
            </w:pPr>
            <w:r>
              <w:rPr>
                <w:sz w:val="20"/>
                <w:szCs w:val="20"/>
              </w:rPr>
              <w:t xml:space="preserve">0.5889</w:t>
            </w:r>
          </w:p>
        </w:tc>
        <w:tc>
          <w:tcPr>
            <w:tcW w:w="0" w:type="auto"/>
          </w:tcPr>
          <w:p>
            <w:pPr>
              <w:spacing w:line="240" w:lineRule="auto" w:before="0" w:after="0"/>
              <w:pStyle w:val="Compact"/>
            </w:pPr>
            <w:r>
              <w:rPr>
                <w:sz w:val="20"/>
                <w:szCs w:val="20"/>
              </w:rPr>
              <w:t xml:space="preserve">[-0.3264, 0.5749]</w:t>
            </w:r>
          </w:p>
        </w:tc>
        <w:tc>
          <w:tcPr>
            <w:tcW w:w="0" w:type="auto"/>
          </w:tcPr>
          <w:p>
            <w:pPr>
              <w:spacing w:line="240" w:lineRule="auto" w:before="0" w:after="0"/>
              <w:pStyle w:val="Compact"/>
            </w:pPr>
            <w:r>
              <w:rPr>
                <w:sz w:val="20"/>
                <w:szCs w:val="20"/>
              </w:rPr>
              <w:t xml:space="preserve">1.1323</w:t>
            </w:r>
          </w:p>
        </w:tc>
      </w:tr>
      <w:tr>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-1.1084</w:t>
            </w:r>
          </w:p>
        </w:tc>
        <w:tc>
          <w:tcPr>
            <w:tcW w:w="0" w:type="auto"/>
          </w:tcPr>
          <w:p>
            <w:pPr>
              <w:spacing w:line="240" w:lineRule="auto" w:before="0" w:after="0"/>
              <w:pStyle w:val="Compact"/>
            </w:pPr>
            <w:r>
              <w:rPr>
                <w:sz w:val="20"/>
                <w:szCs w:val="20"/>
              </w:rPr>
              <w:t xml:space="preserve">0.4071</w:t>
            </w:r>
          </w:p>
        </w:tc>
        <w:tc>
          <w:tcPr>
            <w:tcW w:w="0" w:type="auto"/>
          </w:tcPr>
          <w:p>
            <w:pPr>
              <w:spacing w:line="240" w:lineRule="auto" w:before="0" w:after="0"/>
              <w:pStyle w:val="Compact"/>
            </w:pPr>
            <w:r>
              <w:rPr>
                <w:sz w:val="20"/>
                <w:szCs w:val="20"/>
              </w:rPr>
              <w:t xml:space="preserve">-2.7226</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[-1.9063, -0.3105]</w:t>
            </w:r>
          </w:p>
        </w:tc>
        <w:tc>
          <w:tcPr>
            <w:tcW w:w="0" w:type="auto"/>
          </w:tcPr>
          <w:p>
            <w:pPr>
              <w:spacing w:line="240" w:lineRule="auto" w:before="0" w:after="0"/>
              <w:pStyle w:val="Compact"/>
            </w:pPr>
            <w:r>
              <w:rPr>
                <w:sz w:val="20"/>
                <w:szCs w:val="20"/>
              </w:rPr>
              <w:t xml:space="preserve">0.3301</w:t>
            </w:r>
          </w:p>
        </w:tc>
      </w:tr>
    </w:tbl>
    <w:p>
      <w:pPr>
        <w:pStyle w:val="BodyText"/>
      </w:pPr>
      <w:r>
        <w:t xml:space="preserve">Fit: N = 38 events = 23</w:t>
      </w:r>
    </w:p>
    <w:p>
      <w:pPr>
        <w:pStyle w:val="CaptionedFigure"/>
      </w:pPr>
      <w:r>
        <w:drawing>
          <wp:inline>
            <wp:extent cx="5669280" cy="3657600"/>
            <wp:effectExtent b="0" l="0" r="0" t="0"/>
            <wp:docPr descr="Figure 1. Time-to-first-breach against log baseline cost for 38 NASA major projects, distinguishing programs confirmed with an independent cost and schedule estimate from those confirmed without one." title="" id="76" name="Picture"/>
            <a:graphic>
              <a:graphicData uri="http://schemas.openxmlformats.org/drawingml/2006/picture">
                <pic:pic>
                  <pic:nvPicPr>
                    <pic:cNvPr descr="D:\Claude_Code\brain\collegium\candidates\dissertations\JPL_MGMT_SMA_TECH_02\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Time-to-first-breach against log baseline cost for 38 NASA major projects, distinguishing programs confirmed with an independent cost and schedule estimate from those confirmed without one.</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confirmation_year</w:t>
            </w:r>
          </w:p>
        </w:tc>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scope_class</w:t>
            </w:r>
          </w:p>
        </w:tc>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breach_event</w:t>
            </w:r>
          </w:p>
        </w:tc>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GAO-18-280SP and GAO-21-406, NASA: JWST 2009 rebaseline cost ~$5.0B grew to $8.8B, launch slipped ~7 years; pre-JCL confirmation</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1630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7.3963</w:t>
            </w:r>
          </w:p>
        </w:tc>
        <w:tc>
          <w:tcPr>
            <w:tcW w:w="0" w:type="auto"/>
          </w:tcPr>
          <w:p>
            <w:pPr>
              <w:spacing w:line="240" w:lineRule="auto" w:before="0" w:after="0"/>
              <w:pStyle w:val="Compact"/>
            </w:pPr>
            <w:r>
              <w:rPr>
                <w:sz w:val="20"/>
                <w:szCs w:val="20"/>
              </w:rPr>
              <w:t xml:space="preserve">GAO-11-239SP, MSL development cost grew from $1.63B to $2.5B, launch slipped from 2009 to 2011 (~26 mo); confirmed before JCL policy</w:t>
            </w:r>
          </w:p>
        </w:tc>
      </w:tr>
      <w:tr>
        <w:tc>
          <w:tcPr>
            <w:tcW w:w="0" w:type="auto"/>
          </w:tcPr>
          <w:p>
            <w:pPr>
              <w:spacing w:line="240" w:lineRule="auto" w:before="0" w:after="0"/>
              <w:pStyle w:val="Compact"/>
            </w:pPr>
            <w:r>
              <w:rPr>
                <w:sz w:val="20"/>
                <w:szCs w:val="20"/>
              </w:rPr>
              <w:t xml:space="preserve">Orion Multi-Purpose Crew Vehicle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GAO-24-106767, Orion cumulative cost overrun $2.9B (65% of portfolio); JCL applied at 2015 confirmation</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8.8567</w:t>
            </w:r>
          </w:p>
        </w:tc>
        <w:tc>
          <w:tcPr>
            <w:tcW w:w="0" w:type="auto"/>
          </w:tcPr>
          <w:p>
            <w:pPr>
              <w:spacing w:line="240" w:lineRule="auto" w:before="0" w:after="0"/>
              <w:pStyle w:val="Compact"/>
            </w:pPr>
            <w:r>
              <w:rPr>
                <w:sz w:val="20"/>
                <w:szCs w:val="20"/>
              </w:rPr>
              <w:t xml:space="preserve">GAO-24-106767 and GAO-19-262SP, SLS development overran baseline, ~4 year schedule delay; JCL at confirmation</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2767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7.9255</w:t>
            </w:r>
          </w:p>
        </w:tc>
        <w:tc>
          <w:tcPr>
            <w:tcW w:w="0" w:type="auto"/>
          </w:tcPr>
          <w:p>
            <w:pPr>
              <w:spacing w:line="240" w:lineRule="auto" w:before="0" w:after="0"/>
              <w:pStyle w:val="Compact"/>
            </w:pPr>
            <w:r>
              <w:rPr>
                <w:sz w:val="20"/>
                <w:szCs w:val="20"/>
              </w:rPr>
              <w:t xml:space="preserve">GAO-24-106767, EGS schedule delay ~4 years and cost overrun within the SLS/Orion/EGS triad; JCL applied</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6.2066</w:t>
            </w:r>
          </w:p>
        </w:tc>
        <w:tc>
          <w:tcPr>
            <w:tcW w:w="0" w:type="auto"/>
          </w:tcPr>
          <w:p>
            <w:pPr>
              <w:spacing w:line="240" w:lineRule="auto" w:before="0" w:after="0"/>
              <w:pStyle w:val="Compact"/>
            </w:pPr>
            <w:r>
              <w:rPr>
                <w:sz w:val="20"/>
                <w:szCs w:val="20"/>
              </w:rPr>
              <w:t xml:space="preserve">GAO-12-207SP, GRAIL launched on schedule August 2011 within cost baseline; SRB/JCL confirmation, no breach</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7.0094</w:t>
            </w:r>
          </w:p>
        </w:tc>
        <w:tc>
          <w:tcPr>
            <w:tcW w:w="0" w:type="auto"/>
          </w:tcPr>
          <w:p>
            <w:pPr>
              <w:spacing w:line="240" w:lineRule="auto" w:before="0" w:after="0"/>
              <w:pStyle w:val="Compact"/>
            </w:pPr>
            <w:r>
              <w:rPr>
                <w:sz w:val="20"/>
                <w:szCs w:val="20"/>
              </w:rPr>
              <w:t xml:space="preserve">GAO-12-207SP, Juno launched August 2011 on baseline schedule and near cost target; no &gt;15% breach</w:t>
            </w:r>
          </w:p>
        </w:tc>
      </w:tr>
      <w:tr>
        <w:tc>
          <w:tcPr>
            <w:tcW w:w="0" w:type="auto"/>
          </w:tcPr>
          <w:p>
            <w:pPr>
              <w:spacing w:line="240" w:lineRule="auto" w:before="0" w:after="0"/>
              <w:pStyle w:val="Compact"/>
            </w:pPr>
            <w:r>
              <w:rPr>
                <w:sz w:val="20"/>
                <w:szCs w:val="20"/>
              </w:rPr>
              <w:t xml:space="preserve">Mars Atmosphere and Volatile Evolution (MAVEN)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6.5088</w:t>
            </w:r>
          </w:p>
        </w:tc>
        <w:tc>
          <w:tcPr>
            <w:tcW w:w="0" w:type="auto"/>
          </w:tcPr>
          <w:p>
            <w:pPr>
              <w:spacing w:line="240" w:lineRule="auto" w:before="0" w:after="0"/>
              <w:pStyle w:val="Compact"/>
            </w:pPr>
            <w:r>
              <w:rPr>
                <w:sz w:val="20"/>
                <w:szCs w:val="20"/>
              </w:rPr>
              <w:t xml:space="preserve">GAO-14-338SP, MAVEN launched November 2013 on baseline cost and schedule; JCL applied</w:t>
            </w:r>
          </w:p>
        </w:tc>
      </w:tr>
      <w:tr>
        <w:tc>
          <w:tcPr>
            <w:tcW w:w="0" w:type="auto"/>
          </w:tcPr>
          <w:p>
            <w:pPr>
              <w:spacing w:line="240" w:lineRule="auto" w:before="0" w:after="0"/>
              <w:pStyle w:val="Compact"/>
            </w:pPr>
            <w:r>
              <w:rPr>
                <w:sz w:val="20"/>
                <w:szCs w:val="20"/>
              </w:rPr>
              <w:t xml:space="preserve">Origins Spectral Interpretation (OSIRIS-REx)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GAO-16-309SP, OSIRIS-REx launched September 2016 within baseline; JCL confidence level applied at confirmation</w:t>
            </w:r>
          </w:p>
        </w:tc>
      </w:tr>
      <w:tr>
        <w:tc>
          <w:tcPr>
            <w:tcW w:w="0" w:type="auto"/>
          </w:tcPr>
          <w:p>
            <w:pPr>
              <w:spacing w:line="240" w:lineRule="auto" w:before="0" w:after="0"/>
              <w:pStyle w:val="Compact"/>
            </w:pPr>
            <w:r>
              <w:rPr>
                <w:sz w:val="20"/>
                <w:szCs w:val="20"/>
              </w:rPr>
              <w:t xml:space="preserve">Solar Probe Plus (Parker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1554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7.3486</w:t>
            </w:r>
          </w:p>
        </w:tc>
        <w:tc>
          <w:tcPr>
            <w:tcW w:w="0" w:type="auto"/>
          </w:tcPr>
          <w:p>
            <w:pPr>
              <w:spacing w:line="240" w:lineRule="auto" w:before="0" w:after="0"/>
              <w:pStyle w:val="Compact"/>
            </w:pPr>
            <w:r>
              <w:rPr>
                <w:sz w:val="20"/>
                <w:szCs w:val="20"/>
              </w:rPr>
              <w:t xml:space="preserve">GAO-18-280SP, Parker Solar Probe launched August 2018 within baseline cost and schedule; JCL applied</w:t>
            </w:r>
          </w:p>
        </w:tc>
      </w:tr>
      <w:tr>
        <w:tc>
          <w:tcPr>
            <w:tcW w:w="0" w:type="auto"/>
          </w:tcPr>
          <w:p>
            <w:pPr>
              <w:spacing w:line="240" w:lineRule="auto" w:before="0" w:after="0"/>
              <w:pStyle w:val="Compact"/>
            </w:pPr>
            <w:r>
              <w:rPr>
                <w:sz w:val="20"/>
                <w:szCs w:val="20"/>
              </w:rPr>
              <w:t xml:space="preserve">Ice Cloud and land Elevation Satellite-2 (ICESat-2)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1077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6.9819</w:t>
            </w:r>
          </w:p>
        </w:tc>
        <w:tc>
          <w:tcPr>
            <w:tcW w:w="0" w:type="auto"/>
          </w:tcPr>
          <w:p>
            <w:pPr>
              <w:spacing w:line="240" w:lineRule="auto" w:before="0" w:after="0"/>
              <w:pStyle w:val="Compact"/>
            </w:pPr>
            <w:r>
              <w:rPr>
                <w:sz w:val="20"/>
                <w:szCs w:val="20"/>
              </w:rPr>
              <w:t xml:space="preserve">GAO-17-303SP, ICESat-2 development cost grew and launch slipped from 2017 to 2018 (~12 mo); JCL applied</w:t>
            </w:r>
          </w:p>
        </w:tc>
      </w:tr>
      <w:tr>
        <w:tc>
          <w:tcPr>
            <w:tcW w:w="0" w:type="auto"/>
          </w:tcPr>
          <w:p>
            <w:pPr>
              <w:spacing w:line="240" w:lineRule="auto" w:before="0" w:after="0"/>
              <w:pStyle w:val="Compact"/>
            </w:pPr>
            <w:r>
              <w:rPr>
                <w:sz w:val="20"/>
                <w:szCs w:val="20"/>
              </w:rPr>
              <w:t xml:space="preserve">Soil Moisture Active Passive (SMAP)</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6.82</w:t>
            </w:r>
          </w:p>
        </w:tc>
        <w:tc>
          <w:tcPr>
            <w:tcW w:w="0" w:type="auto"/>
          </w:tcPr>
          <w:p>
            <w:pPr>
              <w:spacing w:line="240" w:lineRule="auto" w:before="0" w:after="0"/>
              <w:pStyle w:val="Compact"/>
            </w:pPr>
            <w:r>
              <w:rPr>
                <w:sz w:val="20"/>
                <w:szCs w:val="20"/>
              </w:rPr>
              <w:t xml:space="preserve">GAO-15-320SP, SMAP launch slipped from late 2014 to January 2015; minor cost growth; JCL applied</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GAO-15-320SP, MMS launched March 2015 within baseline; JCL applied at confirmation</w:t>
            </w:r>
          </w:p>
        </w:tc>
      </w:tr>
      <w:tr>
        <w:tc>
          <w:tcPr>
            <w:tcW w:w="0" w:type="auto"/>
          </w:tcPr>
          <w:p>
            <w:pPr>
              <w:spacing w:line="240" w:lineRule="auto" w:before="0" w:after="0"/>
              <w:pStyle w:val="Compact"/>
            </w:pPr>
            <w:r>
              <w:rPr>
                <w:sz w:val="20"/>
                <w:szCs w:val="20"/>
              </w:rPr>
              <w:t xml:space="preserve">Gravity and Extreme Magnetism (GEMS)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4.7791</w:t>
            </w:r>
          </w:p>
        </w:tc>
        <w:tc>
          <w:tcPr>
            <w:tcW w:w="0" w:type="auto"/>
          </w:tcPr>
          <w:p>
            <w:pPr>
              <w:spacing w:line="240" w:lineRule="auto" w:before="0" w:after="0"/>
              <w:pStyle w:val="Compact"/>
            </w:pPr>
            <w:r>
              <w:rPr>
                <w:sz w:val="20"/>
                <w:szCs w:val="20"/>
              </w:rPr>
              <w:t xml:space="preserve">GAO-12-207SP, GEMS exceeded cost estimate and was cancelled at confirmation review 2012; JCL flagged overrun early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6.8926</w:t>
            </w:r>
          </w:p>
        </w:tc>
        <w:tc>
          <w:tcPr>
            <w:tcW w:w="0" w:type="auto"/>
          </w:tcPr>
          <w:p>
            <w:pPr>
              <w:spacing w:line="240" w:lineRule="auto" w:before="0" w:after="0"/>
              <w:pStyle w:val="Compact"/>
            </w:pPr>
            <w:r>
              <w:rPr>
                <w:sz w:val="20"/>
                <w:szCs w:val="20"/>
              </w:rPr>
              <w:t xml:space="preserve">GAO-23-106021 and NASA 2022 release, Psyche launch slipped from 2022 to 2023 (~13 mo), triggered independent review; JCL/SRB applied</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6.8886</w:t>
            </w:r>
          </w:p>
        </w:tc>
        <w:tc>
          <w:tcPr>
            <w:tcW w:w="0" w:type="auto"/>
          </w:tcPr>
          <w:p>
            <w:pPr>
              <w:spacing w:line="240" w:lineRule="auto" w:before="0" w:after="0"/>
              <w:pStyle w:val="Compact"/>
            </w:pPr>
            <w:r>
              <w:rPr>
                <w:sz w:val="20"/>
                <w:szCs w:val="20"/>
              </w:rPr>
              <w:t xml:space="preserve">GAO-19-262SP, Lucy launched October 2021 within baseline cost and schedule; JCL applied</w:t>
            </w:r>
          </w:p>
        </w:tc>
      </w:tr>
      <w:tr>
        <w:tc>
          <w:tcPr>
            <w:tcW w:w="0" w:type="auto"/>
          </w:tcPr>
          <w:p>
            <w:pPr>
              <w:spacing w:line="240" w:lineRule="auto" w:before="0" w:after="0"/>
              <w:pStyle w:val="Compact"/>
            </w:pPr>
            <w:r>
              <w:rPr>
                <w:sz w:val="20"/>
                <w:szCs w:val="20"/>
              </w:rPr>
              <w:t xml:space="preserve">Double Asteroid Redirection Test (DART)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GAO-20-405, DART launched November 2021 within baseline cost; JCL applied</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8.3547</w:t>
            </w:r>
          </w:p>
        </w:tc>
        <w:tc>
          <w:tcPr>
            <w:tcW w:w="0" w:type="auto"/>
          </w:tcPr>
          <w:p>
            <w:pPr>
              <w:spacing w:line="240" w:lineRule="auto" w:before="0" w:after="0"/>
              <w:pStyle w:val="Compact"/>
            </w:pPr>
            <w:r>
              <w:rPr>
                <w:sz w:val="20"/>
                <w:szCs w:val="20"/>
              </w:rPr>
              <w:t xml:space="preserve">GAO-25-107591, Europa Clipper life-cycle grew toward $5.2B with added reserves; launched Oct 2024; JCL applied</w:t>
            </w:r>
          </w:p>
        </w:tc>
      </w:tr>
      <w:tr>
        <w:tc>
          <w:tcPr>
            <w:tcW w:w="0" w:type="auto"/>
          </w:tcPr>
          <w:p>
            <w:pPr>
              <w:spacing w:line="240" w:lineRule="auto" w:before="0" w:after="0"/>
              <w:pStyle w:val="Compact"/>
            </w:pPr>
            <w:r>
              <w:rPr>
                <w:sz w:val="20"/>
                <w:szCs w:val="20"/>
              </w:rPr>
              <w:t xml:space="preserve">Roman Space Telescope (WFIRST)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8.2774</w:t>
            </w:r>
          </w:p>
        </w:tc>
        <w:tc>
          <w:tcPr>
            <w:tcW w:w="0" w:type="auto"/>
          </w:tcPr>
          <w:p>
            <w:pPr>
              <w:spacing w:line="240" w:lineRule="auto" w:before="0" w:after="0"/>
              <w:pStyle w:val="Compact"/>
            </w:pPr>
            <w:r>
              <w:rPr>
                <w:sz w:val="20"/>
                <w:szCs w:val="20"/>
              </w:rPr>
              <w:t xml:space="preserve">GAO-25-107591, Roman experienced schedule pressure toward Oct 2026 LRD; JCL applied at confirmation</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GAO-23-106021, NEO Surveyor replanned with launch delayed ~2 years to 2027/2028; JCL applied</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8.1167</w:t>
            </w:r>
          </w:p>
        </w:tc>
        <w:tc>
          <w:tcPr>
            <w:tcW w:w="0" w:type="auto"/>
          </w:tcPr>
          <w:p>
            <w:pPr>
              <w:spacing w:line="240" w:lineRule="auto" w:before="0" w:after="0"/>
              <w:pStyle w:val="Compact"/>
            </w:pPr>
            <w:r>
              <w:rPr>
                <w:sz w:val="20"/>
                <w:szCs w:val="20"/>
              </w:rPr>
              <w:t xml:space="preserve">GAO-25-107591 and SpaceNews, Dragonfly replan delayed LRD to July 2028 (~1 year) and raised cost; JCL applied</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6.1903</w:t>
            </w:r>
          </w:p>
        </w:tc>
        <w:tc>
          <w:tcPr>
            <w:tcW w:w="0" w:type="auto"/>
          </w:tcPr>
          <w:p>
            <w:pPr>
              <w:spacing w:line="240" w:lineRule="auto" w:before="0" w:after="0"/>
              <w:pStyle w:val="Compact"/>
            </w:pPr>
            <w:r>
              <w:rPr>
                <w:sz w:val="20"/>
                <w:szCs w:val="20"/>
              </w:rPr>
              <w:t xml:space="preserve">GAO-25-107591, SPHEREx launched March 2025 within baseline cost and schedule; JCL applied</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6.7856</w:t>
            </w:r>
          </w:p>
        </w:tc>
        <w:tc>
          <w:tcPr>
            <w:tcW w:w="0" w:type="auto"/>
          </w:tcPr>
          <w:p>
            <w:pPr>
              <w:spacing w:line="240" w:lineRule="auto" w:before="0" w:after="0"/>
              <w:pStyle w:val="Compact"/>
            </w:pPr>
            <w:r>
              <w:rPr>
                <w:sz w:val="20"/>
                <w:szCs w:val="20"/>
              </w:rPr>
              <w:t xml:space="preserve">GAO-19-262SP, Landsat 9 launched September 2021 within baseline; JCL applied</w:t>
            </w:r>
          </w:p>
        </w:tc>
      </w:tr>
      <w:tr>
        <w:tc>
          <w:tcPr>
            <w:tcW w:w="0" w:type="auto"/>
          </w:tcPr>
          <w:p>
            <w:pPr>
              <w:spacing w:line="240" w:lineRule="auto" w:before="0" w:after="0"/>
              <w:pStyle w:val="Compact"/>
            </w:pPr>
            <w:r>
              <w:rPr>
                <w:sz w:val="20"/>
                <w:szCs w:val="20"/>
              </w:rPr>
              <w:t xml:space="preserve">NISAR (NASA-ISRO 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6.6946</w:t>
            </w:r>
          </w:p>
        </w:tc>
        <w:tc>
          <w:tcPr>
            <w:tcW w:w="0" w:type="auto"/>
          </w:tcPr>
          <w:p>
            <w:pPr>
              <w:spacing w:line="240" w:lineRule="auto" w:before="0" w:after="0"/>
              <w:pStyle w:val="Compact"/>
            </w:pPr>
            <w:r>
              <w:rPr>
                <w:sz w:val="20"/>
                <w:szCs w:val="20"/>
              </w:rPr>
              <w:t xml:space="preserve">GAO-25-107591, NISAR launch slipped multiple times into 2024/2025; cost grew; JCL applied</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GAO-24-106767, DAVINCI Venus mission experienced schedule pressure and launch delay; JCL applied</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GAO-23-106021, VERITAS Venus mission delayed at least 3 years due to JPL workforce constraints; JCL applied</w:t>
            </w:r>
          </w:p>
        </w:tc>
      </w:tr>
      <w:tr>
        <w:tc>
          <w:tcPr>
            <w:tcW w:w="0" w:type="auto"/>
          </w:tcPr>
          <w:p>
            <w:pPr>
              <w:spacing w:line="240" w:lineRule="auto" w:before="0" w:after="0"/>
              <w:pStyle w:val="Compact"/>
            </w:pPr>
            <w:r>
              <w:rPr>
                <w:sz w:val="20"/>
                <w:szCs w:val="20"/>
              </w:rPr>
              <w:t xml:space="preserve">Imaging X-ray Polarimetry Explorer (IXPE)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5.2364</w:t>
            </w:r>
          </w:p>
        </w:tc>
        <w:tc>
          <w:tcPr>
            <w:tcW w:w="0" w:type="auto"/>
          </w:tcPr>
          <w:p>
            <w:pPr>
              <w:spacing w:line="240" w:lineRule="auto" w:before="0" w:after="0"/>
              <w:pStyle w:val="Compact"/>
            </w:pPr>
            <w:r>
              <w:rPr>
                <w:sz w:val="20"/>
                <w:szCs w:val="20"/>
              </w:rPr>
              <w:t xml:space="preserve">GAO-19-262SP, IXPE launched December 2021 within baseline cost and schedule; JCL applied</w:t>
            </w:r>
          </w:p>
        </w:tc>
      </w:tr>
      <w:tr>
        <w:tc>
          <w:tcPr>
            <w:tcW w:w="0" w:type="auto"/>
          </w:tcPr>
          <w:p>
            <w:pPr>
              <w:spacing w:line="240" w:lineRule="auto" w:before="0" w:after="0"/>
              <w:pStyle w:val="Compact"/>
            </w:pPr>
            <w:r>
              <w:rPr>
                <w:sz w:val="20"/>
                <w:szCs w:val="20"/>
              </w:rPr>
              <w:t xml:space="preserve">Stratospheric Observatory (SOFIA) upgrade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[illustrative] SOFIA program experienced early cost growth before JCL policy; figures approximate from GAO-12-207SP narrative</w:t>
            </w:r>
          </w:p>
        </w:tc>
      </w:tr>
      <w:tr>
        <w:tc>
          <w:tcPr>
            <w:tcW w:w="0" w:type="auto"/>
          </w:tcPr>
          <w:p>
            <w:pPr>
              <w:spacing w:line="240" w:lineRule="auto" w:before="0" w:after="0"/>
              <w:pStyle w:val="Compact"/>
            </w:pPr>
            <w:r>
              <w:rPr>
                <w:sz w:val="20"/>
                <w:szCs w:val="20"/>
              </w:rPr>
              <w:t xml:space="preserve">Transiting Exoplanet Survey Satellite (TESS)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5.6595</w:t>
            </w:r>
          </w:p>
        </w:tc>
        <w:tc>
          <w:tcPr>
            <w:tcW w:w="0" w:type="auto"/>
          </w:tcPr>
          <w:p>
            <w:pPr>
              <w:spacing w:line="240" w:lineRule="auto" w:before="0" w:after="0"/>
              <w:pStyle w:val="Compact"/>
            </w:pPr>
            <w:r>
              <w:rPr>
                <w:sz w:val="20"/>
                <w:szCs w:val="20"/>
              </w:rPr>
              <w:t xml:space="preserve">GAO-18-280SP, TESS launched April 2018 within baseline cost and schedule; JCL applied</w:t>
            </w:r>
          </w:p>
        </w:tc>
      </w:tr>
      <w:tr>
        <w:tc>
          <w:tcPr>
            <w:tcW w:w="0" w:type="auto"/>
          </w:tcPr>
          <w:p>
            <w:pPr>
              <w:spacing w:line="240" w:lineRule="auto" w:before="0" w:after="0"/>
              <w:pStyle w:val="Compact"/>
            </w:pPr>
            <w:r>
              <w:rPr>
                <w:sz w:val="20"/>
                <w:szCs w:val="20"/>
              </w:rPr>
              <w:t xml:space="preserve">Surface Water Ocean Topography (SWOT)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1112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7.0139</w:t>
            </w:r>
          </w:p>
        </w:tc>
        <w:tc>
          <w:tcPr>
            <w:tcW w:w="0" w:type="auto"/>
          </w:tcPr>
          <w:p>
            <w:pPr>
              <w:spacing w:line="240" w:lineRule="auto" w:before="0" w:after="0"/>
              <w:pStyle w:val="Compact"/>
            </w:pPr>
            <w:r>
              <w:rPr>
                <w:sz w:val="20"/>
                <w:szCs w:val="20"/>
              </w:rPr>
              <w:t xml:space="preserve">GAO-22-105212, SWOT launch slipped from 2021 to December 2022 (~14 mo); JCL applied</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5.743</w:t>
            </w:r>
          </w:p>
        </w:tc>
        <w:tc>
          <w:tcPr>
            <w:tcW w:w="0" w:type="auto"/>
          </w:tcPr>
          <w:p>
            <w:pPr>
              <w:spacing w:line="240" w:lineRule="auto" w:before="0" w:after="0"/>
              <w:pStyle w:val="Compact"/>
            </w:pPr>
            <w:r>
              <w:rPr>
                <w:sz w:val="20"/>
                <w:szCs w:val="20"/>
              </w:rPr>
              <w:t xml:space="preserve">GAO-09-306SP, Kepler $77.5M development cost growth (24.8%) and 9-month launch delay; confirmed before JCL policy</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5.5568</w:t>
            </w:r>
          </w:p>
        </w:tc>
        <w:tc>
          <w:tcPr>
            <w:tcW w:w="0" w:type="auto"/>
          </w:tcPr>
          <w:p>
            <w:pPr>
              <w:spacing w:line="240" w:lineRule="auto" w:before="0" w:after="0"/>
              <w:pStyle w:val="Compact"/>
            </w:pPr>
            <w:r>
              <w:rPr>
                <w:sz w:val="20"/>
                <w:szCs w:val="20"/>
              </w:rPr>
              <w:t xml:space="preserve">GAO-09-306SP, Glory $37.0M development cost growth (14.3%) and 16-month launch delay; pre-JCL confirmation</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6.045</w:t>
            </w:r>
          </w:p>
        </w:tc>
        <w:tc>
          <w:tcPr>
            <w:tcW w:w="0" w:type="auto"/>
          </w:tcPr>
          <w:p>
            <w:pPr>
              <w:spacing w:line="240" w:lineRule="auto" w:before="0" w:after="0"/>
              <w:pStyle w:val="Compact"/>
            </w:pPr>
            <w:r>
              <w:rPr>
                <w:sz w:val="20"/>
                <w:szCs w:val="20"/>
              </w:rPr>
              <w:t xml:space="preserve">GAO-09-306SP, LRO $52.3M development cost growth (12.4%) and 8-month launch delay; pre-JCL confirmation</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5.2523</w:t>
            </w:r>
          </w:p>
        </w:tc>
        <w:tc>
          <w:tcPr>
            <w:tcW w:w="0" w:type="auto"/>
          </w:tcPr>
          <w:p>
            <w:pPr>
              <w:spacing w:line="240" w:lineRule="auto" w:before="0" w:after="0"/>
              <w:pStyle w:val="Compact"/>
            </w:pPr>
            <w:r>
              <w:rPr>
                <w:sz w:val="20"/>
                <w:szCs w:val="20"/>
              </w:rPr>
              <w:t xml:space="preserve">GAO-09-306SP, Aquarius $15.9M cost growth (8.3%) and 10-month launch delay; pre-JCL confirmation</w:t>
            </w:r>
          </w:p>
        </w:tc>
      </w:tr>
      <w:tr>
        <w:tc>
          <w:tcPr>
            <w:tcW w:w="0" w:type="auto"/>
          </w:tcPr>
          <w:p>
            <w:pPr>
              <w:spacing w:line="240" w:lineRule="auto" w:before="0" w:after="0"/>
              <w:pStyle w:val="Compact"/>
            </w:pPr>
            <w:r>
              <w:rPr>
                <w:sz w:val="20"/>
                <w:szCs w:val="20"/>
              </w:rPr>
              <w:t xml:space="preserve">Gamma-ray Large Area Space Telescope (Fermi/GLAST)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6.5367</w:t>
            </w:r>
          </w:p>
        </w:tc>
        <w:tc>
          <w:tcPr>
            <w:tcW w:w="0" w:type="auto"/>
          </w:tcPr>
          <w:p>
            <w:pPr>
              <w:spacing w:line="240" w:lineRule="auto" w:before="0" w:after="0"/>
              <w:pStyle w:val="Compact"/>
            </w:pPr>
            <w:r>
              <w:rPr>
                <w:sz w:val="20"/>
                <w:szCs w:val="20"/>
              </w:rPr>
              <w:t xml:space="preserve">GAO-09-306SP, GLAST launched June 2008 within revised baseline after design churn; pre-JCL confirmation</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5.9216</w:t>
            </w:r>
          </w:p>
        </w:tc>
        <w:tc>
          <w:tcPr>
            <w:tcW w:w="0" w:type="auto"/>
          </w:tcPr>
          <w:p>
            <w:pPr>
              <w:spacing w:line="240" w:lineRule="auto" w:before="0" w:after="0"/>
              <w:pStyle w:val="Compact"/>
            </w:pPr>
            <w:r>
              <w:rPr>
                <w:sz w:val="20"/>
                <w:szCs w:val="20"/>
              </w:rPr>
              <w:t xml:space="preserve">GAO-09-306SP and NASA, Dawn cost grew and was briefly cancelled/reinstated 2006, launch slipped to 2007; pre-JCL confirmation</w:t>
            </w:r>
          </w:p>
        </w:tc>
      </w:tr>
      <w:tr>
        <w:tc>
          <w:tcPr>
            <w:tcW w:w="0" w:type="auto"/>
          </w:tcPr>
          <w:p>
            <w:pPr>
              <w:spacing w:line="240" w:lineRule="auto" w:before="0" w:after="0"/>
              <w:pStyle w:val="Compact"/>
            </w:pPr>
            <w:r>
              <w:rPr>
                <w:sz w:val="20"/>
                <w:szCs w:val="20"/>
              </w:rPr>
              <w:t xml:space="preserve">Wide-field Infrared Survey Explorer (WISE)</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GAO-10-227SP, WISE launched December 2009 within baseline cost and schedule; confirmed before full JCL mandate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GAO-06-647SP, Mars Reconnaissance Orbiter launched August 2005 within baseline; pre-JCL confirmation</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confirmation (KDP-C) to the first baseline breach event, or to the censoring date for programs that never breached</w:t>
            </w:r>
          </w:p>
        </w:tc>
        <w:tc>
          <w:tcPr>
            <w:tcW w:w="0" w:type="auto"/>
          </w:tcPr>
          <w:p>
            <w:pPr>
              <w:spacing w:line="240" w:lineRule="auto" w:before="0" w:after="0"/>
              <w:pStyle w:val="Compact"/>
            </w:pPr>
            <w:r>
              <w:rPr>
                <w:sz w:val="20"/>
                <w:szCs w:val="20"/>
              </w:rPr>
              <w:t xml:space="preserve">Coded from GAO NASA Assessments of Major Projects series (GAO-09-306SP through GAO-25-107591) confirmation and milestone dates</w:t>
            </w:r>
          </w:p>
        </w:tc>
      </w:tr>
      <w:tr>
        <w:tc>
          <w:tcPr>
            <w:tcW w:w="0" w:type="auto"/>
          </w:tcPr>
          <w:p>
            <w:pPr>
              <w:spacing w:line="240" w:lineRule="auto" w:before="0" w:after="0"/>
              <w:pStyle w:val="Compact"/>
            </w:pPr>
            <w:r>
              <w:rPr>
                <w:sz w:val="20"/>
                <w:szCs w:val="20"/>
              </w:rPr>
              <w:t xml:space="preserve">breach_event</w:t>
            </w:r>
          </w:p>
        </w:tc>
        <w:tc>
          <w:tcPr>
            <w:tcW w:w="0" w:type="auto"/>
          </w:tcPr>
          <w:p>
            <w:pPr>
              <w:spacing w:line="240" w:lineRule="auto" w:before="0" w:after="0"/>
              <w:pStyle w:val="Compact"/>
            </w:pPr>
            <w:r>
              <w:rPr>
                <w:sz w:val="20"/>
                <w:szCs w:val="20"/>
              </w:rPr>
              <w:t xml:space="preserve">1 if the program recorded a first baseline breach (development cost growth at or above 15 percent or a milestone slip at or above 6 months, NASA’s congressional re-reporting trigger), 0 if censored without a breach</w:t>
            </w:r>
          </w:p>
        </w:tc>
        <w:tc>
          <w:tcPr>
            <w:tcW w:w="0" w:type="auto"/>
          </w:tcPr>
          <w:p>
            <w:pPr>
              <w:spacing w:line="240" w:lineRule="auto" w:before="0" w:after="0"/>
              <w:pStyle w:val="Compact"/>
            </w:pPr>
            <w:r>
              <w:rPr>
                <w:sz w:val="20"/>
                <w:szCs w:val="20"/>
              </w:rPr>
              <w:t xml:space="preserve">GAO NASA Assessments of Major Projects series; NASA major program reporting thresholds</w:t>
            </w:r>
          </w:p>
        </w:tc>
      </w:tr>
      <w:tr>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1 if a binding independent cost and schedule estimate (Joint Confidence Level / Standing Review Board independent assessment) was applied at confirmation, 0 otherwise (chiefly pre-2009 confirmations before the JCL mandate)</w:t>
            </w:r>
          </w:p>
        </w:tc>
        <w:tc>
          <w:tcPr>
            <w:tcW w:w="0" w:type="auto"/>
          </w:tcPr>
          <w:p>
            <w:pPr>
              <w:spacing w:line="240" w:lineRule="auto" w:before="0" w:after="0"/>
              <w:pStyle w:val="Compact"/>
            </w:pPr>
            <w:r>
              <w:rPr>
                <w:sz w:val="20"/>
                <w:szCs w:val="20"/>
              </w:rPr>
              <w:t xml:space="preserve">GAO NASA Assessments of Major Projects series; NASA JCL policy history</w:t>
            </w:r>
          </w:p>
        </w:tc>
      </w:tr>
      <w:tr>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Natural log of the confirmed baseline life-cycle or development cost estimate in millions of USD, a proxy for program scope</w:t>
            </w:r>
          </w:p>
        </w:tc>
        <w:tc>
          <w:tcPr>
            <w:tcW w:w="0" w:type="auto"/>
          </w:tcPr>
          <w:p>
            <w:pPr>
              <w:spacing w:line="240" w:lineRule="auto" w:before="0" w:after="0"/>
              <w:pStyle w:val="Compact"/>
            </w:pPr>
            <w:r>
              <w:rPr>
                <w:sz w:val="20"/>
                <w:szCs w:val="20"/>
              </w:rPr>
              <w:t xml:space="preserve">GAO NASA Assessments of Major Projects series baseline cost fields</w:t>
            </w:r>
          </w:p>
        </w:tc>
      </w:tr>
      <w:tr>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Technology readiness level of the driving subsystem at confirmation, a proxy for technology maturity</w:t>
            </w:r>
          </w:p>
        </w:tc>
        <w:tc>
          <w:tcPr>
            <w:tcW w:w="0" w:type="auto"/>
          </w:tcPr>
          <w:p>
            <w:pPr>
              <w:spacing w:line="240" w:lineRule="auto" w:before="0" w:after="0"/>
              <w:pStyle w:val="Compact"/>
            </w:pPr>
            <w:r>
              <w:rPr>
                <w:sz w:val="20"/>
                <w:szCs w:val="20"/>
              </w:rPr>
              <w:t xml:space="preserve">GAO NASA Assessments of Major Projects technology-maturity narratives; project critical-design-review records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independent_estimate</w:t>
            </w:r>
          </w:p>
        </w:tc>
        <w:tc>
          <w:tcPr>
            <w:tcW w:w="0" w:type="auto"/>
          </w:tcPr>
          <w:p>
            <w:pPr>
              <w:spacing w:line="240" w:lineRule="auto" w:before="0" w:after="0"/>
              <w:pStyle w:val="Compact"/>
            </w:pPr>
            <w:r>
              <w:rPr>
                <w:sz w:val="20"/>
                <w:szCs w:val="20"/>
              </w:rPr>
              <w:t xml:space="preserve">-0.4644</w:t>
            </w:r>
          </w:p>
        </w:tc>
        <w:tc>
          <w:tcPr>
            <w:tcW w:w="0" w:type="auto"/>
          </w:tcPr>
          <w:p>
            <w:pPr>
              <w:spacing w:line="240" w:lineRule="auto" w:before="0" w:after="0"/>
              <w:pStyle w:val="Compact"/>
            </w:pPr>
            <w:r>
              <w:rPr>
                <w:sz w:val="20"/>
                <w:szCs w:val="20"/>
              </w:rPr>
              <w:t xml:space="preserve">0.4436</w:t>
            </w:r>
          </w:p>
        </w:tc>
        <w:tc>
          <w:tcPr>
            <w:tcW w:w="0" w:type="auto"/>
          </w:tcPr>
          <w:p>
            <w:pPr>
              <w:spacing w:line="240" w:lineRule="auto" w:before="0" w:after="0"/>
              <w:pStyle w:val="Compact"/>
            </w:pPr>
            <w:r>
              <w:rPr>
                <w:sz w:val="20"/>
                <w:szCs w:val="20"/>
              </w:rPr>
              <w:t xml:space="preserve">-1.0467</w:t>
            </w:r>
          </w:p>
        </w:tc>
        <w:tc>
          <w:tcPr>
            <w:tcW w:w="0" w:type="auto"/>
          </w:tcPr>
          <w:p>
            <w:pPr>
              <w:spacing w:line="240" w:lineRule="auto" w:before="0" w:after="0"/>
              <w:pStyle w:val="Compact"/>
            </w:pPr>
            <w:r>
              <w:rPr>
                <w:sz w:val="20"/>
                <w:szCs w:val="20"/>
              </w:rPr>
              <w:t xml:space="preserve">0.2952</w:t>
            </w:r>
          </w:p>
        </w:tc>
        <w:tc>
          <w:tcPr>
            <w:tcW w:w="0" w:type="auto"/>
          </w:tcPr>
          <w:p>
            <w:pPr>
              <w:spacing w:line="240" w:lineRule="auto" w:before="0" w:after="0"/>
              <w:pStyle w:val="Compact"/>
            </w:pPr>
            <w:r>
              <w:rPr>
                <w:sz w:val="20"/>
                <w:szCs w:val="20"/>
              </w:rPr>
              <w:t xml:space="preserve">[-1.3339, 0.4052]</w:t>
            </w:r>
          </w:p>
        </w:tc>
        <w:tc>
          <w:tcPr>
            <w:tcW w:w="0" w:type="auto"/>
          </w:tcPr>
          <w:p>
            <w:pPr>
              <w:spacing w:line="240" w:lineRule="auto" w:before="0" w:after="0"/>
              <w:pStyle w:val="Compact"/>
            </w:pPr>
            <w:r>
              <w:rPr>
                <w:sz w:val="20"/>
                <w:szCs w:val="20"/>
              </w:rPr>
              <w:t xml:space="preserve">0.6285</w:t>
            </w:r>
          </w:p>
        </w:tc>
      </w:tr>
      <w:tr>
        <w:tc>
          <w:tcPr>
            <w:tcW w:w="0" w:type="auto"/>
          </w:tcPr>
          <w:p>
            <w:pPr>
              <w:spacing w:line="240" w:lineRule="auto" w:before="0" w:after="0"/>
              <w:pStyle w:val="Compact"/>
            </w:pPr>
            <w:r>
              <w:rPr>
                <w:sz w:val="20"/>
                <w:szCs w:val="20"/>
              </w:rPr>
              <w:t xml:space="preserve">log_baseline</w:t>
            </w:r>
          </w:p>
        </w:tc>
        <w:tc>
          <w:tcPr>
            <w:tcW w:w="0" w:type="auto"/>
          </w:tcPr>
          <w:p>
            <w:pPr>
              <w:spacing w:line="240" w:lineRule="auto" w:before="0" w:after="0"/>
              <w:pStyle w:val="Compact"/>
            </w:pPr>
            <w:r>
              <w:rPr>
                <w:sz w:val="20"/>
                <w:szCs w:val="20"/>
              </w:rPr>
              <w:t xml:space="preserve">0.1242</w:t>
            </w:r>
          </w:p>
        </w:tc>
        <w:tc>
          <w:tcPr>
            <w:tcW w:w="0" w:type="auto"/>
          </w:tcPr>
          <w:p>
            <w:pPr>
              <w:spacing w:line="240" w:lineRule="auto" w:before="0" w:after="0"/>
              <w:pStyle w:val="Compact"/>
            </w:pPr>
            <w:r>
              <w:rPr>
                <w:sz w:val="20"/>
                <w:szCs w:val="20"/>
              </w:rPr>
              <w:t xml:space="preserve">0.2299</w:t>
            </w:r>
          </w:p>
        </w:tc>
        <w:tc>
          <w:tcPr>
            <w:tcW w:w="0" w:type="auto"/>
          </w:tcPr>
          <w:p>
            <w:pPr>
              <w:spacing w:line="240" w:lineRule="auto" w:before="0" w:after="0"/>
              <w:pStyle w:val="Compact"/>
            </w:pPr>
            <w:r>
              <w:rPr>
                <w:sz w:val="20"/>
                <w:szCs w:val="20"/>
              </w:rPr>
              <w:t xml:space="preserve">0.5404</w:t>
            </w:r>
          </w:p>
        </w:tc>
        <w:tc>
          <w:tcPr>
            <w:tcW w:w="0" w:type="auto"/>
          </w:tcPr>
          <w:p>
            <w:pPr>
              <w:spacing w:line="240" w:lineRule="auto" w:before="0" w:after="0"/>
              <w:pStyle w:val="Compact"/>
            </w:pPr>
            <w:r>
              <w:rPr>
                <w:sz w:val="20"/>
                <w:szCs w:val="20"/>
              </w:rPr>
              <w:t xml:space="preserve">0.5889</w:t>
            </w:r>
          </w:p>
        </w:tc>
        <w:tc>
          <w:tcPr>
            <w:tcW w:w="0" w:type="auto"/>
          </w:tcPr>
          <w:p>
            <w:pPr>
              <w:spacing w:line="240" w:lineRule="auto" w:before="0" w:after="0"/>
              <w:pStyle w:val="Compact"/>
            </w:pPr>
            <w:r>
              <w:rPr>
                <w:sz w:val="20"/>
                <w:szCs w:val="20"/>
              </w:rPr>
              <w:t xml:space="preserve">[-0.3264, 0.5749]</w:t>
            </w:r>
          </w:p>
        </w:tc>
        <w:tc>
          <w:tcPr>
            <w:tcW w:w="0" w:type="auto"/>
          </w:tcPr>
          <w:p>
            <w:pPr>
              <w:spacing w:line="240" w:lineRule="auto" w:before="0" w:after="0"/>
              <w:pStyle w:val="Compact"/>
            </w:pPr>
            <w:r>
              <w:rPr>
                <w:sz w:val="20"/>
                <w:szCs w:val="20"/>
              </w:rPr>
              <w:t xml:space="preserve">1.1323</w:t>
            </w:r>
          </w:p>
        </w:tc>
      </w:tr>
      <w:tr>
        <w:tc>
          <w:tcPr>
            <w:tcW w:w="0" w:type="auto"/>
          </w:tcPr>
          <w:p>
            <w:pPr>
              <w:spacing w:line="240" w:lineRule="auto" w:before="0" w:after="0"/>
              <w:pStyle w:val="Compact"/>
            </w:pPr>
            <w:r>
              <w:rPr>
                <w:sz w:val="20"/>
                <w:szCs w:val="20"/>
              </w:rPr>
              <w:t xml:space="preserve">trl_at_confirmation</w:t>
            </w:r>
          </w:p>
        </w:tc>
        <w:tc>
          <w:tcPr>
            <w:tcW w:w="0" w:type="auto"/>
          </w:tcPr>
          <w:p>
            <w:pPr>
              <w:spacing w:line="240" w:lineRule="auto" w:before="0" w:after="0"/>
              <w:pStyle w:val="Compact"/>
            </w:pPr>
            <w:r>
              <w:rPr>
                <w:sz w:val="20"/>
                <w:szCs w:val="20"/>
              </w:rPr>
              <w:t xml:space="preserve">-1.1084</w:t>
            </w:r>
          </w:p>
        </w:tc>
        <w:tc>
          <w:tcPr>
            <w:tcW w:w="0" w:type="auto"/>
          </w:tcPr>
          <w:p>
            <w:pPr>
              <w:spacing w:line="240" w:lineRule="auto" w:before="0" w:after="0"/>
              <w:pStyle w:val="Compact"/>
            </w:pPr>
            <w:r>
              <w:rPr>
                <w:sz w:val="20"/>
                <w:szCs w:val="20"/>
              </w:rPr>
              <w:t xml:space="preserve">0.4071</w:t>
            </w:r>
          </w:p>
        </w:tc>
        <w:tc>
          <w:tcPr>
            <w:tcW w:w="0" w:type="auto"/>
          </w:tcPr>
          <w:p>
            <w:pPr>
              <w:spacing w:line="240" w:lineRule="auto" w:before="0" w:after="0"/>
              <w:pStyle w:val="Compact"/>
            </w:pPr>
            <w:r>
              <w:rPr>
                <w:sz w:val="20"/>
                <w:szCs w:val="20"/>
              </w:rPr>
              <w:t xml:space="preserve">-2.7226</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[-1.9063, -0.3105]</w:t>
            </w:r>
          </w:p>
        </w:tc>
        <w:tc>
          <w:tcPr>
            <w:tcW w:w="0" w:type="auto"/>
          </w:tcPr>
          <w:p>
            <w:pPr>
              <w:spacing w:line="240" w:lineRule="auto" w:before="0" w:after="0"/>
              <w:pStyle w:val="Compact"/>
            </w:pPr>
            <w:r>
              <w:rPr>
                <w:sz w:val="20"/>
                <w:szCs w:val="20"/>
              </w:rPr>
              <w:t xml:space="preserve">0.3301</w:t>
            </w:r>
          </w:p>
        </w:tc>
      </w:tr>
    </w:tbl>
    <w:p>
      <w:pPr>
        <w:pStyle w:val="BodyText"/>
      </w:pPr>
      <w:r>
        <w:t xml:space="preserve">Fit: N = 38 events = 23</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0" Target="https://doi.org/10.1016/j.actaastro.2019.07.032" TargetMode="External" /><Relationship Type="http://schemas.openxmlformats.org/officeDocument/2006/relationships/hyperlink" Id="rId68" Target="https://doi.org/10.1016/j.actaastro.2019.09.030"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9.07.032" TargetMode="External" /><Relationship Type="http://schemas.openxmlformats.org/officeDocument/2006/relationships/hyperlink" Id="rId68" Target="https://doi.org/10.1016/j.actaastro.2019.09.03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2026-06-26T16:45:40Z</dcterms:created>
  <dcterms:modified xsi:type="dcterms:W3CDTF">2026-06-26T16:45:40Z</dcterms:modified>
</cp:coreProperties>
</file>

<file path=docProps/custom.xml><?xml version="1.0" encoding="utf-8"?>
<Properties xmlns="http://schemas.openxmlformats.org/officeDocument/2006/custom-properties" xmlns:vt="http://schemas.openxmlformats.org/officeDocument/2006/docPropsVTypes"/>
</file>