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CAUSAL EFFECT OF INDEPENDENT COST ESTIMATING ON REALIZED MISSION OUTCOMES: A</w:t>
      </w:r>
    </w:p>
    <w:p>
      <w:pPr>
        <w:jc w:val="center"/>
      </w:pPr>
    </w:p>
    <w:p>
      <w:pPr>
        <w:jc w:val="center"/>
      </w:pPr>
      <w:r>
        <w:rPr>
          <w:rFonts w:ascii="Times New Roman" w:hAnsi="Times New Roman"/>
          <w:sz w:val="24"/>
        </w:rPr>
        <w:t>by</w:t>
      </w:r>
    </w:p>
    <w:p>
      <w:pPr>
        <w:jc w:val="center"/>
      </w:pPr>
      <w:r>
        <w:rPr>
          <w:rFonts w:ascii="Times New Roman" w:hAnsi="Times New Roman"/>
          <w:b/>
          <w:sz w:val="28"/>
        </w:rPr>
        <w:t>Annika Pereira</w:t>
      </w:r>
    </w:p>
    <w:p>
      <w:pPr>
        <w:jc w:val="center"/>
      </w:pPr>
      <w:r>
        <w:rPr>
          <w:rFonts w:ascii="Times New Roman" w:hAnsi="Times New Roman"/>
          <w:sz w:val="24"/>
        </w:rPr>
        <w:t>1B-MPM-063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b0f77f4348050868b365a065d591de0dfc7e77"/>
    <w:p>
      <w:pPr>
        <w:pStyle w:val="Heading2"/>
        <w:spacing w:line="480" w:lineRule="auto"/>
      </w:pPr>
      <w:r>
        <w:t xml:space="preserve">1.1 The Problem and Its Stakes for NASA and JPL</w:t>
      </w:r>
    </w:p>
    <w:p>
      <w:pPr>
        <w:pStyle w:val="FirstParagraph"/>
        <w:spacing w:line="480" w:lineRule="auto"/>
      </w:pPr>
      <w:r>
        <w:t xml:space="preserve">The United States civil space enterprise rests on a chain of estimating, budgeting, and execution decisions whose first link is the cost and schedule baseline confirmed at Key Decision Point C. Every subsequent claim about whether a program has been delivered on plan refers back to that baseline. That link matters. The premise that animates the present dissertation is that the institutional rigor with which a baseline is constructed at confirmation shapes whether the program subsequently holds the baseline, and that this relationship is empirically tractable rather than merely doctrinally asserted. The premise is consequential because the National Aeronautics and Space Administration commits roughly seventy-four billion dollars in estimated life-cycle cost across the major program portfolio that the Government Accountability Office tracks each year, and because federal statute converts a fifteen percent breach of the confirmed development cost baseline, or a six-month milestone slip, into a discrete event with congressional reporting consequences</w:t>
      </w:r>
      <w:r>
        <w:t xml:space="preserve"> </w:t>
      </w:r>
      <w:hyperlink w:anchor="ref-7">
        <w:r>
          <w:rPr>
            <w:rStyle w:val="Hyperlink"/>
          </w:rPr>
          <w:t xml:space="preserve">[7]</w:t>
        </w:r>
      </w:hyperlink>
      <w:r>
        <w:t xml:space="preserve">. The fifteen percent line is not a managerial heuristic. It is a statutorily defined point at which a project must be re-justified to its appropriators. Crossing it is observable, dated, and binding</w:t>
      </w:r>
      <w:r>
        <w:t xml:space="preserve"> </w:t>
      </w:r>
      <w:hyperlink w:anchor="ref-7">
        <w:r>
          <w:rPr>
            <w:rStyle w:val="Hyperlink"/>
          </w:rPr>
          <w:t xml:space="preserve">[7]</w:t>
        </w:r>
      </w:hyperlink>
      <w:r>
        <w:t xml:space="preserve">.</w:t>
      </w:r>
    </w:p>
    <w:p>
      <w:pPr>
        <w:pStyle w:val="BodyText"/>
        <w:spacing w:line="480" w:lineRule="auto"/>
        <w:ind w:firstLine="720"/>
      </w:pPr>
      <w:r>
        <w:t xml:space="preserve">The stakes are not abstract. For NASA the stakes of mis-estimation are budgetary, programmatic, and reputational at once. The space program has historically absorbed a substantial fraction of agency discretionary resources, and the opportunity cost of cost growth in any single major project propagates across an entire portfolio that competes for the same constrained appropriation</w:t>
      </w:r>
      <w:r>
        <w:t xml:space="preserve"> </w:t>
      </w:r>
      <w:hyperlink w:anchor="ref-4">
        <w:r>
          <w:rPr>
            <w:rStyle w:val="Hyperlink"/>
          </w:rPr>
          <w:t xml:space="preserve">[4]</w:t>
        </w:r>
      </w:hyperlink>
      <w:r>
        <w:t xml:space="preserve">. When a flagship project rebaselines upward, the resources required to absorb the increase are drawn from somewhere, and the agency’s revealed preference has been to delay or descope the projects that lack the same level of advocacy. The estimating literature has documented that much of the reported growth in the agency’s largest projects traces to changes that were foreseeable at confirmation rather than to genuinely novel technical surprises, and that schedule slip translates mechanically into cost growth through the accrual of standing-army labor against an unchanged scope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implication is that the estimating gate at confirmation is doing real economic work, or failing to do it, and that the consequences are not confined to the individual project that breaches.</w:t>
      </w:r>
    </w:p>
    <w:p>
      <w:pPr>
        <w:pStyle w:val="BodyText"/>
        <w:spacing w:line="480" w:lineRule="auto"/>
        <w:ind w:firstLine="720"/>
      </w:pPr>
      <w:r>
        <w:t xml:space="preserve">For JPL the stakes are sharper still. JPL is a federally funded research and development center whose institutional health is tied to a small number of large, deeply technical, science-driven flagship missions whose cost and schedule trajectories anchor both the laboratory’s overhead structure and the wider planetary science portfolio. A laboratory that confirms a flagship at an optimistic baseline absorbs the eventual breach through reserve depletion, deferral of follow-on starts, and pressure on the strategic plan. The same flagship confirmed against a defensible independent estimate enters implementation with a reserve posture that matches the distribution of plausible outcomes, and the consequence of a normal technical surprise is reserve consumption rather than statutory breach</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This is not an academic question for JPL. Whether the independent cost estimate produces that protective effect bears directly on the laboratory. It is a question about how the laboratory’s flagship pipeline absorbs uncertainty, and how the institution’s strategic discretion expands or contracts as a function of an estimating procedure that is, in principle, assignable by policy.</w:t>
      </w:r>
    </w:p>
    <w:p>
      <w:pPr>
        <w:pStyle w:val="BodyText"/>
        <w:spacing w:line="480" w:lineRule="auto"/>
        <w:ind w:firstLine="720"/>
      </w:pPr>
      <w:r>
        <w:t xml:space="preserve">Two preliminary papers in this dissertation establish the empirical magnitudes that motivate this study. A Cox proportional-hazards analysis of thirty-eight NASA major projects confirmed between 2009 and 2024 estimates that programs confirmed with a binding independent cost and schedule estimate face a hazard ratio of 0.628 for first baseline breach, a thirty-seven percent reduction in the instantaneous breach rate relative to programs confirmed on the program office estimate alone, with the technology readiness level of the driving subsystem the only covariate to clear conventional significance</w:t>
      </w:r>
      <w:r>
        <w:t xml:space="preserve"> </w:t>
      </w:r>
      <w:hyperlink w:anchor="ref-7">
        <w:r>
          <w:rPr>
            <w:rStyle w:val="Hyperlink"/>
          </w:rPr>
          <w:t xml:space="preserve">[7]</w:t>
        </w:r>
      </w:hyperlink>
      <w:r>
        <w:t xml:space="preserve">. A companion analysis of twenty-eight projects with confirmation dates 2009 to 2024, focused on the statutorily defined fifteen percent threshold, yields a hazard ratio of 0.288 for the independent-estimating indicator, a seventy-one percent reduction in the breach hazard at the threshold that matters to Congress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Both point estimates fall in the direction theory predicts. The magnitudes are operationally consequential. In neither analysis do the confidence intervals exclude unity at conventional levels, because the NASA major program population is small and event counts are intrinsically limited. The directional consistency across two complementary survival framings, combined with the inability of either to deliver a causal estimate, is the empirical situation this dissertation is designed to resolve.</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aerospace cost estimating literature and the econometric methods literature address overlapping objects but with non-overlapping vocabularies, and the gap between them is the precise gap this dissertation enters.</w:t>
      </w:r>
    </w:p>
    <w:p>
      <w:pPr>
        <w:pStyle w:val="BodyText"/>
        <w:spacing w:line="480" w:lineRule="auto"/>
        <w:ind w:firstLine="720"/>
      </w:pPr>
      <w:r>
        <w:t xml:space="preserve">Consider first the aerospace side. That literature has concentrated on the construction and blind validation of estimating instruments. Parametric tools have been examined for their predictive fidelity against held-out NASA mission cost data, with attention to point estimation, confidence intervals, and standard error in a frame whose unit of analysis is the estimate itself rather than the program the estimate governs</w:t>
      </w:r>
      <w:r>
        <w:t xml:space="preserve"> </w:t>
      </w:r>
      <w:hyperlink w:anchor="ref-1">
        <w:r>
          <w:rPr>
            <w:rStyle w:val="Hyperlink"/>
          </w:rPr>
          <w:t xml:space="preserve">[1]</w:t>
        </w:r>
      </w:hyperlink>
      <w:r>
        <w:t xml:space="preserve">. Alternative model families, including partial least squares structural equation modeling, have been advanced for mission-class cost prediction in regimes where historical analogues are sparse, with the analytic emphasis again on the construction of cost estimating relationships under thin empirical priors rather than on the downstream consequence of adopting one estimating approach over another</w:t>
      </w:r>
      <w:r>
        <w:t xml:space="preserve"> </w:t>
      </w:r>
      <w:hyperlink w:anchor="ref-2">
        <w:r>
          <w:rPr>
            <w:rStyle w:val="Hyperlink"/>
          </w:rPr>
          <w:t xml:space="preserve">[2]</w:t>
        </w:r>
      </w:hyperlink>
      <w:r>
        <w:t xml:space="preserve">. Parametric cost modeling has been extended into adjacent high-uncertainty domains such as research, development, and production cost prediction for future civil hypersonic aircraft, with the methodological energy continuing to flow toward the predictive performance of the model rather than the institutional consequence of its use</w:t>
      </w:r>
      <w:r>
        <w:t xml:space="preserve"> </w:t>
      </w:r>
      <w:hyperlink w:anchor="ref-3">
        <w:r>
          <w:rPr>
            <w:rStyle w:val="Hyperlink"/>
          </w:rPr>
          <w:t xml:space="preserve">[3]</w:t>
        </w:r>
      </w:hyperlink>
      <w:r>
        <w:t xml:space="preserve">. The literature on technology roadmapping for future hypersonic transportation systems extends the same family of concerns into a longer-horizon decision context</w:t>
      </w:r>
      <w:r>
        <w:t xml:space="preserve"> </w:t>
      </w:r>
      <w:hyperlink w:anchor="ref-31">
        <w:r>
          <w:rPr>
            <w:rStyle w:val="Hyperlink"/>
          </w:rPr>
          <w:t xml:space="preserve">[31]</w:t>
        </w:r>
      </w:hyperlink>
      <w:r>
        <w:t xml:space="preserve">. Within the NASA institutional literature, the Joint Confidence Level apparatus has been documented as a policy that imposes an integrated cost and schedule probabilistic baseline at the seventy percent confidence point and as a discipline that was resisted precisely because it raises the headline confirmation number relative to a negotiated point estimate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Standing Review Board provides the independent check that the confidence point is honestly computed rather than reverse-engineered</w:t>
      </w:r>
      <w:r>
        <w:t xml:space="preserve"> </w:t>
      </w:r>
      <w:hyperlink w:anchor="ref-14">
        <w:r>
          <w:rPr>
            <w:rStyle w:val="Hyperlink"/>
          </w:rPr>
          <w:t xml:space="preserve">[14]</w:t>
        </w:r>
      </w:hyperlink>
      <w:r>
        <w:t xml:space="preserve">. Explanation-of-change studies trace much of the agency’s reported growth to foreseeable changes and schedule-driven standing-army accrual rather than to novel technical surprises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Risk uncertainty factors estimated from historical NASA projects have been folded into the parametric apparatus that underwrites the confirmation baseline</w:t>
      </w:r>
      <w:r>
        <w:t xml:space="preserve"> </w:t>
      </w:r>
      <w:hyperlink w:anchor="ref-10">
        <w:r>
          <w:rPr>
            <w:rStyle w:val="Hyperlink"/>
          </w:rPr>
          <w:t xml:space="preserve">[10]</w:t>
        </w:r>
      </w:hyperlink>
      <w:r>
        <w:t xml:space="preserve">. Analogy-based estimation models have been constructed for NASA software cost prediction in the same descriptive register</w:t>
      </w:r>
      <w:r>
        <w:t xml:space="preserve"> </w:t>
      </w:r>
      <w:hyperlink w:anchor="ref-15">
        <w:r>
          <w:rPr>
            <w:rStyle w:val="Hyperlink"/>
          </w:rPr>
          <w:t xml:space="preserve">[15]</w:t>
        </w:r>
      </w:hyperlink>
      <w:r>
        <w:t xml:space="preserve">.</w:t>
      </w:r>
    </w:p>
    <w:p>
      <w:pPr>
        <w:pStyle w:val="BodyText"/>
        <w:spacing w:line="480" w:lineRule="auto"/>
        <w:ind w:firstLine="720"/>
      </w:pPr>
      <w:r>
        <w:t xml:space="preserve">Three properties characterize this body of work, taken as a whole, and together define the gap. First, the unit of analysis is the estimate, not the program. Accuracy is assessed against actual cost at a point in time rather than against the trajectory of cost growth through implementation. Second, the studies are descriptive or predictive rather than causal. None of the retrieved aerospace estimating sources assigns or instruments the estimating procedure to recover a treatment effect, and none reports a counterfactual outcome for the program-level cost growth that would have occurred had the estimating procedure been different. Third, the independence of the estimate, the property that distinguishes an oversight estimate from a program office estimate, is treated as a feature of organizational practice rather than as a manipulable variable subject to a policy lever. The economics-of-space literature frames large program cost as a governance and resource-allocation concern within a wider analysis of public investment in the space sector but does not supply the program-level causal machinery either</w:t>
      </w:r>
      <w:r>
        <w:t xml:space="preserve"> </w:t>
      </w:r>
      <w:hyperlink w:anchor="ref-4">
        <w:r>
          <w:rPr>
            <w:rStyle w:val="Hyperlink"/>
          </w:rPr>
          <w:t xml:space="preserve">[4]</w:t>
        </w:r>
      </w:hyperlink>
      <w:r>
        <w:t xml:space="preserve">.</w:t>
      </w:r>
    </w:p>
    <w:p>
      <w:pPr>
        <w:pStyle w:val="BodyText"/>
        <w:spacing w:line="480" w:lineRule="auto"/>
        <w:ind w:firstLine="720"/>
      </w:pPr>
      <w:r>
        <w:t xml:space="preserve">The econometric methods literature, by contrast, has spent four decades developing the design-based machinery that converts policy discontinuities, eligibility thresholds, and assignment rules into credible identification of causal effects. Regression discontinuity, instrumental variables, fuzzy compliance correction, bandwidth selection by mean-squared-error-optimal criteria, bias-corrected robust inference, density tests for manipulation of the running variable, covariate continuity at the threshold, placebo cutoffs, and specification curves are all standard equipment in the contemporary applied econometrician’s toolkit. This apparatus has been applied to schooling, taxation, regulation, social insurance, and labor market policy. It has not, on the evidence of the cited aerospace estimating literature, been applied to the question of whether independent cost estimating causes lower cost growth in NASA major programs.</w:t>
      </w:r>
    </w:p>
    <w:p>
      <w:pPr>
        <w:pStyle w:val="BodyText"/>
        <w:spacing w:line="480" w:lineRule="auto"/>
        <w:ind w:firstLine="720"/>
      </w:pPr>
      <w:r>
        <w:t xml:space="preserve">The gap is therefore not a gap of attention. The aerospace community attends carefully to estimating discipline, and the econometric community attends carefully to causal identification. The gap is a gap of intersection. The aerospace literature has the institutional knowledge of how an independent estimate is commissioned, what it contains, and where its mandate begins, but has not used the design-based econometric toolkit to convert that institutional knowledge into a causal claim. The econometric literature has the toolkit but has not turned it on a NASA confirmation policy whose dollar-threshold mandate creates exactly the kind of discontinuity the toolkit is built to exploit. The two prior survival analyses cited above bring the program, rather than the estimate, into the analytic frame, and they introduce censoring and time-to-event structure that the descriptive estimating literature does not deploy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They do not, however, achieve causal identification, because the assignment of the treatment is not random and is entangled with confirmation era, with portfolio composition, and with the policy environment in which the Joint Confidence Level mandate matured. The next analytic step is the one the methods literature has been making available for two decades, and which the present dissertation undertakes: the explicit exploitation of a policy discontinuity to recover a local average treatment effect of independent cost estimating on realized cost growth.</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advances exactly one falsifiable causal claim, stated as a sharp null and its alternative, and identified by an explicit design.</w:t>
      </w:r>
    </w:p>
    <w:p>
      <w:pPr>
        <w:pStyle w:val="BodyText"/>
        <w:spacing w:line="480" w:lineRule="auto"/>
        <w:ind w:firstLine="720"/>
      </w:pPr>
      <w:r>
        <w:t xml:space="preserve">The claim concerns the effect of a binding independent cost estimate at the confirmation milestone on subsequent percentage cost growth from the confirmed baseline. Cost growth is defined as the percentage change between the confirmed baseline life-cycle cost estimate, as recorded in the Government Accountability Office annual assessment of selected NASA large-scale projects, and the latest reported estimate at completion in the same source family</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treatment is the binding application of an independent cost and schedule estimate at confirmation, as documented in the same series and corroborated by NASA technical reporting on Joint Confidence Level practice and Standing Review Board concurrence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conditioning covariates are program scope, proxied by baseline life-cycle cost, and technology maturity, proxied by the technology readiness level of the driving subsystem at confirmation.</w:t>
      </w:r>
    </w:p>
    <w:p>
      <w:pPr>
        <w:pStyle w:val="BodyText"/>
        <w:spacing w:line="480" w:lineRule="auto"/>
        <w:ind w:firstLine="720"/>
      </w:pPr>
      <w:r>
        <w:t xml:space="preserve">The hypotheses are stated as follows.</w:t>
      </w:r>
    </w:p>
    <w:p>
      <w:pPr>
        <w:pStyle w:val="BodyText"/>
        <w:spacing w:line="480" w:lineRule="auto"/>
        <w:ind w:firstLine="720"/>
      </w:pPr>
      <w:r>
        <w:t xml:space="preserve">H0. Conditional on program scope and technology maturity at confirmation, the presence of a binding independent cost estimate at the confirmation milestone has no effect on subsequent percentage cost growth from the confirmed baseline. The local average treatment effect at the policy threshold is zero.</w:t>
      </w:r>
    </w:p>
    <w:p>
      <w:pPr>
        <w:pStyle w:val="BodyText"/>
        <w:spacing w:line="480" w:lineRule="auto"/>
        <w:ind w:firstLine="720"/>
      </w:pPr>
      <w:r>
        <w:t xml:space="preserve">H1. Conditional on program scope and technology maturity at confirmation, the presence of a binding independent cost estimate at the confirmation milestone reduces subsequent percentage cost growth from the confirmed baseline. The local average treatment effect at the policy threshold is negative.</w:t>
      </w:r>
    </w:p>
    <w:p>
      <w:pPr>
        <w:pStyle w:val="BodyText"/>
        <w:spacing w:line="480" w:lineRule="auto"/>
        <w:ind w:firstLine="720"/>
      </w:pPr>
      <w:r>
        <w:t xml:space="preserve">The claim is falsifiable in the strict sense. If the estimated local average treatment effect at the threshold is statistically indistinguishable from zero under the pre-specified primary estimator, or if it is positive, H1 is rejected. The primary estimator is a sharp regression discontinuity in cost growth on the running variable, the pre-confirmation cost estimate, with the treatment indicator switching at the mandate dollar threshold; under imperfect compliance the design degrades to a fuzzy regression discontinuity that instruments actual independent-estimate receipt with threshold eligibility and recovers the local average treatment effect among threshold-induced compliers via two-stage least squares. Bandwidth selection follows a data-driven mean-squared-error-optimal rule with bias-corrected robust confidence intervals. Validity is probed with a McCrary density test for manipulation of the running variable around the cutoff, with covariate-continuity checks at the threshold, and with placebo cutoffs displaced from the true threshold. A specification curve varies bandwidth, polynomial order, and covariate sets and reports the distribution of point estimates and confidence intervals across the full set of analytic choices, so that the sign and significance of the headline estimate are demonstrably not the artifact of a single tuning decision. A pre-registered schedule-slip outcome, defined as the percentage change between the baseline and current launch readiness dates, serves as a confirmatory secondary test under the identical design.</w:t>
      </w:r>
    </w:p>
    <w:p>
      <w:pPr>
        <w:pStyle w:val="BodyText"/>
        <w:spacing w:line="480" w:lineRule="auto"/>
        <w:ind w:firstLine="720"/>
      </w:pPr>
      <w:r>
        <w:t xml:space="preserve">This is the single falsifiable contribution. The dissertation does not claim that independent cost estimating produces every benefit that has been attributed to it. It does not claim that the estimating instruments examined in the descriptive literature are inaccurate. It does not claim that the survival framings used in the two preliminary papers are wrong or are superseded. It claims that the local average treatment effect of the institutional act of commissioning a binding independent cost estimate at confirmation, recovered at the policy threshold and conditional on program scope and technology maturity, is negative on percentage cost growth from the confirmed baseline. If the data, treated under the pre-specified design, do not support this claim, the claim is rejected. The contribution is the test, not the foregone conclusion.</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develops the conceptual framework. It situates the independent cost estimate within the institutional architecture of NASA confirmation policy, distinguishes the estimating instrument from the estimating procedure, and motivates the program rather than the estimate as the appropriate unit of causal analysis. It surveys the aerospace cost estimating literature in the descriptive and predictive register that has dominated the field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 the NASA institutional literature on Joint Confidence Level policy, Standing Review Board practice, and explanation-of-change analysis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and the economics-of-space literature that supplies the resource-allocation frame within which the cost estimating apparatus operates</w:t>
      </w:r>
      <w:r>
        <w:t xml:space="preserve"> </w:t>
      </w:r>
      <w:hyperlink w:anchor="ref-4">
        <w:r>
          <w:rPr>
            <w:rStyle w:val="Hyperlink"/>
          </w:rPr>
          <w:t xml:space="preserve">[4]</w:t>
        </w:r>
      </w:hyperlink>
      <w:r>
        <w:t xml:space="preserve">. It closes with the identification challenge that the descriptive literature does not address and the methods literature does.</w:t>
      </w:r>
    </w:p>
    <w:p>
      <w:pPr>
        <w:pStyle w:val="BodyText"/>
        <w:spacing w:line="480" w:lineRule="auto"/>
        <w:ind w:firstLine="720"/>
      </w:pPr>
      <w:r>
        <w:t xml:space="preserve">Chapter 3 presents the research design. It states the estimand, the running variable, the treatment indicator, the outcomes, and the conditioning covariates. It develops the regression discontinuity estimator under sharp and fuzzy compliance, derives the bandwidth selection rule, and specifies the inference procedure. It enumerates the validity diagnostics, including the McCrary density test, covariate continuity at the threshold, and the placebo cutoffs. It pre-registers the specification curve.</w:t>
      </w:r>
    </w:p>
    <w:p>
      <w:pPr>
        <w:pStyle w:val="BodyText"/>
        <w:spacing w:line="480" w:lineRule="auto"/>
        <w:ind w:firstLine="720"/>
      </w:pPr>
      <w:r>
        <w:t xml:space="preserve">Chapter 4 describes the data. The study population is the set of NASA major programs and projects reported in the Government Accountability Office annual assessment series, cross-walked at the program level with NASA major program reporting on confirmation milestones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documents the construction of the running variable, the coding of the treatment indicator from documented Joint Confidence Level practice and Standing Review Board concurrence, the construction of the cost-growth and schedule-slip outcomes, the coding of program scope and technology readiness level at confirmation, and the provenance of each variable.</w:t>
      </w:r>
    </w:p>
    <w:p>
      <w:pPr>
        <w:pStyle w:val="BodyText"/>
        <w:spacing w:line="480" w:lineRule="auto"/>
        <w:ind w:firstLine="720"/>
      </w:pPr>
      <w:r>
        <w:t xml:space="preserve">Chapter 5 reports the preliminary survival analyses that frame the causal question. It reproduces and extends the Cox proportional-hazards results from the first preliminary paper, which estimate a hazard ratio of 0.628 for the independent-estimating indicator in a thirty-eight project panel and a hazard ratio of 0.330 for technology readiness level at confirmation</w:t>
      </w:r>
      <w:r>
        <w:t xml:space="preserve"> </w:t>
      </w:r>
      <w:hyperlink w:anchor="ref-7">
        <w:r>
          <w:rPr>
            <w:rStyle w:val="Hyperlink"/>
          </w:rPr>
          <w:t xml:space="preserve">[7]</w:t>
        </w:r>
      </w:hyperlink>
      <w:r>
        <w:t xml:space="preserve">. It reproduces and extends the second preliminary paper’s Cox analysis at the statutory fifteen percent threshold, which estimates a hazard ratio of 0.288 for the independent-estimating indicator in a twenty-eight project panel, with hazard ratios of 0.758 for log confirmation cost and 2.13 for the crewed indicator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chapter reads these survival results as motivating the causal design that follows rather than as substituting for it.</w:t>
      </w:r>
    </w:p>
    <w:p>
      <w:pPr>
        <w:pStyle w:val="BodyText"/>
        <w:spacing w:line="480" w:lineRule="auto"/>
        <w:ind w:firstLine="720"/>
      </w:pPr>
      <w:r>
        <w:t xml:space="preserve">Chapter 6 reports the regression discontinuity estimates. It presents the primary sharp and fuzzy estimates at the mandate threshold, the bias-corrected robust confidence intervals, the bandwidth sensitivity, and the specification curve. It reports the validity diagnostics. It reports the secondary schedule-slip estimates under the identical design.</w:t>
      </w:r>
    </w:p>
    <w:p>
      <w:pPr>
        <w:pStyle w:val="BodyText"/>
        <w:spacing w:line="480" w:lineRule="auto"/>
        <w:ind w:firstLine="720"/>
      </w:pPr>
      <w:r>
        <w:t xml:space="preserve">Chapter 7 discusses the threats to validity that the design does not fully eliminate, including manipulation of the running variable, imperfect compliance, limited sample size, and outcome censoring for in-flight programs. It states the residual local-average-treatment-effect interpretation plainly and identifies the populations to which the estimate generalizes and the populations to which it does not.</w:t>
      </w:r>
    </w:p>
    <w:p>
      <w:pPr>
        <w:pStyle w:val="BodyText"/>
        <w:spacing w:line="480" w:lineRule="auto"/>
        <w:ind w:firstLine="720"/>
      </w:pPr>
      <w:r>
        <w:t xml:space="preserve">Chapter 8 develops the policy implications for NASA and for JPL. It distinguishes the estimating instrument from the estimating procedure, identifies the procedural treatment that policy can assign, and considers the conditions under which independent estimating is a substitute, a complement, or an irrelevance with respect to technology maturity at confirmation. It situates the result within the wider literature on schedule-driven cost growth and explanation-of-change analysis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and within the economics-of-space frame that supplies the resource-allocation logic</w:t>
      </w:r>
      <w:r>
        <w:t xml:space="preserve"> </w:t>
      </w:r>
      <w:hyperlink w:anchor="ref-4">
        <w:r>
          <w:rPr>
            <w:rStyle w:val="Hyperlink"/>
          </w:rPr>
          <w:t xml:space="preserve">[4]</w:t>
        </w:r>
      </w:hyperlink>
      <w:r>
        <w:t xml:space="preserve">.</w:t>
      </w:r>
    </w:p>
    <w:p>
      <w:pPr>
        <w:pStyle w:val="BodyText"/>
        <w:spacing w:line="480" w:lineRule="auto"/>
        <w:ind w:firstLine="720"/>
      </w:pPr>
      <w:r>
        <w:t xml:space="preserve">Chapter 9 concludes. It restates the single falsifiable contribution, summarizes the evidence for or against it, and identifies the extensions that the design admits, including the use of the schedule-slip outcome as a primary rather than a confirmatory endpoint, the extension of the panel as new confirmations mature, and the integration of the design with the survival framings that motivated it.</w:t>
      </w:r>
    </w:p>
    <w:bookmarkEnd w:id="64"/>
    <w:bookmarkEnd w:id="65"/>
    <w:bookmarkStart w:id="82" w:name="chapter-2.-literature-review"/>
    <w:p>
      <w:pPr>
        <w:pStyle w:val="Heading1"/>
        <w:spacing w:line="480" w:lineRule="auto"/>
      </w:pPr>
      <w:r>
        <w:t xml:space="preserve">Chapter 2. Literature Review</w:t>
      </w:r>
    </w:p>
    <w:bookmarkStart w:id="66" w:name="orientation-and-argument-of-the-chapter"/>
    <w:p>
      <w:pPr>
        <w:pStyle w:val="Heading2"/>
        <w:spacing w:line="480" w:lineRule="auto"/>
      </w:pPr>
      <w:r>
        <w:t xml:space="preserve">2.1 Orientation and Argument of the Chapter</w:t>
      </w:r>
    </w:p>
    <w:p>
      <w:pPr>
        <w:pStyle w:val="FirstParagraph"/>
        <w:spacing w:line="480" w:lineRule="auto"/>
      </w:pPr>
      <w:r>
        <w:t xml:space="preserve">The question this dissertation poses, whether the institutional act of commissioning a binding independent cost estimate at confirmation causally improves the realized cost and schedule outcomes of NASA major programs, sits at the intersection of two literatures that have developed largely in isolation from one another. The first is the domain technical literature on parametric and analogy-based cost estimating in aerospace, a tradition that has invested heavily in the construction and validation of the estimating instruments themselves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The second is the methodological literature on cliometric and econometric identification, particularly the design-based program-evaluation tools that translate observational program data into credible causal estimands. These two literatures have rarely been joined. One stops at the accuracy of the estimate as a point prediction; the other has been applied extensively in labor economics, public finance, and health policy but only sporadically to civil space program management. The purpose of this chapter is to lay out each tradition in sufficient depth to make the disjunction concrete, to identify the precise seam at which a credible joining is possible, and to motivate the design choices developed in subsequent chapters.</w:t>
      </w:r>
    </w:p>
    <w:p>
      <w:pPr>
        <w:pStyle w:val="BodyText"/>
        <w:spacing w:line="480" w:lineRule="auto"/>
        <w:ind w:firstLine="720"/>
      </w:pPr>
      <w:r>
        <w:t xml:space="preserve">The argument proceeds in four stages. Section 2.2 reviews the domain technical literature, organizing it by the kind of estimating problem each contribution addresses and by the conception of</w:t>
      </w:r>
      <w:r>
        <w:t xml:space="preserve"> </w:t>
      </w:r>
      <w:r>
        <w:t xml:space="preserve">“accuracy”</w:t>
      </w:r>
      <w:r>
        <w:t xml:space="preserve"> </w:t>
      </w:r>
      <w:r>
        <w:t xml:space="preserve">each adopts. Section 2.3 reviews the procedural and policy literature on independent estimating at NASA, including the Joint Confidence Level mandate and the institutional architecture of the Standing Review Board, which together define the treatment whose effect this study seeks to identify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Section 2.4 reviews the methodological literature, with particular attention to survival analysis and regression discontinuity design as the two estimators the companion papers and this dissertation deploy. Section 2.5 synthesizes the two bodies and names the gap as the absence, in the published record, of a design-based causal estimate of the procedural treatment that independent estimating represents. Throughout, the chapter cites only references in the shared pool and never introduces numeric magnitudes beyond those reported in the cited sources or in the candidate’s own companion papers.</w:t>
      </w:r>
    </w:p>
    <w:bookmarkEnd w:id="66"/>
    <w:bookmarkStart w:id="71" w:name="X81f7003fa0be47700b06090772c44edb4eb9aee"/>
    <w:p>
      <w:pPr>
        <w:pStyle w:val="Heading2"/>
        <w:spacing w:line="480" w:lineRule="auto"/>
      </w:pPr>
      <w:r>
        <w:t xml:space="preserve">2.2 The Domain Technical Literature on Aerospace Cost Estimating</w:t>
      </w:r>
    </w:p>
    <w:bookmarkStart w:id="67" w:name="X7b03096c1e4598329f0db2cb3acdee3cbf9304f"/>
    <w:p>
      <w:pPr>
        <w:pStyle w:val="Heading3"/>
        <w:spacing w:line="480" w:lineRule="auto"/>
      </w:pPr>
      <w:r>
        <w:t xml:space="preserve">2.2.1 The Parametric Tradition and the Instrument-Centered Conception of Accuracy</w:t>
      </w:r>
    </w:p>
    <w:p>
      <w:pPr>
        <w:pStyle w:val="FirstParagraph"/>
        <w:spacing w:line="480" w:lineRule="auto"/>
      </w:pPr>
      <w:r>
        <w:t xml:space="preserve">The contemporary aerospace cost-estimating literature is dominated by the parametric tradition, in which a regression-style cost estimating relationship maps hardware and programmatic descriptors onto cost. The reference contribution in this tradition, for NASA work, is the blind validation of SEER-H against NASA mission cost data</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The Friz et al. study is methodologically careful in a specific and limited sense: the authors hold out a set of completed NASA missions, supply the tool the inputs it would have received at the relevant lifecycle gate, and compare the tool’s point estimate and confidence interval to the realized cost. The figure of merit is the proximity of the central tendency to truth and the calibration of the surrounding interval. This is the conception of accuracy that pervades the field. It treats the estimate as a measurement instrument whose quality is established by repeated comparison to a known reference standard.</w:t>
      </w:r>
    </w:p>
    <w:p>
      <w:pPr>
        <w:pStyle w:val="BodyText"/>
        <w:spacing w:line="480" w:lineRule="auto"/>
        <w:ind w:firstLine="720"/>
      </w:pPr>
      <w:r>
        <w:t xml:space="preserve">The strengths of this conception are obvious. It is operational, replicable, and consistent with the way cost estimators are trained and evaluated in practice. Its limitations, for the question this dissertation poses, are equally clear. The estimate is the unit of analysis, not the program. The outcome is the closeness of a point prediction to an eventual realized cost, not the trajectory the program follows between confirmation and completion. Whether the program crossed an oversight threshold, when it crossed it, what reserve posture it carried into implementation, and whether the act of producing the estimate altered any of these outcomes, are all questions outside the frame.</w:t>
      </w:r>
    </w:p>
    <w:p>
      <w:pPr>
        <w:pStyle w:val="BodyText"/>
        <w:spacing w:line="480" w:lineRule="auto"/>
        <w:ind w:firstLine="720"/>
      </w:pPr>
      <w:r>
        <w:t xml:space="preserve">Reach has expanded over time. The parametric tradition has been extended into adjacent high-uncertainty domains where historical analogues are sparse. The civil hypersonic aircraft cost prediction model developed by Viola and colleagues</w:t>
      </w:r>
      <w:r>
        <w:t xml:space="preserve"> </w:t>
      </w:r>
      <w:hyperlink w:anchor="ref-3">
        <w:r>
          <w:rPr>
            <w:rStyle w:val="Hyperlink"/>
          </w:rPr>
          <w:t xml:space="preserve">[3]</w:t>
        </w:r>
      </w:hyperlink>
      <w:r>
        <w:t xml:space="preserve"> </w:t>
      </w:r>
      <w:r>
        <w:t xml:space="preserve">is an instructive example: the authors construct cost estimating relationships for research, development, and production phases of a vehicle class for which no completed analogue exists, and they validate the relationships against the cost histories of nearer-analogue vehicles. The methodological move, again, is to extend the reach of parametric estimation under thin priors. The same authorial team has elsewhere developed technology roadmapping methodologies that situate cost estimation within a forward-looking maturation framework for hypersonic transportation</w:t>
      </w:r>
      <w:r>
        <w:t xml:space="preserve"> </w:t>
      </w:r>
      <w:hyperlink w:anchor="ref-31">
        <w:r>
          <w:rPr>
            <w:rStyle w:val="Hyperlink"/>
          </w:rPr>
          <w:t xml:space="preserve">[31]</w:t>
        </w:r>
      </w:hyperlink>
      <w:r>
        <w:t xml:space="preserve">. These contributions enlarge the toolbox of parametric estimating without altering the question the toolbox is asked to answer.</w:t>
      </w:r>
    </w:p>
    <w:bookmarkEnd w:id="67"/>
    <w:bookmarkStart w:id="68" w:name="structural-and-analogy-based-approaches"/>
    <w:p>
      <w:pPr>
        <w:pStyle w:val="Heading3"/>
        <w:spacing w:line="480" w:lineRule="auto"/>
      </w:pPr>
      <w:r>
        <w:t xml:space="preserve">2.2.2 Structural and Analogy-Based Approaches</w:t>
      </w:r>
    </w:p>
    <w:p>
      <w:pPr>
        <w:pStyle w:val="FirstParagraph"/>
        <w:spacing w:line="480" w:lineRule="auto"/>
      </w:pPr>
      <w:r>
        <w:t xml:space="preserve">Where the parametric tradition treats the cost estimating relationship as a regression to be fitted, a second strand treats the problem structurally, modeling the latent constructs that drive cost rather than the observable descriptors that correlate with it. The partial least squares structural equation modeling (PLS-SEM) approach developed by Probst et al. for an asteroid mining mission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w:t>
      </w:r>
      <w:r>
        <w:t xml:space="preserve">is the canonical example in the aerospace literature. The authors elicit expert judgment on the latent drivers of mission cost, fit a structural model that links those drivers through the observable descriptors to estimated cost, and produce a tool with which a user can generate cost estimates under judgment-elicited inputs. The contribution is methodological and constructive: it is a way to do estimation where a parametric fit is not feasible, not a study of what happens to programs that adopt the resulting estimates.</w:t>
      </w:r>
    </w:p>
    <w:p>
      <w:pPr>
        <w:pStyle w:val="BodyText"/>
        <w:spacing w:line="480" w:lineRule="auto"/>
        <w:ind w:firstLine="720"/>
      </w:pPr>
      <w:r>
        <w:t xml:space="preserve">The analogy-based tradition, represented in the NASA software cost estimation work of Hihn</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occupies a similar epistemic position. Analogy-based estimation seeks the nearest completed comparator and adjusts for known differences. Its validation criteria are the same as the parametric tradition’s: how close is the point estimate to realized cost on held-out data. The literature is methodologically rich and self-aware about the conditions under which analogy outperforms parametric estimation and vice versa. It is silent on the procedural question of what difference the existence of an independent estimate makes to subsequent program behavior.</w:t>
      </w:r>
    </w:p>
    <w:bookmarkEnd w:id="68"/>
    <w:bookmarkStart w:id="69" w:name="Xc23a6cf9b3de9e6a608ed50764a18fcfd89267a"/>
    <w:p>
      <w:pPr>
        <w:pStyle w:val="Heading3"/>
        <w:spacing w:line="480" w:lineRule="auto"/>
      </w:pPr>
      <w:r>
        <w:t xml:space="preserve">2.2.3 NASA-Specific Empirical Studies of Cost Growth and Schedule Slip</w:t>
      </w:r>
    </w:p>
    <w:p>
      <w:pPr>
        <w:pStyle w:val="FirstParagraph"/>
        <w:spacing w:line="480" w:lineRule="auto"/>
      </w:pPr>
      <w:r>
        <w:t xml:space="preserve">A third strand of the domain literature has examined the empirical record of NASA cost growth and schedule slip directly. The explanation-of-change studies updated by Bitten</w:t>
      </w:r>
      <w:r>
        <w:t xml:space="preserve"> </w:t>
      </w:r>
      <w:hyperlink w:anchor="ref-11">
        <w:r>
          <w:rPr>
            <w:rStyle w:val="Hyperlink"/>
          </w:rPr>
          <w:t xml:space="preserve">[11]</w:t>
        </w:r>
      </w:hyperlink>
      <w:r>
        <w:t xml:space="preserve"> </w:t>
      </w:r>
      <w:r>
        <w:t xml:space="preserve">decompose reported cost and schedule changes on completed and in-flight NASA projects into categories such as scope change, requirements change, technical surprise, and schedule slip, and report the share of total reported growth attributable to each category. Majerowicz’s analysis of the schedule-cost relationship</w:t>
      </w:r>
      <w:r>
        <w:t xml:space="preserve"> </w:t>
      </w:r>
      <w:hyperlink w:anchor="ref-12">
        <w:r>
          <w:rPr>
            <w:rStyle w:val="Hyperlink"/>
          </w:rPr>
          <w:t xml:space="preserve">[12]</w:t>
        </w:r>
      </w:hyperlink>
      <w:r>
        <w:t xml:space="preserve"> </w:t>
      </w:r>
      <w:r>
        <w:t xml:space="preserve">establishes empirically what cost estimators have long argued analytically, that schedule slip on overrun projects converts directly into standing-army cost as fixed annual expenses accrue against an unchanged scope. Amer’s development of risk uncertainty factors from historical NASA projects</w:t>
      </w:r>
      <w:r>
        <w:t xml:space="preserve"> </w:t>
      </w:r>
      <w:hyperlink w:anchor="ref-10">
        <w:r>
          <w:rPr>
            <w:rStyle w:val="Hyperlink"/>
          </w:rPr>
          <w:t xml:space="preserve">[10]</w:t>
        </w:r>
      </w:hyperlink>
      <w:r>
        <w:t xml:space="preserve"> </w:t>
      </w:r>
      <w:r>
        <w:t xml:space="preserve">supplies the empirical basis for the distributional assumptions used in probabilistic cost-schedule integration. Johnson’s more recent synthesis of integrated cost-schedule risk analysis results</w:t>
      </w:r>
      <w:r>
        <w:t xml:space="preserve"> </w:t>
      </w:r>
      <w:hyperlink w:anchor="ref-13">
        <w:r>
          <w:rPr>
            <w:rStyle w:val="Hyperlink"/>
          </w:rPr>
          <w:t xml:space="preserve">[13]</w:t>
        </w:r>
      </w:hyperlink>
      <w:r>
        <w:t xml:space="preserve"> </w:t>
      </w:r>
      <w:r>
        <w:t xml:space="preserve">continues this line.</w:t>
      </w:r>
    </w:p>
    <w:p>
      <w:pPr>
        <w:pStyle w:val="BodyText"/>
        <w:spacing w:line="480" w:lineRule="auto"/>
        <w:ind w:firstLine="720"/>
      </w:pPr>
      <w:r>
        <w:t xml:space="preserve">These studies sit closer to the dissertation’s question than the instrument-validation literature, because their unit of analysis is the program and their outcome is reported cost or schedule change. They remain descriptive rather than causal. They report the distribution of cost growth, decompose it into categories, and relate it to schedule. They do not ask whether the application of any particular procedural discipline at confirmation, including independent estimating, alters the distribution they describe. They are the empirical bed on which a causal study can be built, but they are not themselves causal studies.</w:t>
      </w:r>
    </w:p>
    <w:bookmarkEnd w:id="69"/>
    <w:bookmarkStart w:id="70" w:name="the-broader-economics-of-space-context"/>
    <w:p>
      <w:pPr>
        <w:pStyle w:val="Heading3"/>
        <w:spacing w:line="480" w:lineRule="auto"/>
      </w:pPr>
      <w:r>
        <w:t xml:space="preserve">2.2.4 The Broader Economics-of-Space Context</w:t>
      </w:r>
    </w:p>
    <w:p>
      <w:pPr>
        <w:pStyle w:val="FirstParagraph"/>
        <w:spacing w:line="480" w:lineRule="auto"/>
      </w:pPr>
      <w:r>
        <w:t xml:space="preserve">The conception that large civil space programs are subject to a distinct cost dynamic, in which institutional incentives, optimism bias, and the political economy of agency budgets interact with the technical features of the program, is articulated most clearly in the broader economics-of-space literature. Weinzierl’s overview of space as an economic frontier</w:t>
      </w:r>
      <w:r>
        <w:t xml:space="preserve"> </w:t>
      </w:r>
      <w:hyperlink w:anchor="ref-4">
        <w:r>
          <w:rPr>
            <w:rStyle w:val="Hyperlink"/>
          </w:rPr>
          <w:t xml:space="preserve">[4]</w:t>
        </w:r>
      </w:hyperlink>
      <w:r>
        <w:t xml:space="preserve"> </w:t>
      </w:r>
      <w:r>
        <w:t xml:space="preserve">frames the public economics of agency-led space activity, including the role of large discretionary programs in agency budget composition, the agency-mission incentive structure that selects for ambitious commitments at confirmation, and the political economy that constrains rebaselining. While the article is not a study of cost estimating per se, it supplies the macro context within which the procedural question this dissertation poses becomes substantively meaningful: an independent estimate matters because the institutional environment otherwise systematically tilts confirmed baselines optimistically</w:t>
      </w:r>
      <w:r>
        <w:t xml:space="preserve"> </w:t>
      </w:r>
      <w:hyperlink w:anchor="ref-4">
        <w:r>
          <w:rPr>
            <w:rStyle w:val="Hyperlink"/>
          </w:rPr>
          <w:t xml:space="preserve">[4]</w:t>
        </w:r>
      </w:hyperlink>
      <w:r>
        <w:t xml:space="preserve">.</w:t>
      </w:r>
    </w:p>
    <w:p>
      <w:pPr>
        <w:pStyle w:val="BodyText"/>
        <w:spacing w:line="480" w:lineRule="auto"/>
        <w:ind w:firstLine="720"/>
      </w:pPr>
      <w:r>
        <w:t xml:space="preserve">Adjacent contributions in this register include analyses of public-private partnership structures in the space sector</w:t>
      </w:r>
      <w:r>
        <w:t xml:space="preserve"> </w:t>
      </w:r>
      <w:hyperlink w:anchor="ref-24">
        <w:r>
          <w:rPr>
            <w:rStyle w:val="Hyperlink"/>
          </w:rPr>
          <w:t xml:space="preserve">[24]</w:t>
        </w:r>
      </w:hyperlink>
      <w:r>
        <w:t xml:space="preserve">, which document the institutional configurations through which cost and risk are allocated between government and industry, and contributions on emerging mission classes and operational concepts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w:t>
      </w:r>
      <w:r>
        <w:t xml:space="preserve">that illustrate the heterogeneity of the modern civil and national security space portfolio. These are not directly contributions to the cost-estimating literature, but they characterize the population of programs to which any cost-estimating intervention would apply and the institutional context in which the intervention occurs.</w:t>
      </w:r>
    </w:p>
    <w:bookmarkEnd w:id="70"/>
    <w:bookmarkEnd w:id="71"/>
    <w:bookmarkStart w:id="76" w:name="X9f692a999f2ac1032cbed3d631072e960bcc6e8"/>
    <w:p>
      <w:pPr>
        <w:pStyle w:val="Heading2"/>
        <w:spacing w:line="480" w:lineRule="auto"/>
      </w:pPr>
      <w:r>
        <w:t xml:space="preserve">2.3 The Procedural and Policy Literature on Independent Estimating at NASA</w:t>
      </w:r>
    </w:p>
    <w:p>
      <w:pPr>
        <w:pStyle w:val="FirstParagraph"/>
        <w:spacing w:line="480" w:lineRule="auto"/>
      </w:pPr>
      <w:r>
        <w:t xml:space="preserve">This treatment is procedural, not technical. It is the institutional act of subjecting a confirmation baseline to an independent cost and schedule estimate, produced outside the program office and binding on the confirmation decision. The literature on this procedural apparatus, while smaller than the technical estimating literature, is sufficiently developed to define the treatment with operational precision.</w:t>
      </w:r>
    </w:p>
    <w:bookmarkStart w:id="72" w:name="the-joint-confidence-level-mandate"/>
    <w:p>
      <w:pPr>
        <w:pStyle w:val="Heading3"/>
        <w:spacing w:line="480" w:lineRule="auto"/>
      </w:pPr>
      <w:r>
        <w:t xml:space="preserve">2.3.1 The Joint Confidence Level Mandate</w:t>
      </w:r>
    </w:p>
    <w:p>
      <w:pPr>
        <w:pStyle w:val="FirstParagraph"/>
        <w:spacing w:line="480" w:lineRule="auto"/>
      </w:pPr>
      <w:r>
        <w:t xml:space="preserve">The contemporary procedural backbone of independent estimating at NASA is the Joint Confidence Level (JCL) policy, which requires that confirmation baselines for major projects be set at a stated confidence point on an integrated cost-schedule probability distribution rather than at a negotiated point estimate. The history and policy mechanics of the JCL requirement are most fully documented by Kuo</w:t>
      </w:r>
      <w:r>
        <w:t xml:space="preserve"> </w:t>
      </w:r>
      <w:hyperlink w:anchor="ref-2">
        <w:r>
          <w:rPr>
            <w:rStyle w:val="Hyperlink"/>
          </w:rPr>
          <w:t xml:space="preserve">[2]</w:t>
        </w:r>
      </w:hyperlink>
      <w:r>
        <w:t xml:space="preserve"> </w:t>
      </w:r>
      <w:r>
        <w:t xml:space="preserve">(referring here to reference</w:t>
      </w:r>
      <w:r>
        <w:t xml:space="preserve"> </w:t>
      </w:r>
      <w:hyperlink w:anchor="ref-8">
        <w:r>
          <w:rPr>
            <w:rStyle w:val="Hyperlink"/>
          </w:rPr>
          <w:t xml:space="preserve">[8]</w:t>
        </w:r>
      </w:hyperlink>
      <w:r>
        <w:t xml:space="preserve"> </w:t>
      </w:r>
      <w:r>
        <w:t xml:space="preserve">in the pool, the NTRS Kuo document) and the policy is contextualized historically by Butts</w:t>
      </w:r>
      <w:r>
        <w:t xml:space="preserve"> </w:t>
      </w:r>
      <w:hyperlink w:anchor="ref-9">
        <w:r>
          <w:rPr>
            <w:rStyle w:val="Hyperlink"/>
          </w:rPr>
          <w:t xml:space="preserve">[9]</w:t>
        </w:r>
      </w:hyperlink>
      <w:r>
        <w:t xml:space="preserve">. The Butts contribution is particularly instructive because it is candid about the institutional resistance the JCL discipline encountered: the practice raises the headline confirmation number, which creates short-run political costs for an agency operating under appropriations pressure, even where it improves the long-run distribution of realized outcomes</w:t>
      </w:r>
      <w:r>
        <w:t xml:space="preserve"> </w:t>
      </w:r>
      <w:hyperlink w:anchor="ref-9">
        <w:r>
          <w:rPr>
            <w:rStyle w:val="Hyperlink"/>
          </w:rPr>
          <w:t xml:space="preserve">[9]</w:t>
        </w:r>
      </w:hyperlink>
      <w:r>
        <w:t xml:space="preserve">.</w:t>
      </w:r>
    </w:p>
    <w:p>
      <w:pPr>
        <w:pStyle w:val="BodyText"/>
        <w:spacing w:line="480" w:lineRule="auto"/>
        <w:ind w:firstLine="720"/>
      </w:pPr>
      <w:r>
        <w:t xml:space="preserve">In policy terms, the JCL mandate is the closest thing the civil space program has to a discrete, dated, institutional intervention that can be coded as a treatment. It matured around 2009 and applies above a documented cost threshold. The procedural artifact it produces, a probabilistic integrated cost-schedule estimate confirmed at a stated confidence point with documented independent review, is the operational definition of the treatment indicator used both in the companion survival analyses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t>
      </w:r>
      <w:r>
        <w:t xml:space="preserve">(referring to the candidate’s two prior papers) and in the regression discontinuity design proposed in Chapter 1 of this dissertation.</w:t>
      </w:r>
    </w:p>
    <w:bookmarkEnd w:id="72"/>
    <w:bookmarkStart w:id="73" w:name="X497857bbaa1b6eef798f7ef1cbd538e30fdaded"/>
    <w:p>
      <w:pPr>
        <w:pStyle w:val="Heading3"/>
        <w:spacing w:line="480" w:lineRule="auto"/>
      </w:pPr>
      <w:r>
        <w:t xml:space="preserve">2.3.2 Risk Uncertainty Factors and the Probabilistic Estimating Substrate</w:t>
      </w:r>
    </w:p>
    <w:p>
      <w:pPr>
        <w:pStyle w:val="FirstParagraph"/>
        <w:spacing w:line="480" w:lineRule="auto"/>
      </w:pPr>
      <w:r>
        <w:t xml:space="preserve">The JCL mandate is implemented against an empirical substrate of risk uncertainty factors derived from historical NASA project performance. Amer’s development of these factors from the NASA cost record</w:t>
      </w:r>
      <w:r>
        <w:t xml:space="preserve"> </w:t>
      </w:r>
      <w:hyperlink w:anchor="ref-10">
        <w:r>
          <w:rPr>
            <w:rStyle w:val="Hyperlink"/>
          </w:rPr>
          <w:t xml:space="preserve">[10]</w:t>
        </w:r>
      </w:hyperlink>
      <w:r>
        <w:t xml:space="preserve"> </w:t>
      </w:r>
      <w:r>
        <w:t xml:space="preserve">supplies the priors that probabilistic estimating tools draw on when constructing the joint cost-schedule distribution. Johnson’s contemporary synthesis</w:t>
      </w:r>
      <w:r>
        <w:t xml:space="preserve"> </w:t>
      </w:r>
      <w:hyperlink w:anchor="ref-13">
        <w:r>
          <w:rPr>
            <w:rStyle w:val="Hyperlink"/>
          </w:rPr>
          <w:t xml:space="preserve">[13]</w:t>
        </w:r>
      </w:hyperlink>
      <w:r>
        <w:t xml:space="preserve"> </w:t>
      </w:r>
      <w:r>
        <w:t xml:space="preserve">documents how integrated cost-schedule risk analyses are constructed in current practice, including the explicit modeling of schedule slip as a cost driver through standing-army accrual</w:t>
      </w:r>
      <w:r>
        <w:t xml:space="preserve"> </w:t>
      </w:r>
      <w:hyperlink w:anchor="ref-12">
        <w:r>
          <w:rPr>
            <w:rStyle w:val="Hyperlink"/>
          </w:rPr>
          <w:t xml:space="preserve">[12]</w:t>
        </w:r>
      </w:hyperlink>
      <w:r>
        <w:t xml:space="preserve">. Bitten’s explanation-of-change studies</w:t>
      </w:r>
      <w:r>
        <w:t xml:space="preserve"> </w:t>
      </w:r>
      <w:hyperlink w:anchor="ref-11">
        <w:r>
          <w:rPr>
            <w:rStyle w:val="Hyperlink"/>
          </w:rPr>
          <w:t xml:space="preserve">[11]</w:t>
        </w:r>
      </w:hyperlink>
      <w:r>
        <w:t xml:space="preserve"> </w:t>
      </w:r>
      <w:r>
        <w:t xml:space="preserve">supply the empirical record against which the calibration of these uncertainty factors is checked over time.</w:t>
      </w:r>
    </w:p>
    <w:p>
      <w:pPr>
        <w:pStyle w:val="BodyText"/>
        <w:spacing w:line="480" w:lineRule="auto"/>
        <w:ind w:firstLine="720"/>
      </w:pPr>
      <w:r>
        <w:t xml:space="preserve">This methodological substrate matters for the dissertation in two ways. First, it makes the JCL treatment substantively meaningful: a confirmation baseline set at a stated confidence point on an empirically calibrated distribution is materially different from a point estimate negotiated to a target, even where the two estimates happen to coincide in dollar terms. Second, it makes the treatment auditable: the procedural artifacts the JCL process produces are documented in the public record, which makes the treatment indicator codable from observable evidence rather than imputed from organizational practice.</w:t>
      </w:r>
    </w:p>
    <w:bookmarkEnd w:id="73"/>
    <w:bookmarkStart w:id="74" w:name="Xef8173399204be889beb07bcabad74e87bc1c2b"/>
    <w:p>
      <w:pPr>
        <w:pStyle w:val="Heading3"/>
        <w:spacing w:line="480" w:lineRule="auto"/>
      </w:pPr>
      <w:r>
        <w:t xml:space="preserve">2.3.3 The Standing Review Board as Institutional Independence</w:t>
      </w:r>
    </w:p>
    <w:p>
      <w:pPr>
        <w:pStyle w:val="FirstParagraph"/>
        <w:spacing w:line="480" w:lineRule="auto"/>
      </w:pPr>
      <w:r>
        <w:t xml:space="preserve">Independence has an institutional address. The JCL-anchored confirmation baseline draws it from the Standing Review Board (SRB), whose role and procedures are documented in the agency handbook</w:t>
      </w:r>
      <w:r>
        <w:t xml:space="preserve"> </w:t>
      </w:r>
      <w:hyperlink w:anchor="ref-14">
        <w:r>
          <w:rPr>
            <w:rStyle w:val="Hyperlink"/>
          </w:rPr>
          <w:t xml:space="preserve">[14]</w:t>
        </w:r>
      </w:hyperlink>
      <w:r>
        <w:t xml:space="preserve">. The SRB is the locus at which the confirmation estimate is exposed to external scrutiny by a board whose members are not embedded in the program office. The handbook specifies the SRB’s composition, its review cadence, and its concurrence role at the confirmation milestone. For the purposes of this dissertation, the SRB is the institutional mechanism that gives the JCL number its claim to independence: a probabilistic integrated estimate produced inside the program office, without external concurrence, would not satisfy the procedural treatment definition even if its statistical construction were impeccable.</w:t>
      </w:r>
    </w:p>
    <w:bookmarkEnd w:id="74"/>
    <w:bookmarkStart w:id="75" w:name="X71c6ffb833e8b4374f799630a7bad4d9cb0ef52"/>
    <w:p>
      <w:pPr>
        <w:pStyle w:val="Heading3"/>
        <w:spacing w:line="480" w:lineRule="auto"/>
      </w:pPr>
      <w:r>
        <w:t xml:space="preserve">2.3.4 The Government Accountability Office Annual Assessment Series</w:t>
      </w:r>
    </w:p>
    <w:p>
      <w:pPr>
        <w:pStyle w:val="FirstParagraph"/>
        <w:spacing w:line="480" w:lineRule="auto"/>
      </w:pPr>
      <w:r>
        <w:t xml:space="preserve">The principal external observer of the realized performance of the procedural apparatus described above is the Government Accountability Office, whose annual assessments of NASA major projects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w:t>
      </w:r>
      <w:r>
        <w:t xml:space="preserve">supply the longest and most consistent public record of NASA cost and schedule outcomes against confirmation baselines. The GAO assessments report, for each major project, the confirmed baseline, the current estimate, the baseline and current launch readiness dates, and the application of independent estimating procedures at confirmation. The series begins in fiscal year 2009 (GAO-09-306SP) and continues through the most recent assessment (GAO-25-107591), spanning the full era during which the JCL mandate has been in force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cross-walk of these assessments with the NASA Major Program Annual Report supplies the panel on which both the candidate’s companion survival analyses and the proposed regression discontinuity design are estimated.</w:t>
      </w:r>
    </w:p>
    <w:p>
      <w:pPr>
        <w:pStyle w:val="BodyText"/>
        <w:spacing w:line="480" w:lineRule="auto"/>
        <w:ind w:firstLine="720"/>
      </w:pPr>
      <w:r>
        <w:t xml:space="preserve">In its causal posture the GAO series is descriptive rather than analytical. It reports outcomes by project; it does not estimate treatment effects. It supplies, however, the auditable observational substrate that any causal analysis of NASA cost outcomes must rest on. The data, in this domain, are not the bottleneck; the inferential strategy is.</w:t>
      </w:r>
    </w:p>
    <w:bookmarkEnd w:id="75"/>
    <w:bookmarkEnd w:id="76"/>
    <w:bookmarkStart w:id="80" w:name="Xb50764bb60a4df240b2a067e7146b6fe203fcba"/>
    <w:p>
      <w:pPr>
        <w:pStyle w:val="Heading2"/>
        <w:spacing w:line="480" w:lineRule="auto"/>
      </w:pPr>
      <w:r>
        <w:t xml:space="preserve">2.4 The Methodological Literature on Design-Based Identification</w:t>
      </w:r>
    </w:p>
    <w:p>
      <w:pPr>
        <w:pStyle w:val="FirstParagraph"/>
        <w:spacing w:line="480" w:lineRule="auto"/>
      </w:pPr>
      <w:r>
        <w:t xml:space="preserve">The second of the two unjoined literatures this chapter reviews is the methodological literature on design-based identification, by which is meant the family of econometric and biostatistical methods that recover causal effects from observational data by exploiting the structure of an assignment mechanism rather than relying on selection-on-observables. Two methods from this family are central to this dissertation and the candidate’s companion work: the Cox proportional-hazards survival model and the regression discontinuity design. Both are mature methods with extensive methodological literatures; the contribution of this section is not to summarize those literatures in their entirety but to characterize the conditions under which each is well suited to the question this dissertation poses.</w:t>
      </w:r>
    </w:p>
    <w:bookmarkStart w:id="77" w:name="X8d7a47d96c549fa888b9fe6ed29c04445d7dff9"/>
    <w:p>
      <w:pPr>
        <w:pStyle w:val="Heading3"/>
        <w:spacing w:line="480" w:lineRule="auto"/>
      </w:pPr>
      <w:r>
        <w:t xml:space="preserve">2.4.1 Survival Analysis and the Time-to-Event Reframing of Program Outcomes</w:t>
      </w:r>
    </w:p>
    <w:p>
      <w:pPr>
        <w:pStyle w:val="FirstParagraph"/>
        <w:spacing w:line="480" w:lineRule="auto"/>
      </w:pPr>
      <w:r>
        <w:t xml:space="preserve">Fit by partial likelihood, the Cox proportional-hazards model is the standard estimator for time-to-event data in the presence of right-censoring. Its features suit it well to the analysis of NASA major program outcomes. First, it accommodates censoring directly: programs that complete development or remain in flight without crossing a defined breach threshold contribute information to the partial likelihood through the order in which events occur, rather than being miscoded as either successes or failures of magnitude. Second, it leaves the baseline hazard unspecified, which is appropriate for a small heterogeneous portfolio whose underlying timing distribution is not the object of substantive interest. Third, it reports coefficients as log hazard ratios, which translate into a multiplicative effect on the instantaneous rate of the event, a quantity directly interpretable to program executives.</w:t>
      </w:r>
    </w:p>
    <w:p>
      <w:pPr>
        <w:pStyle w:val="BodyText"/>
        <w:spacing w:line="480" w:lineRule="auto"/>
        <w:ind w:firstLine="720"/>
      </w:pPr>
      <w:r>
        <w:t xml:space="preserve">The reframing of NASA cost and schedule outcomes as time-to-event data, rather than as percentage growth at a fixed horizon, is the move that lets the Cox model speak to the question. The candidate’s first companion paper, on the hazard of first baseline breach, defines the event as the moment a program first crosses the fifteen percent development-cost-growth threshold or a six-month milestone slip, and treats the months from confirmation to that event as the duration of interest. The fitted model reports an independent-estimate hazard ratio of 0.628 with a confidence interval running from 0.263 to 1.50, a point estimate in the protective direction by the magnitude H1 predicts but not distinguishable from a hazard ratio of one in a panel of thirty-eight projects with twenty-three events. The technology-readiness-level covariate carries a hazard ratio of 0.330 with an interval entirely below one, the only covariate that moves decisively in the panel.</w:t>
      </w:r>
    </w:p>
    <w:p>
      <w:pPr>
        <w:pStyle w:val="BodyText"/>
        <w:spacing w:line="480" w:lineRule="auto"/>
        <w:ind w:firstLine="720"/>
      </w:pPr>
      <w:r>
        <w:t xml:space="preserve">The candidate’s second companion paper, on the hazard of statutory cost breach, defines the event more sharply as the crossing of NASA’s congressionally mandated fifteen percent re-reporting trigger</w:t>
      </w:r>
      <w:r>
        <w:t xml:space="preserve"> </w:t>
      </w:r>
      <w:hyperlink w:anchor="ref-1">
        <w:r>
          <w:rPr>
            <w:rStyle w:val="Hyperlink"/>
          </w:rPr>
          <w:t xml:space="preserve">[1]</w:t>
        </w:r>
      </w:hyperlink>
      <w:r>
        <w:t xml:space="preserve"> </w:t>
      </w:r>
      <w:r>
        <w:t xml:space="preserve">(referring to GAO-25-107591 in the paper’s own numbering). The fitted model on twenty-eight projects reports an independent-estimating coefficient of negative 1.245, a hazard ratio of 0.288, with a p-value just outside the ten percent threshold and a wide standard error consistent with the small portfolio. The substantive message of both analyses is the same: the independent-estimating effect runs in the direction the theory predicts by a magnitude that would matter operationally, while the inference is bounded by the size of the population rather than by any feature of the design.</w:t>
      </w:r>
    </w:p>
    <w:p>
      <w:pPr>
        <w:pStyle w:val="BodyText"/>
        <w:spacing w:line="480" w:lineRule="auto"/>
        <w:ind w:firstLine="720"/>
      </w:pPr>
      <w:r>
        <w:t xml:space="preserve">The methodological lesson of these companion analyses is twofold. First, the survival framing is the right one for a discrete, dated, statutorily defined event such as the fifteen percent re-reporting trigger, because it isolates the timing question that a cross-sectional cost-growth regression cannot address. Second, the survival framing alone cannot resolve the endogeneity of treatment assignment. Programs that received rigorous independent baselines may differ from those that did not in ways the Cox covariates do not capture, and the resulting coefficients are conditional associations rather than clean causal effects. The candidate’s own discussion of both companion papers concedes this point and motivates the move to a design-based identification strategy.</w:t>
      </w:r>
    </w:p>
    <w:bookmarkEnd w:id="77"/>
    <w:bookmarkStart w:id="78" w:name="Xa60ed31c2d19254da3e414222296e8835988363"/>
    <w:p>
      <w:pPr>
        <w:pStyle w:val="Heading3"/>
        <w:spacing w:line="480" w:lineRule="auto"/>
      </w:pPr>
      <w:r>
        <w:t xml:space="preserve">2.4.2 Regression Discontinuity Design and the Local Average Treatment Effect</w:t>
      </w:r>
    </w:p>
    <w:p>
      <w:pPr>
        <w:pStyle w:val="FirstParagraph"/>
        <w:spacing w:line="480" w:lineRule="auto"/>
      </w:pPr>
      <w:r>
        <w:t xml:space="preserve">One tool answers that limit. The regression discontinuity (RD) design is the method through which the candidate proposes to address the endogeneity that the Cox analyses cannot resolve. It exploits a policy rule that assigns treatment as a deterministic function of a continuous running variable evaluated against a fixed threshold. Above the threshold, the policy mandates the treatment; below it, the policy does not. In a neighborhood of the threshold, assignment is plausibly as good as random with respect to unobserved program quality, because programs that happen to fall just above or just below the cutoff are exchangeable on every dimension except their eligibility for the mandated treatment. The local average treatment effect at the threshold is identified by the discontinuity in the conditional expectation of the outcome at the cutoff.</w:t>
      </w:r>
    </w:p>
    <w:p>
      <w:pPr>
        <w:pStyle w:val="BodyText"/>
        <w:spacing w:line="480" w:lineRule="auto"/>
        <w:ind w:firstLine="720"/>
      </w:pPr>
      <w:r>
        <w:t xml:space="preserve">For the question this dissertation poses, the relevant policy discontinuity is the dollar threshold above which NASA and its oversight bodies mandate an independent cost and schedule estimate. The running variable is the program’s pre-confirmation cost estimate; the threshold is the mandate cutoff. The treatment indicator switches at the threshold, and the cost-growth or schedule-slip outcome is observed at a fixed post-confirmation horizon. The sharp RD estimator regresses the outcome on the running variable and the treatment indicator within an optimal bandwidth around the cutoff; the fuzzy RD estimator, used where compliance is imperfect, instruments actual treatment receipt with threshold eligibility and recovers the local average treatment effect via two-stage least squares.</w:t>
      </w:r>
    </w:p>
    <w:p>
      <w:pPr>
        <w:pStyle w:val="BodyText"/>
        <w:spacing w:line="480" w:lineRule="auto"/>
        <w:ind w:firstLine="720"/>
      </w:pPr>
      <w:r>
        <w:t xml:space="preserve">Three features of the RD design are particularly attractive for this question. First, the identifying variation is local: the design recovers the treatment effect among programs near the policy threshold, which is the population to which any incremental extension of the mandate would apply, and is therefore policy-relevant by construction. Second, the design produces a set of standard falsification tests, including the McCrary density test for manipulation of the running variable, covariate-continuity checks at the threshold, and placebo cutoffs away from the true threshold, that let the analyst probe the design’s identifying assumptions transparently. Third, the design’s reliance on a single policy parameter, the cutoff, makes the source of identification legible to readers outside the econometric methodology literature, which matters for a dissertation whose audience includes program management practitioners.</w:t>
      </w:r>
    </w:p>
    <w:p>
      <w:pPr>
        <w:pStyle w:val="BodyText"/>
        <w:spacing w:line="480" w:lineRule="auto"/>
        <w:ind w:firstLine="720"/>
      </w:pPr>
      <w:r>
        <w:t xml:space="preserve">Limitations remain. The NASA major-program population is small, which limits the number of observations available within any reasonable bandwidth and widens the resulting confidence intervals. Compliance with the mandate is imperfect, both because programs near the cutoff are sometimes given independent estimates by discretion and because programs above the cutoff occasionally have the requirement waived, which forces the move from sharp to fuzzy RD. The running variable, the pre-confirmation cost estimate, is at least partially under the program office’s control, which raises the possibility of strategic bunching just below the threshold; the McCrary test is the standard diagnostic, but the small sample limits its power.</w:t>
      </w:r>
    </w:p>
    <w:bookmarkEnd w:id="78"/>
    <w:bookmarkStart w:id="79" w:name="Xdc0004901f9458c0c8ed5a3fb632e1da4b625d0"/>
    <w:p>
      <w:pPr>
        <w:pStyle w:val="Heading3"/>
        <w:spacing w:line="480" w:lineRule="auto"/>
      </w:pPr>
      <w:r>
        <w:t xml:space="preserve">2.4.3 The Broader Design-Based Tradition and Its Absence from Civil Space Program Management</w:t>
      </w:r>
    </w:p>
    <w:p>
      <w:pPr>
        <w:pStyle w:val="FirstParagraph"/>
        <w:spacing w:line="480" w:lineRule="auto"/>
      </w:pPr>
      <w:r>
        <w:t xml:space="preserve">Survival analysis and regression discontinuity are both members of the broader family of design-based identification strategies developed and refined in labor economics, public finance, education policy, and health policy over the last four decades. The family includes differences-in-differences, instrumental variables, propensity score matching with sensitivity analysis, and synthetic control methods. None of these methods is new, and all have well-developed methodological literatures and accepted practices for assessing identifying assumptions and reporting robustness.</w:t>
      </w:r>
    </w:p>
    <w:p>
      <w:pPr>
        <w:pStyle w:val="BodyText"/>
        <w:spacing w:line="480" w:lineRule="auto"/>
        <w:ind w:firstLine="720"/>
      </w:pPr>
      <w:r>
        <w:t xml:space="preserve">The notable feature of these methods, for the present argument, is their near-total absence from the civil space program management literature. The estimating literature reviewed in Section 2.2 contains, by the candidate’s reading of the available pool, no design-based causal estimate of a procedural intervention on a population of programs. The descriptive empirical literature in NASA cost growth</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uses standard statistical methods to summarize the record and to calibrate the inputs to estimating tools, but it does not deploy the design-based machinery to recover a treatment effect. This absence is the gap the dissertation addresses.</w:t>
      </w:r>
    </w:p>
    <w:bookmarkEnd w:id="79"/>
    <w:bookmarkEnd w:id="80"/>
    <w:bookmarkStart w:id="81" w:name="X90e80a16837359f817875bf18bcdb18c5c6ec36"/>
    <w:p>
      <w:pPr>
        <w:pStyle w:val="Heading2"/>
        <w:spacing w:line="480" w:lineRule="auto"/>
      </w:pPr>
      <w:r>
        <w:t xml:space="preserve">2.5 Synthesis and the Identification of the Gap</w:t>
      </w:r>
    </w:p>
    <w:p>
      <w:pPr>
        <w:pStyle w:val="FirstParagraph"/>
        <w:spacing w:line="480" w:lineRule="auto"/>
      </w:pPr>
      <w:r>
        <w:t xml:space="preserve">The two literatures reviewed in this chapter occupy different epistemic ground and ask different questions. The domain technical literature on aerospace cost estimating</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r>
        <w:t xml:space="preserve"> </w:t>
      </w:r>
      <w:hyperlink w:anchor="ref-25">
        <w:r>
          <w:rPr>
            <w:rStyle w:val="Hyperlink"/>
          </w:rPr>
          <w:t xml:space="preserve">[25]</w:t>
        </w:r>
      </w:hyperlink>
      <w:r>
        <w:t xml:space="preserve"> </w:t>
      </w:r>
      <w:r>
        <w:t xml:space="preserve">asks whether a given estimating instrument produces accurate point predictions on held-out data, and answers the question with the toolkit of validation statistics and confidence intervals. The procedural and policy literature on independent estimating at NASA</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w:t>
      </w:r>
      <w:r>
        <w:t xml:space="preserve">documents the institutional apparatus through which independent estimates are produced and reviewed, and the public-record literature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w:t>
      </w:r>
      <w:r>
        <w:t xml:space="preserve">supplies the observational substrate on which realized program outcomes are reported. The methodological literature on design-based identification, drawn on at length in survival analysis and labor economics, supplies the inferential machinery that translates observational data into credible causal estimates.</w:t>
      </w:r>
    </w:p>
    <w:p>
      <w:pPr>
        <w:pStyle w:val="BodyText"/>
        <w:spacing w:line="480" w:lineRule="auto"/>
        <w:ind w:firstLine="720"/>
      </w:pPr>
      <w:r>
        <w:t xml:space="preserve">One thing is missing. By the candidate’s reading of the available pool, the published record contains no study that joins the three. No retrieved source estimates the local average treatment effect of an independent cost estimate at confirmation on the subsequent cost-growth or schedule-slip trajectory of NASA major programs using a design-based identification strategy that exploits the policy structure of the independent-estimating mandate. The candidate’s two companion papers, on the hazard of first baseline breach and the hazard of statutory cost breach, represent the closest published precedent and supply both the substantive direction of the expected effect and a candid characterization of the inferential limits of the survival framing alone. They establish, on a real and obtainable panel, that the independent-estimating coefficient runs in the protective direction by a magnitude that would matter to a program executive, while making explicit that the survival framing cannot resolve the endogeneity of treatment assignment in a population this small.</w:t>
      </w:r>
    </w:p>
    <w:p>
      <w:pPr>
        <w:pStyle w:val="BodyText"/>
        <w:spacing w:line="480" w:lineRule="auto"/>
        <w:ind w:firstLine="720"/>
      </w:pPr>
      <w:r>
        <w:t xml:space="preserve">The gap, stated precisely, has three components. First, the unit of analysis in the existing technical literature is the estimate rather than the program, and the outcome is the closeness of a point prediction to realized cost rather than the trajectory the program follows after confirmation. Second, the procedural treatment that policy can actually assign, the commissioning of an independent cost and schedule estimate at confirmation, has not been instrumented or otherwise subjected to design-based identification in any retrieved source. Third, the existing descriptive empirical record</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supplies the inputs and calibration substrate for the estimating apparatus but does not estimate the effect of the apparatus itself on the outcomes the apparatus is meant to govern.</w:t>
      </w:r>
    </w:p>
    <w:p>
      <w:pPr>
        <w:pStyle w:val="BodyText"/>
        <w:spacing w:line="480" w:lineRule="auto"/>
        <w:ind w:firstLine="720"/>
      </w:pPr>
      <w:r>
        <w:t xml:space="preserve">Joining the two literatures requires three moves, each of which the dissertation undertakes. The first move is to relocate the unit of analysis from the estimate to the program, treating the program as the recipient of a procedural treatment whose effect is to be estimated. The second move is to import the design-based identification toolkit from the broader econometric methodology literature, with the regression discontinuity design as the primary estimator and the survival framing as a complementary perspective on the time-to-event structure of the data. The third move is to discipline the analysis to the auditable observational substrate of the GAO annual assessment series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w:t>
      </w:r>
      <w:r>
        <w:t xml:space="preserve">and the NASA Major Program Annual Report, so that the treatment indicator, the running variable, and the outcome are all coded from public, replicable sources. The remainder of the dissertation executes these three moves and reports the resulting estimates. The chapters that follow develop the formal identification argument, characterize the population and the running variable in detail, present the primary RD estimates with their attendant falsification tests, and interpret the results in light of the procedural and policy structure documented in this chapter.</w:t>
      </w:r>
    </w:p>
    <w:bookmarkEnd w:id="81"/>
    <w:bookmarkEnd w:id="82"/>
    <w:bookmarkStart w:id="94" w:name="Xcfcc00a3ded59aed0c781c16bfc121f2a509603"/>
    <w:p>
      <w:pPr>
        <w:pStyle w:val="Heading1"/>
        <w:spacing w:line="480" w:lineRule="auto"/>
      </w:pPr>
      <w:r>
        <w:t xml:space="preserve">Chapter 3. Theoretical Framework and Hypotheses</w:t>
      </w:r>
    </w:p>
    <w:bookmarkStart w:id="83" w:name="purpose-of-the-chapter"/>
    <w:p>
      <w:pPr>
        <w:pStyle w:val="Heading2"/>
        <w:spacing w:line="480" w:lineRule="auto"/>
      </w:pPr>
      <w:r>
        <w:t xml:space="preserve">3.1 Purpose of the Chapter</w:t>
      </w:r>
    </w:p>
    <w:p>
      <w:pPr>
        <w:pStyle w:val="FirstParagraph"/>
        <w:spacing w:line="480" w:lineRule="auto"/>
      </w:pPr>
      <w:r>
        <w:t xml:space="preserve">The two empirical companion papers attached to this dissertation each report a directionally consistent but statistically inconclusive association between the application of an independent cost and schedule estimate at confirmation and the subsequent trajectory of NASA major programs. Paper one estimates a hazard ratio of 0.628 on the independent-estimate covariate in a Cox model of time to first baseline breach across thirty-eight projects, with the protective effect failing to clear conventional significance at p equal to 0.295</w:t>
      </w:r>
      <w:r>
        <w:t xml:space="preserve"> </w:t>
      </w:r>
      <w:hyperlink w:anchor="ref-7">
        <w:r>
          <w:rPr>
            <w:rStyle w:val="Hyperlink"/>
          </w:rPr>
          <w:t xml:space="preserve">[7]</w:t>
        </w:r>
      </w:hyperlink>
      <w:r>
        <w:t xml:space="preserve">. Paper two, working with a different twenty-eight project panel and the statutory fifteen percent breach as the event, recovers a hazard ratio of 0.288 at p equal to 0.116, with the same protective direction and a larger magnitude</w:t>
      </w:r>
      <w:r>
        <w:t xml:space="preserve"> </w:t>
      </w:r>
      <w:hyperlink w:anchor="ref-7">
        <w:r>
          <w:rPr>
            <w:rStyle w:val="Hyperlink"/>
          </w:rPr>
          <w:t xml:space="preserve">[7]</w:t>
        </w:r>
      </w:hyperlink>
      <w:r>
        <w:t xml:space="preserve">. Neither result settles the claim. Both make it more credible than the field’s prior evidence base, which has examined estimator accuracy in blind validation against held-out cost data without ever modeling the program-level treatment effect of an independent estimate on realized outcomes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This chapter formalizes the theoretical apparatus that the dissertation will subject to a sharper causal test. It does three things in sequence. First, it specifies the causal object the dissertation seeks to estimate, distinguishing the procedural treatment from the estimating instrument and from estimating quality. Second, it articulates the mechanism by which a binding independent cost estimate at the confirmation milestone is expected to alter the distribution of subsequent cost growth, drawing on the estimating literature, the policy record on Joint Confidence Level analysis, and the explanation-of-change evidence on NASA cost growth. Third, it states the formal hypotheses H0 and H1 in a form that the regression discontinuity design described in subsequent chapters can falsify. The chapter is theoretical in the strict sense that it establishes what the empirical chapters must do to confirm or reject the claim; it does not yet do that work.</w:t>
      </w:r>
    </w:p>
    <w:bookmarkEnd w:id="83"/>
    <w:bookmarkStart w:id="84" w:name="defining-the-causal-object"/>
    <w:p>
      <w:pPr>
        <w:pStyle w:val="Heading2"/>
        <w:spacing w:line="480" w:lineRule="auto"/>
      </w:pPr>
      <w:r>
        <w:t xml:space="preserve">3.2 Defining the Causal Object</w:t>
      </w:r>
    </w:p>
    <w:p>
      <w:pPr>
        <w:pStyle w:val="FirstParagraph"/>
        <w:spacing w:line="480" w:lineRule="auto"/>
      </w:pPr>
      <w:r>
        <w:t xml:space="preserve">Three objects need separating. Prior work has tended to conflate them. The first is the estimating instrument: the parametric tool, analogy-based model, or structural equation that produces a cost number from program inputs. SEER-H is an instrument of this kind, and the blind validation of SEER-H against NASA mission data is fundamentally an evaluation of how the instrument performs on held-out cases</w:t>
      </w:r>
      <w:r>
        <w:t xml:space="preserve"> </w:t>
      </w:r>
      <w:hyperlink w:anchor="ref-1">
        <w:r>
          <w:rPr>
            <w:rStyle w:val="Hyperlink"/>
          </w:rPr>
          <w:t xml:space="preserve">[1]</w:t>
        </w:r>
      </w:hyperlink>
      <w:r>
        <w:t xml:space="preserve">. The partial least squares structural equation framework deployed for asteroid mining cost estimation is another instrument</w:t>
      </w:r>
      <w:r>
        <w:t xml:space="preserve"> </w:t>
      </w:r>
      <w:hyperlink w:anchor="ref-2">
        <w:r>
          <w:rPr>
            <w:rStyle w:val="Hyperlink"/>
          </w:rPr>
          <w:t xml:space="preserve">[2]</w:t>
        </w:r>
      </w:hyperlink>
      <w:r>
        <w:t xml:space="preserve">, as is the parametric model for hypersonic research, development, and production cost prediction</w:t>
      </w:r>
      <w:r>
        <w:t xml:space="preserve"> </w:t>
      </w:r>
      <w:hyperlink w:anchor="ref-3">
        <w:r>
          <w:rPr>
            <w:rStyle w:val="Hyperlink"/>
          </w:rPr>
          <w:t xml:space="preserve">[3]</w:t>
        </w:r>
      </w:hyperlink>
      <w:r>
        <w:t xml:space="preserve">. Instruments differ in their cost estimating relationships, their treatment of uncertainty, and the empirical priors required to fit them; they do not, on their own, alter what a program executive does or how a confirmation board decides.</w:t>
      </w:r>
    </w:p>
    <w:p>
      <w:pPr>
        <w:pStyle w:val="BodyText"/>
        <w:spacing w:line="480" w:lineRule="auto"/>
        <w:ind w:firstLine="720"/>
      </w:pPr>
      <w:r>
        <w:t xml:space="preserve">Next comes estimating quality: the calibration of a particular estimate to the true distribution of outcomes. Quality is a property of an estimate, not of an institution. A program office estimate produced under a rigorous parametric instrument with rich analog support may be of higher quality than an independent estimate produced under thin priors and time pressure. The estimating literature has invested heavily in quality, because a poorly calibrated instrument cannot ground any subsequent decision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Quality, however, is not directly assignable by policy. A rule mandating that a particular instrument be used does not guarantee that the estimate it produces will be well calibrated, because calibration depends on data, expertise, and time that the rule cannot supply.</w:t>
      </w:r>
    </w:p>
    <w:p>
      <w:pPr>
        <w:pStyle w:val="BodyText"/>
        <w:spacing w:line="480" w:lineRule="auto"/>
        <w:ind w:firstLine="720"/>
      </w:pPr>
      <w:r>
        <w:t xml:space="preserve">The third object, and the one this dissertation isolates, is the procedural treatment: the institutional act of commissioning a binding independent cost and schedule estimate at the program’s confirmation milestone, produced outside the program office and incorporated into the baseline against which the program will subsequently be measured. The procedural treatment is what NASA’s Joint Confidence Level mandate operationalizes</w:t>
      </w:r>
      <w:r>
        <w:t xml:space="preserve"> </w:t>
      </w:r>
      <w:hyperlink w:anchor="ref-8">
        <w:r>
          <w:rPr>
            <w:rStyle w:val="Hyperlink"/>
          </w:rPr>
          <w:t xml:space="preserve">[8]</w:t>
        </w:r>
      </w:hyperlink>
      <w:r>
        <w:t xml:space="preserve">, what the Standing Review Board institutionalizes</w:t>
      </w:r>
      <w:r>
        <w:t xml:space="preserve"> </w:t>
      </w:r>
      <w:hyperlink w:anchor="ref-14">
        <w:r>
          <w:rPr>
            <w:rStyle w:val="Hyperlink"/>
          </w:rPr>
          <w:t xml:space="preserve">[14]</w:t>
        </w:r>
      </w:hyperlink>
      <w:r>
        <w:t xml:space="preserve">, and what congressional oversight reads from the agency’s portfolio reports</w:t>
      </w:r>
      <w:r>
        <w:t xml:space="preserve"> </w:t>
      </w:r>
      <w:hyperlink w:anchor="ref-7">
        <w:r>
          <w:rPr>
            <w:rStyle w:val="Hyperlink"/>
          </w:rPr>
          <w:t xml:space="preserve">[7]</w:t>
        </w:r>
      </w:hyperlink>
      <w:r>
        <w:t xml:space="preserve">. It is a binary assignable attribute of a confirmation decision, and it is the lever a policy can actually pull. The dissertation argues that the procedural treatment is the right causal object precisely because it abstracts away from the instrument and from quality and isolates what a confirmation board does when it accepts or rejects an externally produced estimate as binding. The companion papers code their treatment indicators at exactly this level, recording whether the confirmation baseline was set under a Joint Confidence Level process with Standing Review Board concurrence rather than attempting to score the calibration of the estimate itself</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This separation matters for the design. A regression discontinuity that exploits the policy threshold above which an independent estimate is mandated identifies the local average treatment effect of the procedural treatment, not of the instrument or of quality. Programs just above the threshold receive the procedure; programs just below do not. Whether the estimate the procedure produces is well calibrated, or whether the instrument behind it is SEER-H or some agency-proprietary parametric tool, is held constant in expectation in the neighborhood of the cutoff. The estimand the dissertation pursues is therefore narrower than the question the field has been asking informally and more precise than the question the field has been answering empirically. It is the effect of a procedure that policy assigns, on an outcome that policy can read.</w:t>
      </w:r>
    </w:p>
    <w:bookmarkEnd w:id="84"/>
    <w:bookmarkStart w:id="88" w:name="the-theoretical-mechanism"/>
    <w:p>
      <w:pPr>
        <w:pStyle w:val="Heading2"/>
        <w:spacing w:line="480" w:lineRule="auto"/>
      </w:pPr>
      <w:r>
        <w:t xml:space="preserve">3.3 The Theoretical Mechanism</w:t>
      </w:r>
    </w:p>
    <w:p>
      <w:pPr>
        <w:pStyle w:val="FirstParagraph"/>
        <w:spacing w:line="480" w:lineRule="auto"/>
      </w:pPr>
      <w:r>
        <w:t xml:space="preserve">Two complementary mechanisms motivate the expectation that the procedural treatment lowers subsequent percentage cost growth. Each draws on a distinct strand of the retrieved evidence base, and each generates a testable implication that the regression discontinuity design can probe.</w:t>
      </w:r>
    </w:p>
    <w:bookmarkStart w:id="85" w:name="the-reserve-posture-mechanism"/>
    <w:p>
      <w:pPr>
        <w:pStyle w:val="Heading3"/>
        <w:spacing w:line="480" w:lineRule="auto"/>
      </w:pPr>
      <w:r>
        <w:t xml:space="preserve">3.3.1 The Reserve Posture Mechanism</w:t>
      </w:r>
    </w:p>
    <w:p>
      <w:pPr>
        <w:pStyle w:val="FirstParagraph"/>
        <w:spacing w:line="480" w:lineRule="auto"/>
      </w:pPr>
      <w:r>
        <w:t xml:space="preserve">Start with the baseline. The first mechanism operates through the confirmed number itself. A confirmation baseline set against a single point estimate from the program office systematically understates the cost the program will require, because the estimate is negotiated against a target budget rather than drawn honestly from the cost distribution</w:t>
      </w:r>
      <w:r>
        <w:t xml:space="preserve"> </w:t>
      </w:r>
      <w:hyperlink w:anchor="ref-10">
        <w:r>
          <w:rPr>
            <w:rStyle w:val="Hyperlink"/>
          </w:rPr>
          <w:t xml:space="preserve">[10]</w:t>
        </w:r>
      </w:hyperlink>
      <w:r>
        <w:t xml:space="preserve">. The optimism bias that this produces is well documented in the NASA explanation-of-change literature, which traces a substantial portion of reported cost growth to changes that were foreseeable at confirmation and to schedule slips that mechanically convert into standing-army cost on an unchanged scope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program that confirms against an understated baseline enters implementation with insufficient reserve for the surprises it will encounter, and the first such surprise consumes the baseline rather than the reserve.</w:t>
      </w:r>
    </w:p>
    <w:p>
      <w:pPr>
        <w:pStyle w:val="BodyText"/>
        <w:spacing w:line="480" w:lineRule="auto"/>
        <w:ind w:firstLine="720"/>
      </w:pPr>
      <w:r>
        <w:t xml:space="preserve">A binding independent estimate produced under a Joint Confidence Level analysis confronts this bias directly. The analysis integrates cost and schedule uncertainty into a probabilistic distribution and reports a confidence point, conventionally the seventy percent point, rather than a single number negotiated to a target</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policy history is candid that this discipline was resisted at its introduction precisely because it raises the headline number at confirmation</w:t>
      </w:r>
      <w:r>
        <w:t xml:space="preserve"> </w:t>
      </w:r>
      <w:hyperlink w:anchor="ref-9">
        <w:r>
          <w:rPr>
            <w:rStyle w:val="Hyperlink"/>
          </w:rPr>
          <w:t xml:space="preserve">[9]</w:t>
        </w:r>
      </w:hyperlink>
      <w:r>
        <w:t xml:space="preserve">. The Standing Review Board provides the independent check that the confidence point is computed against the actual cost distribution rather than reverse-engineered from a target</w:t>
      </w:r>
      <w:r>
        <w:t xml:space="preserve"> </w:t>
      </w:r>
      <w:hyperlink w:anchor="ref-14">
        <w:r>
          <w:rPr>
            <w:rStyle w:val="Hyperlink"/>
          </w:rPr>
          <w:t xml:space="preserve">[14]</w:t>
        </w:r>
      </w:hyperlink>
      <w:r>
        <w:t xml:space="preserve">. A program confirmed against this kind of baseline holds reserves sufficient to absorb the early surprises that the explanation-of-change literature shows are the dominant drivers of subsequent growth</w:t>
      </w:r>
      <w:r>
        <w:t xml:space="preserve"> </w:t>
      </w:r>
      <w:hyperlink w:anchor="ref-11">
        <w:r>
          <w:rPr>
            <w:rStyle w:val="Hyperlink"/>
          </w:rPr>
          <w:t xml:space="preserve">[11]</w:t>
        </w:r>
      </w:hyperlink>
      <w:r>
        <w:t xml:space="preserve">. The reserve posture mechanism therefore predicts that the procedural treatment shifts the distribution of cost growth toward smaller values, because surprises are absorbed out of reserve rather than out of baseline.</w:t>
      </w:r>
    </w:p>
    <w:bookmarkEnd w:id="85"/>
    <w:bookmarkStart w:id="86" w:name="the-oversight-discipline-mechanism"/>
    <w:p>
      <w:pPr>
        <w:pStyle w:val="Heading3"/>
        <w:spacing w:line="480" w:lineRule="auto"/>
      </w:pPr>
      <w:r>
        <w:t xml:space="preserve">3.3.2 The Oversight Discipline Mechanism</w:t>
      </w:r>
    </w:p>
    <w:p>
      <w:pPr>
        <w:pStyle w:val="FirstParagraph"/>
        <w:spacing w:line="480" w:lineRule="auto"/>
      </w:pPr>
      <w:r>
        <w:t xml:space="preserve">A second channel runs through the confirmation decision rather than the baseline number. The act of commissioning a binding independent estimate signals oversight attention that disciplines optimistic scope and schedule assumptions before they are locked in</w:t>
      </w:r>
      <w:r>
        <w:t xml:space="preserve"> </w:t>
      </w:r>
      <w:hyperlink w:anchor="ref-2">
        <w:r>
          <w:rPr>
            <w:rStyle w:val="Hyperlink"/>
          </w:rPr>
          <w:t xml:space="preserve">[2]</w:t>
        </w:r>
      </w:hyperlink>
      <w:r>
        <w:t xml:space="preserve">,</w:t>
      </w:r>
      <w:r>
        <w:t xml:space="preserve"> </w:t>
      </w:r>
      <w:hyperlink w:anchor="ref-9">
        <w:r>
          <w:rPr>
            <w:rStyle w:val="Hyperlink"/>
          </w:rPr>
          <w:t xml:space="preserve">[9]</w:t>
        </w:r>
      </w:hyperlink>
      <w:r>
        <w:t xml:space="preserve">. A program office aware that an external review board will reconcile its estimate against an independently produced number faces an incentive to surface unresolved technical risk, to retire assumptions about analog applicability, and to harden cost estimating relationships in advance of the confirmation gate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5">
        <w:r>
          <w:rPr>
            <w:rStyle w:val="Hyperlink"/>
          </w:rPr>
          <w:t xml:space="preserve">[15]</w:t>
        </w:r>
      </w:hyperlink>
      <w:r>
        <w:t xml:space="preserve">. The construction of cost estimating relationships under thin empirical priors, the dominant concern of the parametric estimating literature, is valuable precisely because it feeds this confirmation discipline; the relationship’s accuracy in isolation is less consequential than its capacity to anchor a defensible confirmation</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w:t>
      </w:r>
    </w:p>
    <w:p>
      <w:pPr>
        <w:pStyle w:val="BodyText"/>
        <w:spacing w:line="480" w:lineRule="auto"/>
        <w:ind w:firstLine="720"/>
      </w:pPr>
      <w:r>
        <w:t xml:space="preserve">The oversight discipline mechanism predicts that the procedural treatment alters the program’s behavior before confirmation, not only the number that gets confirmed. Programs facing a binding independent estimate should arrive at confirmation with fewer unretired assumptions, fewer immature driving subsystems, and fewer scope ambiguities than programs confirmed on the program office estimate alone. This generates a secondary observable implication that the dissertation can probe: covariate continuity at the threshold should hold for unmanipulable program attributes such as scientific scope class, but may not hold for manipulable attributes such as the technology readiness level of driving subsystems at confirmation, because the procedural treatment may shift the latter through anticipatory discipline. The chapter does not formalize this as a separate hypothesis, because the regression discontinuity is a test of the joint effect of both mechanisms on the outcome, but it informs the validity diagnostics that subsequent chapters will report.</w:t>
      </w:r>
    </w:p>
    <w:bookmarkEnd w:id="86"/>
    <w:bookmarkStart w:id="87" w:name="X63282e603768b5060dc20c71ed62008439d621f"/>
    <w:p>
      <w:pPr>
        <w:pStyle w:val="Heading3"/>
        <w:spacing w:line="480" w:lineRule="auto"/>
      </w:pPr>
      <w:r>
        <w:t xml:space="preserve">3.3.3 Why Both Mechanisms Predict the Same Sign</w:t>
      </w:r>
    </w:p>
    <w:p>
      <w:pPr>
        <w:pStyle w:val="FirstParagraph"/>
        <w:spacing w:line="480" w:lineRule="auto"/>
      </w:pPr>
      <w:r>
        <w:t xml:space="preserve">Both mechanisms predict that the procedural treatment lowers subsequent percentage cost growth from the confirmed baseline. The reserve posture mechanism does so by raising the baseline against which growth is measured, so that a fixed dollar surprise registers as a smaller percentage. The oversight discipline mechanism does so by reducing the magnitude of the surprises themselves, through anticipatory retirement of risk before confirmation. The two mechanisms are not separately identifiable in the regression discontinuity design, and the dissertation does not attempt to decompose them. The theoretical claim under test is the joint claim that the procedural treatment, through whichever mechanism dominates, reduces realized percentage cost growth. The companion survival papers are consistent with this joint claim through their protective hazard ratios on the independent-estimate covariate, although neither paper attains conventional significance against the small NASA major-program population</w:t>
      </w:r>
      <w:r>
        <w:t xml:space="preserve"> </w:t>
      </w:r>
      <w:hyperlink w:anchor="ref-7">
        <w:r>
          <w:rPr>
            <w:rStyle w:val="Hyperlink"/>
          </w:rPr>
          <w:t xml:space="preserve">[7]</w:t>
        </w:r>
      </w:hyperlink>
      <w:r>
        <w:t xml:space="preserve">.</w:t>
      </w:r>
    </w:p>
    <w:bookmarkEnd w:id="87"/>
    <w:bookmarkEnd w:id="88"/>
    <w:bookmarkStart w:id="89" w:name="X37c93a217bee2b7b4c7b47b356e034dd093d6f8"/>
    <w:p>
      <w:pPr>
        <w:pStyle w:val="Heading2"/>
        <w:spacing w:line="480" w:lineRule="auto"/>
      </w:pPr>
      <w:r>
        <w:t xml:space="preserve">3.4 The Causal Logic and Identifying Assumptions</w:t>
      </w:r>
    </w:p>
    <w:p>
      <w:pPr>
        <w:pStyle w:val="FirstParagraph"/>
        <w:spacing w:line="480" w:lineRule="auto"/>
      </w:pPr>
      <w:r>
        <w:t xml:space="preserve">The dissertation’s causal claim rests on a sharply local identification strategy. NASA and its oversight bodies mandate an independent cost and schedule estimate for programs whose estimated life-cycle cost exceeds a fixed dollar threshold; programs below the threshold are confirmed on the program office estimate. The running variable is the program’s pre-confirmation cost estimate; the threshold is the mandate cutoff. The treatment indicator switches at the cutoff. In a neighborhood of the cutoff, assignment to treatment is plausibly as good as random with respect to unobserved determinants of subsequent cost growth, provided three conditions hold.</w:t>
      </w:r>
    </w:p>
    <w:p>
      <w:pPr>
        <w:pStyle w:val="BodyText"/>
        <w:spacing w:line="480" w:lineRule="auto"/>
        <w:ind w:firstLine="720"/>
      </w:pPr>
      <w:r>
        <w:t xml:space="preserve">Begin with continuity of potential outcomes at the threshold. The expected percentage cost growth a program would realize in the absence of treatment, and the expected growth it would realize under treatment, must each be continuous functions of the running variable at the cutoff. Discontinuity in observed outcomes at the cutoff is then attributable to the discontinuity in treatment assignment rather than to a jump in the underlying potential outcomes. This is a substantive assumption about the world. It is plausible at the cutoff because the cost class of a program does not change discretely as its estimate crosses a dollar threshold; a program priced one dollar above the threshold is essentially the same program as one priced one dollar below.</w:t>
      </w:r>
    </w:p>
    <w:p>
      <w:pPr>
        <w:pStyle w:val="BodyText"/>
        <w:spacing w:line="480" w:lineRule="auto"/>
        <w:ind w:firstLine="720"/>
      </w:pPr>
      <w:r>
        <w:t xml:space="preserve">Second, no manipulation of the running variable. Program offices must not systematically price their pre-confirmation estimate just below the threshold to avoid the procedural treatment. Such bunching would render the assignment near the cutoff non-random, because the programs that landed just below would differ from those that landed just above in precisely the unobserved characteristic the design seeks to neutralize. The McCrary density test on the running variable, supplemented by visual inspection of the histogram at the cutoff, provides the diagnostic. Evidence of manipulation would force a bounding analysis rather than a point estimate.</w:t>
      </w:r>
    </w:p>
    <w:p>
      <w:pPr>
        <w:pStyle w:val="BodyText"/>
        <w:spacing w:line="480" w:lineRule="auto"/>
        <w:ind w:firstLine="720"/>
      </w:pPr>
      <w:r>
        <w:t xml:space="preserve">The third condition is exclusion: the cutoff must affect cost growth only through its effect on the procedural treatment. If the cutoff also triggers a separate institutional process that independently shapes outcomes, the discontinuity in outcomes confounds the treatment with the secondary process. The institutional record is reassuring on this point, because the independent estimate is the threshold’s defining policy instrument</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 but the dissertation will document any secondary mandates that the cutoff also triggers and will probe their independent effect through placebo cutoffs at thresholds that activate adjacent processes without activating the independent-estimate mandate.</w:t>
      </w:r>
    </w:p>
    <w:p>
      <w:pPr>
        <w:pStyle w:val="BodyText"/>
        <w:spacing w:line="480" w:lineRule="auto"/>
        <w:ind w:firstLine="720"/>
      </w:pPr>
      <w:r>
        <w:t xml:space="preserve">The estimand recovered under these conditions is the local average treatment effect at the policy threshold, the difference in expected percentage cost growth between marginally treated and marginally untreated programs in the neighborhood of the cutoff. This is a narrower claim than an average treatment effect across the full portfolio. It is the claim that policy can actually act on, because policy moves the threshold rather than reaching into the interior of the cost distribution. The dissertation states this interpretation plainly and does not extrapolate beyond the neighborhood of the cutoff.</w:t>
      </w:r>
    </w:p>
    <w:bookmarkEnd w:id="89"/>
    <w:bookmarkStart w:id="90" w:name="formal-hypotheses"/>
    <w:p>
      <w:pPr>
        <w:pStyle w:val="Heading2"/>
        <w:spacing w:line="480" w:lineRule="auto"/>
      </w:pPr>
      <w:r>
        <w:t xml:space="preserve">3.5 Formal Hypotheses</w:t>
      </w:r>
    </w:p>
    <w:p>
      <w:pPr>
        <w:pStyle w:val="FirstParagraph"/>
        <w:spacing w:line="480" w:lineRule="auto"/>
      </w:pPr>
      <w:r>
        <w:t xml:space="preserve">Let Y denote the percentage change between a program’s confirmed baseline life-cycle cost and its latest reported estimate at completion, measured at a fixed post-confirmation horizon. Let D denote the binary treatment indicator equal to one if a binding independent cost and schedule estimate was applied at the confirmation milestone and zero otherwise. Let X denote the running variable, the program’s pre-confirmation cost estimate, and let c denote the policy threshold above which D is mandated. Let Z denote the vector of conditioning covariates comprising program scope class and the technology readiness level of the driving subsystem at confirmation. The dissertation states two hypotheses about the local average treatment effect at the cutoff.</w:t>
      </w:r>
    </w:p>
    <w:p>
      <w:pPr>
        <w:pStyle w:val="BodyText"/>
        <w:spacing w:line="480" w:lineRule="auto"/>
        <w:ind w:firstLine="720"/>
      </w:pPr>
      <w:r>
        <w:rPr>
          <w:b/>
          <w:bCs/>
        </w:rPr>
        <w:t xml:space="preserve">H0 (Null Hypothesis).</w:t>
      </w:r>
      <w:r>
        <w:t xml:space="preserve"> </w:t>
      </w:r>
      <w:r>
        <w:t xml:space="preserve">Conditional on Z, the local average treatment effect of D on Y at the threshold X equal to c is zero. Formally,</w:t>
      </w:r>
    </w:p>
    <w:p>
      <w:pPr>
        <w:pStyle w:val="BodyText"/>
        <w:spacing w:line="480" w:lineRule="auto"/>
        <w:ind w:firstLine="720"/>
      </w:pPr>
      <w:r>
        <w:t xml:space="preserve">τ(c) = E[Y(1) − Y(0) | X = c, Z] = 0.</w:t>
      </w:r>
    </w:p>
    <w:p>
      <w:pPr>
        <w:pStyle w:val="BodyText"/>
        <w:spacing w:line="480" w:lineRule="auto"/>
        <w:ind w:firstLine="720"/>
      </w:pPr>
      <w:r>
        <w:t xml:space="preserve">Under H0, the procedural treatment of commissioning a binding independent cost and schedule estimate at confirmation has no effect on subsequent percentage cost growth from the confirmed baseline among programs in the neighborhood of the policy threshold. Any apparent association between the treatment and the outcome is attributable to the confounding of treatment with program characteristics that the running variable does not isolate at the cutoff.</w:t>
      </w:r>
    </w:p>
    <w:p>
      <w:pPr>
        <w:pStyle w:val="BodyText"/>
        <w:spacing w:line="480" w:lineRule="auto"/>
        <w:ind w:firstLine="720"/>
      </w:pPr>
      <w:r>
        <w:rPr>
          <w:b/>
          <w:bCs/>
        </w:rPr>
        <w:t xml:space="preserve">H1 (Alternative Hypothesis).</w:t>
      </w:r>
      <w:r>
        <w:t xml:space="preserve"> </w:t>
      </w:r>
      <w:r>
        <w:t xml:space="preserve">Conditional on Z, the local average treatment effect of D on Y at the threshold X equal to c is negative. Formally,</w:t>
      </w:r>
    </w:p>
    <w:p>
      <w:pPr>
        <w:pStyle w:val="BodyText"/>
        <w:spacing w:line="480" w:lineRule="auto"/>
        <w:ind w:firstLine="720"/>
      </w:pPr>
      <w:r>
        <w:t xml:space="preserve">τ(c) = E[Y(1) − Y(0) | X = c, Z] &lt; 0.</w:t>
      </w:r>
    </w:p>
    <w:p>
      <w:pPr>
        <w:pStyle w:val="BodyText"/>
        <w:spacing w:line="480" w:lineRule="auto"/>
        <w:ind w:firstLine="720"/>
      </w:pPr>
      <w:r>
        <w:t xml:space="preserve">Under H1, the procedural treatment reduces subsequent percentage cost growth from the confirmed baseline among programs in the neighborhood of the policy threshold. The reduction reflects the joint operation of the reserve posture and oversight discipline mechanisms described in section 3.3, integrated over whatever portion of the pre-confirmation behavior and the post-confirmation reserve trajectory each mechanism dominates.</w:t>
      </w:r>
    </w:p>
    <w:p>
      <w:pPr>
        <w:pStyle w:val="BodyText"/>
        <w:spacing w:line="480" w:lineRule="auto"/>
        <w:ind w:firstLine="720"/>
      </w:pPr>
      <w:r>
        <w:t xml:space="preserve">The hypotheses are falsifiable in the strict Popperian sense. A point estimate of τ(c) that is positive, regardless of its precision, contradicts H1 and is consistent with H0. A point estimate of τ(c) that is negative but statistically indistinguishable from zero at conventional thresholds fails to reject H0, and the dissertation will report such a result as inconclusive rather than as confirmation of the mechanism. Only a point estimate of τ(c) that is negative and statistically distinguishable from zero, robust across the specification curve, rejects H0 in favor of H1. The companion survival papers, which estimate hazard ratios rather than cost-growth treatment effects, are not direct tests of H0 and H1; they motivate the dissertation by establishing that the protective sign is present at the program-portfolio level and that the question is alive</w:t>
      </w:r>
      <w:r>
        <w:t xml:space="preserve"> </w:t>
      </w:r>
      <w:hyperlink w:anchor="ref-7">
        <w:r>
          <w:rPr>
            <w:rStyle w:val="Hyperlink"/>
          </w:rPr>
          <w:t xml:space="preserve">[7]</w:t>
        </w:r>
      </w:hyperlink>
      <w:r>
        <w:t xml:space="preserve">.</w:t>
      </w:r>
    </w:p>
    <w:bookmarkEnd w:id="90"/>
    <w:bookmarkStart w:id="91" w:name="X09be93c1e590f9075750da54e921bc5081c4ee7"/>
    <w:p>
      <w:pPr>
        <w:pStyle w:val="Heading2"/>
        <w:spacing w:line="480" w:lineRule="auto"/>
      </w:pPr>
      <w:r>
        <w:t xml:space="preserve">3.6 Secondary Confirmatory Test on Schedule Slip</w:t>
      </w:r>
    </w:p>
    <w:p>
      <w:pPr>
        <w:pStyle w:val="FirstParagraph"/>
        <w:spacing w:line="480" w:lineRule="auto"/>
      </w:pPr>
      <w:r>
        <w:t xml:space="preserve">The dissertation pre-registers a secondary confirmatory test using the identical regression discontinuity design with schedule slip as the outcome. Let S denote the percentage change between the confirmed baseline launch readiness date and the latest reported launch readiness date at the same post-confirmation horizon. The secondary hypotheses are stated in parallel form: H0’ that the local average treatment effect of D on S at the threshold is zero, and H1’ that the effect is negative. The theoretical mechanism in section 3.3 predicts the same protective sign on schedule slip as on cost growth, because schedule slip is itself a leading mechanism through which cost growth accrues on NASA major programs</w:t>
      </w:r>
      <w:r>
        <w:t xml:space="preserve"> </w:t>
      </w:r>
      <w:hyperlink w:anchor="ref-12">
        <w:r>
          <w:rPr>
            <w:rStyle w:val="Hyperlink"/>
          </w:rPr>
          <w:t xml:space="preserve">[12]</w:t>
        </w:r>
      </w:hyperlink>
      <w:r>
        <w:t xml:space="preserve">. The schedule test is confirmatory rather than primary because the primary outcome, percentage cost growth, is the one against which the mandate threshold is institutionally set and against which the explanation-of-change literature is organized</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schedule result that points the same protective direction as the cost result strengthens the inference; a schedule result that points the opposite direction would qualify the inference even if the cost result rejects H0.</w:t>
      </w:r>
    </w:p>
    <w:bookmarkEnd w:id="91"/>
    <w:bookmarkStart w:id="92" w:name="X53d111e90893eb550faa0935bca1366562fe335"/>
    <w:p>
      <w:pPr>
        <w:pStyle w:val="Heading2"/>
        <w:spacing w:line="480" w:lineRule="auto"/>
      </w:pPr>
      <w:r>
        <w:t xml:space="preserve">3.7 What the Theoretical Framework Does Not Claim</w:t>
      </w:r>
    </w:p>
    <w:p>
      <w:pPr>
        <w:pStyle w:val="FirstParagraph"/>
        <w:spacing w:line="480" w:lineRule="auto"/>
      </w:pPr>
      <w:r>
        <w:t xml:space="preserve">The framework deliberately stops short of three claims that the prior literature has sometimes attempted. It does not claim that the estimating instrument deployed inside the procedural treatment is the source of the effect; the design holds the instrument constant in expectation at the cutoff and recovers a procedural effect averaged over whatever instruments are deployed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It does not claim that estimating quality is the source of the effect; the design recovers the effect of the procedure rather than of the quality of any particular estimate the procedure produces. It does not claim that the local average treatment effect at the threshold generalizes to programs far from the threshold; the design is sharply local, and the dissertation does not extrapolate to the interior of the cost distribution or to programs of unusual scope.</w:t>
      </w:r>
    </w:p>
    <w:p>
      <w:pPr>
        <w:pStyle w:val="BodyText"/>
        <w:spacing w:line="480" w:lineRule="auto"/>
        <w:ind w:firstLine="720"/>
      </w:pPr>
      <w:r>
        <w:t xml:space="preserve">The framework also deliberately stops short of claiming that the procedural treatment is sufficient for program success. The survival evidence in paper one identifies technology readiness level at confirmation as the most decisive measured driver of breach timing, with a hazard ratio of 0.330 on TRL and a confidence interval entirely below one</w:t>
      </w:r>
      <w:r>
        <w:t xml:space="preserve"> </w:t>
      </w:r>
      <w:hyperlink w:anchor="ref-7">
        <w:r>
          <w:rPr>
            <w:rStyle w:val="Hyperlink"/>
          </w:rPr>
          <w:t xml:space="preserve">[7]</w:t>
        </w:r>
      </w:hyperlink>
      <w:r>
        <w:t xml:space="preserve">. The reserve posture and oversight discipline mechanisms operate on the financial trajectory of a confirmed program, not on its technical feasibility. A program confirmed against a rigorously independent baseline with an immature driving subsystem inherits a breach hazard that the procedural treatment alone does not neutralize. The hypotheses tested here are about the marginal effect of the procedural treatment on the cost-growth distribution, not about the multivariate determinants of program success. The dissertation states this scope limitation plainly in the discussion chapters and resists the temptation, common in the practitioner literature, to translate a localized procedural effect into a global program-management prescription.</w:t>
      </w:r>
    </w:p>
    <w:bookmarkEnd w:id="92"/>
    <w:bookmarkStart w:id="93" w:name="bridge-to-the-empirical-chapters"/>
    <w:p>
      <w:pPr>
        <w:pStyle w:val="Heading2"/>
        <w:spacing w:line="480" w:lineRule="auto"/>
      </w:pPr>
      <w:r>
        <w:t xml:space="preserve">3.8 Bridge to the Empirical Chapters</w:t>
      </w:r>
    </w:p>
    <w:p>
      <w:pPr>
        <w:pStyle w:val="FirstParagraph"/>
        <w:spacing w:line="480" w:lineRule="auto"/>
      </w:pPr>
      <w:r>
        <w:t xml:space="preserve">The hypotheses stated in section 3.5 are the falsifiable claims the remainder of the dissertation tests. Chapter four describes the panel construction from the NASA major program annual report and the Government Accountability Office annual assessment series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including the coding of D, Y, S, X, and Z from documented fields that both source families already publish. Chapter five specifies the regression discontinuity estimator, the data-driven mean-squared-error-optimal bandwidth, the bias-corrected robust confidence interval, and the specification curve over bandwidth, polynomial order, and covariate sets. Chapter six reports the validity diagnostics, including the McCrary density test, covariate continuity at the threshold, and placebo cutoffs. Chapter seven reports the primary estimate of τ(c) on percentage cost growth and the secondary estimate on schedule slip, with the schedule estimate read as confirmatory of the cost estimate under the theoretical framework articulated above. Chapter eight discusses what the result implies for the dissertation’s central question, what it does not imply, and what the residual local-average-treatment-effect interpretation entails for policy. The theoretical framework presented in this chapter is the structure those empirical chapters either confirm or fail to confirm. It does not anticipate their result.</w:t>
      </w:r>
    </w:p>
    <w:bookmarkEnd w:id="93"/>
    <w:bookmarkEnd w:id="94"/>
    <w:bookmarkStart w:id="106" w:name="chapter-4.-data-and-measurement"/>
    <w:p>
      <w:pPr>
        <w:pStyle w:val="Heading1"/>
        <w:spacing w:line="480" w:lineRule="auto"/>
      </w:pPr>
      <w:r>
        <w:t xml:space="preserve">Chapter 4. Data and Measurement</w:t>
      </w:r>
    </w:p>
    <w:bookmarkStart w:id="95" w:name="purpose-and-position-of-this-chapter"/>
    <w:p>
      <w:pPr>
        <w:pStyle w:val="Heading2"/>
        <w:spacing w:line="480" w:lineRule="auto"/>
      </w:pPr>
      <w:r>
        <w:t xml:space="preserve">4.1 Purpose and Position of This Chapter</w:t>
      </w:r>
    </w:p>
    <w:p>
      <w:pPr>
        <w:pStyle w:val="FirstParagraph"/>
        <w:spacing w:line="480" w:lineRule="auto"/>
      </w:pPr>
      <w:r>
        <w:t xml:space="preserve">The two empirical papers that anchor this dissertation share a single research object, the NASA major project, and a single treatment of interest, the binding application of an independent cost and schedule estimate at the confirmation milestone. They differ in how they convert that shared object into measurable quantities. Paper 1 treats time-to-first-breach as the outcome and fits a Cox proportional-hazards model on thirty-eight projects drawn from the Government Accountability Office annual assessments. Paper 2 treats the time to crossing the statutory fifteen percent development cost growth threshold as the outcome and fits a Cox proportional-hazards model on twenty-eight projects drawn from the same documentary record, supplemented by mission-specific NASA and inspector-general material. Because the two analyses depend on the same primary records but invoke different selection windows, different breach definitions, and partially different covariate constructions, the data and measurement chapter must do two things at once. It must describe each panel transparently enough that an outside reader can reconstruct it, and it must reconcile the two panels so that the dissertation as a whole rests on a single, coherent measurement framework rather than on two ad hoc datasets that happen to share a label.</w:t>
      </w:r>
    </w:p>
    <w:p>
      <w:pPr>
        <w:pStyle w:val="BodyText"/>
        <w:spacing w:line="480" w:lineRule="auto"/>
        <w:ind w:firstLine="720"/>
      </w:pPr>
      <w:r>
        <w:t xml:space="preserve">The chapter is organized accordingly. Section 4.2 names the authoritative documentary sources and explains why each is treated as primary rather than as a secondary aggregator. Section 4.3 fixes the unit of analysis and defines the population, including the rule under which a project enters either panel. Sections 4.4 through 4.8 specify each variable in turn: the duration variable, the breach event, the independent estimating treatment, the scope and complexity controls, and the technology readiness and crewed indicators. Section 4.9 reports the construction of the cross-walk between Paper 1 and Paper 2 and identifies the small set of projects that appear in only one. Section 4.10 documents the provenance discipline applied to every row, including the source field carried in the final column of each dataset. Section 4.11 enumerates the measurement limitations the dissertation accepts and the conventions adopted to handle ranges, midpoints, and the single illustrative observation acknowledged in Paper 1.</w:t>
      </w:r>
    </w:p>
    <w:bookmarkEnd w:id="95"/>
    <w:bookmarkStart w:id="96" w:name="authoritative-sources"/>
    <w:p>
      <w:pPr>
        <w:pStyle w:val="Heading2"/>
        <w:spacing w:line="480" w:lineRule="auto"/>
      </w:pPr>
      <w:r>
        <w:t xml:space="preserve">4.2 Authoritative Sources</w:t>
      </w:r>
    </w:p>
    <w:p>
      <w:pPr>
        <w:pStyle w:val="FirstParagraph"/>
        <w:spacing w:line="480" w:lineRule="auto"/>
      </w:pPr>
      <w:r>
        <w:t xml:space="preserve">The dissertation draws its primary data from three families of public record, ordered from most general to most project-specific.</w:t>
      </w:r>
    </w:p>
    <w:p>
      <w:pPr>
        <w:pStyle w:val="BodyText"/>
        <w:spacing w:line="480" w:lineRule="auto"/>
        <w:ind w:firstLine="720"/>
      </w:pPr>
      <w:r>
        <w:t xml:space="preserve">Start with the broadest record. The first family is the Government Accountability Office annual assessment series,</w:t>
      </w:r>
      <w:r>
        <w:t xml:space="preserve"> </w:t>
      </w:r>
      <w:r>
        <w:rPr>
          <w:i/>
          <w:iCs/>
        </w:rPr>
        <w:t xml:space="preserve">NASA: Assessments of Selected Large-Scale Projects</w:t>
      </w:r>
      <w:r>
        <w:t xml:space="preserve"> </w:t>
      </w:r>
      <w:r>
        <w:t xml:space="preserve">and, in later years,</w:t>
      </w:r>
      <w:r>
        <w:t xml:space="preserve"> </w:t>
      </w:r>
      <w:r>
        <w:rPr>
          <w:i/>
          <w:iCs/>
        </w:rPr>
        <w:t xml:space="preserve">NASA: Assessments of Major Projects</w:t>
      </w:r>
      <w:r>
        <w:t xml:space="preserve">. The series begins with GAO-09-306SP in March 2009 and runs through GAO-25-107591 issued in July 2025</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Each annual assessment reports, project by project, the confirmation baseline life-cycle cost in then-year and constant-year dollars, the current estimate at completion, the baseline launch readiness date, the current launch readiness date, the confirmation milestone (Key Decision Point C) date, the project’s mission directorate, and a narrative discussion of cost and schedule performance, technical challenges, and management interventions including the application of independent cost and schedule estimates. The series is congressionally mandated, methodologically stable across editions, and audited under generally accepted government auditing standards, which makes it the canonical record for both papers’ construction of duration, censoring, and cost growth. Paper 1 cites the bookends of the series explicitly, GAO-09-306SP and GAO-25-107591, to mark the temporal span across which projects are observed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Paper 2 likewise treats GAO-25-107591 as its portfolio classification anchor and uses prior assessments to recover earlier baseline figures and to establish breach status</w:t>
      </w:r>
      <w:r>
        <w:t xml:space="preserve"> </w:t>
      </w:r>
      <w:hyperlink w:anchor="ref-1">
        <w:r>
          <w:rPr>
            <w:rStyle w:val="Hyperlink"/>
          </w:rPr>
          <w:t xml:space="preserve">[1]</w:t>
        </w:r>
      </w:hyperlink>
      <w:r>
        <w:t xml:space="preserve">.</w:t>
      </w:r>
    </w:p>
    <w:p>
      <w:pPr>
        <w:pStyle w:val="BodyText"/>
        <w:spacing w:line="480" w:lineRule="auto"/>
        <w:ind w:firstLine="720"/>
      </w:pPr>
      <w:r>
        <w:t xml:space="preserve">Next is the NASA Technical Reports Server, which holds the agency’s authoritative methodological documentation for cost and schedule estimating practice. Four documents here are load-bearing for measurement decisions. NASA’s Joint Confidence Level policy guidance and its analytical predecessors establish the formal definition of the independent estimating treatment that the dissertation codes</w:t>
      </w:r>
      <w:r>
        <w:t xml:space="preserve"> </w:t>
      </w:r>
      <w:hyperlink w:anchor="ref-8">
        <w:r>
          <w:rPr>
            <w:rStyle w:val="Hyperlink"/>
          </w:rPr>
          <w:t xml:space="preserve">[8]</w:t>
        </w:r>
      </w:hyperlink>
      <w:r>
        <w:t xml:space="preserve">. The candid policy-history account of resistance to the Joint Confidence Level discipline explains why the treatment indicator is best coded as the binding application of a high-confidence independent estimate with Standing Review Board concurrence rather than as the mere production of an estimating document</w:t>
      </w:r>
      <w:r>
        <w:t xml:space="preserve"> </w:t>
      </w:r>
      <w:hyperlink w:anchor="ref-9">
        <w:r>
          <w:rPr>
            <w:rStyle w:val="Hyperlink"/>
          </w:rPr>
          <w:t xml:space="preserve">[9]</w:t>
        </w:r>
      </w:hyperlink>
      <w:r>
        <w:t xml:space="preserve">. The historical risk-uncertainty factor work and the explanation-of-change studies provide the empirical priors that justify the dissertation’s conditioning covariates and the treatment of schedule slip as a cost mechanism rather than a noise term</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integrated cost-schedule risk analysis guidance and the Standing Review Board handbook fix the procedural meaning of the independent estimate that the treatment indicator records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Last comes mission-specific public reporting, used to recover values that the GAO series records at the portfolio level but does not always print in full. This includes NASA press kits, project status reports, Office of Inspector General audits for the largest projects, and, for confirmation baselines and launch dates that are most cleanly published as time series, the Planetary Society’s cost-and-schedule tabulations. Paper 2 documents this third family explicitly as a source-of-record column in its dataset, naming GAO-25-107591 for portfolio classification, Planetary Society charts and NASA press kits for confirmation baselines and launch dates, and mission-specific NASA and inspector-general records for the larger projects. The estimating literature that motivates the methodological choices, principally the blind validation of SEER-H against NASA mission cost data</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w:t>
      </w:r>
      <w:r>
        <w:t xml:space="preserve">and the parametric and PLS-SEM work on alternative cost estimating relationships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is treated as background rather than as a primary data source.</w:t>
      </w:r>
    </w:p>
    <w:p>
      <w:pPr>
        <w:pStyle w:val="BodyText"/>
        <w:spacing w:line="480" w:lineRule="auto"/>
        <w:ind w:firstLine="720"/>
      </w:pPr>
      <w:r>
        <w:t xml:space="preserve">No proprietary, access-restricted, or contractor-internal records are used. The full set of measurement decisions in this chapter can be reconstructed by an outside researcher with access only to the GAO assessment series, the NASA Technical Reports Server, and the mission-specific public reporting named above.</w:t>
      </w:r>
    </w:p>
    <w:bookmarkEnd w:id="96"/>
    <w:bookmarkStart w:id="97" w:name="unit-of-analysis-and-population"/>
    <w:p>
      <w:pPr>
        <w:pStyle w:val="Heading2"/>
        <w:spacing w:line="480" w:lineRule="auto"/>
      </w:pPr>
      <w:r>
        <w:t xml:space="preserve">4.3 Unit of Analysis and Population</w:t>
      </w:r>
    </w:p>
    <w:p>
      <w:pPr>
        <w:pStyle w:val="FirstParagraph"/>
        <w:spacing w:line="480" w:lineRule="auto"/>
      </w:pPr>
      <w:r>
        <w:t xml:space="preserve">The unit of analysis is the NASA major project that has established a Key Decision Point C cost and schedule baseline. This is the population the Government Accountability Office tracks in its annual major-project assessments and the population to which NASA’s Joint Confidence Level mandate applies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 project enters the population at confirmation and exits when one of three events occurs. It launches, in which case the duration is measured to launch and the breach indicator records whether a statutory breach occurred before launch. It crosses the statutory development cost growth threshold or the schedule slip threshold, in which case the duration is measured to the first such crossing and the breach indicator is set to one. It remains in development at the latest published assessment, in which case the duration is measured to that assessment date and the observation is right-censored with the breach indicator at zero.</w:t>
      </w:r>
    </w:p>
    <w:p>
      <w:pPr>
        <w:pStyle w:val="BodyText"/>
        <w:spacing w:line="480" w:lineRule="auto"/>
        <w:ind w:firstLine="720"/>
      </w:pPr>
      <w:r>
        <w:t xml:space="preserve">Paper 1 applies this rule across the full span of the GAO series, from GAO-09-306SP through GAO-25-107591, yielding thirty-eight projects with twenty-three breach events. Paper 2 applies the same rule but restricts attention to projects whose confirmation date falls between 2009 and 2024, yielding twenty-eight projects with an even split of fourteen breaches and fourteen censorings. The narrower window in Paper 2 reflects the methodological commitment to projects whose confirmation occurred under or after the maturation of the Joint Confidence Level policy regime, where the binary treatment variable carries its sharpest interpretation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Paper 1 deliberately retains pre-2009 confirmations (Kepler, Glory, the Lunar Reconnaissance Orbiter, and Mars Reconnaissance Orbiter) to populate the untreated arm of the survival comparison, which would otherwise rest on an extremely small set of post-mandate exceptions.</w:t>
      </w:r>
    </w:p>
    <w:p>
      <w:pPr>
        <w:pStyle w:val="BodyText"/>
        <w:spacing w:line="480" w:lineRule="auto"/>
        <w:ind w:firstLine="720"/>
      </w:pPr>
      <w:r>
        <w:t xml:space="preserve">The two panels overlap on the post-2009 portfolio. The set difference between the Paper 1 panel and the Paper 2 panel comprises the four named pre-2009 untreated projects and a small number of projects whose Paper 1 inclusion rests on documented but partial reporting that Paper 2’s more demanding source-of-record discipline excludes. The single observation Paper 1 flags as illustrative, a Stratospheric Observatory upgrade for which exact figures were not separately published, is carried in Paper 1 as a sensitivity check and is excluded from Paper 2 entirely. That observation constitutes under three percent of the Paper 1 panel and is removed in robustness analyses reported in the empirical chapters.</w:t>
      </w:r>
    </w:p>
    <w:bookmarkEnd w:id="97"/>
    <w:bookmarkStart w:id="98" w:name="the-duration-variable"/>
    <w:p>
      <w:pPr>
        <w:pStyle w:val="Heading2"/>
        <w:spacing w:line="480" w:lineRule="auto"/>
      </w:pPr>
      <w:r>
        <w:t xml:space="preserve">4.4 The Duration Variable</w:t>
      </w:r>
    </w:p>
    <w:p>
      <w:pPr>
        <w:pStyle w:val="FirstParagraph"/>
        <w:spacing w:line="480" w:lineRule="auto"/>
      </w:pPr>
      <w:r>
        <w:t xml:space="preserve">The duration variable is the number of months from a project’s Key Decision Point C confirmation date to the date of the first observed event, where the event is either a statutory breach or a censoring. Both confirmation dates and event dates are read from the GAO assessment series at the row corresponding to the project in the edition that first records the relevant fact. Where the GAO series reports a confirmation month and year without a day, the first day of the reported month is used and the convention is noted in the source field. Where a project’s confirmation precedes the publication of the first relevant GAO edition, the confirmation date is recovered from the NASA press kit or project status report and cross-checked against the earliest GAO edition that lists the project.</w:t>
      </w:r>
    </w:p>
    <w:p>
      <w:pPr>
        <w:pStyle w:val="BodyText"/>
        <w:spacing w:line="480" w:lineRule="auto"/>
        <w:ind w:firstLine="720"/>
      </w:pPr>
      <w:r>
        <w:t xml:space="preserve">Months are the natural unit here. Duration is measured in months because the statutory schedule slip threshold is denominated in months and because the GAO series reports dates at month resolution. Conversion of dates to months uses calendar months without fractional adjustment, which introduces a maximum measurement error of one month per observation. Across the Paper 1 panel of thirty-eight projects and the Paper 2 panel of twenty-eight projects, this rounding convention does not affect the ordering of event times in any case for which the rank order of breach times bears on the partial likelihood, and the empirical chapters demonstrate this in a sensitivity check that perturbs each duration by plus or minus one month.</w:t>
      </w:r>
    </w:p>
    <w:p>
      <w:pPr>
        <w:pStyle w:val="BodyText"/>
        <w:spacing w:line="480" w:lineRule="auto"/>
        <w:ind w:firstLine="720"/>
      </w:pPr>
      <w:r>
        <w:t xml:space="preserve">Censoring is right-censoring only. No project is left-censored, because every observation enters at its own confirmation date. No interval censoring is applied: even when a breach is reported in a GAO edition that succeeds the edition in which the project was last reported as compliant, the breach date is taken as the date the breach was first reported rather than as an interval. This is the conservative convention with respect to the dissertation’s hypotheses, because it lengthens observed survival times in the treated arm and thereby works against the protective effect H1 predicts.</w:t>
      </w:r>
    </w:p>
    <w:bookmarkEnd w:id="98"/>
    <w:bookmarkStart w:id="99" w:name="the-breach-event"/>
    <w:p>
      <w:pPr>
        <w:pStyle w:val="Heading2"/>
        <w:spacing w:line="480" w:lineRule="auto"/>
      </w:pPr>
      <w:r>
        <w:t xml:space="preserve">4.5 The Breach Event</w:t>
      </w:r>
    </w:p>
    <w:p>
      <w:pPr>
        <w:pStyle w:val="FirstParagraph"/>
        <w:spacing w:line="480" w:lineRule="auto"/>
      </w:pPr>
      <w:r>
        <w:t xml:space="preserve">Two breach definitions are used across the dissertation, and the distinction is the principal measurement difference between the two papers.</w:t>
      </w:r>
    </w:p>
    <w:p>
      <w:pPr>
        <w:pStyle w:val="BodyText"/>
        <w:spacing w:line="480" w:lineRule="auto"/>
        <w:ind w:firstLine="720"/>
      </w:pPr>
      <w:r>
        <w:t xml:space="preserve">Paper 1 defines the breach event as the first crossing of NASA’s congressional re-reporting trigger, which the agency operationalizes as fifteen percent development cost growth from the confirmation baseline or a six-month milestone slip, whichever occurs first. This definition follows the agency’s own re-reporting and rebaselining practice and converts a continuous cost-and-schedule process into the dated event that drives the partial likelihood. Of the thirty-eight Paper 1 projects, twenty-three record such a first breach within their observation window.</w:t>
      </w:r>
    </w:p>
    <w:p>
      <w:pPr>
        <w:pStyle w:val="BodyText"/>
        <w:spacing w:line="480" w:lineRule="auto"/>
        <w:ind w:firstLine="720"/>
      </w:pPr>
      <w:r>
        <w:t xml:space="preserve">Paper 2 narrows the breach event to the first crossing of the statutory fifteen percent development cost growth threshold alone, without the six-month schedule slip clause. This is the sharper of the two definitions and aligns the outcome with the statute that compels congressional notification and rebaselining</w:t>
      </w:r>
      <w:r>
        <w:t xml:space="preserve"> </w:t>
      </w:r>
      <w:hyperlink w:anchor="ref-1">
        <w:r>
          <w:rPr>
            <w:rStyle w:val="Hyperlink"/>
          </w:rPr>
          <w:t xml:space="preserve">[1]</w:t>
        </w:r>
      </w:hyperlink>
      <w:r>
        <w:t xml:space="preserve">. Of the twenty-eight Paper 2 projects, fourteen record a development-cost breach and fourteen are censored at launch or at the latest assessment.</w:t>
      </w:r>
    </w:p>
    <w:p>
      <w:pPr>
        <w:pStyle w:val="BodyText"/>
        <w:spacing w:line="480" w:lineRule="auto"/>
        <w:ind w:firstLine="720"/>
      </w:pPr>
      <w:r>
        <w:t xml:space="preserve">The two definitions are not in conflict. The Paper 1 definition is the inclusive operationalization the agency uses to trigger re-reporting, and the Paper 2 definition is its development-cost component isolated for the cleanest possible mapping to the statutory dollar threshold. A project that breaches under Paper 2 also breaches under Paper 1 by construction; the converse does not hold, because schedule-only breaches in Paper 1 are censored in Paper 2 at the date the schedule slip was reported. The dissertation reports both estimates in the empirical chapters and treats their joint pattern as the substantive finding rather than privileging either in isolation.</w:t>
      </w:r>
    </w:p>
    <w:p>
      <w:pPr>
        <w:pStyle w:val="BodyText"/>
        <w:spacing w:line="480" w:lineRule="auto"/>
        <w:ind w:firstLine="720"/>
      </w:pPr>
      <w:r>
        <w:t xml:space="preserve">Cost growth is computed from the confirmation baseline life-cycle cost estimate reported in the GAO edition that first records the project’s confirmed baseline, denominated in then-year dollars to align with the agency’s own re-reporting computation. The current estimate at completion is read from each subsequent GAO edition in which the project appears. The percentage growth is the difference divided by the confirmation baseline, and the breach date is the first edition in which that percentage equals or exceeds fifteen.</w:t>
      </w:r>
    </w:p>
    <w:bookmarkEnd w:id="99"/>
    <w:bookmarkStart w:id="100" w:name="the-independent-estimating-treatment"/>
    <w:p>
      <w:pPr>
        <w:pStyle w:val="Heading2"/>
        <w:spacing w:line="480" w:lineRule="auto"/>
      </w:pPr>
      <w:r>
        <w:t xml:space="preserve">4.6 The Independent Estimating Treatment</w:t>
      </w:r>
    </w:p>
    <w:p>
      <w:pPr>
        <w:pStyle w:val="FirstParagraph"/>
        <w:spacing w:line="480" w:lineRule="auto"/>
      </w:pPr>
      <w:r>
        <w:t xml:space="preserve">Treatment is a binary indicator recording whether a project’s confirmation baseline was set under a binding independent cost and schedule estimating process. The coding rule is the same across both papers and rests on three conjunctive conditions. The confirmation baseline must have been computed under a Joint Confidence Level analysis at NASA’s policy confidence point, in practice the seventy percent confidence level, rather than as a point estimate negotiated to an available budget</w:t>
      </w:r>
      <w:r>
        <w:t xml:space="preserve"> </w:t>
      </w:r>
      <w:hyperlink w:anchor="ref-8">
        <w:r>
          <w:rPr>
            <w:rStyle w:val="Hyperlink"/>
          </w:rPr>
          <w:t xml:space="preserve">[8]</w:t>
        </w:r>
      </w:hyperlink>
      <w:r>
        <w:t xml:space="preserve">. The analysis must have produced a probabilistic distribution of cost and schedule outcomes rather than a single deterministic figure, as the integrated cost-schedule risk analysis guidance specifies</w:t>
      </w:r>
      <w:r>
        <w:t xml:space="preserve"> </w:t>
      </w:r>
      <w:hyperlink w:anchor="ref-13">
        <w:r>
          <w:rPr>
            <w:rStyle w:val="Hyperlink"/>
          </w:rPr>
          <w:t xml:space="preserve">[13]</w:t>
        </w:r>
      </w:hyperlink>
      <w:r>
        <w:t xml:space="preserve">. The result must have received Standing Review Board concurrence as documented in the board’s handbook procedures and reflected in the GAO record</w:t>
      </w:r>
      <w:r>
        <w:t xml:space="preserve"> </w:t>
      </w:r>
      <w:hyperlink w:anchor="ref-14">
        <w:r>
          <w:rPr>
            <w:rStyle w:val="Hyperlink"/>
          </w:rPr>
          <w:t xml:space="preserve">[14]</w:t>
        </w:r>
      </w:hyperlink>
      <w:r>
        <w:t xml:space="preserve">. A project that satisfies all three conditions is coded as treated; a project that fails any one is coded as untreated.</w:t>
      </w:r>
    </w:p>
    <w:p>
      <w:pPr>
        <w:pStyle w:val="BodyText"/>
        <w:spacing w:line="480" w:lineRule="auto"/>
        <w:ind w:firstLine="720"/>
      </w:pPr>
      <w:r>
        <w:t xml:space="preserve">Two coding decisions warrant explicit statement. First, the variable records whether the discipline was applied, not how well the underlying confidence-level computation was executed. The papers concede this limitation directly. The policy-history record makes clear that confidence-level analyses have at times been resisted or reverse-engineered toward a desired number, and the Standing Review Board’s role is the institutional check against precisely that pathology</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 The dissertation cannot independently audit the internal quality of each computation and so codes the procedural treatment that policy can in fact assign. Second, the variable is coded at confirmation, not updated for subsequent reanalyses. A project that confirmed without a binding independent estimate and that later received one in connection with a rebaseline is treated as untreated for the purpose of this dissertation, because the relevant counterfactual is the confirmation decision rather than the recovery action.</w:t>
      </w:r>
    </w:p>
    <w:p>
      <w:pPr>
        <w:pStyle w:val="BodyText"/>
        <w:spacing w:line="480" w:lineRule="auto"/>
        <w:ind w:firstLine="720"/>
      </w:pPr>
      <w:r>
        <w:t xml:space="preserve">Across the Paper 1 panel, twenty-seven of thirty-eight projects are coded as treated and eleven as untreated. The treated arm draws principally from post-2009 confirmations (Psyche, Europa Clipper, Roman, and the Space Launch System triad among them), and the untreated arm draws from pre-2009 confirmations (Kepler, Glory, the Lunar Reconnaissance Orbiter, and Mars Reconnaissance Orbiter among them). The Paper 2 panel, which restricts to the 2009 through 2024 confirmation window, contains fewer untreated projects and reports a correspondingly wider confidence interval on the treatment coefficient, an imprecision the empirical chapters interpret as a feature of the population rather than as a remediable sampling choice.</w:t>
      </w:r>
    </w:p>
    <w:bookmarkEnd w:id="100"/>
    <w:bookmarkStart w:id="101" w:name="Xc0b8c8578e970efa17f00aa33888aa1dad45620"/>
    <w:p>
      <w:pPr>
        <w:pStyle w:val="Heading2"/>
        <w:spacing w:line="480" w:lineRule="auto"/>
      </w:pPr>
      <w:r>
        <w:t xml:space="preserve">4.7 Scope, Complexity, and Confounding Covariates</w:t>
      </w:r>
    </w:p>
    <w:p>
      <w:pPr>
        <w:pStyle w:val="FirstParagraph"/>
        <w:spacing w:line="480" w:lineRule="auto"/>
      </w:pPr>
      <w:r>
        <w:t xml:space="preserve">The dissertation conditions on a small set of covariates chosen for theoretical priority and documentary availability rather than for breadth. Adding covariates the GAO series does not consistently publish would force imputation that the small samples do not support.</w:t>
      </w:r>
    </w:p>
    <w:p>
      <w:pPr>
        <w:pStyle w:val="BodyText"/>
        <w:spacing w:line="480" w:lineRule="auto"/>
        <w:ind w:firstLine="720"/>
      </w:pPr>
      <w:r>
        <w:t xml:space="preserve">Begin with size. The first covariate is the natural log of the confirmation baseline life-cycle cost, expressed in billions of dollars. This is the scope and complexity proxy used in both papers, on the standard rationale that integration risk scales with program size and that the log transformation handles the right-skewed distribution of major-project costs</w:t>
      </w:r>
      <w:r>
        <w:t xml:space="preserve"> </w:t>
      </w:r>
      <w:hyperlink w:anchor="ref-15">
        <w:r>
          <w:rPr>
            <w:rStyle w:val="Hyperlink"/>
          </w:rPr>
          <w:t xml:space="preserve">[15]</w:t>
        </w:r>
      </w:hyperlink>
      <w:r>
        <w:t xml:space="preserve">. The confirmation baseline figure is read from the GAO edition that first records it, and the log transformation is applied to the then-year dollar value to maintain comparability with the breach computation.</w:t>
      </w:r>
    </w:p>
    <w:p>
      <w:pPr>
        <w:pStyle w:val="BodyText"/>
        <w:spacing w:line="480" w:lineRule="auto"/>
        <w:ind w:firstLine="720"/>
      </w:pPr>
      <w:r>
        <w:t xml:space="preserve">The second covariate, used in Paper 2, is the crewed indicator. It takes the value one for human-spaceflight projects (in the dissertation panel, the Artemis-line projects and the Space Launch System triad) and zero for robotic science missions. The rationale is documented in the GAO portfolio assessments, which observe that a small number of interdependent crewed projects account for a disproportionate share of accumulated overruns and that interdependence across the human-spaceflight portfolio raises the hazard of breach in each individual project</w:t>
      </w:r>
      <w:r>
        <w:t xml:space="preserve"> </w:t>
      </w:r>
      <w:hyperlink w:anchor="ref-1">
        <w:r>
          <w:rPr>
            <w:rStyle w:val="Hyperlink"/>
          </w:rPr>
          <w:t xml:space="preserve">[1]</w:t>
        </w:r>
      </w:hyperlink>
      <w:r>
        <w:t xml:space="preserve">.</w:t>
      </w:r>
    </w:p>
    <w:p>
      <w:pPr>
        <w:pStyle w:val="BodyText"/>
        <w:spacing w:line="480" w:lineRule="auto"/>
        <w:ind w:firstLine="720"/>
      </w:pPr>
      <w:r>
        <w:t xml:space="preserve">The third covariate, used in Paper 1, is the technology readiness level of the driving subsystem at confirmation. This integer-valued variable, on the standard nine-point NASA scale, is read from the GAO edition that records the project’s confirmation status and cross-checked against NASA project documentation. The choice of</w:t>
      </w:r>
      <w:r>
        <w:t xml:space="preserve"> </w:t>
      </w:r>
      <w:r>
        <w:t xml:space="preserve">“driving subsystem”</w:t>
      </w:r>
      <w:r>
        <w:t xml:space="preserve"> </w:t>
      </w:r>
      <w:r>
        <w:t xml:space="preserve">follows the GAO series’s own narrative convention, which identifies in each project assessment the subsystem most consequential to development risk. Where two subsystems are jointly identified as driving, the lower readiness level is taken, as the conservative convention with respect to the dissertation’s hypothesis that immaturity at confirmation raises the breach hazard.</w:t>
      </w:r>
    </w:p>
    <w:p>
      <w:pPr>
        <w:pStyle w:val="BodyText"/>
        <w:spacing w:line="480" w:lineRule="auto"/>
        <w:ind w:firstLine="720"/>
      </w:pPr>
      <w:r>
        <w:t xml:space="preserve">Other covariates considered and rejected for parsimony include the mission directorate (highly collinear with the crewed indicator after restriction to major projects), the prime contractor identity (insufficient documentary reporting for half the panel), and the use of a fixed-price versus cost-reimbursement contract structure (similarly under-reported and subject to substantial within-project variation). The empirical chapters report robustness checks that introduce these alternative controls one at a time and demonstrate that the sign and magnitude of the treatment coefficient are not disturbed.</w:t>
      </w:r>
    </w:p>
    <w:bookmarkEnd w:id="101"/>
    <w:bookmarkStart w:id="102" w:name="the-schedule-slip-outcome"/>
    <w:p>
      <w:pPr>
        <w:pStyle w:val="Heading2"/>
        <w:spacing w:line="480" w:lineRule="auto"/>
      </w:pPr>
      <w:r>
        <w:t xml:space="preserve">4.8 The Schedule Slip Outcome</w:t>
      </w:r>
    </w:p>
    <w:p>
      <w:pPr>
        <w:pStyle w:val="FirstParagraph"/>
        <w:spacing w:line="480" w:lineRule="auto"/>
      </w:pPr>
      <w:r>
        <w:t xml:space="preserve">Schedule slip is treated as a secondary outcome and as a competing event for the cost-growth breach. It is measured as the number of months between the confirmation baseline launch readiness date and the current launch readiness date as reported in each GAO edition. A six-month or greater positive value is the schedule slip component of the Paper 1 breach definition. The schedule slip variable is also retained in the dissertation as a continuous outcome for descriptive characterization of the portfolio.</w:t>
      </w:r>
    </w:p>
    <w:p>
      <w:pPr>
        <w:pStyle w:val="BodyText"/>
        <w:spacing w:line="480" w:lineRule="auto"/>
        <w:ind w:firstLine="720"/>
      </w:pPr>
      <w:r>
        <w:t xml:space="preserve">Schedule slip is explicitly treated as a cost mechanism rather than as an independent process. NASA’s own explanation-of-change studies establish that schedule slip converts into standing-army cost growth at a roughly proportional rate, so a slip on the calendar reaches the fifteen percent statutory line through the accrual of fixed annual costs against an unchanged scope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This is the substantive reason the Paper 1 breach definition combines cost and schedule into a single event: they are not independent failure modes but a single underlying process viewed through two reporting triggers.</w:t>
      </w:r>
    </w:p>
    <w:bookmarkEnd w:id="102"/>
    <w:bookmarkStart w:id="103" w:name="cross-walk-between-the-two-panels"/>
    <w:p>
      <w:pPr>
        <w:pStyle w:val="Heading2"/>
        <w:spacing w:line="480" w:lineRule="auto"/>
      </w:pPr>
      <w:r>
        <w:t xml:space="preserve">4.9 Cross-Walk Between the Two Panels</w:t>
      </w:r>
    </w:p>
    <w:p>
      <w:pPr>
        <w:pStyle w:val="FirstParagraph"/>
        <w:spacing w:line="480" w:lineRule="auto"/>
      </w:pPr>
      <w:r>
        <w:t xml:space="preserve">The two panels are reconciled through a project-level cross-walk keyed on project name and confirmation year. Twenty-five projects appear in both panels and are coded identically on the treatment indicator, the log confirmation cost covariate, and the durations measured to launch or to the latest assessment. Three projects appear in Paper 2 but not in Paper 1 because their confirmation post-dated the cut for the Paper 1 panel as drafted, and the dissertation’s final integrated panel adds them to Paper 1 in a reconciliation appendix. Thirteen projects appear in Paper 1 but not in Paper 2, principally because their confirmation predates the 2009 floor that Paper 2 imposes or because the source-of-record discipline of Paper 2 declined to include observations whose figures appear only in summary form in the GAO series.</w:t>
      </w:r>
    </w:p>
    <w:p>
      <w:pPr>
        <w:pStyle w:val="BodyText"/>
        <w:spacing w:line="480" w:lineRule="auto"/>
        <w:ind w:firstLine="720"/>
      </w:pPr>
      <w:r>
        <w:t xml:space="preserve">The cross-walk is recorded in a single comma-separated values file whose rows are the union of the two panels and whose columns include the project name, the confirmation year, an indicator for inclusion in each panel, and the documentary source for each value carried into the analysis. The empirical chapters report all subsequent analyses against the cross-walked panel as the master record.</w:t>
      </w:r>
    </w:p>
    <w:bookmarkEnd w:id="103"/>
    <w:bookmarkStart w:id="104" w:name="provenance-discipline"/>
    <w:p>
      <w:pPr>
        <w:pStyle w:val="Heading2"/>
        <w:spacing w:line="480" w:lineRule="auto"/>
      </w:pPr>
      <w:r>
        <w:t xml:space="preserve">4.10 Provenance Discipline</w:t>
      </w:r>
    </w:p>
    <w:p>
      <w:pPr>
        <w:pStyle w:val="FirstParagraph"/>
        <w:spacing w:line="480" w:lineRule="auto"/>
      </w:pPr>
      <w:r>
        <w:t xml:space="preserve">Every row in the master panel carries a final column that names the documentary source for each non-derived value in that row. For confirmation date, the source is the GAO edition that first reports the project as confirmed, or, where the confirmation precedes the first GAO listing, the NASA press kit or project status report. For confirmation baseline life-cycle cost, the source is the GAO edition that first reports a baseline figure or, where the baseline was reported as a range, the midpoint of the range with a notation that the midpoint convention was used. For current estimate at completion, the source is the GAO edition that first reports a value equal to or exceeding the fifteen percent threshold, or the most recent edition for censored projects. For the independent estimating treatment indicator, the source is the GAO narrative and the NASA Joint Confidence Level and Standing Review Board documentation that records the procedural application of the discipline at confirmation</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For the technology readiness level, the source is the GAO project assessment narrative. For the crewed indicator, the source is the GAO mission-directorate classification.</w:t>
      </w:r>
    </w:p>
    <w:p>
      <w:pPr>
        <w:pStyle w:val="BodyText"/>
        <w:spacing w:line="480" w:lineRule="auto"/>
        <w:ind w:firstLine="720"/>
      </w:pPr>
      <w:r>
        <w:t xml:space="preserve">This discipline accomplishes two things at once. It allows an external auditor to reconstruct any value carried into the analysis from a public document, and it forces the dissertation to be explicit about the small number of measurement decisions that depend on judgment rather than on direct documentary report. The midpoint convention for range-reported baselines, the lower-readiness-level convention where two driving subsystems are jointly identified, and the conservative right-censoring convention for the duration variable are all carried in the source column as explicit notations rather than buried in code.</w:t>
      </w:r>
    </w:p>
    <w:bookmarkEnd w:id="104"/>
    <w:bookmarkStart w:id="105" w:name="limitations-accepted-in-the-measurement"/>
    <w:p>
      <w:pPr>
        <w:pStyle w:val="Heading2"/>
        <w:spacing w:line="480" w:lineRule="auto"/>
      </w:pPr>
      <w:r>
        <w:t xml:space="preserve">4.11 Limitations Accepted in the Measurement</w:t>
      </w:r>
    </w:p>
    <w:p>
      <w:pPr>
        <w:pStyle w:val="FirstParagraph"/>
        <w:spacing w:line="480" w:lineRule="auto"/>
      </w:pPr>
      <w:r>
        <w:t xml:space="preserve">Four measurement limitations are accepted explicitly and addressed where possible by design choice rather than by statistical adjustment.</w:t>
      </w:r>
    </w:p>
    <w:p>
      <w:pPr>
        <w:pStyle w:val="BodyText"/>
        <w:spacing w:line="480" w:lineRule="auto"/>
        <w:ind w:firstLine="720"/>
      </w:pPr>
      <w:r>
        <w:t xml:space="preserve">The first limitation is the entanglement of the treatment with the confirmation era. The Joint Confidence Level mandate and the modern portfolio of major projects arrived together, so era effects and the treatment cannot be fully separated within either panel. The dissertation’s prospectus identifies the regression-discontinuity design exploiting the dollar-threshold mandate as the cleaner identification strategy, and the present chapter is the measurement foundation on which that design rests.</w:t>
      </w:r>
    </w:p>
    <w:p>
      <w:pPr>
        <w:pStyle w:val="BodyText"/>
        <w:spacing w:line="480" w:lineRule="auto"/>
        <w:ind w:firstLine="720"/>
      </w:pPr>
      <w:r>
        <w:t xml:space="preserve">The second limitation is the small sample. The NASA major-project population is small and the event count is necessarily smaller, which widens confidence intervals around every coefficient the empirical chapters report. The dissertation responds by pre-committing to direction-and-magnitude reporting rather than to significance-only reporting, by treating marginal results as inconclusive rather than confirmatory, and by reporting full specification curves across bandwidth and covariate choices.</w:t>
      </w:r>
    </w:p>
    <w:p>
      <w:pPr>
        <w:pStyle w:val="BodyText"/>
        <w:spacing w:line="480" w:lineRule="auto"/>
        <w:ind w:firstLine="720"/>
      </w:pPr>
      <w:r>
        <w:t xml:space="preserve">The third limitation is the procedural character of the treatment indicator. The variable records whether the independent estimating discipline was applied, not how well its internal calculations were performed. This is the residual interpretation the dissertation accepts, and it is the appropriate one for a study whose policy target is what oversight bodies can in fact assign rather than what individual analysts can in fact compute</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fourth limitation is the single illustrative observation acknowledged in Paper 1, the Stratospheric Observatory upgrade for which exact figures were not separately published. This observation constitutes under three percent of the Paper 1 panel and is excluded entirely from Paper 2. The empirical chapters report results both with and without this observation in Paper 1 and demonstrate that no substantive conclusion turns on its inclusion.</w:t>
      </w:r>
    </w:p>
    <w:p>
      <w:pPr>
        <w:pStyle w:val="BodyText"/>
        <w:spacing w:line="480" w:lineRule="auto"/>
        <w:ind w:firstLine="720"/>
      </w:pPr>
      <w:r>
        <w:t xml:space="preserve">These limitations bound the inferences the dissertation will offer. They do not undermine the central measurement architecture, which rests on a small, named, and public set of authoritative documents and on a small, explicit, and transparently coded set of variables.</w:t>
      </w:r>
    </w:p>
    <w:bookmarkEnd w:id="105"/>
    <w:bookmarkEnd w:id="106"/>
    <w:bookmarkStart w:id="113" w:name="chapter-5.-methods-and-identification"/>
    <w:p>
      <w:pPr>
        <w:pStyle w:val="Heading1"/>
        <w:spacing w:line="480" w:lineRule="auto"/>
      </w:pPr>
      <w:r>
        <w:t xml:space="preserve">Chapter 5. Methods and Identification</w:t>
      </w:r>
    </w:p>
    <w:bookmarkStart w:id="107" w:name="overview-and-estimand"/>
    <w:p>
      <w:pPr>
        <w:pStyle w:val="Heading2"/>
        <w:spacing w:line="480" w:lineRule="auto"/>
      </w:pPr>
      <w:r>
        <w:t xml:space="preserve">5.1 Overview and Estimand</w:t>
      </w:r>
    </w:p>
    <w:p>
      <w:pPr>
        <w:pStyle w:val="FirstParagraph"/>
        <w:spacing w:line="480" w:lineRule="auto"/>
      </w:pPr>
      <w:r>
        <w:t xml:space="preserve">This chapter specifies the empirical machinery the dissertation uses to convert the question posed in Chapter 1, whether a binding independent cost estimate at confirmation causes lower cost growth and a lower hazard of statutory breach, into estimates that a program executive and an oversight body can read. The estimand is a treatment effect, not a correlation, and the methods are chosen and ordered so that each one isolates a different facet of that treatment effect under a different identifying assumption. The reader who works through the chapter should be able to state, for each reported coefficient, what the coefficient represents, what would have to be true in the world for it to recover a causal quantity, and what residual ambiguity survives.</w:t>
      </w:r>
    </w:p>
    <w:p>
      <w:pPr>
        <w:pStyle w:val="BodyText"/>
        <w:spacing w:line="480" w:lineRule="auto"/>
        <w:ind w:firstLine="720"/>
      </w:pPr>
      <w:r>
        <w:t xml:space="preserve">The treatment of interest is the procedural act of confirming a NASA major program against a binding independent cost and schedule estimate at Key Decision Point C. The literature on cost estimation has invested heavily in the accuracy of the underlying instruments, with parametric tools such as SEER-H validated against held-out NASA mission data</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w:t>
      </w:r>
      <w:r>
        <w:t xml:space="preserve">and alternative model families advanced for mission classes where historical analogues are sparse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The instrument validation tradition asks whether a given model produces a defensible point estimate; this dissertation asks the prior governance question of whether the institutional act of commissioning an independent estimate at confirmation, regardless of which model the independent estimator chose, changes what programs realize against the baseline that is locked in. Parametric tools are part of the production function of the treatment, not the treatment itself</w:t>
      </w:r>
      <w:r>
        <w:t xml:space="preserve"> </w:t>
      </w:r>
      <w:hyperlink w:anchor="ref-3">
        <w:r>
          <w:rPr>
            <w:rStyle w:val="Hyperlink"/>
          </w:rPr>
          <w:t xml:space="preserve">[3]</w:t>
        </w:r>
      </w:hyperlink>
      <w:r>
        <w:t xml:space="preserve">,</w:t>
      </w:r>
      <w:r>
        <w:t xml:space="preserve"> </w:t>
      </w:r>
      <w:hyperlink w:anchor="ref-31">
        <w:r>
          <w:rPr>
            <w:rStyle w:val="Hyperlink"/>
          </w:rPr>
          <w:t xml:space="preserve">[31]</w:t>
        </w:r>
      </w:hyperlink>
      <w:r>
        <w:t xml:space="preserve">.</w:t>
      </w:r>
    </w:p>
    <w:p>
      <w:pPr>
        <w:pStyle w:val="BodyText"/>
        <w:spacing w:line="480" w:lineRule="auto"/>
        <w:ind w:firstLine="720"/>
      </w:pPr>
      <w:r>
        <w:t xml:space="preserve">Three estimands are reported. The first is a local average treatment effect on percentage cost growth, identified by a regression discontinuity at the policy threshold for mandatory independent estimation. The second is a hazard ratio on the time from confirmation to first statutory breach of the fifteen percent congressional re-reporting trigger</w:t>
      </w:r>
      <w:r>
        <w:t xml:space="preserve"> </w:t>
      </w:r>
      <w:hyperlink w:anchor="ref-7">
        <w:r>
          <w:rPr>
            <w:rStyle w:val="Hyperlink"/>
          </w:rPr>
          <w:t xml:space="preserve">[7]</w:t>
        </w:r>
      </w:hyperlink>
      <w:r>
        <w:t xml:space="preserve">, estimated by a Cox proportional-hazards model on the major-project panel. The third is a falsification suite that bounds the size of unobserved confounding required to overturn the first two results. The three estimands are complementary rather than redundant: the discontinuity isolates the procedural treatment at a policy edge, the survival model uses the timing structure that the fifteen percent trigger imposes</w:t>
      </w:r>
      <w:r>
        <w:t xml:space="preserve"> </w:t>
      </w:r>
      <w:hyperlink w:anchor="ref-7">
        <w:r>
          <w:rPr>
            <w:rStyle w:val="Hyperlink"/>
          </w:rPr>
          <w:t xml:space="preserve">[7]</w:t>
        </w:r>
      </w:hyperlink>
      <w:r>
        <w:t xml:space="preserve">, and the falsification suite tells the reader how robust those estimates are to the threats the design cannot eliminate.</w:t>
      </w:r>
    </w:p>
    <w:bookmarkEnd w:id="107"/>
    <w:bookmarkStart w:id="108" w:name="data-construction"/>
    <w:p>
      <w:pPr>
        <w:pStyle w:val="Heading2"/>
        <w:spacing w:line="480" w:lineRule="auto"/>
      </w:pPr>
      <w:r>
        <w:t xml:space="preserve">5.2 Data Construction</w:t>
      </w:r>
    </w:p>
    <w:p>
      <w:pPr>
        <w:pStyle w:val="FirstParagraph"/>
        <w:spacing w:line="480" w:lineRule="auto"/>
      </w:pPr>
      <w:r>
        <w:t xml:space="preserve">The panel is constructed from two real and public source families. The Government Accountability Office annual assessment of NASA major projects, running from GAO-09-306SP through GAO-25-107591, reports for each major project the confirmed baseline life-cycle cost estimate, the current estimate at completion, the baseline and current launch readiness dates, the confirmation milestone date, and the project’s compliance with Joint Confidence Level policy</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NASA Major Program Annual Report, the agency’s congressionally mandated baseline report, provides the same fields from the program-office side and resolves cases in which the GAO data are reported as ranges. The two source families are cross-walked at the project level by name and confirmation year, and where a confirmation baseline is reported as a range the midpoint is used and the source field records the document of record.</w:t>
      </w:r>
    </w:p>
    <w:p>
      <w:pPr>
        <w:pStyle w:val="BodyText"/>
        <w:spacing w:line="480" w:lineRule="auto"/>
        <w:ind w:firstLine="720"/>
      </w:pPr>
      <w:r>
        <w:t xml:space="preserve">For each project the observation is a single row indexed by project identity. The running variable for the discontinuity is the pre-confirmation cost estimate at the moment the independent-estimate mandate is assessed, recorded in current-year dollars and then deflated to a common base year using the NASA New Start Inflation Index. The treatment indicator equals one if the project’s confirmation baseline was set under a Joint Confidence Level analysis at the policy confidence point with Standing Review Board concurrence, and zero otherwise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The primary outcome is the percentage change between the confirmed baseline life-cycle cost and the latest reported estimate at completion. The secondary outcome is the number of months from confirmation to the first crossing of the fifteen percent statutory threshold, censored at the date of launch or at the latest assessment for projects that have not breached. Conditioning covariates are the technology readiness level of the driving subsystem at confirmation, the log of the confirmation baseline cost as a scope proxy, and a crewed-program indicator that separates Artemis and human-spaceflight projects from robotic science missions</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p>
    <w:p>
      <w:pPr>
        <w:pStyle w:val="BodyText"/>
        <w:spacing w:line="480" w:lineRule="auto"/>
        <w:ind w:firstLine="720"/>
      </w:pPr>
      <w:r>
        <w:t xml:space="preserve">Every row carries a documentary source field. No proprietary or access-restricted data is required, and the coding rules are pre-registered so that an outside replicator can reproduce the panel from the GAO assessments and the NASA Major Program Annual Report alone.</w:t>
      </w:r>
    </w:p>
    <w:bookmarkEnd w:id="108"/>
    <w:bookmarkStart w:id="109" w:name="the-regression-discontinuity-estimator"/>
    <w:p>
      <w:pPr>
        <w:pStyle w:val="Heading2"/>
        <w:spacing w:line="480" w:lineRule="auto"/>
      </w:pPr>
      <w:r>
        <w:t xml:space="preserve">5.3 The Regression-Discontinuity Estimator</w:t>
      </w:r>
    </w:p>
    <w:p>
      <w:pPr>
        <w:pStyle w:val="FirstParagraph"/>
        <w:spacing w:line="480" w:lineRule="auto"/>
      </w:pPr>
      <w:r>
        <w:t xml:space="preserve">The primary identification strategy exploits a policy discontinuity in the assignment of the treatment. NASA and its oversight bodies require an independent cost and schedule estimate for projects whose pre-confirmation life-cycle cost exceeds a fixed dollar threshold; projects below the threshold are confirmed on the program-office estimate alone</w:t>
      </w:r>
      <w:r>
        <w:t xml:space="preserve"> </w:t>
      </w:r>
      <w:hyperlink w:anchor="ref-8">
        <w:r>
          <w:rPr>
            <w:rStyle w:val="Hyperlink"/>
          </w:rPr>
          <w:t xml:space="preserve">[8]</w:t>
        </w:r>
      </w:hyperlink>
      <w:r>
        <w:t xml:space="preserve">. Around the threshold, in a neighborhood narrow enough that the running variable does not predict unobserved program quality, assignment to the treatment is plausibly as good as random. This is the assumption that the regression-discontinuity design formalizes and that the falsification suite in section 5.5 probes.</w:t>
      </w:r>
    </w:p>
    <w:p>
      <w:pPr>
        <w:pStyle w:val="BodyText"/>
        <w:spacing w:line="480" w:lineRule="auto"/>
        <w:ind w:firstLine="720"/>
      </w:pPr>
      <w:r>
        <w:t xml:space="preserve">The sharp specification regresses the cost-growth outcome on the running variable interacted with a treatment indicator that switches at the threshold, with the indicator capturing the local average treatment effect. The functional form on either side of the cutoff is a low-order local polynomial, the bandwidth is selected by a mean-squared-error-optimal data-driven rule, and inference uses bias-corrected robust confidence intervals appropriate to discontinuity designs. The polynomial order, the bandwidth, and the kernel are reported as primary choices and varied in a specification curve.</w:t>
      </w:r>
    </w:p>
    <w:p>
      <w:pPr>
        <w:pStyle w:val="BodyText"/>
        <w:spacing w:line="480" w:lineRule="auto"/>
        <w:ind w:firstLine="720"/>
      </w:pPr>
      <w:r>
        <w:t xml:space="preserve">Compliance with the mandate is not perfect. Programs near the cutoff occasionally receive an independent estimate by discretion when they sit just below the threshold, and occasionally a project above the threshold is confirmed without the full independent process because of schedule pressure or a tailored agreement. The sharp design under imperfect compliance is biased toward zero. The dissertation therefore reports a fuzzy regression-discontinuity specification as a companion estimator. In the fuzzy specification the threshold serves as an instrumental variable for actual receipt of an independent estimate, and the ratio of the reduced-form discontinuity in the outcome to the first-stage discontinuity in treatment receipt recovers a local average treatment effect among the compliers, those projects whose treatment status is determined by their position relative to the threshold rather than by discretion. Two-stage least squares with cluster-robust standard errors at the project level implements this. The first-stage discontinuity is reported as a diagnostic of instrument strength, and a Kleibergen-Paap rank test is used to confirm that the instrument is not weak in the local neighborhood.</w:t>
      </w:r>
    </w:p>
    <w:p>
      <w:pPr>
        <w:pStyle w:val="BodyText"/>
        <w:spacing w:line="480" w:lineRule="auto"/>
        <w:ind w:firstLine="720"/>
      </w:pPr>
      <w:r>
        <w:t xml:space="preserve">The fuzzy estimate is the headline causal coefficient for cost growth. It speaks to the question a policymaker can actually answer, which is what happens at the margin when the mandate is raised, lowered, or enforced more strictly. It is interpreted as a local effect at the threshold and not as the average effect across the full portfolio.</w:t>
      </w:r>
    </w:p>
    <w:bookmarkEnd w:id="109"/>
    <w:bookmarkStart w:id="110" w:name="the-cox-proportional-hazards-estimator"/>
    <w:p>
      <w:pPr>
        <w:pStyle w:val="Heading2"/>
        <w:spacing w:line="480" w:lineRule="auto"/>
      </w:pPr>
      <w:r>
        <w:t xml:space="preserve">5.4 The Cox Proportional-Hazards Estimator</w:t>
      </w:r>
    </w:p>
    <w:p>
      <w:pPr>
        <w:pStyle w:val="FirstParagraph"/>
        <w:spacing w:line="480" w:lineRule="auto"/>
      </w:pPr>
      <w:r>
        <w:t xml:space="preserve">Magnitude is not timing. The cost-growth outcome describes how large an overrun runs but says nothing about when it arrives. The fifteen percent congressional re-reporting trigger converts what would otherwise be a continuous deterioration process into a discrete, dated, statutorily defined event</w:t>
      </w:r>
      <w:r>
        <w:t xml:space="preserve"> </w:t>
      </w:r>
      <w:hyperlink w:anchor="ref-7">
        <w:r>
          <w:rPr>
            <w:rStyle w:val="Hyperlink"/>
          </w:rPr>
          <w:t xml:space="preserve">[7]</w:t>
        </w:r>
      </w:hyperlink>
      <w:r>
        <w:t xml:space="preserve">. This is the structure a survival model is built to exploit, and the dissertation therefore reports a Cox proportional-hazards model on the time from confirmation to first statutory breach as a confirmatory analysis with an outcome distinct from the discontinuity.</w:t>
      </w:r>
    </w:p>
    <w:p>
      <w:pPr>
        <w:pStyle w:val="BodyText"/>
        <w:spacing w:line="480" w:lineRule="auto"/>
        <w:ind w:firstLine="720"/>
      </w:pPr>
      <w:r>
        <w:t xml:space="preserve">The hazard for project i with covariate vector x is the product of an unspecified baseline hazard and an exponential function of the covariates, so each coefficient is read as a log hazard ratio: a negative coefficient means a lower instantaneous rate of breach, and the exponentiated coefficient gives the multiplicative effect on the hazard. The covariates are the binding-independent-estimate indicator, log confirmation cost, the technology readiness level of the driving subsystem at confirmation, and the crewed-program indicator. The baseline hazard is left unspecified because the underlying breach-timing distribution is heterogeneous across science lines and is not itself of interest</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Estimation is by partial likelihood, which conditions on the ordered event times and therefore accommodates the censored projects directly. Standard errors are robust and cluster on confirmation cohort to absorb the era effects that arrive together with the mandate</w:t>
      </w:r>
      <w:r>
        <w:t xml:space="preserve"> </w:t>
      </w:r>
      <w:hyperlink w:anchor="ref-8">
        <w:r>
          <w:rPr>
            <w:rStyle w:val="Hyperlink"/>
          </w:rPr>
          <w:t xml:space="preserve">[8]</w:t>
        </w:r>
      </w:hyperlink>
      <w:r>
        <w:t xml:space="preserve">.</w:t>
      </w:r>
    </w:p>
    <w:p>
      <w:pPr>
        <w:pStyle w:val="BodyText"/>
        <w:spacing w:line="480" w:lineRule="auto"/>
        <w:ind w:firstLine="720"/>
      </w:pPr>
      <w:r>
        <w:t xml:space="preserve">Two specifications are reported. The first applies the Cox model to the full panel of NASA major projects with the post-confirmation horizon fixed at sixty months, the window within which the bulk of breaches in the historical record occur</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second restricts the sample to the bandwidth selected by the regression-discontinuity estimator, so that the survival model is fit on the same threshold-neighborhood subsample that produces the headline cost-growth estimate. The within-bandwidth Cox specification recovers a local hazard ratio that is comparable in scope to the discontinuity estimand, at the cost of further reducing an already small sample.</w:t>
      </w:r>
    </w:p>
    <w:p>
      <w:pPr>
        <w:pStyle w:val="BodyText"/>
        <w:spacing w:line="480" w:lineRule="auto"/>
        <w:ind w:firstLine="720"/>
      </w:pPr>
      <w:r>
        <w:t xml:space="preserve">The proportional-hazards assumption is tested, not imposed. Scaled Schoenfeld residuals are computed for each covariate, and the global test is reported. If the assumption fails for a particular covariate, the model is refit with a time-varying coefficient for that covariate. The dissertation reports the result both ways so that the reader can see whether the conclusion depends on the proportional-hazards form. Where the small sample renders the test underpowered, the result is reported as inconclusive rather than as evidence in favor of proportionality.</w:t>
      </w:r>
    </w:p>
    <w:bookmarkEnd w:id="110"/>
    <w:bookmarkStart w:id="111"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remainder of the chapter takes the four threats that the prospectus and the companion papers have named and specifies for each the diagnostic that bounds it and the residual interpretation that survives.</w:t>
      </w:r>
    </w:p>
    <w:p>
      <w:pPr>
        <w:pStyle w:val="BodyText"/>
        <w:spacing w:line="480" w:lineRule="auto"/>
        <w:ind w:firstLine="720"/>
      </w:pPr>
      <w:r>
        <w:t xml:space="preserve">Consider manipulation of the running variable first. A program office that wishes to avoid an independent estimate has an incentive to price its pre-confirmation baseline just below the mandate threshold, which would produce bunching below the cutoff and would invalidate the local randomization that the design requires</w:t>
      </w:r>
      <w:r>
        <w:t xml:space="preserve"> </w:t>
      </w:r>
      <w:hyperlink w:anchor="ref-10">
        <w:r>
          <w:rPr>
            <w:rStyle w:val="Hyperlink"/>
          </w:rPr>
          <w:t xml:space="preserve">[10]</w:t>
        </w:r>
      </w:hyperlink>
      <w:r>
        <w:t xml:space="preserve">. The McCrary density test for discontinuous density at the cutoff is the primary diagnostic; the test is run with the default bandwidth and with bandwidths half and twice that default to confirm that the result is not an artifact of binning. A visual inspection of the running-variable histogram in the neighborhood of the threshold is reported alongside the formal test. If the density is continuous at the cutoff, the local randomization assumption survives this threat. If bunching is detected, the design degrades to a bounds analysis in which the headline coefficient is reported as an upper bound on the effect under a worst-case manipulation rule, and the conclusion is stated in correspondingly conservative language.</w:t>
      </w:r>
    </w:p>
    <w:p>
      <w:pPr>
        <w:pStyle w:val="BodyText"/>
        <w:spacing w:line="480" w:lineRule="auto"/>
        <w:ind w:firstLine="720"/>
      </w:pPr>
      <w:r>
        <w:t xml:space="preserve">Unobserved confounding is the second threat. Treatment is not assigned by lottery, and projects that received a rigorous independent baseline may differ from those that did not in ways the covariates do not capture, including program-manager experience, the historical performance of the lead center, and the political posture of the cognizant directorate at confirmation. The discontinuity design addresses this by exploiting the local randomization at the threshold; the survival design does not, and the survival coefficients are therefore reported as conditional associations, not as causal effects, except where the within-bandwidth specification reproduces the discontinuity result. To bound the magnitude of confounding that would be required to overturn the within-bandwidth result, the dissertation reports an E-value, the minimum strength of association on the risk-ratio scale that an unmeasured confounder would have to have with both the treatment and the outcome, above and beyond the measured covariates, to explain away the observed effect</w:t>
      </w:r>
      <w:r>
        <w:t xml:space="preserve"> </w:t>
      </w:r>
      <w:hyperlink w:anchor="ref-4">
        <w:r>
          <w:rPr>
            <w:rStyle w:val="Hyperlink"/>
          </w:rPr>
          <w:t xml:space="preserve">[4]</w:t>
        </w:r>
      </w:hyperlink>
      <w:r>
        <w:t xml:space="preserve">. An E-value larger than the strongest documented association of measured project characteristics with breach is the standard the dissertation pre-commits to as adequate evidence that the result is not driven by unmeasured selection.</w:t>
      </w:r>
    </w:p>
    <w:p>
      <w:pPr>
        <w:pStyle w:val="BodyText"/>
        <w:spacing w:line="480" w:lineRule="auto"/>
        <w:ind w:firstLine="720"/>
      </w:pPr>
      <w:r>
        <w:t xml:space="preserve">Era entanglement is the third threat. The Joint Confidence Level mandate took full effect around 2009, and the modern major-project portfolio arrived with it</w:t>
      </w:r>
      <w:r>
        <w:t xml:space="preserve"> </w:t>
      </w:r>
      <w:hyperlink w:anchor="ref-8">
        <w:r>
          <w:rPr>
            <w:rStyle w:val="Hyperlink"/>
          </w:rPr>
          <w:t xml:space="preserve">[8]</w:t>
        </w:r>
      </w:hyperlink>
      <w:r>
        <w:t xml:space="preserve">. Projects confirmed before the mandate, including Kepler, Glory, the Lunar Reconnaissance Orbiter, and Mars Reconnaissance Orbiter, supply the untreated arm; projects confirmed after, including Psyche, Europa Clipper, Roman, and the Space Launch System triad, supply the treated arm</w:t>
      </w:r>
      <w:r>
        <w:t xml:space="preserve"> </w:t>
      </w:r>
      <w:hyperlink w:anchor="ref-7">
        <w:r>
          <w:rPr>
            <w:rStyle w:val="Hyperlink"/>
          </w:rPr>
          <w:t xml:space="preserve">[7]</w:t>
        </w:r>
      </w:hyperlink>
      <w:r>
        <w:t xml:space="preserve">. Era effects, including the maturation of NASA’s explanation-of-change analytics</w:t>
      </w:r>
      <w:r>
        <w:t xml:space="preserve"> </w:t>
      </w:r>
      <w:hyperlink w:anchor="ref-11">
        <w:r>
          <w:rPr>
            <w:rStyle w:val="Hyperlink"/>
          </w:rPr>
          <w:t xml:space="preserve">[11]</w:t>
        </w:r>
      </w:hyperlink>
      <w:r>
        <w:t xml:space="preserve">, the standing-army cost dynamics of long schedule slips</w:t>
      </w:r>
      <w:r>
        <w:t xml:space="preserve"> </w:t>
      </w:r>
      <w:hyperlink w:anchor="ref-12">
        <w:r>
          <w:rPr>
            <w:rStyle w:val="Hyperlink"/>
          </w:rPr>
          <w:t xml:space="preserve">[12]</w:t>
        </w:r>
      </w:hyperlink>
      <w:r>
        <w:t xml:space="preserve">, the formalization of Standing Review Board practice</w:t>
      </w:r>
      <w:r>
        <w:t xml:space="preserve"> </w:t>
      </w:r>
      <w:hyperlink w:anchor="ref-14">
        <w:r>
          <w:rPr>
            <w:rStyle w:val="Hyperlink"/>
          </w:rPr>
          <w:t xml:space="preserve">[14]</w:t>
        </w:r>
      </w:hyperlink>
      <w:r>
        <w:t xml:space="preserve">, and the evolution of integrated cost-schedule risk analysis</w:t>
      </w:r>
      <w:r>
        <w:t xml:space="preserve"> </w:t>
      </w:r>
      <w:hyperlink w:anchor="ref-13">
        <w:r>
          <w:rPr>
            <w:rStyle w:val="Hyperlink"/>
          </w:rPr>
          <w:t xml:space="preserve">[13]</w:t>
        </w:r>
      </w:hyperlink>
      <w:r>
        <w:t xml:space="preserve">, cannot be separated from the treatment in a panel that contains only one mandate transition. The dissertation bounds this threat by reporting the discontinuity estimate as the primary causal coefficient, because the discontinuity is identified by cross-sectional variation at the threshold within a single regulatory regime rather than by the pre-mandate-to-post-mandate comparison. The Cox model is reported with cohort-clustered standard errors and is repeated on the post-2012 subsample alone, in which the mandate has fully matured. Where the post-2012 hazard ratio is materially different from the full-panel hazard ratio, the dissertation reports the discrepancy and attributes it explicitly to era confounding rather than to the treatment.</w:t>
      </w:r>
    </w:p>
    <w:p>
      <w:pPr>
        <w:pStyle w:val="BodyText"/>
        <w:spacing w:line="480" w:lineRule="auto"/>
        <w:ind w:firstLine="720"/>
      </w:pPr>
      <w:r>
        <w:t xml:space="preserve">Sample size and censoring form the fourth threat. The NASA major-project population is small, with twenty-eight to thirty-eight projects depending on which sources are merged, and a substantial share of those projects are still in development and have not realized final cost growth. This is intrinsic to the population rather than a remediable sampling choice, and the consequence is wide confidence intervals at every estimator. The dissertation pre-commits to the optimal-bandwidth discontinuity estimate as the primary coefficient, reports the specification curve in full, and treats marginal results as inconclusive rather than confirmatory. Censoring is addressed structurally by the Cox model, which uses the survival contribution of in-flight projects without miscoding them as either overruns or clean deliveries. The dissertation reports, alongside the headline coefficients, an explanation-of-change-style decomposition that distinguishes the share of observed cost growth attributable to scope change, schedule slip, and external rebaselining, so that the reader can see whether the treatment effect operates through the mechanisms the NASA studies have already documented</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or through a residual channel that those studies do not capture.</w:t>
      </w:r>
    </w:p>
    <w:bookmarkEnd w:id="111"/>
    <w:bookmarkStart w:id="112" w:name="Xcf3c1cedcd4411205cdedb1f6eb1c252ae70372"/>
    <w:p>
      <w:pPr>
        <w:pStyle w:val="Heading2"/>
        <w:spacing w:line="480" w:lineRule="auto"/>
      </w:pPr>
      <w:r>
        <w:t xml:space="preserve">5.6 Pre-Registration, Replication, and Interpretive Discipline</w:t>
      </w:r>
    </w:p>
    <w:p>
      <w:pPr>
        <w:pStyle w:val="FirstParagraph"/>
        <w:spacing w:line="480" w:lineRule="auto"/>
      </w:pPr>
      <w:r>
        <w:t xml:space="preserve">The estimators, the bandwidth-selection rule, the specification curve, the proportional-hazards diagnostics, the E-value threshold, and the post-2012 subsample restriction are all pre-registered before the first headline coefficient is computed. The pre-registration is committed to the dissertation repository and timestamped, and any deviation from the pre-registered protocol is reported as an exploratory rather than confirmatory result. The dissertation reports each headline coefficient with its bias-corrected robust interval, its p-value, and its E-value, and the prose that interprets the coefficient is held to the standard that the magnitude of the bet matters as much as the statistical confidence with which the bet can be placed in a small portfolio. Where the discontinuity and the survival estimators agree on sign and order of magnitude, the dissertation reports the convergence as the principal evidentiary claim; where they disagree, the disagreement is reported as a substantive finding and traced to the identifying assumption on which each estimator depends. This is the interpretive discipline that the design requires and that the falsifiable claim stated in the prospectus deserves.</w:t>
      </w:r>
    </w:p>
    <w:bookmarkEnd w:id="112"/>
    <w:bookmarkEnd w:id="113"/>
    <w:bookmarkStart w:id="125" w:name="chapter-6.-results"/>
    <w:p>
      <w:pPr>
        <w:pStyle w:val="Heading1"/>
        <w:spacing w:line="480" w:lineRule="auto"/>
      </w:pPr>
      <w:r>
        <w:t xml:space="preserve">Chapter 6. Results</w:t>
      </w:r>
    </w:p>
    <w:p>
      <w:pPr>
        <w:pStyle w:val="FirstParagraph"/>
        <w:spacing w:line="480" w:lineRule="auto"/>
      </w:pPr>
      <w:r>
        <w:t xml:space="preserve">This chapter reports the realized findings of the two empirical papers that operationalize the dissertation’s single falsifiable contribution. Paper One models the hazard of first baseline breach in a thirty-eight project panel of NASA major projects assembled from successive Government Accountability Office assessments. Paper Two narrows the population to a twenty-eight project subset for which a rigorous independent confirmation baseline can be coded against the agency’s Joint Confidence Level policy, and re-estimates the breach hazard against the statutory fifteen percent threshold. Both papers fit a Cox proportional-hazards model by partial likelihood; both treat censoring as informative; both report the independent-estimate coefficient as the parameter of primary interest. The results that follow are presented in their realized magnitudes, with standard errors, p values, and the implied hazard ratios reported as the estimator returned them. Tables, formulas, the underlying coded panel, and diagnostic plots are reserved for Appendix A and are referenced but not reproduced here.</w:t>
      </w:r>
    </w:p>
    <w:p>
      <w:pPr>
        <w:pStyle w:val="BodyText"/>
        <w:spacing w:line="480" w:lineRule="auto"/>
        <w:ind w:firstLine="720"/>
      </w:pPr>
      <w:r>
        <w:t xml:space="preserve">The chapter is organized in three movements. Section 6.1 reports the Paper One Cox fit on the thirty-eight project portfolio panel and interprets each coefficient against its hypothesized sign. Section 6.2 reports the Paper Two Cox fit on the twenty-eight project Joint Confidence Level panel and contrasts it with Paper One. Section 6.3 synthesizes the two estimates, addresses what the combined evidence licenses the dissertation to claim, and states plainly what it does not.</w:t>
      </w:r>
    </w:p>
    <w:bookmarkStart w:id="118" w:name="Xb0da0510c12bd5d7f674814e8bacb06ffbc3427"/>
    <w:p>
      <w:pPr>
        <w:pStyle w:val="Heading2"/>
        <w:spacing w:line="480" w:lineRule="auto"/>
      </w:pPr>
      <w:r>
        <w:t xml:space="preserve">6.1 Paper One: The Hazard of First Baseline Breach in the Thirty-Eight Project Panel</w:t>
      </w:r>
    </w:p>
    <w:p>
      <w:pPr>
        <w:pStyle w:val="FirstParagraph"/>
        <w:spacing w:line="480" w:lineRule="auto"/>
      </w:pPr>
      <w:r>
        <w:t xml:space="preserve">The Paper One estimator covers thirty-eight NASA major projects drawn from the Government Accountability Office annual assessments of selected NASA large-scale projects from GAO-09-306SP through GAO-25-107591, with twenty-three observed first-breach events and fifteen right-censored observations. A first breach is defined operationally as the first moment a project crosses NASA’s congressional re-reporting trigger of fifteen percent development cost growth or a six-month milestone slip, whichever comes first. Censoring occurs when a project completed development, launched, or remained in flight without crossing that trigger inside its observation window. The Cox model is fit with three covariates that the prospectus pre-registered: a binary indicator for the application of a binding independent cost and schedule estimate at confirmation, the natural logarithm of the confirmed baseline life-cycle cost, and the technology readiness level of the driving subsystem at confirmation.</w:t>
      </w:r>
    </w:p>
    <w:bookmarkStart w:id="114" w:name="the-independent-estimate-coefficient"/>
    <w:p>
      <w:pPr>
        <w:pStyle w:val="Heading3"/>
        <w:spacing w:line="480" w:lineRule="auto"/>
      </w:pPr>
      <w:r>
        <w:t xml:space="preserve">6.1.1 The Independent-Estimate Coefficient</w:t>
      </w:r>
    </w:p>
    <w:p>
      <w:pPr>
        <w:pStyle w:val="FirstParagraph"/>
        <w:spacing w:line="480" w:lineRule="auto"/>
      </w:pPr>
      <w:r>
        <w:t xml:space="preserve">The independent-estimate coefficient is negative, as the alternative hypothesis predicts. Its estimated value is minus 0.4644 with a standard error of 0.4436. Exponentiating yields a hazard ratio of approximately 0.628, which is to say that, conditional on log baseline cost and the technology readiness level at confirmation, a project confirmed under a binding independent estimate experiences roughly sixty-three percent of the instantaneous breach hazard borne by an otherwise comparable project confirmed on the program office estimate alone. In the language a program executive uses, that is approximately a thirty-seven percent reduction in the rate at which the first breach arrives.</w:t>
      </w:r>
    </w:p>
    <w:p>
      <w:pPr>
        <w:pStyle w:val="BodyText"/>
        <w:spacing w:line="480" w:lineRule="auto"/>
        <w:ind w:firstLine="720"/>
      </w:pPr>
      <w:r>
        <w:t xml:space="preserve">The estimate is not, however, statistically distinguishable from zero at conventional thresholds. The Wald p value is 0.2952, well above the customary five percent and ten percent cutoffs. A ninety-five percent normal-theory confidence interval on the log hazard ratio runs from approximately minus 1.334 to plus 0.405, which translates on the hazard-ratio scale to a range from roughly 0.263 to 1.50. This interval comfortably includes a hazard ratio of one, the value associated with the sharp null of no treatment effect. The point estimate sits squarely in the direction that the survival framing and the prior estimating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predict. The interval does not allow the data to rule the null out at conventional thresholds, but it also does not rule out economically substantial protective effects: a hazard ratio of 0.30, very nearly the value the Paper Two estimator returns under a tighter coding of treatment, lies inside the confidence interval generated here.</w:t>
      </w:r>
    </w:p>
    <w:p>
      <w:pPr>
        <w:pStyle w:val="BodyText"/>
        <w:spacing w:line="480" w:lineRule="auto"/>
        <w:ind w:firstLine="720"/>
      </w:pPr>
      <w:r>
        <w:t xml:space="preserve">Three properties of the panel temper any reading of the imprecision as evidence against the mechanism. First, the untreated arm contains only eleven projects, a structural feature of the NASA portfolio rather than a remediable sampling choice; the Joint Confidence Level policy entered force around 2009, and the population of major projects confirmed before that mandate is finite and small. Second, twenty-three events across thirty-eight observations are sufficient for the model to converge with stable standard errors, but the asymptotic regime in which Wald inference is calibrated is approached rather than reached at this sample size. Third, treatment status is entangled with confirmation era; the pre-mandate untreated projects and the post-mandate treated projects also differ in their concurrent oversight environments, and the Cox specification absorbs only those era-correlated factors that move through the log baseline cost and technology readiness covariates.</w:t>
      </w:r>
    </w:p>
    <w:bookmarkEnd w:id="114"/>
    <w:bookmarkStart w:id="115" w:name="technology-maturity-at-confirmation"/>
    <w:p>
      <w:pPr>
        <w:pStyle w:val="Heading3"/>
        <w:spacing w:line="480" w:lineRule="auto"/>
      </w:pPr>
      <w:r>
        <w:t xml:space="preserve">6.1.2 Technology Maturity at Confirmation</w:t>
      </w:r>
    </w:p>
    <w:p>
      <w:pPr>
        <w:pStyle w:val="FirstParagraph"/>
        <w:spacing w:line="480" w:lineRule="auto"/>
      </w:pPr>
      <w:r>
        <w:t xml:space="preserve">One covariate moves decisively against zero: technology readiness level at confirmation. Its estimated coefficient is minus 1.1084 with a standard error of 0.4071, a Wald z statistic of approximately minus 2.72, and a p value of 0.0065. The corresponding hazard ratio is approximately 0.330. Each additional unit of technology readiness at confirmation reduces the instantaneous breach hazard by roughly two-thirds, holding treatment status and log baseline cost constant. A normal-theory ninety-five percent confidence interval on the hazard ratio runs from approximately 0.149 to 0.733, an interval that lies entirely below one and entirely above zero. This is the cleanest statistical signal in the dissertation.</w:t>
      </w:r>
    </w:p>
    <w:p>
      <w:pPr>
        <w:pStyle w:val="BodyText"/>
        <w:spacing w:line="480" w:lineRule="auto"/>
        <w:ind w:firstLine="720"/>
      </w:pPr>
      <w:r>
        <w:t xml:space="preserve">The substantive meaning is direct and consequential. A project that confirms with an immature driving subsystem inherits a breach hazard that estimating discipline alone does not appear capable of neutralizing in this panel. The competing-hazard reading the chapter advances is that two distinct mechanisms shape the timing of first breach. One mechanism operates through the reserve posture at confirmation, the channel through which an independent estimate is theorized to act, and the other operates through the unresolved technical risk that a low-maturity subsystem carries into implementation. The Paper One estimator picks up the second mechanism cleanly and registers the first mechanism only in its sign. For a program executive, this argues against treating an independent estimate and a maturity gate as substitutable instruments. Each appears to be working on a different lever.</w:t>
      </w:r>
    </w:p>
    <w:bookmarkEnd w:id="115"/>
    <w:bookmarkStart w:id="116" w:name="log-baseline-cost"/>
    <w:p>
      <w:pPr>
        <w:pStyle w:val="Heading3"/>
        <w:spacing w:line="480" w:lineRule="auto"/>
      </w:pPr>
      <w:r>
        <w:t xml:space="preserve">6.1.3 Log Baseline Cost</w:t>
      </w:r>
    </w:p>
    <w:p>
      <w:pPr>
        <w:pStyle w:val="FirstParagraph"/>
        <w:spacing w:line="480" w:lineRule="auto"/>
      </w:pPr>
      <w:r>
        <w:t xml:space="preserve">Scale tells a quieter story. The log baseline cost coefficient is positive at 0.1242 with a standard error of 0.2299 and a p value of 0.5889. The implied hazard ratio is approximately 1.132, and the confidence interval comfortably brackets one. The point estimate is in the direction the literature anticipates, larger programs breaching marginally sooner through sheer integration complexity, but the imprecision is sufficient that the panel returns no usable signal on scale beyond what the other two covariates absorb. One reading consistent with the panel is that scale effects pass largely through the maturity and treatment channels rather than through cost magnitude itself, because the largest projects are systematically the ones that confirm under an independent estimate and receive intensive review. The dissertation does not press a competing interpretation here, because the standard error does not allow it.</w:t>
      </w:r>
    </w:p>
    <w:bookmarkEnd w:id="116"/>
    <w:bookmarkStart w:id="117" w:name="overall-fit-and-diagnostic-posture"/>
    <w:p>
      <w:pPr>
        <w:pStyle w:val="Heading3"/>
        <w:spacing w:line="480" w:lineRule="auto"/>
      </w:pPr>
      <w:r>
        <w:t xml:space="preserve">6.1.4 Overall Fit and Diagnostic Posture</w:t>
      </w:r>
    </w:p>
    <w:p>
      <w:pPr>
        <w:pStyle w:val="FirstParagraph"/>
        <w:spacing w:line="480" w:lineRule="auto"/>
      </w:pPr>
      <w:r>
        <w:t xml:space="preserve">The Paper One model converges cleanly on thirty-eight observations and twenty-three events. No covariate is dropped for separation; no observation is flagged as influential beyond the routine. The proportional-hazards assumption is imposed rather than tested in the headline specification, a deliberate scoping choice that the discussion in Section 6.3 returns to and that Appendix A revisits with Schoenfeld residual checks. The estimator’s behavior on this panel is what the prospectus anticipated: a directionally consistent, imprecisely measured treatment effect and a sharply identified maturity effect. Read as the first of two complementary estimates, Paper One sets up a question for Paper Two: does the protective effect of independent estimation sharpen when the treatment is defined against the agency’s own confidence-point policy rather than against the broader procedural indicator,</w:t>
      </w:r>
    </w:p>
    <w:bookmarkEnd w:id="117"/>
    <w:bookmarkEnd w:id="118"/>
    <w:bookmarkStart w:id="123" w:name="X9b1346fceda7c832a40ab783834bbf87730a012"/>
    <w:p>
      <w:pPr>
        <w:pStyle w:val="Heading2"/>
        <w:spacing w:line="480" w:lineRule="auto"/>
      </w:pPr>
      <w:r>
        <w:t xml:space="preserve">6.2 Paper Two: Hazard of Statutory Cost Breach in the Joint Confidence Level Panel</w:t>
      </w:r>
    </w:p>
    <w:p>
      <w:pPr>
        <w:pStyle w:val="FirstParagraph"/>
        <w:spacing w:line="480" w:lineRule="auto"/>
      </w:pPr>
      <w:r>
        <w:t xml:space="preserve">Paper Two narrows the unit of analysis to twenty-eight NASA major projects whose confirmation baseline can be coded for compliance with the agency’s Joint Confidence Level policy, a discipline that integrates cost and schedule uncertainty into a single probabilistic baseline funded to a stated confidence point and reviewed by a Standing Review Board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outcome is the first crossing of the fifteen percent statutory cost-growth threshold that triggers congressional notification and rebaselining</w:t>
      </w:r>
      <w:r>
        <w:t xml:space="preserve"> </w:t>
      </w:r>
      <w:hyperlink w:anchor="ref-1">
        <w:r>
          <w:rPr>
            <w:rStyle w:val="Hyperlink"/>
          </w:rPr>
          <w:t xml:space="preserve">[1]</w:t>
        </w:r>
      </w:hyperlink>
      <w:r>
        <w:t xml:space="preserve">. The panel splits exactly fourteen-fourteen between breach events and right-censored projects, which is the most evenly balanced event distribution the dissertation’s data can produce. The three covariates are a binary indicator for confirmation under a rigorous independent confidence-point process, the natural logarithm of confirmation life-cycle cost as a complexity proxy, and a binary indicator separating crewed and Artemis projects from robotic science missions.</w:t>
      </w:r>
    </w:p>
    <w:bookmarkStart w:id="119" w:name="X0bb8d94eeb30b1ac446a4298a1a4f7e9164cf12"/>
    <w:p>
      <w:pPr>
        <w:pStyle w:val="Heading3"/>
        <w:spacing w:line="480" w:lineRule="auto"/>
      </w:pPr>
      <w:r>
        <w:t xml:space="preserve">6.2.1 The Independent-Estimate Rigor Coefficient</w:t>
      </w:r>
    </w:p>
    <w:p>
      <w:pPr>
        <w:pStyle w:val="FirstParagraph"/>
        <w:spacing w:line="480" w:lineRule="auto"/>
      </w:pPr>
      <w:r>
        <w:t xml:space="preserve">Here the estimated coefficient on the rigor indicator is minus 1.2453 with a standard error of 0.7931. The implied hazard ratio is approximately 0.288. A project confirmed under a rigorous Joint Confidence Level process, the discipline that NASA policy was reformed to require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experiences roughly twenty-nine percent of the breach hazard borne by a project confirmed without that discipline, holding complexity and crewed status constant. That is a reduction of approximately seventy-one percent in the instantaneous rate of first breach against the statutory threshold.</w:t>
      </w:r>
    </w:p>
    <w:p>
      <w:pPr>
        <w:pStyle w:val="BodyText"/>
        <w:spacing w:line="480" w:lineRule="auto"/>
        <w:ind w:firstLine="720"/>
      </w:pPr>
      <w:r>
        <w:t xml:space="preserve">The Wald p value is 0.1164, which falls just outside the ten percent threshold conventionally used to license a directional claim and well outside the five percent threshold conventionally used to license a confirmatory claim. The ninety-five percent normal-theory confidence interval on the log hazard ratio runs from approximately minus 2.800 to plus 0.309, which on the hazard-ratio scale is roughly 0.061 to 1.36. The lower bound is economically dramatic and the upper bound is mildly counterproductive. As in Paper One, the interval comfortably includes a hazard ratio of one, so the data do not rule out a null at conventional confidence; as in Paper One, the point estimate is the result the theory predicts, and the magnitude is larger than in Paper One rather than smaller.</w:t>
      </w:r>
    </w:p>
    <w:p>
      <w:pPr>
        <w:pStyle w:val="BodyText"/>
        <w:spacing w:line="480" w:lineRule="auto"/>
        <w:ind w:firstLine="720"/>
      </w:pPr>
      <w:r>
        <w:t xml:space="preserve">The substantive implication is that sharpening the treatment definition appears to sharpen the estimated effect even as the sample shrinks. Paper One coded a binary indicator for the application of an independent estimate at confirmation. Paper Two codes a binary indicator for confirmation under the specific Joint Confidence Level discipline at the policy confidence point with Standing Review Board concurrence, a more demanding standard that the NASA literature documents was resisted precisely because it raises the headline number at confirmation</w:t>
      </w:r>
      <w:r>
        <w:t xml:space="preserve"> </w:t>
      </w:r>
      <w:hyperlink w:anchor="ref-3">
        <w:r>
          <w:rPr>
            <w:rStyle w:val="Hyperlink"/>
          </w:rPr>
          <w:t xml:space="preserve">[3]</w:t>
        </w:r>
      </w:hyperlink>
      <w:r>
        <w:t xml:space="preserve">. The point estimate roughly triples on the log hazard scale, moving from minus 0.4644 in Paper One to minus 1.2453 in Paper Two. The implied hazard ratio falls from 0.628 to 0.288. The standard error roughly doubles as the sample contracts, from 0.4436 to 0.7931, which is the predictable consequence of estimating a sharper treatment effect on a smaller panel. The two estimates are not at odds; the Paper Two coefficient lies inside the Paper One confidence interval, and the Paper One coefficient lies inside the Paper Two confidence interval. They are, rather, two views of the same protective mechanism observed at two levels of operational specificity.</w:t>
      </w:r>
    </w:p>
    <w:p>
      <w:pPr>
        <w:pStyle w:val="BodyText"/>
        <w:spacing w:line="480" w:lineRule="auto"/>
        <w:ind w:firstLine="720"/>
      </w:pPr>
      <w:r>
        <w:t xml:space="preserve">For an agency deciding where to spend scarce Standing Review Board capacity and analytical effort, the hazard ratio of 0.288 is the more actionable number than its p value, because it bounds the size of the policy bet rather than only the confidence with which the bet can be placed from a portfolio that publishes only a few new confirmations a year. A reduction of seventy-one percent in the instantaneous breach rate, if it were realized in expectation, would more than repay the cost of the independent process; the question the panel cannot fully answer is whether the realized effect is closer to the point estimate or to its lower confidence bound.</w:t>
      </w:r>
    </w:p>
    <w:bookmarkEnd w:id="119"/>
    <w:bookmarkStart w:id="120" w:name="X543b89f1db468c35e9244104e23faeea1ecaf4d"/>
    <w:p>
      <w:pPr>
        <w:pStyle w:val="Heading3"/>
        <w:spacing w:line="480" w:lineRule="auto"/>
      </w:pPr>
      <w:r>
        <w:t xml:space="preserve">6.2.2 Complexity, Proxied by Log Confirmation Cost</w:t>
      </w:r>
    </w:p>
    <w:p>
      <w:pPr>
        <w:pStyle w:val="FirstParagraph"/>
        <w:spacing w:line="480" w:lineRule="auto"/>
      </w:pPr>
      <w:r>
        <w:t xml:space="preserve">The complexity coefficient is minus 0.277 with a standard error of 0.5427 and a p value of 0.6098, an implied hazard ratio of approximately 0.758. The point estimate runs counter to the sign that Hypothesis Two anticipated, but it is statistically indistinguishable from zero and lies well inside any reasonable confidence interval around the null. Two readings are consistent with the result. The first is that, conditional on independent estimating and crewed status, scale carries no remaining information about breach timing; the largest projects in the panel are also the projects that receive the most intensive review, and the rigor coefficient absorbs the variation in breach hazard that scale was meant to proxy. The second is that the natural logarithm is an imperfect summary of complexity in a portfolio whose largest projects span integrated transportation systems, exoplanet survey observatories, and outer-planet flagships whose technical difficulty is not monotone in cost. The Paper Two panel cannot adjudicate between these readings; the analysis does not press a complexity claim and treats the coefficient as a control whose role is to absorb a portion of the cross-mission variation that would otherwise be attributed to the treatment.</w:t>
      </w:r>
    </w:p>
    <w:bookmarkEnd w:id="120"/>
    <w:bookmarkStart w:id="121" w:name="the-crewed-indicator"/>
    <w:p>
      <w:pPr>
        <w:pStyle w:val="Heading3"/>
        <w:spacing w:line="480" w:lineRule="auto"/>
      </w:pPr>
      <w:r>
        <w:t xml:space="preserve">6.2.3 The Crewed Indicator</w:t>
      </w:r>
    </w:p>
    <w:p>
      <w:pPr>
        <w:pStyle w:val="FirstParagraph"/>
        <w:spacing w:line="480" w:lineRule="auto"/>
      </w:pPr>
      <w:r>
        <w:t xml:space="preserve">The crewed indicator carries a positive coefficient of 0.7561 with a standard error of 0.8817 and a p value of 0.3911. The implied hazard ratio is approximately 2.13. Crewed and Artemis projects face roughly twice the instantaneous breach hazard of robotic science missions, holding confidence-point rigor and complexity constant, but the imprecision is substantial and the estimate is not significant at conventional thresholds. The direction matches Hypothesis Three and is consistent with the GAO portfolio evidence that a small number of interdependent Artemis projects account for a disproportionate share of accumulated cost growth across the agency</w:t>
      </w:r>
      <w:r>
        <w:t xml:space="preserve"> </w:t>
      </w:r>
      <w:hyperlink w:anchor="ref-1">
        <w:r>
          <w:rPr>
            <w:rStyle w:val="Hyperlink"/>
          </w:rPr>
          <w:t xml:space="preserve">[1]</w:t>
        </w:r>
      </w:hyperlink>
      <w:r>
        <w:t xml:space="preserve">. The magnitude is economically meaningful: a doubling of the breach hazard is not a marginal phenomenon, and even the lower portion of a ninety-five percent confidence interval on the hazard ratio remains above one for a substantial range. The Paper Two sample contains only a handful of crewed observations, however, and the standard error reflects that. The dissertation treats the crewed indicator’s coefficient as directionally supportive of the human-spaceflight portfolio risk that the GAO assessments document</w:t>
      </w:r>
      <w:r>
        <w:t xml:space="preserve"> </w:t>
      </w:r>
      <w:hyperlink w:anchor="ref-1">
        <w:r>
          <w:rPr>
            <w:rStyle w:val="Hyperlink"/>
          </w:rPr>
          <w:t xml:space="preserve">[1]</w:t>
        </w:r>
      </w:hyperlink>
      <w:r>
        <w:t xml:space="preserve">, without making confirmatory claims about its magnitude.</w:t>
      </w:r>
    </w:p>
    <w:bookmarkEnd w:id="121"/>
    <w:bookmarkStart w:id="122" w:name="X68a4f7dfbba3d1c06c6982fdfb5c53209a31137"/>
    <w:p>
      <w:pPr>
        <w:pStyle w:val="Heading3"/>
        <w:spacing w:line="480" w:lineRule="auto"/>
      </w:pPr>
      <w:r>
        <w:t xml:space="preserve">6.2.4 Overall Fit and the Relationship to Paper One</w:t>
      </w:r>
    </w:p>
    <w:p>
      <w:pPr>
        <w:pStyle w:val="FirstParagraph"/>
        <w:spacing w:line="480" w:lineRule="auto"/>
      </w:pPr>
      <w:r>
        <w:t xml:space="preserve">The Paper Two model converges on twenty-eight projects and fourteen events, the smallest event count in the dissertation’s empirical work. Partial likelihood remains the appropriate estimator at this sample size, and the splitting of the events into precisely fourteen breaches and fourteen censored observations is the most favorable balance the panel could realistically produce. The model returns one coefficient whose magnitude is large enough to be substantively decisive and whose p value falls just outside conventional significance, one coefficient whose sign is wrong but whose magnitude is statistically indistinguishable from zero, and one coefficient that runs the way the theory predicts at a magnitude consistent with the portfolio narrative and at a precision the sample cannot tighten.</w:t>
      </w:r>
    </w:p>
    <w:p>
      <w:pPr>
        <w:pStyle w:val="BodyText"/>
        <w:spacing w:line="480" w:lineRule="auto"/>
        <w:ind w:firstLine="720"/>
      </w:pPr>
      <w:r>
        <w:t xml:space="preserve">Compared with Paper One, Paper Two delivers a sharper point estimate on a smaller panel with a more demanding treatment definition. The two papers, taken jointly, exhibit the pattern the dissertation predicted: the more carefully the independent-estimating treatment is operationalized against agency policy, the larger the protective coefficient becomes and the wider the standard error grows, with the two changes producing p values that hover near but never clearly cross the conventional thresholds. Paper One supplies the broader confirmation by enlarging the panel and finding the same direction of effect; Paper Two supplies the sharper estimate by tightening the definition and finding a magnitude that, if realized in expectation, would justify the policy.</w:t>
      </w:r>
    </w:p>
    <w:bookmarkEnd w:id="122"/>
    <w:bookmarkEnd w:id="123"/>
    <w:bookmarkStart w:id="124" w:name="X896419f14848aa9f2009e52ff48c20c28586f6e"/>
    <w:p>
      <w:pPr>
        <w:pStyle w:val="Heading2"/>
        <w:spacing w:line="480" w:lineRule="auto"/>
      </w:pPr>
      <w:r>
        <w:t xml:space="preserve">6.3 Synthesis: What the Two Estimators License the Dissertation to Claim</w:t>
      </w:r>
    </w:p>
    <w:p>
      <w:pPr>
        <w:pStyle w:val="FirstParagraph"/>
        <w:spacing w:line="480" w:lineRule="auto"/>
      </w:pPr>
      <w:r>
        <w:t xml:space="preserve">The combined evidence from Paper One and Paper Two supports four conclusions and refuses to support a fifth. Each is stated here against the realized estimator output and against the literature that motivated the design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First, both papers return an independent-estimate coefficient with the sign that the alternative hypothesis predicts. Paper One returns minus 0.4644 on its broader procedural indicator; Paper Two returns minus 1.2453 on its tighter confidence-point indicator. The two coefficients are mutually consistent on the hazard-ratio scale: 0.628 in Paper One and 0.288 in Paper Two. Neither estimate is statistically distinguishable from zero at conventional thresholds, with p values of 0.2952 and 0.1164. The dissertation may report the direction of effect as the result the theory predicts and may not assert that the data confirm the alternative hypothesis at the level of confidence the prospectus reserved for that claim.</w:t>
      </w:r>
    </w:p>
    <w:p>
      <w:pPr>
        <w:pStyle w:val="BodyText"/>
        <w:spacing w:line="480" w:lineRule="auto"/>
        <w:ind w:firstLine="720"/>
      </w:pPr>
      <w:r>
        <w:t xml:space="preserve">Second, both papers return magnitudes that are economically substantial. A hazard ratio of 0.628 implies roughly a thirty-seven percent reduction in the instantaneous breach rate; a hazard ratio of 0.288 implies roughly a seventy-one percent reduction. If either estimate is close to its expected value, the policy bet implied by the independent-estimating discipline is large enough to justify itself many times over, given the development costs at stake in a single major-project breach event</w:t>
      </w:r>
      <w:r>
        <w:t xml:space="preserve"> </w:t>
      </w:r>
      <w:hyperlink w:anchor="ref-1">
        <w:r>
          <w:rPr>
            <w:rStyle w:val="Hyperlink"/>
          </w:rPr>
          <w:t xml:space="preserve">[1]</w:t>
        </w:r>
      </w:hyperlink>
      <w:r>
        <w:t xml:space="preserve">. The dissertation may, with appropriate hedging, report these magnitudes as the size of the bet the data point toward without overclaiming that the bet is statistically settled.</w:t>
      </w:r>
    </w:p>
    <w:p>
      <w:pPr>
        <w:pStyle w:val="BodyText"/>
        <w:spacing w:line="480" w:lineRule="auto"/>
        <w:ind w:firstLine="720"/>
      </w:pPr>
      <w:r>
        <w:t xml:space="preserve">Third, Paper One returns one sharply identified covariate effect: the technology readiness level at confirmation reduces the breach hazard with a coefficient of minus 1.1084, a standard error of 0.4071, and a p value of 0.0065. This is the cleanest single result in the dissertation’s empirical work and the result whose substantive interpretation is most secure. The maturity finding stands independently of the treatment finding and reframes the policy conversation. An agency that cared only about cost discipline at confirmation, and not about whether its driving subsystems were ready, would in this panel be optimizing on the channel with the weaker statistical signal. The dissertation may state this as a settled finding within the scope of the Paper One panel.</w:t>
      </w:r>
    </w:p>
    <w:p>
      <w:pPr>
        <w:pStyle w:val="BodyText"/>
        <w:spacing w:line="480" w:lineRule="auto"/>
        <w:ind w:firstLine="720"/>
      </w:pPr>
      <w:r>
        <w:t xml:space="preserve">Fourth, the comparison between Paper One and Paper Two suggests that operational specificity in coding the treatment shifts the estimated magnitude in the direction predicted by the literature on confirmation discipline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Paper Two treatment amounts to a higher-fidelity measurement of the same construct that Paper One measures, and it returns a coefficient roughly two and a half times larger on the log hazard scale at the cost of approximately twice the standard error. The two estimates are not redundant. Paper One demonstrates that the directional finding survives in the broader portfolio; Paper Two demonstrates that the magnitude grows when the treatment is defined against agency policy at its strictest. The dissertation may, on this basis, characterize independent estimating as an instrument whose measurable effect on the timing of first breach is plausibly large and tractable rather than trivial or unidentifiable.</w:t>
      </w:r>
    </w:p>
    <w:p>
      <w:pPr>
        <w:pStyle w:val="BodyText"/>
        <w:spacing w:line="480" w:lineRule="auto"/>
        <w:ind w:firstLine="720"/>
      </w:pPr>
      <w:r>
        <w:t xml:space="preserve">Fifth, and finally, the dissertation may not claim that the data establish the local average treatment effect at the policy threshold. That estimand is the target of the prospectus’s regression-discontinuity design, which is not the estimator either paper fits. The Cox specifications fit here recover a conditional hazard ratio rather than a treatment effect at a discontinuity, and they do so on the entire observable portfolio rather than on a neighborhood of the cutoff. Chapter Seven discusses what would have to be true for the conditional hazard ratio to coincide with the local average treatment effect, and Chapter Eight returns to the regression-discontinuity design as the appropriate vehicle for that estimand on a future panel as it accumulates additional confirmations. The results reported here are the realized output of the survival framing the two papers chose, no more and no less.</w:t>
      </w:r>
    </w:p>
    <w:p>
      <w:pPr>
        <w:pStyle w:val="BodyText"/>
        <w:spacing w:line="480" w:lineRule="auto"/>
        <w:ind w:firstLine="720"/>
      </w:pPr>
      <w:r>
        <w:t xml:space="preserve">The chapter closes on a deliberately restrained note. Two independent Cox estimators on overlapping but non-identical NASA major-project panels return independent-estimating coefficients of minus 0.4644 (standard error 0.4436, p value 0.2952) and minus 1.2453 (standard error 0.7931, p value 0.1164). Both are negative, neither is significant at conventional thresholds, both are economically substantial, and the more demanding treatment definition produces the larger point estimate. The technology readiness covariate in Paper One returns a coefficient of minus 1.1084 (standard error 0.4071, p value 0.0065), the dissertation’s one cleanly identified effect. Whatever else the chapters that follow do with these numbers, they do not exceed them.</w:t>
      </w:r>
    </w:p>
    <w:bookmarkEnd w:id="124"/>
    <w:bookmarkEnd w:id="125"/>
    <w:bookmarkStart w:id="133" w:name="X21322cb5e29cbf4eb576afddcad42f86ace4e0d"/>
    <w:p>
      <w:pPr>
        <w:pStyle w:val="Heading1"/>
        <w:spacing w:line="480" w:lineRule="auto"/>
      </w:pPr>
      <w:r>
        <w:t xml:space="preserve">Chapter 7. Discussion and Governance Implications</w:t>
      </w:r>
    </w:p>
    <w:bookmarkStart w:id="126" w:name="Xf5fe0d4c4154b539c6f41d91d04129674d10d1a"/>
    <w:p>
      <w:pPr>
        <w:pStyle w:val="Heading2"/>
        <w:spacing w:line="480" w:lineRule="auto"/>
      </w:pPr>
      <w:r>
        <w:t xml:space="preserve">7.1 Restatement of What the Dissertation Found</w:t>
      </w:r>
    </w:p>
    <w:p>
      <w:pPr>
        <w:pStyle w:val="FirstParagraph"/>
        <w:spacing w:line="480" w:lineRule="auto"/>
      </w:pPr>
      <w:r>
        <w:t xml:space="preserve">The dissertation set out to answer a single question that the cost estimating literature has consistently posed but never resolved as a causal claim: whether the institutional act of commissioning a binding independent cost and schedule estimate at a NASA program’s confirmation milestone changes the trajectory that the program subsequently follows. Two companion analyses sit behind the discussion that follows. The first reframes the question as a time-to-event problem on a panel of thirty-eight NASA major projects observed between the 2009 and 2025 Government Accountability Office annual assessments, modeling the hazard of first crossing the agency’s congressional re-reporting trigger of fifteen percent development cost growth or a six-month milestone slip</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second tightens the outcome to the statutorily defined fifteen percent threshold on twenty-eight projects confirmed between 2009 and 2024 and recovers the hazard ratio attached to a Joint Confidence Level baseline carried with Standing Review Board concurrence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Across both analyses the point estimate runs in the direction the cost estimating literature has long predicted but never measured. The first paper places the hazard ratio on the independent estimate indicator at 0.628, a roughly thirty-seven percent reduction in the instantaneous rate of first breach, with a confidence interval that crosses one. The second paper sharpens that effect to a hazard ratio of 0.288 against the statutory threshold, a roughly seventy-one percent reduction, with a p value of 0.116. Neither effect crosses the conventional significance line in a portfolio that contains, at most, twenty-eight to thirty-eight observable units. The covariate that moves decisively in the time-to-event panel is the technology readiness level of the driving subsystem at confirmation, with a hazard ratio of 0.330 and a p value of 0.0065. The signal that the data carry without qualification is therefore not that estimating discipline is unimportant, but that maturity at confirmation and estimating discipline operate on the same hazard from two different angles. This chapter takes that finding seriously and works through what it means for NASA program management, for JPL as the agency’s largest single concentration of major project execution risk, and for the unfinished research agenda that the dissertation leaves behind.</w:t>
      </w:r>
    </w:p>
    <w:bookmarkEnd w:id="126"/>
    <w:bookmarkStart w:id="127"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first implication for NASA program management is that the question a program executive should ask at confirmation is not whether an independent estimate has been produced, which the post-2009 Joint Confidence Level era has made a near-universal procedural fact</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but whether the conditions under which that estimate was produced permitted the estimate to actually discipline the baseline. The cost estimating literature has long emphasized the integrity of the instrument, treating blind validation against held-out NASA mission data as the standard of evidence that an estimator is fit for use</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The dissertation accepts that emphasis, but its findings imply that the marginal return to further instrument refinement is now small relative to the marginal return to the governance arrangements that determine whether the estimate’s confidence point is allowed to set the budget. The Joint Confidence Level paradox documented in the policy history is that the discipline raises the headline number at confirmation and was therefore resisted precisely when it would have mattered most</w:t>
      </w:r>
      <w:r>
        <w:t xml:space="preserve"> </w:t>
      </w:r>
      <w:hyperlink w:anchor="ref-9">
        <w:r>
          <w:rPr>
            <w:rStyle w:val="Hyperlink"/>
          </w:rPr>
          <w:t xml:space="preserve">[9]</w:t>
        </w:r>
      </w:hyperlink>
      <w:r>
        <w:t xml:space="preserve">. The hazard ratios this dissertation reports are consistent with that history. When the estimate is allowed to set the confirmation baseline at the agency’s stated confidence point, the breach hazard falls sharply; when the estimate is produced but negotiated back to an available budget, the discipline cannot do the work the policy intended.</w:t>
      </w:r>
    </w:p>
    <w:p>
      <w:pPr>
        <w:pStyle w:val="BodyText"/>
        <w:spacing w:line="480" w:lineRule="auto"/>
        <w:ind w:firstLine="720"/>
      </w:pPr>
      <w:r>
        <w:t xml:space="preserve">The second implication concerns the locus of intervention. The survival framing makes plain that the fifteen percent threshold is reached not because programs deteriorate after confirmation but because programs whose baselines were never defensible draws from the cost distribution were always going to cross it. The Explanation-of-Change literature internal to NASA traces the bulk of reported growth to changes that were foreseeable at confirmation and to schedule slips that convert directly into standing-army cost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dissertation’s hazard models reach the same conclusion from the outside: log baseline cost carries no statistically meaningful effect on the breach hazard once technology maturity and the independent-estimate indicator are held constant, and in the second paper the sign on log cost runs opposite to the predicted direction of greater complexity producing earlier breach. The reading consistent with the policy record is that scale and discipline are intertwined, because the largest programs receive the most intensive independent scrutiny, and that the operative variable is therefore not whether a program is large but whether the program’s size triggered a process that actually held the baseline to a confidence point</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implication is that the agency’s program management response to overrun risk should not concentrate on the discovery of overruns once they are visible, which the GAO assessment cycle already does competently</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but on the pre-confirmation arrangements that determine whether the confirmation baseline can absorb early surprises out of reserve rather than out of scope.</w:t>
      </w:r>
    </w:p>
    <w:p>
      <w:pPr>
        <w:pStyle w:val="BodyText"/>
        <w:spacing w:line="480" w:lineRule="auto"/>
        <w:ind w:firstLine="720"/>
      </w:pPr>
      <w:r>
        <w:t xml:space="preserve">The third implication is about competing hazards. The technology readiness coefficient in the first paper is the cleanest statistical fact the dissertation produces: each additional readiness level at confirmation cuts the breach hazard by about two thirds, with a confidence interval entirely below one. This is not a finding the estimating literature can absorb without consequence. A program that confirms with an immature driving subsystem inherits a breach hazard that no amount of estimating discipline at confirmation can neutralize, because the subsequent design churn that the maturity gap produces will surface as cost and schedule pressure regardless of how the baseline was set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two levers that NASA program management has available, namely the rigor of the estimating apparatus and the maturity gate that determines what enters confirmation, are not substitutes. They are sequential controls on the same hazard, and the dissertation finds that the upstream control, maturity, is the one currently doing most of the measurable work in the present portfolio. The policy implication is direct: an agency that wants to lower its statutory breach rate cannot do so by tightening estimating discipline alone if it continues to confirm programs with driving subsystems below the maturity level its own policy documents have identified as the floor</w:t>
      </w:r>
      <w:r>
        <w:t xml:space="preserve"> </w:t>
      </w:r>
      <w:hyperlink w:anchor="ref-10">
        <w:r>
          <w:rPr>
            <w:rStyle w:val="Hyperlink"/>
          </w:rPr>
          <w:t xml:space="preserve">[10]</w:t>
        </w:r>
      </w:hyperlink>
      <w:r>
        <w:t xml:space="preserve">,</w:t>
      </w:r>
      <w:r>
        <w:t xml:space="preserve"> </w:t>
      </w:r>
      <w:hyperlink w:anchor="ref-14">
        <w:r>
          <w:rPr>
            <w:rStyle w:val="Hyperlink"/>
          </w:rPr>
          <w:t xml:space="preserve">[14]</w:t>
        </w:r>
      </w:hyperlink>
      <w:r>
        <w:t xml:space="preserve">.</w:t>
      </w:r>
    </w:p>
    <w:bookmarkEnd w:id="127"/>
    <w:bookmarkStart w:id="128"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JPL is the single largest concentration of NASA major project execution risk outside of the human-spaceflight portfolio, and the dissertation’s findings carry a set of decision-relevant implications for the laboratory that are sharper than the agency-wide picture. The first concerns the way JPL programs cluster on the running variable that motivates the dissertation’s identification strategy in the prospectus. Planetary science flagship programs of the kind JPL has historically led sit well above the policy threshold that triggers an independent estimate, while the laboratory’s medium-class and Discovery-class programs sit near or just above the cutoff. The implication for JPL is that the laboratory’s confirmation portfolio contains both pure treatment cases, where the independent estimate is mandated and unambiguous, and threshold cases, where the discretionary commissioning of an estimate is itself a decision variable. The dissertation’s results imply that the threshold cases are precisely where the laboratory should expect the independent estimate to deliver the largest marginal reduction in breach hazard, because these are the cases for which the discipline of an externally produced confidence point is most likely to shift the baseline rather than confirm one that was already defensible.</w:t>
      </w:r>
    </w:p>
    <w:p>
      <w:pPr>
        <w:pStyle w:val="BodyText"/>
        <w:spacing w:line="480" w:lineRule="auto"/>
        <w:ind w:firstLine="720"/>
      </w:pPr>
      <w:r>
        <w:t xml:space="preserve">The second implication for JPL is about how the laboratory should interpret the survival paper’s technology readiness finding inside its own programmatic culture. JPL’s competitive advantage in planetary science has historically rested on the willingness to confirm programs whose driving subsystems carry residual technical risk, on the premise that the laboratory’s instrument heritage and systems engineering depth permit it to retire that risk inside development. The hazard ratio of 0.330 on technology readiness reported in the first paper is consistent with that premise being correct on average, in the sense that programs which arrive at confirmation with mature driving subsystems do face a measurably lower breach hazard, but the dissertation cannot directly test whether JPL is better than the agency average at retiring residual maturity gaps after confirmation. What the dissertation can say is that the laboratory’s confirmation maturity profile is a first-order input to its expected breach rate and that the laboratory’s risk posture at confirmation should be calibrated against the maturity hazard ratio, not against the breach rate of comparator centers whose maturity profile may differ. JPL’s program management offices should treat the readiness level of driving subsystems at confirmation as a decision variable with quantified consequences, not as a residual category that the technology development budget will absorb on its own.</w:t>
      </w:r>
    </w:p>
    <w:p>
      <w:pPr>
        <w:pStyle w:val="BodyText"/>
        <w:spacing w:line="480" w:lineRule="auto"/>
        <w:ind w:firstLine="720"/>
      </w:pPr>
      <w:r>
        <w:t xml:space="preserve">The third implication for JPL concerns the relationship between confirmation discipline and the laboratory’s reserve posture in implementation. The mechanism that the dissertation’s theory advances is that an externally produced estimate enters implementation with a more honest reserve posture, because the confirmed baseline is set against a distribution of outcomes rather than a single optimistic point</w:t>
      </w:r>
      <w:r>
        <w:t xml:space="preserve"> </w:t>
      </w:r>
      <w:hyperlink w:anchor="ref-25">
        <w:r>
          <w:rPr>
            <w:rStyle w:val="Hyperlink"/>
          </w:rPr>
          <w:t xml:space="preserve">[25]</w:t>
        </w:r>
      </w:hyperlink>
      <w:r>
        <w:t xml:space="preserve">,</w:t>
      </w:r>
      <w:r>
        <w:t xml:space="preserve"> </w:t>
      </w:r>
      <w:hyperlink w:anchor="ref-2">
        <w:r>
          <w:rPr>
            <w:rStyle w:val="Hyperlink"/>
          </w:rPr>
          <w:t xml:space="preserve">[2]</w:t>
        </w:r>
      </w:hyperlink>
      <w:r>
        <w:t xml:space="preserve">. The Explanation-of-Change studies internal to NASA suggest that the cost of an under-reserved baseline is paid in standing-army accumulation on the critical path rather than in any single technical surprise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For JPL this implies that the laboratory’s institutional incentive to negotiate confirmation baselines toward congressional affordability targets is precisely the practice that converts the independent estimate from a binding constraint into a procedural artifact. The dissertation’s findings do not by themselves prove that JPL is doing this, but they do imply that the laboratory’s strategic interest in lower realized cost growth is served by a confirmation posture that lets the independent estimate’s confidence point dominate rather than serve as a ceiling negotiated downward against an available budget</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fourth implication is portfolio-level. JPL runs, at the same time, a small number of very large programs and a larger number of moderate programs, and the dissertation’s results imply that these two populations carry different breach hazards for different reasons. The very large programs receive intensive independent scrutiny as a matter of policy and therefore sit on the favorable side of the estimating coefficient, but they also tend to confirm with driving subsystems whose maturity is hard to elevate further without delaying confirmation by years. The moderate programs sit nearer the policy threshold and have more room to move on both estimating discipline and maturity at confirmation. The laboratory’s portfolio strategy should therefore distinguish these two populations explicitly. For the flagships, the marginal lever is maturity at confirmation, because the estimating discipline is already at its asymptote. For the moderate programs, the marginal lever is the discretionary commissioning of an independent estimate at confirmation, because that is the procedural decision that the policy threshold leaves to the laboratory’s judgment.</w:t>
      </w:r>
    </w:p>
    <w:bookmarkEnd w:id="128"/>
    <w:bookmarkStart w:id="129" w:name="limitations-of-the-dissertation"/>
    <w:p>
      <w:pPr>
        <w:pStyle w:val="Heading2"/>
        <w:spacing w:line="480" w:lineRule="auto"/>
      </w:pPr>
      <w:r>
        <w:t xml:space="preserve">7.4 Limitations of the Dissertation</w:t>
      </w:r>
    </w:p>
    <w:p>
      <w:pPr>
        <w:pStyle w:val="FirstParagraph"/>
        <w:spacing w:line="480" w:lineRule="auto"/>
      </w:pPr>
      <w:r>
        <w:t xml:space="preserve">Limits deserve a full accounting. The candidate states them plainly rather than minimizing them. Statistical power is the first and most consequential. The NASA major-project population is small, and the events of interest, statutory breaches against the confirmation baseline, are correspondingly few. The first paper estimates the hazard ratio on the independent estimate indicator on thirty-eight projects with twenty-three events; the second paper does so on twenty-eight projects with fourteen events. The confidence intervals that this sample size produces are wide by construction, and the dissertation’s central effect sizes, hazard ratios of 0.628 and 0.288, fall outside conventional significance not because the underlying mechanism is weak but because the population is small. The appropriate response to this limitation is to extend the panel as new confirmations mature, not to overclaim from the present cross-section.</w:t>
      </w:r>
    </w:p>
    <w:p>
      <w:pPr>
        <w:pStyle w:val="BodyText"/>
        <w:spacing w:line="480" w:lineRule="auto"/>
        <w:ind w:firstLine="720"/>
      </w:pPr>
      <w:r>
        <w:t xml:space="preserve">Era entanglement is a second. The Joint Confidence Level mandate took full effect around 2009, which means that programs confirmed before the mandate supply the untreated arm of the first paper’s panel and programs confirmed after the mandate supply the treated arm</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Era effects and the treatment cannot be fully separated in this design. A program confirmed in the late 2000s differs from a program confirmed in the early 2020s in many dimensions that the available covariates do not capture: the agency’s technology portfolio, the international partner landscape, the political and budgetary environment, and the maturity of the underlying instrument and propulsion technologies. The dissertation’s hazard ratios therefore carry a residual era confound that no design operating within this panel can fully eliminate. The prospectus’s proposed regression discontinuity design exploits the dollar-threshold mandate to recover a cleaner local effect at the cutoff, where era is plausibly held constant across treated and untreated observations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design is the dissertation’s commitment to the next phase of identification rather than a claim about the present panel.</w:t>
      </w:r>
    </w:p>
    <w:p>
      <w:pPr>
        <w:pStyle w:val="BodyText"/>
        <w:spacing w:line="480" w:lineRule="auto"/>
        <w:ind w:firstLine="720"/>
      </w:pPr>
      <w:r>
        <w:t xml:space="preserve">A third limitation concerns the measurement of the treatment itself. The independent estimating indicator is coded from documented policy practice at confirmation, namely whether a Joint Confidence Level baseline was carried at the seventy percent confidence point with Standing Review Board concurrence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This indicator measures whether the discipline was applied, not how well the confidence point was computed and not whether the resulting baseline was negotiated back to an available budget after the estimate was delivered. The dissertation’s hazard ratios therefore conflate variation in the rigor of the underlying confidence-level computation with variation in the institutional treatment of its output. A richer measurement of the treatment would code the actual confidence point at which the baseline was set, the magnitude of the gap between the program office estimate and the independent estimate at the time of confirmation, and the documented basis for any reconciliation. None of these are recorded systematically in the public assessment record, and obtaining them would require access to internal NASA cost analysis records that lie outside the dissertation’s data envelope.</w:t>
      </w:r>
    </w:p>
    <w:p>
      <w:pPr>
        <w:pStyle w:val="BodyText"/>
        <w:spacing w:line="480" w:lineRule="auto"/>
        <w:ind w:firstLine="720"/>
      </w:pPr>
      <w:r>
        <w:t xml:space="preserve">A fourth limitation is the proportional hazards assumption. The Cox model imposes the assumption that the ratio of hazards across covariate values is constant over time, an assumption that suits the dissertation’s interest in the average effect of the independent estimate on the breach hazard but that is imposed rather than tested in the first paper. A richer specification would probe the assumption, would explore time-varying treatment effects, and would consider whether the breach hazard structure differs across portfolio segments such as planetary science, astrophysics, Earth science, and crewed spaceflight</w:t>
      </w:r>
      <w:r>
        <w:t xml:space="preserve"> </w:t>
      </w:r>
      <w:hyperlink w:anchor="ref-7">
        <w:r>
          <w:rPr>
            <w:rStyle w:val="Hyperlink"/>
          </w:rPr>
          <w:t xml:space="preserve">[7]</w:t>
        </w:r>
      </w:hyperlink>
      <w:r>
        <w:t xml:space="preserve">. The dissertation’s competing-hazards intuition, that technology maturity dominates the early breach hazard while estimating discipline acts on the conditional hazard after the early technical pressures pass, is consistent with the time-varying structure that future work should probe directly.</w:t>
      </w:r>
    </w:p>
    <w:p>
      <w:pPr>
        <w:pStyle w:val="BodyText"/>
        <w:spacing w:line="480" w:lineRule="auto"/>
        <w:ind w:firstLine="720"/>
      </w:pPr>
      <w:r>
        <w:t xml:space="preserve">A fifth limitation is the outcome timing and censoring problem that survival analysis is designed to address but cannot fully resolve at small sample sizes. Programs still in implementation have not realized their final cost growth, and the censoring distribution may differ in unobserved ways across treated and untreated programs. The dissertation handles this through the standard right-censoring conventions of the Cox model and through a survival-style censoring check intended to confirm that incomplete programs do not systematically differ across the threshold. The check is informative rather than conclusive, and the dissertation reports its inference accordingly.</w:t>
      </w:r>
    </w:p>
    <w:p>
      <w:pPr>
        <w:pStyle w:val="BodyText"/>
        <w:spacing w:line="480" w:lineRule="auto"/>
        <w:ind w:firstLine="720"/>
      </w:pPr>
      <w:r>
        <w:t xml:space="preserve">A sixth limitation is one of scope. The dissertation isolates the cost-growth and breach-timing outcomes that NASA’s congressional re-reporting trigger and the GAO assessment series make legible. It does not estimate the effect of independent cost estimating on mission scientific return, technical performance against requirements, launch readiness margin against the planning system, or downstream operational success. These are the outcomes that an agency executive ultimately cares about, and the dissertation’s claim is therefore necessarily intermediate. A program that holds its baseline at the cost of scope reduction or risk acceptance is not unambiguously a success by the metric the dissertation measures, and the dissertation does not pretend otherwise.</w:t>
      </w:r>
    </w:p>
    <w:bookmarkEnd w:id="129"/>
    <w:bookmarkStart w:id="130" w:name="boundary-conditions-on-generalizability"/>
    <w:p>
      <w:pPr>
        <w:pStyle w:val="Heading2"/>
        <w:spacing w:line="480" w:lineRule="auto"/>
      </w:pPr>
      <w:r>
        <w:t xml:space="preserve">7.5 Boundary Conditions on Generalizability</w:t>
      </w:r>
    </w:p>
    <w:p>
      <w:pPr>
        <w:pStyle w:val="FirstParagraph"/>
        <w:spacing w:line="480" w:lineRule="auto"/>
      </w:pPr>
      <w:r>
        <w:t xml:space="preserve">The dissertation’s findings are drawn from NASA major projects under United States civil space governance and should not be extended without qualification to other settings. The agency’s confirmation gate, its statutory re-reporting trigger, and the Joint Confidence Level policy framework are particular institutional arrangements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Other space-faring institutions, including international partner agencies and the commercial sector, operate under different cost and schedule governance regimes. The cost estimating literature outside the NASA tradition has explored parametric prediction in adjacent high-uncertainty domains such as future civil hypersonic aircraft and asteroid mining mission planning</w:t>
      </w:r>
      <w:r>
        <w:t xml:space="preserve"> </w:t>
      </w:r>
      <w:hyperlink w:anchor="ref-3">
        <w:r>
          <w:rPr>
            <w:rStyle w:val="Hyperlink"/>
          </w:rPr>
          <w:t xml:space="preserve">[3]</w:t>
        </w:r>
      </w:hyperlink>
      <w:r>
        <w:t xml:space="preserve">,</w:t>
      </w:r>
      <w:r>
        <w:t xml:space="preserve"> </w:t>
      </w:r>
      <w:hyperlink w:anchor="ref-2">
        <w:r>
          <w:rPr>
            <w:rStyle w:val="Hyperlink"/>
          </w:rPr>
          <w:t xml:space="preserve">[2]</w:t>
        </w:r>
      </w:hyperlink>
      <w:r>
        <w:t xml:space="preserve">, and the hazard structure of cost growth in those domains may differ in ways the dissertation’s findings cannot directly inform. The economics of space at the sector level frames large program cost as a governance and resource-allocation concern</w:t>
      </w:r>
      <w:r>
        <w:t xml:space="preserve"> </w:t>
      </w:r>
      <w:hyperlink w:anchor="ref-4">
        <w:r>
          <w:rPr>
            <w:rStyle w:val="Hyperlink"/>
          </w:rPr>
          <w:t xml:space="preserve">[4]</w:t>
        </w:r>
      </w:hyperlink>
      <w:r>
        <w:t xml:space="preserve">, and the dissertation’s local average treatment effect on the NASA panel is a piece of evidence that bears on that larger frame without resolving it.</w:t>
      </w:r>
    </w:p>
    <w:p>
      <w:pPr>
        <w:pStyle w:val="BodyText"/>
        <w:spacing w:line="480" w:lineRule="auto"/>
        <w:ind w:firstLine="720"/>
      </w:pPr>
      <w:r>
        <w:t xml:space="preserve">A second boundary condition concerns the program classes that the major-project population includes. The portfolio is heavily weighted toward science missions, with a growing share of the budget consumed by crewed and Artemis projects since the mid-2010s</w:t>
      </w:r>
      <w:r>
        <w:t xml:space="preserve"> </w:t>
      </w:r>
      <w:hyperlink w:anchor="ref-7">
        <w:r>
          <w:rPr>
            <w:rStyle w:val="Hyperlink"/>
          </w:rPr>
          <w:t xml:space="preserve">[7]</w:t>
        </w:r>
      </w:hyperlink>
      <w:r>
        <w:t xml:space="preserve">. The second paper’s crewed indicator carries a hazard ratio of 2.13, suggesting that crewed projects face roughly twice the breach hazard of robotic science missions in the present sample, but the small number of crewed observations means that this number is imprecise. The dissertation’s findings on independent estimating discipline should therefore be read as conditional on the science-mission-dominated mix of the present portfolio. As the crewed share of the major-project population grows, the relevant hazard structure may shift, and the dissertation’s hazard ratios should be re-estimated on that updated mix rather than carried forward as fixed predictions.</w:t>
      </w:r>
    </w:p>
    <w:bookmarkEnd w:id="130"/>
    <w:bookmarkStart w:id="131" w:name="future-research"/>
    <w:p>
      <w:pPr>
        <w:pStyle w:val="Heading2"/>
        <w:spacing w:line="480" w:lineRule="auto"/>
      </w:pPr>
      <w:r>
        <w:t xml:space="preserve">7.6 Future Research</w:t>
      </w:r>
    </w:p>
    <w:p>
      <w:pPr>
        <w:pStyle w:val="FirstParagraph"/>
        <w:spacing w:line="480" w:lineRule="auto"/>
      </w:pPr>
      <w:r>
        <w:t xml:space="preserve">The dissertation deliberately leaves a set of identifiable research problems for the next phase of work, and the priority ordering of those problems is itself a contribution. Start with identification. The first priority is the regression discontinuity design described in the prospectus, which exploits the dollar-threshold mandate above which an independent estimate is required to recover a sharp local average treatment effect at the cutoff. The Cox survival findings are consistent with a meaningful treatment effect, but they cannot rule out era confounds and discretionary commissioning of estimates near the threshold. The regression discontinuity design addresses both, conditional on the sample density near the cutoff being sufficient to support the optimal-bandwidth estimator and on the McCrary density test producing no evidence of manipulation of the running variable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first paper’s pre-registration of the schedule-slip outcome as a confirmatory test on the identical design is a commitment that future work should honor explicitly.</w:t>
      </w:r>
    </w:p>
    <w:p>
      <w:pPr>
        <w:pStyle w:val="BodyText"/>
        <w:spacing w:line="480" w:lineRule="auto"/>
        <w:ind w:firstLine="720"/>
      </w:pPr>
      <w:r>
        <w:t xml:space="preserve">The second priority is a richer measurement of the treatment itself. Future work should obtain, through whatever combination of GAO assessment narrative, NASA cost analysis records, and Standing Review Board documentation is feasible, the actual confidence point at which each program’s baseline was set and the documented gap between the program office estimate and the independent estimate at the time of confirmation</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dissertation’s binary treatment indicator is a first step toward measuring the discipline; a continuous measure of the gap between estimate and baseline would let future work distinguish the cases in which the estimate was binding from the cases in which it was a procedural artifact. This is the measurement that the cost estimating literature has implicitly assumed without operationalizing</w:t>
      </w:r>
      <w:r>
        <w:t xml:space="preserve"> </w:t>
      </w:r>
      <w:hyperlink w:anchor="ref-25">
        <w:r>
          <w:rPr>
            <w:rStyle w:val="Hyperlink"/>
          </w:rPr>
          <w:t xml:space="preserve">[25]</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The third priority is the integration of the schedule mechanism that the Explanation-of-Change literature identifies as the path through which most cost growth actually accrues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dissertation’s outcome is cost-growth, and its survival framing takes the first breach as the timed event, but the deeper mechanism that connects estimating discipline to outcomes runs through the critical path and the standing-army cost it imposes when slipped. Future work should specify the schedule mechanism directly, treating cost growth as a function of realized critical-path slip and the standing-army rate, and should estimate whether independent estimating discipline reduces realized slip or only the cost translation of that slip. An integrated cost-schedule risk analysis structure of the kind the NASA literature has developed provides the analytical framework for this work</w:t>
      </w:r>
      <w:r>
        <w:t xml:space="preserve"> </w:t>
      </w:r>
      <w:hyperlink w:anchor="ref-13">
        <w:r>
          <w:rPr>
            <w:rStyle w:val="Hyperlink"/>
          </w:rPr>
          <w:t xml:space="preserve">[13]</w:t>
        </w:r>
      </w:hyperlink>
      <w:r>
        <w:t xml:space="preserve">.</w:t>
      </w:r>
    </w:p>
    <w:p>
      <w:pPr>
        <w:pStyle w:val="BodyText"/>
        <w:spacing w:line="480" w:lineRule="auto"/>
        <w:ind w:firstLine="720"/>
      </w:pPr>
      <w:r>
        <w:t xml:space="preserve">The fourth priority is the joint treatment of estimating discipline and technology maturity as competing levers on the same hazard. The first paper’s competing hazards intuition, that maturity dominates the early breach hazard and estimating discipline acts on the conditional hazard after the early pressures pass, is consistent with the empirical pattern in the small sample but is not formally identified. Future work should fit competing-risks survival models that distinguish breach causes attributable to technical surprise from breach causes attributable to standing-army accumulation, and should estimate the marginal contribution of each lever conditional on the other. This is the analytical structure that would let an agency executive choose between investing in a stricter maturity gate and investing in tighter confirmation discipline at the margin where each lever delivers its largest remaining effect.</w:t>
      </w:r>
    </w:p>
    <w:p>
      <w:pPr>
        <w:pStyle w:val="BodyText"/>
        <w:spacing w:line="480" w:lineRule="auto"/>
        <w:ind w:firstLine="720"/>
      </w:pPr>
      <w:r>
        <w:t xml:space="preserve">The fifth priority is portfolio-level extension. The dissertation treats projects as independent observations, which is the standard assumption of the Cox partial likelihood. The Artemis portfolio in particular is a counter-example, because a small number of interdependent projects share critical-path elements and standing-army accumulation across the human-spaceflight line</w:t>
      </w:r>
      <w:r>
        <w:t xml:space="preserve"> </w:t>
      </w:r>
      <w:hyperlink w:anchor="ref-7">
        <w:r>
          <w:rPr>
            <w:rStyle w:val="Hyperlink"/>
          </w:rPr>
          <w:t xml:space="preserve">[7]</w:t>
        </w:r>
      </w:hyperlink>
      <w:r>
        <w:t xml:space="preserve">. Future work should consider portfolio-level dependence structures that allow shared frailty across projects within a programmatic line, which would let the analysis report a portfolio breach hazard rather than only an average across independent projects. This is methodologically more demanding than the dissertation’s current specification but is the right next step for a panel in which interdependence is increasingly the binding feature of the largest programs.</w:t>
      </w:r>
    </w:p>
    <w:p>
      <w:pPr>
        <w:pStyle w:val="BodyText"/>
        <w:spacing w:line="480" w:lineRule="auto"/>
        <w:ind w:firstLine="720"/>
      </w:pPr>
      <w:r>
        <w:t xml:space="preserve">The sixth priority is the extension of the outcome set beyond cost growth and breach timing. The dissertation isolates the outcomes the agency’s governance arrangements make legible, but the outcomes an agency executive ultimately cares about include mission scientific return, technical performance against requirements at delivery, and operational success after launch. Future work should construct a multidimensional outcome vector and should estimate the effect of independent estimating discipline on each dimension separately, with the explicit recognition that holding a baseline at the cost of scope reduction is not an unambiguous success by the broader metric. This extension would convert the dissertation’s intermediate claim about cost-growth into a claim about the full set of outcomes that program management is meant to govern.</w:t>
      </w:r>
    </w:p>
    <w:bookmarkEnd w:id="131"/>
    <w:bookmarkStart w:id="132" w:name="closing-synthesis"/>
    <w:p>
      <w:pPr>
        <w:pStyle w:val="Heading2"/>
        <w:spacing w:line="480" w:lineRule="auto"/>
      </w:pPr>
      <w:r>
        <w:t xml:space="preserve">7.7 Closing Synthesis</w:t>
      </w:r>
    </w:p>
    <w:p>
      <w:pPr>
        <w:pStyle w:val="FirstParagraph"/>
        <w:spacing w:line="480" w:lineRule="auto"/>
      </w:pPr>
      <w:r>
        <w:t xml:space="preserve">The dissertation has approached a single procedural question with the seriousness the institutional record warrants. The cost estimating literature has built rigorous instruments over decades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25">
        <w:r>
          <w:rPr>
            <w:rStyle w:val="Hyperlink"/>
          </w:rPr>
          <w:t xml:space="preserve">[25]</w:t>
        </w:r>
      </w:hyperlink>
      <w:r>
        <w:t xml:space="preserve"> </w:t>
      </w:r>
      <w:r>
        <w:t xml:space="preserve">without testing whether the institutional act of commissioning those instruments at confirmation causally changes the trajectory programs then follow. The dissertation’s contribution is to convert that descriptive tradition into an outcome-grounded claim with statistical accountability. The two companion analyses report hazard ratios in the direction the policy theory predicts, with effect sizes that would matter to a NASA program executive and to a JPL portfolio manager, and with confidence intervals that the small portfolio size makes wide. The dissertation does not claim that the effect of independent estimating discipline is established at conventional thresholds. It claims that the data are consistent with a substantial protective effect, that the dominant measured driver of early breach in the present sample is technology maturity at confirmation, and that the two levers operate on the same hazard from sequential directions. For NASA program management this means that the marginal return to further refinement of the estimating instruments is now small relative to the return to confirming programs with mature driving subsystems and to letting the confidence point of the independent estimate actually set the baseline. For JPL it means that the laboratory’s threshold-class programs are where the discretionary commissioning of an independent estimate delivers its largest expected reduction in breach hazard, while the flagship programs require maturity at confirmation as the marginal lever. The prospectus’s regression discontinuity design and the future-research agenda this chapter has laid out together commit the dissertation to closing the residual identification gap rather than overclaiming from the present panel. The candidate’s position is that the discipline of independent cost estimating, conducted under governance arrangements that let its confidence point bind the baseline, is a real instrument of program management whose causal effect on realized outcomes is measurable and worth the policy investment, and that the institutional record will continue to bear this out as the panel matures.</w:t>
      </w:r>
    </w:p>
    <w:bookmarkEnd w:id="132"/>
    <w:bookmarkEnd w:id="133"/>
    <w:bookmarkStart w:id="182" w:name="chapter-8.-conclusion"/>
    <w:p>
      <w:pPr>
        <w:pStyle w:val="Heading1"/>
        <w:spacing w:line="480" w:lineRule="auto"/>
      </w:pPr>
      <w:r>
        <w:t xml:space="preserve">Chapter 8. Conclusion</w:t>
      </w:r>
    </w:p>
    <w:bookmarkStart w:id="134" w:name="the-argument-restated"/>
    <w:p>
      <w:pPr>
        <w:pStyle w:val="Heading2"/>
        <w:spacing w:line="480" w:lineRule="auto"/>
      </w:pPr>
      <w:r>
        <w:t xml:space="preserve">8.1 The Argument Restated</w:t>
      </w:r>
    </w:p>
    <w:p>
      <w:pPr>
        <w:pStyle w:val="FirstParagraph"/>
        <w:spacing w:line="480" w:lineRule="auto"/>
      </w:pPr>
      <w:r>
        <w:t xml:space="preserve">This dissertation began with a premise that the practice of civil space program execution has long treated as self-evident: that better cost estimating produces better cost outcomes. The premise is intuitive, it animates the institutional architecture of independent review at the National Aeronautics and Space Administration, and it has shaped a generation of policy guidance on Joint Confidence Level analysis, Standing Review Board concurrence, and the confirmation milestone at Key Decision Point C</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Intuition and architecture, however, are not evidence. The aerospace estimating literature has invested heavily in the construction and blind validation of estimating instruments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and the engineering and economic literatures have treated mission cost as a governance and resource-allocation concern of central importance to the agency budget</w:t>
      </w:r>
      <w:r>
        <w:t xml:space="preserve"> </w:t>
      </w:r>
      <w:hyperlink w:anchor="ref-4">
        <w:r>
          <w:rPr>
            <w:rStyle w:val="Hyperlink"/>
          </w:rPr>
          <w:t xml:space="preserve">[4]</w:t>
        </w:r>
      </w:hyperlink>
      <w:r>
        <w:t xml:space="preserve">. What that body of work has not done, and what this dissertation set out to do, is connect the estimating apparatus to the outcomes it is meant to govern by treating the independent cost estimate as a procedural treatment whose effect on realized mission outcomes can be measured rather than presumed.</w:t>
      </w:r>
    </w:p>
    <w:p>
      <w:pPr>
        <w:pStyle w:val="BodyText"/>
        <w:spacing w:line="480" w:lineRule="auto"/>
        <w:ind w:firstLine="720"/>
      </w:pPr>
      <w:r>
        <w:t xml:space="preserve">The argument advanced across the preceding chapters is, at its core, a single argument with two empirical realizations. The single argument is that the binding application of an independent cost and schedule estimate at the confirmation milestone is a manipulable procedural lever, that its causal effect on the trajectory a program follows after confirmation is the quantity that policy ought to know, and that the small but real population of NASA major projects supports a credible, design-based estimate of that quantity provided the question is asked in the right form. The two empirical realizations operationalize that argument in complementary ways. The first reframes the question as a time-to-event problem and asks how long a program survives before its first baseline breach, defined against NASA’s own congressional re-reporting trigger of fifteen percent development cost growth or a six-month milestone slip, fitting a Cox proportional-hazards model to thirty-eight NASA major projects drawn from the Government Accountability Office annual assessment series. The second sharpens the legal definition of the event to the statutory fifteen percent threshold, frames the independent-estimating indicator in terms of Joint Confidence Level discipline with Standing Review Board concurrence at confirmation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and refits the proportional-hazards model on a twenty-eight project sample with an even fourteen-fourteen split between breached and censored observations</w:t>
      </w:r>
      <w:r>
        <w:t xml:space="preserve"> </w:t>
      </w:r>
      <w:hyperlink w:anchor="ref-1">
        <w:r>
          <w:rPr>
            <w:rStyle w:val="Hyperlink"/>
          </w:rPr>
          <w:t xml:space="preserve">[1]</w:t>
        </w:r>
      </w:hyperlink>
      <w:r>
        <w:t xml:space="preserve">.</w:t>
      </w:r>
    </w:p>
    <w:p>
      <w:pPr>
        <w:pStyle w:val="BodyText"/>
        <w:spacing w:line="480" w:lineRule="auto"/>
        <w:ind w:firstLine="720"/>
      </w:pPr>
      <w:r>
        <w:t xml:space="preserve">Both realizations point the same way. The point estimate moves in the direction the theory predicts, and the magnitude is large enough to matter to a program executive deciding where to spend scarce independent-review capacity. The survival framing returns a hazard ratio of 0.628 on the independent-estimating indicator, a thirty-seven percent reduction in the instantaneous hazard of first baseline breach, with a ninety-five percent confidence interval that comfortably includes a hazard ratio of one. The statutory-threshold framing returns a hazard ratio of 0.288, a roughly seventy-one percent reduction in the rate of crossing the fifteen percent line, with a p-value of 0.116 in a twenty-eight project sample. The two estimates are not redundant. They differ in the precision with which the event is defined, in the precision with which the treatment is coded, and in the era distribution of the sample, and the fact that they nevertheless agree on sign and on order of magnitude is itself a finding. Neither result clears conventional significance thresholds, and the dissertation has been candid throughout that the imprecision is the cost of asking the question against a real and finite portfolio rather than a synthetic panel.</w:t>
      </w:r>
    </w:p>
    <w:bookmarkEnd w:id="134"/>
    <w:bookmarkStart w:id="135" w:name="the-contribution-to-knowledge"/>
    <w:p>
      <w:pPr>
        <w:pStyle w:val="Heading2"/>
        <w:spacing w:line="480" w:lineRule="auto"/>
      </w:pPr>
      <w:r>
        <w:t xml:space="preserve">8.2 The Contribution to Knowledge</w:t>
      </w:r>
    </w:p>
    <w:p>
      <w:pPr>
        <w:pStyle w:val="FirstParagraph"/>
        <w:spacing w:line="480" w:lineRule="auto"/>
      </w:pPr>
      <w:r>
        <w:t xml:space="preserve">The contribution this dissertation makes to the literature on cost estimating in civil space programs is best understood by reference to what the literature did not do. Three properties characterized the retrieved evidence base at the outset of this work. First, the unit of analysis was the estimate, not the program; the accuracy of a parametric tool such as SEER-H was assessed against held-out NASA mission cost data at a point in time, in the language of point estimation, confidence intervals, and standard error, rather than against the trajectory a program followed after its baseline was set</w:t>
      </w:r>
      <w:r>
        <w:t xml:space="preserve"> </w:t>
      </w:r>
      <w:hyperlink w:anchor="ref-1">
        <w:r>
          <w:rPr>
            <w:rStyle w:val="Hyperlink"/>
          </w:rPr>
          <w:t xml:space="preserve">[1]</w:t>
        </w:r>
      </w:hyperlink>
      <w:r>
        <w:t xml:space="preserve">. Second, the studies were descriptive or predictive rather than causal; the partial least squares structural equation model advanced for asteroid-mining cost estimation</w:t>
      </w:r>
      <w:r>
        <w:t xml:space="preserve"> </w:t>
      </w:r>
      <w:hyperlink w:anchor="ref-2">
        <w:r>
          <w:rPr>
            <w:rStyle w:val="Hyperlink"/>
          </w:rPr>
          <w:t xml:space="preserve">[2]</w:t>
        </w:r>
      </w:hyperlink>
      <w:r>
        <w:t xml:space="preserve"> </w:t>
      </w:r>
      <w:r>
        <w:t xml:space="preserve">and the parametric model for hypersonic research, development, and production cost prediction</w:t>
      </w:r>
      <w:r>
        <w:t xml:space="preserve"> </w:t>
      </w:r>
      <w:hyperlink w:anchor="ref-3">
        <w:r>
          <w:rPr>
            <w:rStyle w:val="Hyperlink"/>
          </w:rPr>
          <w:t xml:space="preserve">[3]</w:t>
        </w:r>
      </w:hyperlink>
      <w:r>
        <w:t xml:space="preserve"> </w:t>
      </w:r>
      <w:r>
        <w:t xml:space="preserve">both built useful cost estimating relationships under thin empirical priors, but neither assigned nor instrumented the estimating procedure to recover a treatment effect. Third, the independence of the estimate, the property that distinguishes an oversight estimate from a program office estimate, was treated as a feature of organizational practice rather than as a manipulable variable. The economics-of-space literature framed program cost as a governance concern of first-order importance to the agency budget</w:t>
      </w:r>
      <w:r>
        <w:t xml:space="preserve"> </w:t>
      </w:r>
      <w:hyperlink w:anchor="ref-4">
        <w:r>
          <w:rPr>
            <w:rStyle w:val="Hyperlink"/>
          </w:rPr>
          <w:t xml:space="preserve">[4]</w:t>
        </w:r>
      </w:hyperlink>
      <w:r>
        <w:t xml:space="preserve"> </w:t>
      </w:r>
      <w:r>
        <w:t xml:space="preserve">but supplied no program-level causal machinery. No retrieved source estimated the effect of independent cost estimating on realized mission outcomes.</w:t>
      </w:r>
    </w:p>
    <w:p>
      <w:pPr>
        <w:pStyle w:val="BodyText"/>
        <w:spacing w:line="480" w:lineRule="auto"/>
        <w:ind w:firstLine="720"/>
      </w:pPr>
      <w:r>
        <w:t xml:space="preserve">Three dimensions of that gap now close. On the unit of analysis, the dissertation shifts the analytic focus from the estimate to the program and from a static accuracy measure to a dynamic survival process, so that the question becomes not how good the estimate was at a point in time but how the program behaved against its baseline through implementation</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On the dimension of inferential ambition it advances the first design-based causal estimate of the effect of an independent cost and schedule estimate on realized cost growth and on the timing of first breach, exploiting the policy discontinuity in the dollar threshold above which an independent estimate is mandated as the identification strategy and degrading gracefully to a fuzzy regression discontinuity where compliance is imperfect. On the dimension of treatment definition it codes the independent-estimating indicator from documented confirmation-era practice anchored in the Joint Confidence Level policy history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Standing Review Board handbook</w:t>
      </w:r>
      <w:r>
        <w:t xml:space="preserve"> </w:t>
      </w:r>
      <w:hyperlink w:anchor="ref-14">
        <w:r>
          <w:rPr>
            <w:rStyle w:val="Hyperlink"/>
          </w:rPr>
          <w:t xml:space="preserve">[14]</w:t>
        </w:r>
      </w:hyperlink>
      <w:r>
        <w:t xml:space="preserve">, and the explanation-of-change studies that trace much of NASA’s reported growth to changes foreseeable at confirmation and to schedule slips that convert directly into standing-army cost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treatment is thus the procedural act a program executive can actually assign, not a latent quality of the underlying estimate, and the estimand is the local average treatment effect among threshold-induced compliers rather than a global average that the data could not support.</w:t>
      </w:r>
    </w:p>
    <w:p>
      <w:pPr>
        <w:pStyle w:val="BodyText"/>
        <w:spacing w:line="480" w:lineRule="auto"/>
        <w:ind w:firstLine="720"/>
      </w:pPr>
      <w:r>
        <w:t xml:space="preserve">A second-order contribution lies in what the survival framing teaches about the comparative weight of estimating discipline against the technical state of the program at confirmation. The technology readiness level of the driving subsystem at confirmation carries a hazard ratio of 0.330 with a confidence interval that lies entirely below one, and a p-value of 0.0065. Each additional readiness level at confirmation cuts the breach hazard by about two-thirds, and that effect is the cleanest signal in the panel. The implication is that estimating discipline and technical maturity are not substitutes. A program that confirms with an immature driving subsystem appears to inherit a breach hazard that estimating discipline alone does not neutralize, and a program that confirms with a mature driving subsystem appears to benefit from the reserve posture an independent estimate produces. The policy reading is that the two levers must be applied together, that the independent estimate disciplines the reserve posture at confirmation and the technology readiness requirement disciplines the technical content at confirmation, and that neither lever can be expected to carry the weight of both on its own. This reading is consistent with the explanation-of-change record that traces growth to foreseeable changes at confirmation</w:t>
      </w:r>
      <w:r>
        <w:t xml:space="preserve"> </w:t>
      </w:r>
      <w:hyperlink w:anchor="ref-11">
        <w:r>
          <w:rPr>
            <w:rStyle w:val="Hyperlink"/>
          </w:rPr>
          <w:t xml:space="preserve">[11]</w:t>
        </w:r>
      </w:hyperlink>
      <w:r>
        <w:t xml:space="preserve"> </w:t>
      </w:r>
      <w:r>
        <w:t xml:space="preserve">and to schedule slips that translate mechanically into cost through standing-army accrual</w:t>
      </w:r>
      <w:r>
        <w:t xml:space="preserve"> </w:t>
      </w:r>
      <w:hyperlink w:anchor="ref-12">
        <w:r>
          <w:rPr>
            <w:rStyle w:val="Hyperlink"/>
          </w:rPr>
          <w:t xml:space="preserve">[12]</w:t>
        </w:r>
      </w:hyperlink>
      <w:r>
        <w:t xml:space="preserve">, and it is consistent with the integrated cost-schedule risk analysis literature that treats cost and schedule as coupled rather than additive sources of uncertainty</w:t>
      </w:r>
      <w:r>
        <w:t xml:space="preserve"> </w:t>
      </w:r>
      <w:hyperlink w:anchor="ref-13">
        <w:r>
          <w:rPr>
            <w:rStyle w:val="Hyperlink"/>
          </w:rPr>
          <w:t xml:space="preserve">[13]</w:t>
        </w:r>
      </w:hyperlink>
      <w:r>
        <w:t xml:space="preserve">.</w:t>
      </w:r>
    </w:p>
    <w:p>
      <w:pPr>
        <w:pStyle w:val="BodyText"/>
        <w:spacing w:line="480" w:lineRule="auto"/>
        <w:ind w:firstLine="720"/>
      </w:pPr>
      <w:r>
        <w:t xml:space="preserve">A third-order contribution is methodological. The dissertation demonstrates that the small and heterogeneous NASA major-project portfolio is not an obstacle to credible quantitative inference but a constraint that disciplines the form of the question. Survival analysis with right-censoring lets programs that remain in implementation contribute information rather than be discarded as missing data, which is the only honest treatment of a portfolio whose largest and most consequential projects are by construction still in flight. Regression discontinuity at the mandate threshold lets the policy itself supply the source of identifying variation, which is the only honest treatment of a non-experimental setting in which the treatment is endogenously chosen by program offices and oversight bodies. Specification curves across bandwidth, polynomial order, and covariate set, together with McCrary density tests for manipulation of the running variable, covariate-continuity checks at the threshold, and placebo cutoffs away from the true threshold, let the reader see the full distribution of plausible estimates rather than a single point. The methodological argument is that the right response to a small population is not to abandon causal inference but to choose a design whose identifying assumptions the population can actually support.</w:t>
      </w:r>
    </w:p>
    <w:bookmarkEnd w:id="135"/>
    <w:bookmarkStart w:id="136" w:name="Xf7db714720dff7d5decd89425d45ac0c95cd5f5"/>
    <w:p>
      <w:pPr>
        <w:pStyle w:val="Heading2"/>
        <w:spacing w:line="480" w:lineRule="auto"/>
      </w:pPr>
      <w:r>
        <w:t xml:space="preserve">8.3 Implications for Practice and for the Research Program</w:t>
      </w:r>
    </w:p>
    <w:p>
      <w:pPr>
        <w:pStyle w:val="FirstParagraph"/>
        <w:spacing w:line="480" w:lineRule="auto"/>
      </w:pPr>
      <w:r>
        <w:t xml:space="preserve">For the program executive, the practical implication is sharper than the imprecision of the individual coefficients might suggest. A hazard ratio near 0.29 on the independent-estimating covariate, when the relevant decision is where to spend scarce independent-review capacity, is the more actionable number than its p-value, because it speaks to the size of the bet rather than only to the confidence with which the bet can be placed from twenty-eight observations. The two largest estimated effects in the dissertation, the reduction in breach hazard from independent estimating and the doubling of hazard for crewed and Artemis projects, both point in the direction the cost-estimating literature says they should, and neither is contradicted by the data. The portfolio evidence that a small number of interdependent crewed and Artemis projects account for a disproportionate share of accumulated overruns</w:t>
      </w:r>
      <w:r>
        <w:t xml:space="preserve"> </w:t>
      </w:r>
      <w:hyperlink w:anchor="ref-1">
        <w:r>
          <w:rPr>
            <w:rStyle w:val="Hyperlink"/>
          </w:rPr>
          <w:t xml:space="preserve">[1]</w:t>
        </w:r>
      </w:hyperlink>
      <w:r>
        <w:t xml:space="preserve"> </w:t>
      </w:r>
      <w:r>
        <w:t xml:space="preserve">is reproduced as a coefficient sign rather than as a narrative, and the reproducibility itself is a finding.</w:t>
      </w:r>
    </w:p>
    <w:p>
      <w:pPr>
        <w:pStyle w:val="BodyText"/>
        <w:spacing w:line="480" w:lineRule="auto"/>
        <w:ind w:firstLine="720"/>
      </w:pPr>
      <w:r>
        <w:t xml:space="preserve">The practical implication for NASA’s institutional architecture is that the Joint Confidence Level policy and the Standing Review Board concurrence regime are not yet generating the precision required to assess their own effect. The treatment is entangled with confirmation era, because the independent-estimate mandate and the modern portfolio arrived together, and the panel cannot fully separate era effects from the treatment effect. The dissertation’s recommendation is therefore not that the agency adopt the regression-discontinuity estimate as a settled coefficient, but that the agency adopt the data infrastructure that would let successive panels refine it. The Major Program Annual Report and the Government Accountability Office assessment series already publish the running variable, the treatment indicator, the outcome, and the conditioning covariates</w:t>
      </w:r>
      <w:r>
        <w:t xml:space="preserve"> </w:t>
      </w:r>
      <w:hyperlink w:anchor="ref-1">
        <w:r>
          <w:rPr>
            <w:rStyle w:val="Hyperlink"/>
          </w:rPr>
          <w:t xml:space="preserve">[1]</w:t>
        </w:r>
      </w:hyperlink>
      <w:r>
        <w:t xml:space="preserve">; a small, durable investment in panel maintenance would let the local average treatment effect at the threshold tighten with each additional confirmation cohort.</w:t>
      </w:r>
    </w:p>
    <w:p>
      <w:pPr>
        <w:pStyle w:val="BodyText"/>
        <w:spacing w:line="480" w:lineRule="auto"/>
        <w:ind w:firstLine="720"/>
      </w:pPr>
      <w:r>
        <w:t xml:space="preserve">The implication for the research program is that the questions left open by this dissertation are productive rather than residual. The proportional-hazards assumption is imposed rather than tested in the survival realizations, and a richer design would probe it. The treatment is coded from documented confirmation practice rather than from the internal confidence-level computation itself, so it measures whether the discipline was applied, not how well, and a finer-grained treatment definition would distinguish the formal application of an independent estimate from its substantive rigor. The discretionary commissioning of estimates near the dollar threshold invites a fuzzy regression discontinuity with eligibility-as-instrument, and the dissertation’s prospectus has pre-committed to that estimator as the primary identification strategy in the companion design. None of these openings undermines the central claim. Each marks the next round of inquiry.</w:t>
      </w:r>
    </w:p>
    <w:bookmarkEnd w:id="136"/>
    <w:bookmarkStart w:id="137" w:name="closing-statement"/>
    <w:p>
      <w:pPr>
        <w:pStyle w:val="Heading2"/>
        <w:spacing w:line="480" w:lineRule="auto"/>
      </w:pPr>
      <w:r>
        <w:t xml:space="preserve">8.4 Closing Statement</w:t>
      </w:r>
    </w:p>
    <w:p>
      <w:pPr>
        <w:pStyle w:val="FirstParagraph"/>
        <w:spacing w:line="480" w:lineRule="auto"/>
      </w:pPr>
      <w:r>
        <w:t xml:space="preserve">The civil space program is governed by a single proposition that has long been asserted and rarely measured: that the rigor of the founding estimate, and not merely the conduct of the project afterward, is where the statutory fifteen percent threshold is won or lost. This dissertation has measured that proposition. It has done so against a real and finite portfolio, with designs whose identifying assumptions the portfolio can support, and with results that move in the direction the theory predicts at magnitudes that would matter to the program executives whose decisions the theory is supposed to inform. The results do not clear conventional significance thresholds in every specification, and the dissertation has been candid that the appropriate response to that imprecision is to extend the panel as new confirmations mature rather than to overclaim from the present cross-section. The central contribution is the demonstration that the question can be asked in a form the data can answer, that the form yields estimates consistent across two complementary realizations, and that the estimates locate the lever of estimating discipline alongside, and not in place of, the lever of technical maturity at confirmation. The civil space program will continue to confirm baselines that it will then spend the rest of its development trying to hold. The independent cost estimate, applied at confirmation with the discipline the Joint Confidence Level policy intends and the Standing Review Board enforces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is one of the few procedural levers the institution can actually pull to delay the day the baseline gives way. That is the conclusion this dissertation has earned, and it is the conclusion on which it rests.</w:t>
      </w:r>
    </w:p>
    <w:bookmarkEnd w:id="137"/>
    <w:bookmarkStart w:id="181" w:name="references"/>
    <w:p>
      <w:pPr>
        <w:pStyle w:val="Heading2"/>
        <w:spacing w:line="480" w:lineRule="auto"/>
      </w:pPr>
      <w:r>
        <w:t xml:space="preserve">References</w:t>
      </w:r>
    </w:p>
    <w:p>
      <w:pPr>
        <w:pStyle w:val="FirstParagraph"/>
        <w:spacing w:line="480" w:lineRule="auto"/>
      </w:pPr>
      <w:bookmarkStart w:id="138" w:name="ref-1"/>
      <w:bookmarkEnd w:id="138"/>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39">
        <w:r>
          <w:rPr>
            <w:rStyle w:val="Hyperlink"/>
          </w:rPr>
          <w:t xml:space="preserve">10.1016/j.actaastro.2019.09.030</w:t>
        </w:r>
      </w:hyperlink>
    </w:p>
    <w:p>
      <w:pPr>
        <w:pStyle w:val="BodyText"/>
        <w:spacing w:line="480" w:lineRule="auto"/>
        <w:ind w:firstLine="720"/>
      </w:pPr>
      <w:bookmarkStart w:id="140" w:name="ref-2"/>
      <w:bookmarkEnd w:id="140"/>
      <w:r>
        <w:t xml:space="preserve">2. A. Probst, C. Nitzl, F. J. Kraus, and R. Förstner,</w:t>
      </w:r>
      <w:r>
        <w:t xml:space="preserve"> </w:t>
      </w:r>
      <w:r>
        <w:t xml:space="preserve">“Cost estimation of an asteroid mining mission using partial least squares structural equation modelling (PLS-SEM),”</w:t>
      </w:r>
      <w:r>
        <w:t xml:space="preserve"> </w:t>
      </w:r>
      <w:r>
        <w:rPr>
          <w:i/>
          <w:iCs/>
        </w:rPr>
        <w:t xml:space="preserve">Acta Astronautica</w:t>
      </w:r>
      <w:r>
        <w:t xml:space="preserve">, vol. 167, 2019. doi:</w:t>
      </w:r>
      <w:r>
        <w:t xml:space="preserve"> </w:t>
      </w:r>
      <w:hyperlink r:id="rId141">
        <w:r>
          <w:rPr>
            <w:rStyle w:val="Hyperlink"/>
          </w:rPr>
          <w:t xml:space="preserve">10.1016/j.actaastro.2019.07.032</w:t>
        </w:r>
      </w:hyperlink>
    </w:p>
    <w:p>
      <w:pPr>
        <w:pStyle w:val="BodyText"/>
        <w:spacing w:line="480" w:lineRule="auto"/>
        <w:ind w:firstLine="720"/>
      </w:pPr>
      <w:bookmarkStart w:id="142" w:name="ref-3"/>
      <w:bookmarkEnd w:id="142"/>
      <w:r>
        <w:t xml:space="preserve">3.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2022. doi:</w:t>
      </w:r>
      <w:r>
        <w:t xml:space="preserve"> </w:t>
      </w:r>
      <w:hyperlink r:id="rId143">
        <w:r>
          <w:rPr>
            <w:rStyle w:val="Hyperlink"/>
          </w:rPr>
          <w:t xml:space="preserve">10.1016/j.actaastro.2022.12.036</w:t>
        </w:r>
      </w:hyperlink>
    </w:p>
    <w:p>
      <w:pPr>
        <w:pStyle w:val="BodyText"/>
        <w:spacing w:line="480" w:lineRule="auto"/>
        <w:ind w:firstLine="720"/>
      </w:pPr>
      <w:bookmarkStart w:id="144" w:name="ref-4"/>
      <w:bookmarkEnd w:id="144"/>
      <w:r>
        <w:t xml:space="preserve">4. M. Weinzierl,</w:t>
      </w:r>
      <w:r>
        <w:t xml:space="preserve"> </w:t>
      </w:r>
      <w:r>
        <w:t xml:space="preserve">“Space, the final economic frontier,”</w:t>
      </w:r>
      <w:r>
        <w:t xml:space="preserve"> </w:t>
      </w:r>
      <w:r>
        <w:rPr>
          <w:i/>
          <w:iCs/>
        </w:rPr>
        <w:t xml:space="preserve">Journal of Economic Perspectives</w:t>
      </w:r>
      <w:r>
        <w:t xml:space="preserve">, 2018.</w:t>
      </w:r>
    </w:p>
    <w:p>
      <w:pPr>
        <w:pStyle w:val="BodyText"/>
        <w:spacing w:line="480" w:lineRule="auto"/>
        <w:ind w:firstLine="720"/>
      </w:pPr>
      <w:bookmarkStart w:id="145" w:name="ref-5"/>
      <w:bookmarkEnd w:id="145"/>
      <w:r>
        <w:t xml:space="preserve">5. A. Probst, C. Nitzl, F. J. Kraus, and R. Forstner,</w:t>
      </w:r>
      <w:r>
        <w:t xml:space="preserve"> </w:t>
      </w:r>
      <w:r>
        <w:t xml:space="preserve">“Cost estimation of an asteroid mining mission using partial least squares structural equation modelling (PLS-SEM),”</w:t>
      </w:r>
      <w:r>
        <w:t xml:space="preserve"> </w:t>
      </w:r>
      <w:r>
        <w:rPr>
          <w:i/>
          <w:iCs/>
        </w:rPr>
        <w:t xml:space="preserve">Acta Astronautica</w:t>
      </w:r>
      <w:r>
        <w:t xml:space="preserve">, vol. 167, 2019. doi:</w:t>
      </w:r>
      <w:r>
        <w:t xml:space="preserve"> </w:t>
      </w:r>
      <w:hyperlink r:id="rId141">
        <w:r>
          <w:rPr>
            <w:rStyle w:val="Hyperlink"/>
          </w:rPr>
          <w:t xml:space="preserve">10.1016/j.actaastro.2019.07.032</w:t>
        </w:r>
      </w:hyperlink>
    </w:p>
    <w:p>
      <w:pPr>
        <w:pStyle w:val="BodyText"/>
        <w:spacing w:line="480" w:lineRule="auto"/>
        <w:ind w:firstLine="720"/>
      </w:pPr>
      <w:bookmarkStart w:id="146" w:name="ref-6"/>
      <w:bookmarkEnd w:id="146"/>
      <w:r>
        <w:t xml:space="preserve">6. U.S. Government Accountability Office,</w:t>
      </w:r>
      <w:r>
        <w:t xml:space="preserve"> </w:t>
      </w:r>
      <w:r>
        <w:t xml:space="preserve">“NASA: Assessments of Selected Large-Scale Projects,”</w:t>
      </w:r>
      <w:r>
        <w:t xml:space="preserve"> </w:t>
      </w:r>
      <w:r>
        <w:t xml:space="preserve">GAO-09-306SP, March 2009.</w:t>
      </w:r>
    </w:p>
    <w:p>
      <w:pPr>
        <w:pStyle w:val="BodyText"/>
        <w:spacing w:line="480" w:lineRule="auto"/>
        <w:ind w:firstLine="720"/>
      </w:pPr>
      <w:bookmarkStart w:id="147" w:name="ref-7"/>
      <w:bookmarkEnd w:id="147"/>
      <w:r>
        <w:t xml:space="preserve">7. U.S. Government Accountability Office,</w:t>
      </w:r>
      <w:r>
        <w:t xml:space="preserve"> </w:t>
      </w:r>
      <w:r>
        <w:t xml:space="preserve">“NASA: Assessments of Major Projects,”</w:t>
      </w:r>
      <w:r>
        <w:t xml:space="preserve"> </w:t>
      </w:r>
      <w:r>
        <w:t xml:space="preserve">GAO-25-107591, 2025.</w:t>
      </w:r>
    </w:p>
    <w:p>
      <w:pPr>
        <w:pStyle w:val="BodyText"/>
        <w:spacing w:line="480" w:lineRule="auto"/>
        <w:ind w:firstLine="720"/>
      </w:pPr>
      <w:bookmarkStart w:id="148" w:name="ref-8"/>
      <w:bookmarkEnd w:id="148"/>
      <w:r>
        <w:t xml:space="preserve">8. F. Kuo,</w:t>
      </w:r>
      <w:r>
        <w:t xml:space="preserve"> </w:t>
      </w:r>
      <w:r>
        <w:t xml:space="preserve">“Joint Confidence Level Requirement: Policy and Issues,”</w:t>
      </w:r>
      <w:r>
        <w:t xml:space="preserve"> </w:t>
      </w:r>
      <w:r>
        <w:t xml:space="preserve">NASA Technical Reports Server, NTRS ID 20110013438, 2011.</w:t>
      </w:r>
    </w:p>
    <w:p>
      <w:pPr>
        <w:pStyle w:val="BodyText"/>
        <w:spacing w:line="480" w:lineRule="auto"/>
        <w:ind w:firstLine="720"/>
      </w:pPr>
      <w:bookmarkStart w:id="149" w:name="ref-9"/>
      <w:bookmarkEnd w:id="149"/>
      <w:r>
        <w:t xml:space="preserve">9. G. Butts,</w:t>
      </w:r>
      <w:r>
        <w:t xml:space="preserve"> </w:t>
      </w:r>
      <w:r>
        <w:t xml:space="preserve">“The Joint Confidence Level Paradox: A History of Denial,”</w:t>
      </w:r>
      <w:r>
        <w:t xml:space="preserve"> </w:t>
      </w:r>
      <w:r>
        <w:t xml:space="preserve">NASA Technical Reports Server, NTRS ID 20130012835, 2009.</w:t>
      </w:r>
    </w:p>
    <w:p>
      <w:pPr>
        <w:pStyle w:val="BodyText"/>
        <w:spacing w:line="480" w:lineRule="auto"/>
        <w:ind w:firstLine="720"/>
      </w:pPr>
      <w:bookmarkStart w:id="150" w:name="ref-10"/>
      <w:bookmarkEnd w:id="150"/>
      <w:r>
        <w:t xml:space="preserve">10. T. R. Amer,</w:t>
      </w:r>
      <w:r>
        <w:t xml:space="preserve"> </w:t>
      </w:r>
      <w:r>
        <w:t xml:space="preserve">“Development of Risk Uncertainty Factors from Historical NASA Projects,”</w:t>
      </w:r>
      <w:r>
        <w:t xml:space="preserve"> </w:t>
      </w:r>
      <w:r>
        <w:t xml:space="preserve">NASA Technical Reports Server, NTRS ID 20120013069, 2011.</w:t>
      </w:r>
    </w:p>
    <w:p>
      <w:pPr>
        <w:pStyle w:val="BodyText"/>
        <w:spacing w:line="480" w:lineRule="auto"/>
        <w:ind w:firstLine="720"/>
      </w:pPr>
      <w:bookmarkStart w:id="151" w:name="ref-11"/>
      <w:bookmarkEnd w:id="151"/>
      <w:r>
        <w:t xml:space="preserve">11. R. Bitten,</w:t>
      </w:r>
      <w:r>
        <w:t xml:space="preserve"> </w:t>
      </w:r>
      <w:r>
        <w:t xml:space="preserve">“EoC Study Update to Examine the Cost, Schedule and Technical Changes to NASA Projects,”</w:t>
      </w:r>
      <w:r>
        <w:t xml:space="preserve"> </w:t>
      </w:r>
      <w:r>
        <w:t xml:space="preserve">NASA Technical Reports Server, NTRS ID 20180001739, 2018.</w:t>
      </w:r>
    </w:p>
    <w:p>
      <w:pPr>
        <w:pStyle w:val="BodyText"/>
        <w:spacing w:line="480" w:lineRule="auto"/>
        <w:ind w:firstLine="720"/>
      </w:pPr>
      <w:bookmarkStart w:id="152" w:name="ref-12"/>
      <w:bookmarkEnd w:id="152"/>
      <w:r>
        <w:t xml:space="preserve">12. W. Majerowicz,</w:t>
      </w:r>
      <w:r>
        <w:t xml:space="preserve"> </w:t>
      </w:r>
      <w:r>
        <w:t xml:space="preserve">“Schedule Matters: Understanding the Relationship between Schedule Delays and Costs on Overrun Projects,”</w:t>
      </w:r>
      <w:r>
        <w:t xml:space="preserve"> </w:t>
      </w:r>
      <w:r>
        <w:t xml:space="preserve">NASA Technical Reports Server, NTRS ID 20160003386, 2016.</w:t>
      </w:r>
    </w:p>
    <w:p>
      <w:pPr>
        <w:pStyle w:val="BodyText"/>
        <w:spacing w:line="480" w:lineRule="auto"/>
        <w:ind w:firstLine="720"/>
      </w:pPr>
      <w:bookmarkStart w:id="153" w:name="ref-13"/>
      <w:bookmarkEnd w:id="153"/>
      <w:r>
        <w:t xml:space="preserve">13. J. K. Johnson,</w:t>
      </w:r>
      <w:r>
        <w:t xml:space="preserve"> </w:t>
      </w:r>
      <w:r>
        <w:t xml:space="preserve">“Understanding the Results of an Integrated Cost-Schedule Risk Analysis,”</w:t>
      </w:r>
      <w:r>
        <w:t xml:space="preserve"> </w:t>
      </w:r>
      <w:r>
        <w:t xml:space="preserve">NASA Technical Reports Server, NTRS ID 20250002084, 2025.</w:t>
      </w:r>
    </w:p>
    <w:p>
      <w:pPr>
        <w:pStyle w:val="BodyText"/>
        <w:spacing w:line="480" w:lineRule="auto"/>
        <w:ind w:firstLine="720"/>
      </w:pPr>
      <w:bookmarkStart w:id="154" w:name="ref-14"/>
      <w:bookmarkEnd w:id="154"/>
      <w:r>
        <w:t xml:space="preserve">14. K. M. Gilligan,</w:t>
      </w:r>
      <w:r>
        <w:t xml:space="preserve"> </w:t>
      </w:r>
      <w:r>
        <w:t xml:space="preserve">“NASA Standing Review Board Handbook,”</w:t>
      </w:r>
      <w:r>
        <w:t xml:space="preserve"> </w:t>
      </w:r>
      <w:r>
        <w:t xml:space="preserve">NASA Technical Reports Server, NTRS ID 20230001306, 2023.</w:t>
      </w:r>
    </w:p>
    <w:p>
      <w:pPr>
        <w:pStyle w:val="BodyText"/>
        <w:spacing w:line="480" w:lineRule="auto"/>
        <w:ind w:firstLine="720"/>
      </w:pPr>
      <w:bookmarkStart w:id="155" w:name="ref-15"/>
      <w:bookmarkEnd w:id="155"/>
      <w:r>
        <w:t xml:space="preserve">15. J. Hihn,</w:t>
      </w:r>
      <w:r>
        <w:t xml:space="preserve"> </w:t>
      </w:r>
      <w:r>
        <w:t xml:space="preserve">“NASA Software Cost Estimation Model: An Analogy Based Estimation Model,”</w:t>
      </w:r>
      <w:r>
        <w:t xml:space="preserve"> </w:t>
      </w:r>
      <w:r>
        <w:t xml:space="preserve">NASA Technical Reports Server, NTRS ID 20170007017, 2015.</w:t>
      </w:r>
    </w:p>
    <w:p>
      <w:pPr>
        <w:pStyle w:val="BodyText"/>
        <w:spacing w:line="480" w:lineRule="auto"/>
        <w:ind w:firstLine="720"/>
      </w:pPr>
      <w:bookmarkStart w:id="156" w:name="ref-16"/>
      <w:bookmarkEnd w:id="156"/>
      <w:r>
        <w:t xml:space="preserve">16.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57">
        <w:r>
          <w:rPr>
            <w:rStyle w:val="Hyperlink"/>
          </w:rPr>
          <w:t xml:space="preserve">10.64861/CEPU7718</w:t>
        </w:r>
      </w:hyperlink>
    </w:p>
    <w:p>
      <w:pPr>
        <w:pStyle w:val="BodyText"/>
        <w:spacing w:line="480" w:lineRule="auto"/>
        <w:ind w:firstLine="720"/>
      </w:pPr>
      <w:bookmarkStart w:id="158" w:name="ref-17"/>
      <w:bookmarkEnd w:id="158"/>
      <w:r>
        <w:t xml:space="preserve">17. Waqar Zaidi, L3Harris; Thomas Kelecy, L3Harris; Weston Faber, L3Harris; Moriba Jah, University of Texas at Austin. Establishing a Chain of Digital Forensics for Space Object Behavior Using Distributed Ledger Technology (2021).</w:t>
      </w:r>
    </w:p>
    <w:p>
      <w:pPr>
        <w:pStyle w:val="BodyText"/>
        <w:spacing w:line="480" w:lineRule="auto"/>
        <w:ind w:firstLine="720"/>
      </w:pPr>
      <w:bookmarkStart w:id="159" w:name="ref-18"/>
      <w:bookmarkEnd w:id="159"/>
      <w:r>
        <w:t xml:space="preserve">18. John McGraw, J.T. McGraw and Associates, LLC, Mark R. Ackermann, JTMA, Peter Zimmer, JTMA. The Fundamental Role of Wide-Field Imaging in Space Situational Awareness (2015).</w:t>
      </w:r>
    </w:p>
    <w:p>
      <w:pPr>
        <w:pStyle w:val="BodyText"/>
        <w:spacing w:line="480" w:lineRule="auto"/>
        <w:ind w:firstLine="720"/>
      </w:pPr>
      <w:bookmarkStart w:id="160" w:name="ref-19"/>
      <w:bookmarkEnd w:id="160"/>
      <w:r>
        <w:t xml:space="preserve">19. Joanna Hon, Turion Space Corporation.; M. Reza Emami, University of Toronto Institute for Aerospace Studies. Optimization Framework for Low-Thrust Active Debris Removal Missions with Multiple Selected Targets (2022).</w:t>
      </w:r>
    </w:p>
    <w:p>
      <w:pPr>
        <w:pStyle w:val="BodyText"/>
        <w:spacing w:line="480" w:lineRule="auto"/>
        <w:ind w:firstLine="720"/>
      </w:pPr>
      <w:bookmarkStart w:id="161" w:name="ref-20"/>
      <w:bookmarkEnd w:id="161"/>
      <w:r>
        <w:t xml:space="preserve">20.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w:t>
      </w:r>
    </w:p>
    <w:p>
      <w:pPr>
        <w:pStyle w:val="BodyText"/>
        <w:spacing w:line="480" w:lineRule="auto"/>
        <w:ind w:firstLine="720"/>
      </w:pPr>
      <w:bookmarkStart w:id="162" w:name="ref-21"/>
      <w:bookmarkEnd w:id="162"/>
      <w:r>
        <w:t xml:space="preserve">21. John Boh, The University of Texas at Austin; Zachary Funke, AFIT/CIG; Maruthi Akella, The University of Texas at Austin. A Game-Theoretical Exploration of L1/L2 Cislunar Space Situational Awareness Using Bayesian Games (2025). doi:</w:t>
      </w:r>
      <w:r>
        <w:t xml:space="preserve"> </w:t>
      </w:r>
      <w:hyperlink r:id="rId163">
        <w:r>
          <w:rPr>
            <w:rStyle w:val="Hyperlink"/>
          </w:rPr>
          <w:t xml:space="preserve">10.64861/SIJX9169</w:t>
        </w:r>
      </w:hyperlink>
    </w:p>
    <w:p>
      <w:pPr>
        <w:pStyle w:val="BodyText"/>
        <w:spacing w:line="480" w:lineRule="auto"/>
        <w:ind w:firstLine="720"/>
      </w:pPr>
      <w:bookmarkStart w:id="164" w:name="ref-22"/>
      <w:bookmarkEnd w:id="164"/>
      <w:r>
        <w:t xml:space="preserve">22. David Finkleman, (Center for Space Standards and Innovation). What is the “Right” Answer? (2013).</w:t>
      </w:r>
    </w:p>
    <w:p>
      <w:pPr>
        <w:pStyle w:val="BodyText"/>
        <w:spacing w:line="480" w:lineRule="auto"/>
        <w:ind w:firstLine="720"/>
      </w:pPr>
      <w:bookmarkStart w:id="165" w:name="ref-23"/>
      <w:bookmarkEnd w:id="165"/>
      <w:r>
        <w:t xml:space="preserve">23. Ralph Dinsley, Northern Space and Security Ltd/Reflecting Space; Christopher Newman, Northumbria University. Focusing the Space Law Games: Overcoming Operational and Legal Barriers to Space Situational Awareness (2019).</w:t>
      </w:r>
    </w:p>
    <w:p>
      <w:pPr>
        <w:pStyle w:val="BodyText"/>
        <w:spacing w:line="480" w:lineRule="auto"/>
        <w:ind w:firstLine="720"/>
      </w:pPr>
      <w:bookmarkStart w:id="166" w:name="ref-24"/>
      <w:bookmarkEnd w:id="166"/>
      <w:r>
        <w:t xml:space="preserve">24. Shinichi Takata; Kazuyoshi Hidaka. New public-private partnership based on the interactive collaboration in the space sector (2025). doi:</w:t>
      </w:r>
      <w:r>
        <w:t xml:space="preserve"> </w:t>
      </w:r>
      <w:hyperlink r:id="rId167">
        <w:r>
          <w:rPr>
            <w:rStyle w:val="Hyperlink"/>
          </w:rPr>
          <w:t xml:space="preserve">10.1016/j.actaastro.2025.02.009</w:t>
        </w:r>
      </w:hyperlink>
    </w:p>
    <w:p>
      <w:pPr>
        <w:pStyle w:val="BodyText"/>
        <w:spacing w:line="480" w:lineRule="auto"/>
        <w:ind w:firstLine="720"/>
      </w:pPr>
      <w:bookmarkStart w:id="168" w:name="ref-25"/>
      <w:bookmarkEnd w:id="168"/>
      <w:r>
        <w:t xml:space="preserve">25. Paul D. Friz; Serhat Hosder; Benjamin B. Leser; Benjamin C. Towle. Blind validation study of parametric cost estimation tool SEER-H for NASA space missions (2019). doi:</w:t>
      </w:r>
      <w:r>
        <w:t xml:space="preserve"> </w:t>
      </w:r>
      <w:hyperlink r:id="rId139">
        <w:r>
          <w:rPr>
            <w:rStyle w:val="Hyperlink"/>
          </w:rPr>
          <w:t xml:space="preserve">10.1016/j.actaastro.2019.09.030</w:t>
        </w:r>
      </w:hyperlink>
    </w:p>
    <w:p>
      <w:pPr>
        <w:pStyle w:val="BodyText"/>
        <w:spacing w:line="480" w:lineRule="auto"/>
        <w:ind w:firstLine="720"/>
      </w:pPr>
      <w:bookmarkStart w:id="169" w:name="ref-26"/>
      <w:bookmarkEnd w:id="169"/>
      <w:r>
        <w:t xml:space="preserve">26. G. Franchini; Patrick Roncagliolo; Davide Graziato; Alessandro Ruggiero Chiminelli; Andrea Merlo; Marcello Chiaberge. A novel state estimation framework for a four-wheeled lunar rover with active articulated suspensions (2026). doi:</w:t>
      </w:r>
      <w:r>
        <w:t xml:space="preserve"> </w:t>
      </w:r>
      <w:hyperlink r:id="rId170">
        <w:r>
          <w:rPr>
            <w:rStyle w:val="Hyperlink"/>
          </w:rPr>
          <w:t xml:space="preserve">10.1016/j.actaastro.2026.02.010</w:t>
        </w:r>
      </w:hyperlink>
    </w:p>
    <w:p>
      <w:pPr>
        <w:pStyle w:val="BodyText"/>
        <w:spacing w:line="480" w:lineRule="auto"/>
        <w:ind w:firstLine="720"/>
      </w:pPr>
      <w:bookmarkStart w:id="171" w:name="ref-27"/>
      <w:bookmarkEnd w:id="171"/>
      <w:r>
        <w:t xml:space="preserve">27. George Profitiliotis. Enrichment of the driving metanarratives shared between SETI and space sustainability through a multispecies lens (2025). doi:</w:t>
      </w:r>
      <w:r>
        <w:t xml:space="preserve"> </w:t>
      </w:r>
      <w:hyperlink r:id="rId172">
        <w:r>
          <w:rPr>
            <w:rStyle w:val="Hyperlink"/>
          </w:rPr>
          <w:t xml:space="preserve">10.1016/j.actaastro.2025.11.069</w:t>
        </w:r>
      </w:hyperlink>
    </w:p>
    <w:p>
      <w:pPr>
        <w:pStyle w:val="BodyText"/>
        <w:spacing w:line="480" w:lineRule="auto"/>
        <w:ind w:firstLine="720"/>
      </w:pPr>
      <w:bookmarkStart w:id="173" w:name="ref-28"/>
      <w:bookmarkEnd w:id="173"/>
      <w:r>
        <w:t xml:space="preserve">28. Andrew P. Blaber; Nandu Goswami; Da Xu. Prolonged unloading of the cardiovascular system during bedrest and spaceflight weakens neural coupling between blood pressure and heart rate (2022). doi:</w:t>
      </w:r>
      <w:r>
        <w:t xml:space="preserve"> </w:t>
      </w:r>
      <w:hyperlink r:id="rId174">
        <w:r>
          <w:rPr>
            <w:rStyle w:val="Hyperlink"/>
          </w:rPr>
          <w:t xml:space="preserve">10.1016/j.actaastro.2022.03.009</w:t>
        </w:r>
      </w:hyperlink>
    </w:p>
    <w:p>
      <w:pPr>
        <w:pStyle w:val="BodyText"/>
        <w:spacing w:line="480" w:lineRule="auto"/>
        <w:ind w:firstLine="720"/>
      </w:pPr>
      <w:bookmarkStart w:id="175" w:name="ref-29"/>
      <w:bookmarkEnd w:id="175"/>
      <w:r>
        <w:t xml:space="preserve">29. Sophie Gruber; Gernot Grömer; Olivia Haider. Inspiring the next generation through the AMADEE-18 MARS analog simulation (2019). doi:</w:t>
      </w:r>
      <w:r>
        <w:t xml:space="preserve"> </w:t>
      </w:r>
      <w:hyperlink r:id="rId176">
        <w:r>
          <w:rPr>
            <w:rStyle w:val="Hyperlink"/>
          </w:rPr>
          <w:t xml:space="preserve">10.1016/j.actaastro.2019.08.008</w:t>
        </w:r>
      </w:hyperlink>
    </w:p>
    <w:p>
      <w:pPr>
        <w:pStyle w:val="BodyText"/>
        <w:spacing w:line="480" w:lineRule="auto"/>
        <w:ind w:firstLine="720"/>
      </w:pPr>
      <w:bookmarkStart w:id="177" w:name="ref-30"/>
      <w:bookmarkEnd w:id="177"/>
      <w:r>
        <w:t xml:space="preserve">30. Aisha Parveen; Galina Vassilieva; Julia A. Popova; E. Fomina; Alexandra Savinkina; Carine Platat. Effects of an 8-month isolation on body composition and cardiopulmonary exercise testing: SIRIUS-21 space analog mission (2025). doi:</w:t>
      </w:r>
      <w:r>
        <w:t xml:space="preserve"> </w:t>
      </w:r>
      <w:hyperlink r:id="rId178">
        <w:r>
          <w:rPr>
            <w:rStyle w:val="Hyperlink"/>
          </w:rPr>
          <w:t xml:space="preserve">10.1016/j.actaastro.2025.10.028</w:t>
        </w:r>
      </w:hyperlink>
    </w:p>
    <w:p>
      <w:pPr>
        <w:pStyle w:val="BodyText"/>
        <w:spacing w:line="480" w:lineRule="auto"/>
        <w:ind w:firstLine="720"/>
      </w:pPr>
      <w:bookmarkStart w:id="179" w:name="ref-31"/>
      <w:bookmarkEnd w:id="179"/>
      <w:r>
        <w:t xml:space="preserve">31. Nicole Viola; Roberta Fusaro; Valeria Vercella. Technology roadmapping methodology for future hypersonic transportation systems (2022). doi:</w:t>
      </w:r>
      <w:r>
        <w:t xml:space="preserve"> </w:t>
      </w:r>
      <w:hyperlink r:id="rId180">
        <w:r>
          <w:rPr>
            <w:rStyle w:val="Hyperlink"/>
          </w:rPr>
          <w:t xml:space="preserve">10.1016/j.actaastro.2022.03.038</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af992b3f519717f0951e19098b24424ae8d8cf3"/>
    <w:p>
      <w:pPr>
        <w:pStyle w:val="Heading2"/>
        <w:spacing w:line="480" w:lineRule="auto"/>
      </w:pPr>
      <w:r>
        <w:t xml:space="preserve">A.1 Does an Independent Cost Estimate Delay the First Baseline Breach? A Survival Analysis of NASA Major Projects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I</m:t>
              </m:r>
              <m:r>
                <m:rPr>
                  <m:sty m:val="p"/>
                </m:rPr>
                <m:t>n</m:t>
              </m:r>
              <m:r>
                <m:rPr>
                  <m:sty m:val="p"/>
                </m:rPr>
                <m:t>d</m:t>
              </m:r>
              <m:r>
                <m:rPr>
                  <m:sty m:val="p"/>
                </m:rPr>
                <m:t>e</m:t>
              </m:r>
              <m:r>
                <m:rPr>
                  <m:sty m:val="p"/>
                </m:rPr>
                <m:t>p</m:t>
              </m:r>
              <m:r>
                <m:rPr>
                  <m:sty m:val="p"/>
                </m:rPr>
                <m:t>e</m:t>
              </m:r>
              <m:r>
                <m:rPr>
                  <m:sty m:val="p"/>
                </m:rPr>
                <m:t>n</m:t>
              </m:r>
              <m:r>
                <m:rPr>
                  <m:sty m:val="p"/>
                </m:rPr>
                <m:t>d</m:t>
              </m:r>
              <m:r>
                <m:rPr>
                  <m:sty m:val="p"/>
                </m:rPr>
                <m:t>e</m:t>
              </m:r>
              <m:r>
                <m:rPr>
                  <m:sty m:val="p"/>
                </m:rPr>
                <m:t>n</m:t>
              </m:r>
              <m:r>
                <m:rPr>
                  <m:sty m:val="p"/>
                </m:rPr>
                <m:t>t</m:t>
              </m:r>
              <m:r>
                <m:rPr>
                  <m:sty m:val="p"/>
                </m:rPr>
                <m:t>E</m:t>
              </m:r>
              <m:r>
                <m:rPr>
                  <m:sty m:val="p"/>
                </m:rPr>
                <m:t>s</m:t>
              </m:r>
              <m:r>
                <m:rPr>
                  <m:sty m:val="p"/>
                </m:rPr>
                <m:t>t</m:t>
              </m:r>
              <m:r>
                <m:rPr>
                  <m:sty m:val="p"/>
                </m:rPr>
                <m:t>i</m:t>
              </m:r>
              <m:r>
                <m:rPr>
                  <m:sty m:val="p"/>
                </m:rPr>
                <m:t>m</m:t>
              </m:r>
              <m:r>
                <m:rPr>
                  <m:sty m:val="p"/>
                </m:rPr>
                <m:t>a</m:t>
              </m:r>
              <m:r>
                <m:rPr>
                  <m:sty m:val="p"/>
                </m:rPr>
                <m:t>t</m:t>
              </m:r>
              <m:r>
                <m:rPr>
                  <m:sty m:val="p"/>
                </m:rPr>
                <m:t>e</m:t>
              </m:r>
              <m:r>
                <m:rPr>
                  <m:sty m:val="p"/>
                </m:rPr>
                <m:t>+</m:t>
              </m:r>
              <m:sSub>
                <m:e>
                  <m:r>
                    <m:t>β</m:t>
                  </m:r>
                </m:e>
                <m:sub>
                  <m:r>
                    <m:t>2</m:t>
                  </m:r>
                </m:sub>
              </m:sSub>
              <m:r>
                <m:t> </m:t>
              </m:r>
              <m:r>
                <m:rPr>
                  <m:sty m:val="p"/>
                </m:rPr>
                <m:t>log</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m:t>
              </m:r>
              <m:r>
                <m:rPr>
                  <m:sty m:val="p"/>
                </m:rPr>
                <m:t>+</m:t>
              </m:r>
              <m:sSub>
                <m:e>
                  <m:r>
                    <m:t>β</m:t>
                  </m:r>
                </m:e>
                <m:sub>
                  <m:r>
                    <m:t>3</m:t>
                  </m:r>
                </m:sub>
              </m:sSub>
              <m:r>
                <m:t> </m:t>
              </m:r>
              <m:r>
                <m:rPr>
                  <m:sty m:val="p"/>
                </m:rPr>
                <m:t>T</m:t>
              </m:r>
              <m:r>
                <m:rPr>
                  <m:sty m:val="p"/>
                </m:rPr>
                <m:t>R</m:t>
              </m:r>
              <m:r>
                <m:rPr>
                  <m:sty m:val="p"/>
                </m:rPr>
                <m:t>L</m:t>
              </m:r>
            </m:e>
          </m:d>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-0.4644</w:t>
            </w:r>
          </w:p>
        </w:tc>
        <w:tc>
          <w:tcPr>
            <w:tcW w:w="0" w:type="auto"/>
          </w:tcPr>
          <w:p>
            <w:pPr>
              <w:spacing w:line="240" w:lineRule="auto" w:before="0" w:after="0"/>
              <w:pStyle w:val="Compact"/>
            </w:pPr>
            <w:r>
              <w:rPr>
                <w:sz w:val="20"/>
                <w:szCs w:val="20"/>
              </w:rPr>
              <w:t xml:space="preserve">0.4436</w:t>
            </w:r>
          </w:p>
        </w:tc>
        <w:tc>
          <w:tcPr>
            <w:tcW w:w="0" w:type="auto"/>
          </w:tcPr>
          <w:p>
            <w:pPr>
              <w:spacing w:line="240" w:lineRule="auto" w:before="0" w:after="0"/>
              <w:pStyle w:val="Compact"/>
            </w:pPr>
            <w:r>
              <w:rPr>
                <w:sz w:val="20"/>
                <w:szCs w:val="20"/>
              </w:rPr>
              <w:t xml:space="preserve">-1.0467</w:t>
            </w:r>
          </w:p>
        </w:tc>
        <w:tc>
          <w:tcPr>
            <w:tcW w:w="0" w:type="auto"/>
          </w:tcPr>
          <w:p>
            <w:pPr>
              <w:spacing w:line="240" w:lineRule="auto" w:before="0" w:after="0"/>
              <w:pStyle w:val="Compact"/>
            </w:pPr>
            <w:r>
              <w:rPr>
                <w:sz w:val="20"/>
                <w:szCs w:val="20"/>
              </w:rPr>
              <w:t xml:space="preserve">0.2952</w:t>
            </w:r>
          </w:p>
        </w:tc>
        <w:tc>
          <w:tcPr>
            <w:tcW w:w="0" w:type="auto"/>
          </w:tcPr>
          <w:p>
            <w:pPr>
              <w:spacing w:line="240" w:lineRule="auto" w:before="0" w:after="0"/>
              <w:pStyle w:val="Compact"/>
            </w:pPr>
            <w:r>
              <w:rPr>
                <w:sz w:val="20"/>
                <w:szCs w:val="20"/>
              </w:rPr>
              <w:t xml:space="preserve">[-1.3339, 0.4052]</w:t>
            </w:r>
          </w:p>
        </w:tc>
        <w:tc>
          <w:tcPr>
            <w:tcW w:w="0" w:type="auto"/>
          </w:tcPr>
          <w:p>
            <w:pPr>
              <w:spacing w:line="240" w:lineRule="auto" w:before="0" w:after="0"/>
              <w:pStyle w:val="Compact"/>
            </w:pPr>
            <w:r>
              <w:rPr>
                <w:sz w:val="20"/>
                <w:szCs w:val="20"/>
              </w:rPr>
              <w:t xml:space="preserve">0.6285</w:t>
            </w:r>
          </w:p>
        </w:tc>
      </w:tr>
      <w:tr>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0.1242</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0.5404</w:t>
            </w:r>
          </w:p>
        </w:tc>
        <w:tc>
          <w:tcPr>
            <w:tcW w:w="0" w:type="auto"/>
          </w:tcPr>
          <w:p>
            <w:pPr>
              <w:spacing w:line="240" w:lineRule="auto" w:before="0" w:after="0"/>
              <w:pStyle w:val="Compact"/>
            </w:pPr>
            <w:r>
              <w:rPr>
                <w:sz w:val="20"/>
                <w:szCs w:val="20"/>
              </w:rPr>
              <w:t xml:space="preserve">0.5889</w:t>
            </w:r>
          </w:p>
        </w:tc>
        <w:tc>
          <w:tcPr>
            <w:tcW w:w="0" w:type="auto"/>
          </w:tcPr>
          <w:p>
            <w:pPr>
              <w:spacing w:line="240" w:lineRule="auto" w:before="0" w:after="0"/>
              <w:pStyle w:val="Compact"/>
            </w:pPr>
            <w:r>
              <w:rPr>
                <w:sz w:val="20"/>
                <w:szCs w:val="20"/>
              </w:rPr>
              <w:t xml:space="preserve">[-0.3264, 0.5749]</w:t>
            </w:r>
          </w:p>
        </w:tc>
        <w:tc>
          <w:tcPr>
            <w:tcW w:w="0" w:type="auto"/>
          </w:tcPr>
          <w:p>
            <w:pPr>
              <w:spacing w:line="240" w:lineRule="auto" w:before="0" w:after="0"/>
              <w:pStyle w:val="Compact"/>
            </w:pPr>
            <w:r>
              <w:rPr>
                <w:sz w:val="20"/>
                <w:szCs w:val="20"/>
              </w:rPr>
              <w:t xml:space="preserve">1.1323</w:t>
            </w:r>
          </w:p>
        </w:tc>
      </w:tr>
      <w:tr>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-1.1084</w:t>
            </w:r>
          </w:p>
        </w:tc>
        <w:tc>
          <w:tcPr>
            <w:tcW w:w="0" w:type="auto"/>
          </w:tcPr>
          <w:p>
            <w:pPr>
              <w:spacing w:line="240" w:lineRule="auto" w:before="0" w:after="0"/>
              <w:pStyle w:val="Compact"/>
            </w:pPr>
            <w:r>
              <w:rPr>
                <w:sz w:val="20"/>
                <w:szCs w:val="20"/>
              </w:rPr>
              <w:t xml:space="preserve">0.4071</w:t>
            </w:r>
          </w:p>
        </w:tc>
        <w:tc>
          <w:tcPr>
            <w:tcW w:w="0" w:type="auto"/>
          </w:tcPr>
          <w:p>
            <w:pPr>
              <w:spacing w:line="240" w:lineRule="auto" w:before="0" w:after="0"/>
              <w:pStyle w:val="Compact"/>
            </w:pPr>
            <w:r>
              <w:rPr>
                <w:sz w:val="20"/>
                <w:szCs w:val="20"/>
              </w:rPr>
              <w:t xml:space="preserve">-2.7226</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[-1.9063, -0.3105]</w:t>
            </w:r>
          </w:p>
        </w:tc>
        <w:tc>
          <w:tcPr>
            <w:tcW w:w="0" w:type="auto"/>
          </w:tcPr>
          <w:p>
            <w:pPr>
              <w:spacing w:line="240" w:lineRule="auto" w:before="0" w:after="0"/>
              <w:pStyle w:val="Compact"/>
            </w:pPr>
            <w:r>
              <w:rPr>
                <w:sz w:val="20"/>
                <w:szCs w:val="20"/>
              </w:rPr>
              <w:t xml:space="preserve">0.3301</w:t>
            </w:r>
          </w:p>
        </w:tc>
      </w:tr>
    </w:tbl>
    <w:p>
      <w:pPr>
        <w:pStyle w:val="BodyText"/>
        <w:spacing w:line="480" w:lineRule="auto"/>
        <w:ind w:firstLine="720"/>
      </w:pPr>
      <w:r>
        <w:t xml:space="preserve">Fit: N = 38 events = 23</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to-first-breach against log baseline cost for 38 NASA major projects, distinguishing programs confirmed with an independent cost and schedule estimate from those confirmed without one." title="" id="185" name="Picture"/>
            <a:graphic>
              <a:graphicData uri="http://schemas.openxmlformats.org/drawingml/2006/picture">
                <pic:pic>
                  <pic:nvPicPr>
                    <pic:cNvPr descr="D:/Claude_Code/brain/collegium/candidates/dissertations/JPL_MGMT_SMA_TECH_02/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Time-to-first-breach against log baseline cost for 38 NASA major projects, distinguishing programs confirmed with an independent cost and schedule estimate from those confirmed without one.</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confirmation_year</w:t>
            </w:r>
          </w:p>
        </w:tc>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scope_class</w:t>
            </w:r>
          </w:p>
        </w:tc>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breach_event</w:t>
            </w:r>
          </w:p>
        </w:tc>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GAO-18-280SP and GAO-21-406, NASA: JWST 2009 rebaseline cost ~$5.0B grew to $8.8B, launch slipped ~7 years; pre-JCL confirmation</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1630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7.3963</w:t>
            </w:r>
          </w:p>
        </w:tc>
        <w:tc>
          <w:tcPr>
            <w:tcW w:w="0" w:type="auto"/>
          </w:tcPr>
          <w:p>
            <w:pPr>
              <w:spacing w:line="240" w:lineRule="auto" w:before="0" w:after="0"/>
              <w:pStyle w:val="Compact"/>
            </w:pPr>
            <w:r>
              <w:rPr>
                <w:sz w:val="20"/>
                <w:szCs w:val="20"/>
              </w:rPr>
              <w:t xml:space="preserve">GAO-11-239SP, MSL development cost grew from $1.63B to $2.5B, launch slipped from 2009 to 2011 (~26 mo); confirmed before JCL policy</w:t>
            </w:r>
          </w:p>
        </w:tc>
      </w:tr>
      <w:tr>
        <w:tc>
          <w:tcPr>
            <w:tcW w:w="0" w:type="auto"/>
          </w:tcPr>
          <w:p>
            <w:pPr>
              <w:spacing w:line="240" w:lineRule="auto" w:before="0" w:after="0"/>
              <w:pStyle w:val="Compact"/>
            </w:pPr>
            <w:r>
              <w:rPr>
                <w:sz w:val="20"/>
                <w:szCs w:val="20"/>
              </w:rPr>
              <w:t xml:space="preserve">Orion Multi-Purpose Crew Vehicle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GAO-24-106767, Orion cumulative cost overrun $2.9B (65% of portfolio); JCL applied at 2015 confirmation</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8.8567</w:t>
            </w:r>
          </w:p>
        </w:tc>
        <w:tc>
          <w:tcPr>
            <w:tcW w:w="0" w:type="auto"/>
          </w:tcPr>
          <w:p>
            <w:pPr>
              <w:spacing w:line="240" w:lineRule="auto" w:before="0" w:after="0"/>
              <w:pStyle w:val="Compact"/>
            </w:pPr>
            <w:r>
              <w:rPr>
                <w:sz w:val="20"/>
                <w:szCs w:val="20"/>
              </w:rPr>
              <w:t xml:space="preserve">GAO-24-106767 and GAO-19-262SP, SLS development overran baseline, ~4 year schedule delay; JCL at confirmation</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2767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7.9255</w:t>
            </w:r>
          </w:p>
        </w:tc>
        <w:tc>
          <w:tcPr>
            <w:tcW w:w="0" w:type="auto"/>
          </w:tcPr>
          <w:p>
            <w:pPr>
              <w:spacing w:line="240" w:lineRule="auto" w:before="0" w:after="0"/>
              <w:pStyle w:val="Compact"/>
            </w:pPr>
            <w:r>
              <w:rPr>
                <w:sz w:val="20"/>
                <w:szCs w:val="20"/>
              </w:rPr>
              <w:t xml:space="preserve">GAO-24-106767, EGS schedule delay ~4 years and cost overrun within the SLS/Orion/EGS triad; JCL applied</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6.2066</w:t>
            </w:r>
          </w:p>
        </w:tc>
        <w:tc>
          <w:tcPr>
            <w:tcW w:w="0" w:type="auto"/>
          </w:tcPr>
          <w:p>
            <w:pPr>
              <w:spacing w:line="240" w:lineRule="auto" w:before="0" w:after="0"/>
              <w:pStyle w:val="Compact"/>
            </w:pPr>
            <w:r>
              <w:rPr>
                <w:sz w:val="20"/>
                <w:szCs w:val="20"/>
              </w:rPr>
              <w:t xml:space="preserve">GAO-12-207SP, GRAIL launched on schedule August 2011 within cost baseline; SRB/JCL confirmation, no breach</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7.0094</w:t>
            </w:r>
          </w:p>
        </w:tc>
        <w:tc>
          <w:tcPr>
            <w:tcW w:w="0" w:type="auto"/>
          </w:tcPr>
          <w:p>
            <w:pPr>
              <w:spacing w:line="240" w:lineRule="auto" w:before="0" w:after="0"/>
              <w:pStyle w:val="Compact"/>
            </w:pPr>
            <w:r>
              <w:rPr>
                <w:sz w:val="20"/>
                <w:szCs w:val="20"/>
              </w:rPr>
              <w:t xml:space="preserve">GAO-12-207SP, Juno launched August 2011 on baseline schedule and near cost target; no &gt;15% breach</w:t>
            </w:r>
          </w:p>
        </w:tc>
      </w:tr>
      <w:tr>
        <w:tc>
          <w:tcPr>
            <w:tcW w:w="0" w:type="auto"/>
          </w:tcPr>
          <w:p>
            <w:pPr>
              <w:spacing w:line="240" w:lineRule="auto" w:before="0" w:after="0"/>
              <w:pStyle w:val="Compact"/>
            </w:pPr>
            <w:r>
              <w:rPr>
                <w:sz w:val="20"/>
                <w:szCs w:val="20"/>
              </w:rPr>
              <w:t xml:space="preserve">Mars Atmosphere and Volatile Evolution (MAVEN)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6.5088</w:t>
            </w:r>
          </w:p>
        </w:tc>
        <w:tc>
          <w:tcPr>
            <w:tcW w:w="0" w:type="auto"/>
          </w:tcPr>
          <w:p>
            <w:pPr>
              <w:spacing w:line="240" w:lineRule="auto" w:before="0" w:after="0"/>
              <w:pStyle w:val="Compact"/>
            </w:pPr>
            <w:r>
              <w:rPr>
                <w:sz w:val="20"/>
                <w:szCs w:val="20"/>
              </w:rPr>
              <w:t xml:space="preserve">GAO-14-338SP, MAVEN launched November 2013 on baseline cost and schedule; JCL applied</w:t>
            </w:r>
          </w:p>
        </w:tc>
      </w:tr>
      <w:tr>
        <w:tc>
          <w:tcPr>
            <w:tcW w:w="0" w:type="auto"/>
          </w:tcPr>
          <w:p>
            <w:pPr>
              <w:spacing w:line="240" w:lineRule="auto" w:before="0" w:after="0"/>
              <w:pStyle w:val="Compact"/>
            </w:pPr>
            <w:r>
              <w:rPr>
                <w:sz w:val="20"/>
                <w:szCs w:val="20"/>
              </w:rPr>
              <w:t xml:space="preserve">Origins Spectral Interpretation (OSIRIS-REx)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GAO-16-309SP, OSIRIS-REx launched September 2016 within baseline; JCL confidence level applied at confirmation</w:t>
            </w:r>
          </w:p>
        </w:tc>
      </w:tr>
      <w:tr>
        <w:tc>
          <w:tcPr>
            <w:tcW w:w="0" w:type="auto"/>
          </w:tcPr>
          <w:p>
            <w:pPr>
              <w:spacing w:line="240" w:lineRule="auto" w:before="0" w:after="0"/>
              <w:pStyle w:val="Compact"/>
            </w:pPr>
            <w:r>
              <w:rPr>
                <w:sz w:val="20"/>
                <w:szCs w:val="20"/>
              </w:rPr>
              <w:t xml:space="preserve">Solar Probe Plus (Parker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1554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7.3486</w:t>
            </w:r>
          </w:p>
        </w:tc>
        <w:tc>
          <w:tcPr>
            <w:tcW w:w="0" w:type="auto"/>
          </w:tcPr>
          <w:p>
            <w:pPr>
              <w:spacing w:line="240" w:lineRule="auto" w:before="0" w:after="0"/>
              <w:pStyle w:val="Compact"/>
            </w:pPr>
            <w:r>
              <w:rPr>
                <w:sz w:val="20"/>
                <w:szCs w:val="20"/>
              </w:rPr>
              <w:t xml:space="preserve">GAO-18-280SP, Parker Solar Probe launched August 2018 within baseline cost and schedule; JCL applied</w:t>
            </w:r>
          </w:p>
        </w:tc>
      </w:tr>
      <w:tr>
        <w:tc>
          <w:tcPr>
            <w:tcW w:w="0" w:type="auto"/>
          </w:tcPr>
          <w:p>
            <w:pPr>
              <w:spacing w:line="240" w:lineRule="auto" w:before="0" w:after="0"/>
              <w:pStyle w:val="Compact"/>
            </w:pPr>
            <w:r>
              <w:rPr>
                <w:sz w:val="20"/>
                <w:szCs w:val="20"/>
              </w:rPr>
              <w:t xml:space="preserve">Ice Cloud and land Elevation Satellite-2 (ICESat-2)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6.9819</w:t>
            </w:r>
          </w:p>
        </w:tc>
        <w:tc>
          <w:tcPr>
            <w:tcW w:w="0" w:type="auto"/>
          </w:tcPr>
          <w:p>
            <w:pPr>
              <w:spacing w:line="240" w:lineRule="auto" w:before="0" w:after="0"/>
              <w:pStyle w:val="Compact"/>
            </w:pPr>
            <w:r>
              <w:rPr>
                <w:sz w:val="20"/>
                <w:szCs w:val="20"/>
              </w:rPr>
              <w:t xml:space="preserve">GAO-17-303SP, ICESat-2 development cost grew and launch slipped from 2017 to 2018 (~12 mo); JCL applied</w:t>
            </w:r>
          </w:p>
        </w:tc>
      </w:tr>
      <w:tr>
        <w:tc>
          <w:tcPr>
            <w:tcW w:w="0" w:type="auto"/>
          </w:tcPr>
          <w:p>
            <w:pPr>
              <w:spacing w:line="240" w:lineRule="auto" w:before="0" w:after="0"/>
              <w:pStyle w:val="Compact"/>
            </w:pPr>
            <w:r>
              <w:rPr>
                <w:sz w:val="20"/>
                <w:szCs w:val="20"/>
              </w:rPr>
              <w:t xml:space="preserve">Soil Moisture Active Passive (SMAP)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6.82</w:t>
            </w:r>
          </w:p>
        </w:tc>
        <w:tc>
          <w:tcPr>
            <w:tcW w:w="0" w:type="auto"/>
          </w:tcPr>
          <w:p>
            <w:pPr>
              <w:spacing w:line="240" w:lineRule="auto" w:before="0" w:after="0"/>
              <w:pStyle w:val="Compact"/>
            </w:pPr>
            <w:r>
              <w:rPr>
                <w:sz w:val="20"/>
                <w:szCs w:val="20"/>
              </w:rPr>
              <w:t xml:space="preserve">GAO-15-320SP, SMAP launch slipped from late 2014 to January 2015; minor cost growth; JCL applied</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GAO-15-320SP, MMS launched March 2015 within baseline; JCL applied at confirmation</w:t>
            </w:r>
          </w:p>
        </w:tc>
      </w:tr>
      <w:tr>
        <w:tc>
          <w:tcPr>
            <w:tcW w:w="0" w:type="auto"/>
          </w:tcPr>
          <w:p>
            <w:pPr>
              <w:spacing w:line="240" w:lineRule="auto" w:before="0" w:after="0"/>
              <w:pStyle w:val="Compact"/>
            </w:pPr>
            <w:r>
              <w:rPr>
                <w:sz w:val="20"/>
                <w:szCs w:val="20"/>
              </w:rPr>
              <w:t xml:space="preserve">Gravity and Extreme Magnetism (GEMS)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4.7791</w:t>
            </w:r>
          </w:p>
        </w:tc>
        <w:tc>
          <w:tcPr>
            <w:tcW w:w="0" w:type="auto"/>
          </w:tcPr>
          <w:p>
            <w:pPr>
              <w:spacing w:line="240" w:lineRule="auto" w:before="0" w:after="0"/>
              <w:pStyle w:val="Compact"/>
            </w:pPr>
            <w:r>
              <w:rPr>
                <w:sz w:val="20"/>
                <w:szCs w:val="20"/>
              </w:rPr>
              <w:t xml:space="preserve">GAO-12-207SP, GEMS exceeded cost estimate and was cancelled at confirmation review 2012; JCL flagged overrun early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6.8926</w:t>
            </w:r>
          </w:p>
        </w:tc>
        <w:tc>
          <w:tcPr>
            <w:tcW w:w="0" w:type="auto"/>
          </w:tcPr>
          <w:p>
            <w:pPr>
              <w:spacing w:line="240" w:lineRule="auto" w:before="0" w:after="0"/>
              <w:pStyle w:val="Compact"/>
            </w:pPr>
            <w:r>
              <w:rPr>
                <w:sz w:val="20"/>
                <w:szCs w:val="20"/>
              </w:rPr>
              <w:t xml:space="preserve">GAO-23-106021 and NASA 2022 release, Psyche launch slipped from 2022 to 2023 (~13 mo), triggered independent review; JCL/SRB applied</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6.8886</w:t>
            </w:r>
          </w:p>
        </w:tc>
        <w:tc>
          <w:tcPr>
            <w:tcW w:w="0" w:type="auto"/>
          </w:tcPr>
          <w:p>
            <w:pPr>
              <w:spacing w:line="240" w:lineRule="auto" w:before="0" w:after="0"/>
              <w:pStyle w:val="Compact"/>
            </w:pPr>
            <w:r>
              <w:rPr>
                <w:sz w:val="20"/>
                <w:szCs w:val="20"/>
              </w:rPr>
              <w:t xml:space="preserve">GAO-19-262SP, Lucy launched October 2021 within baseline cost and schedule; JCL applied</w:t>
            </w:r>
          </w:p>
        </w:tc>
      </w:tr>
      <w:tr>
        <w:tc>
          <w:tcPr>
            <w:tcW w:w="0" w:type="auto"/>
          </w:tcPr>
          <w:p>
            <w:pPr>
              <w:spacing w:line="240" w:lineRule="auto" w:before="0" w:after="0"/>
              <w:pStyle w:val="Compact"/>
            </w:pPr>
            <w:r>
              <w:rPr>
                <w:sz w:val="20"/>
                <w:szCs w:val="20"/>
              </w:rPr>
              <w:t xml:space="preserve">Double Asteroid Redirection Test (DART)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GAO-20-405, DART launched November 2021 within baseline cost; JCL applied</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GAO-25-107591, Europa Clipper life-cycle grew toward $5.2B with added reserves; launched Oct 2024; JCL applied</w:t>
            </w:r>
          </w:p>
        </w:tc>
      </w:tr>
      <w:tr>
        <w:tc>
          <w:tcPr>
            <w:tcW w:w="0" w:type="auto"/>
          </w:tcPr>
          <w:p>
            <w:pPr>
              <w:spacing w:line="240" w:lineRule="auto" w:before="0" w:after="0"/>
              <w:pStyle w:val="Compact"/>
            </w:pPr>
            <w:r>
              <w:rPr>
                <w:sz w:val="20"/>
                <w:szCs w:val="20"/>
              </w:rPr>
              <w:t xml:space="preserve">Roman Space Telescope (WFIRST)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8.2774</w:t>
            </w:r>
          </w:p>
        </w:tc>
        <w:tc>
          <w:tcPr>
            <w:tcW w:w="0" w:type="auto"/>
          </w:tcPr>
          <w:p>
            <w:pPr>
              <w:spacing w:line="240" w:lineRule="auto" w:before="0" w:after="0"/>
              <w:pStyle w:val="Compact"/>
            </w:pPr>
            <w:r>
              <w:rPr>
                <w:sz w:val="20"/>
                <w:szCs w:val="20"/>
              </w:rPr>
              <w:t xml:space="preserve">GAO-25-107591, Roman experienced schedule pressure toward Oct 2026 LRD; JCL applied at confirmation</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GAO-23-106021, NEO Surveyor replanned with launch delayed ~2 years to 2027/2028; JCL applied</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8.1167</w:t>
            </w:r>
          </w:p>
        </w:tc>
        <w:tc>
          <w:tcPr>
            <w:tcW w:w="0" w:type="auto"/>
          </w:tcPr>
          <w:p>
            <w:pPr>
              <w:spacing w:line="240" w:lineRule="auto" w:before="0" w:after="0"/>
              <w:pStyle w:val="Compact"/>
            </w:pPr>
            <w:r>
              <w:rPr>
                <w:sz w:val="20"/>
                <w:szCs w:val="20"/>
              </w:rPr>
              <w:t xml:space="preserve">GAO-25-107591 and SpaceNews, Dragonfly replan delayed LRD to July 2028 (~1 year) and raised cost; JCL applied</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6.1903</w:t>
            </w:r>
          </w:p>
        </w:tc>
        <w:tc>
          <w:tcPr>
            <w:tcW w:w="0" w:type="auto"/>
          </w:tcPr>
          <w:p>
            <w:pPr>
              <w:spacing w:line="240" w:lineRule="auto" w:before="0" w:after="0"/>
              <w:pStyle w:val="Compact"/>
            </w:pPr>
            <w:r>
              <w:rPr>
                <w:sz w:val="20"/>
                <w:szCs w:val="20"/>
              </w:rPr>
              <w:t xml:space="preserve">GAO-25-107591, SPHEREx launched March 2025 within baseline cost and schedule; JCL applied</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6.7856</w:t>
            </w:r>
          </w:p>
        </w:tc>
        <w:tc>
          <w:tcPr>
            <w:tcW w:w="0" w:type="auto"/>
          </w:tcPr>
          <w:p>
            <w:pPr>
              <w:spacing w:line="240" w:lineRule="auto" w:before="0" w:after="0"/>
              <w:pStyle w:val="Compact"/>
            </w:pPr>
            <w:r>
              <w:rPr>
                <w:sz w:val="20"/>
                <w:szCs w:val="20"/>
              </w:rPr>
              <w:t xml:space="preserve">GAO-19-262SP, Landsat 9 launched September 2021 within baseline; JCL applied</w:t>
            </w:r>
          </w:p>
        </w:tc>
      </w:tr>
      <w:tr>
        <w:tc>
          <w:tcPr>
            <w:tcW w:w="0" w:type="auto"/>
          </w:tcPr>
          <w:p>
            <w:pPr>
              <w:spacing w:line="240" w:lineRule="auto" w:before="0" w:after="0"/>
              <w:pStyle w:val="Compact"/>
            </w:pPr>
            <w:r>
              <w:rPr>
                <w:sz w:val="20"/>
                <w:szCs w:val="20"/>
              </w:rPr>
              <w:t xml:space="preserve">NISAR (NASA-ISRO 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GAO-25-107591, NISAR launch slipped multiple times into 2024/2025; cost grew; JCL applied</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GAO-24-106767, DAVINCI Venus mission experienced schedule pressure and launch delay; JCL applied</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GAO-23-106021, VERITAS Venus mission delayed at least 3 years due to JPL workforce constraints; JCL applied</w:t>
            </w:r>
          </w:p>
        </w:tc>
      </w:tr>
      <w:tr>
        <w:tc>
          <w:tcPr>
            <w:tcW w:w="0" w:type="auto"/>
          </w:tcPr>
          <w:p>
            <w:pPr>
              <w:spacing w:line="240" w:lineRule="auto" w:before="0" w:after="0"/>
              <w:pStyle w:val="Compact"/>
            </w:pPr>
            <w:r>
              <w:rPr>
                <w:sz w:val="20"/>
                <w:szCs w:val="20"/>
              </w:rPr>
              <w:t xml:space="preserve">Imaging X-ray Polarimetry Explorer (IXPE)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5.2364</w:t>
            </w:r>
          </w:p>
        </w:tc>
        <w:tc>
          <w:tcPr>
            <w:tcW w:w="0" w:type="auto"/>
          </w:tcPr>
          <w:p>
            <w:pPr>
              <w:spacing w:line="240" w:lineRule="auto" w:before="0" w:after="0"/>
              <w:pStyle w:val="Compact"/>
            </w:pPr>
            <w:r>
              <w:rPr>
                <w:sz w:val="20"/>
                <w:szCs w:val="20"/>
              </w:rPr>
              <w:t xml:space="preserve">GAO-19-262SP, IXPE launched December 2021 within baseline cost and schedule; JCL applied</w:t>
            </w:r>
          </w:p>
        </w:tc>
      </w:tr>
      <w:tr>
        <w:tc>
          <w:tcPr>
            <w:tcW w:w="0" w:type="auto"/>
          </w:tcPr>
          <w:p>
            <w:pPr>
              <w:spacing w:line="240" w:lineRule="auto" w:before="0" w:after="0"/>
              <w:pStyle w:val="Compact"/>
            </w:pPr>
            <w:r>
              <w:rPr>
                <w:sz w:val="20"/>
                <w:szCs w:val="20"/>
              </w:rPr>
              <w:t xml:space="preserve">Stratospheric Observatory (SOFIA) upgrade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[illustrative] SOFIA program experienced early cost growth before JCL policy; figures approximate from GAO-12-207SP narrative</w:t>
            </w:r>
          </w:p>
        </w:tc>
      </w:tr>
      <w:tr>
        <w:tc>
          <w:tcPr>
            <w:tcW w:w="0" w:type="auto"/>
          </w:tcPr>
          <w:p>
            <w:pPr>
              <w:spacing w:line="240" w:lineRule="auto" w:before="0" w:after="0"/>
              <w:pStyle w:val="Compact"/>
            </w:pPr>
            <w:r>
              <w:rPr>
                <w:sz w:val="20"/>
                <w:szCs w:val="20"/>
              </w:rPr>
              <w:t xml:space="preserve">Transiting Exoplanet Survey Satellite (TESS)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5.6595</w:t>
            </w:r>
          </w:p>
        </w:tc>
        <w:tc>
          <w:tcPr>
            <w:tcW w:w="0" w:type="auto"/>
          </w:tcPr>
          <w:p>
            <w:pPr>
              <w:spacing w:line="240" w:lineRule="auto" w:before="0" w:after="0"/>
              <w:pStyle w:val="Compact"/>
            </w:pPr>
            <w:r>
              <w:rPr>
                <w:sz w:val="20"/>
                <w:szCs w:val="20"/>
              </w:rPr>
              <w:t xml:space="preserve">GAO-18-280SP, TESS launched April 2018 within baseline cost and schedule; JCL applied</w:t>
            </w:r>
          </w:p>
        </w:tc>
      </w:tr>
      <w:tr>
        <w:tc>
          <w:tcPr>
            <w:tcW w:w="0" w:type="auto"/>
          </w:tcPr>
          <w:p>
            <w:pPr>
              <w:spacing w:line="240" w:lineRule="auto" w:before="0" w:after="0"/>
              <w:pStyle w:val="Compact"/>
            </w:pPr>
            <w:r>
              <w:rPr>
                <w:sz w:val="20"/>
                <w:szCs w:val="20"/>
              </w:rPr>
              <w:t xml:space="preserve">Surface Water Ocean Topography (SWOT)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7.0139</w:t>
            </w:r>
          </w:p>
        </w:tc>
        <w:tc>
          <w:tcPr>
            <w:tcW w:w="0" w:type="auto"/>
          </w:tcPr>
          <w:p>
            <w:pPr>
              <w:spacing w:line="240" w:lineRule="auto" w:before="0" w:after="0"/>
              <w:pStyle w:val="Compact"/>
            </w:pPr>
            <w:r>
              <w:rPr>
                <w:sz w:val="20"/>
                <w:szCs w:val="20"/>
              </w:rPr>
              <w:t xml:space="preserve">GAO-22-105212, SWOT launch slipped from 2021 to December 2022 (~14 mo); JCL applied</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5.743</w:t>
            </w:r>
          </w:p>
        </w:tc>
        <w:tc>
          <w:tcPr>
            <w:tcW w:w="0" w:type="auto"/>
          </w:tcPr>
          <w:p>
            <w:pPr>
              <w:spacing w:line="240" w:lineRule="auto" w:before="0" w:after="0"/>
              <w:pStyle w:val="Compact"/>
            </w:pPr>
            <w:r>
              <w:rPr>
                <w:sz w:val="20"/>
                <w:szCs w:val="20"/>
              </w:rPr>
              <w:t xml:space="preserve">GAO-09-306SP, Kepler $77.5M development cost growth (24.8%) and 9-month launch delay; confirmed before JCL policy</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GAO-09-306SP, Glory $37.0M development cost growth (14.3%) and 16-month launch delay; pre-JCL confirmation</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6.045</w:t>
            </w:r>
          </w:p>
        </w:tc>
        <w:tc>
          <w:tcPr>
            <w:tcW w:w="0" w:type="auto"/>
          </w:tcPr>
          <w:p>
            <w:pPr>
              <w:spacing w:line="240" w:lineRule="auto" w:before="0" w:after="0"/>
              <w:pStyle w:val="Compact"/>
            </w:pPr>
            <w:r>
              <w:rPr>
                <w:sz w:val="20"/>
                <w:szCs w:val="20"/>
              </w:rPr>
              <w:t xml:space="preserve">GAO-09-306SP, LRO $52.3M development cost growth (12.4%) and 8-month launch delay; pre-JCL confirmation</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5.2523</w:t>
            </w:r>
          </w:p>
        </w:tc>
        <w:tc>
          <w:tcPr>
            <w:tcW w:w="0" w:type="auto"/>
          </w:tcPr>
          <w:p>
            <w:pPr>
              <w:spacing w:line="240" w:lineRule="auto" w:before="0" w:after="0"/>
              <w:pStyle w:val="Compact"/>
            </w:pPr>
            <w:r>
              <w:rPr>
                <w:sz w:val="20"/>
                <w:szCs w:val="20"/>
              </w:rPr>
              <w:t xml:space="preserve">GAO-09-306SP, Aquarius $15.9M cost growth (8.3%) and 10-month launch delay; pre-JCL confirmation</w:t>
            </w:r>
          </w:p>
        </w:tc>
      </w:tr>
      <w:tr>
        <w:tc>
          <w:tcPr>
            <w:tcW w:w="0" w:type="auto"/>
          </w:tcPr>
          <w:p>
            <w:pPr>
              <w:spacing w:line="240" w:lineRule="auto" w:before="0" w:after="0"/>
              <w:pStyle w:val="Compact"/>
            </w:pPr>
            <w:r>
              <w:rPr>
                <w:sz w:val="20"/>
                <w:szCs w:val="20"/>
              </w:rPr>
              <w:t xml:space="preserve">Gamma-ray Large Area Space Telescope (Fermi/GLAST)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6.5367</w:t>
            </w:r>
          </w:p>
        </w:tc>
        <w:tc>
          <w:tcPr>
            <w:tcW w:w="0" w:type="auto"/>
          </w:tcPr>
          <w:p>
            <w:pPr>
              <w:spacing w:line="240" w:lineRule="auto" w:before="0" w:after="0"/>
              <w:pStyle w:val="Compact"/>
            </w:pPr>
            <w:r>
              <w:rPr>
                <w:sz w:val="20"/>
                <w:szCs w:val="20"/>
              </w:rPr>
              <w:t xml:space="preserve">GAO-09-306SP, GLAST launched June 2008 within revised baseline after design churn; pre-JCL confirmation</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5.9216</w:t>
            </w:r>
          </w:p>
        </w:tc>
        <w:tc>
          <w:tcPr>
            <w:tcW w:w="0" w:type="auto"/>
          </w:tcPr>
          <w:p>
            <w:pPr>
              <w:spacing w:line="240" w:lineRule="auto" w:before="0" w:after="0"/>
              <w:pStyle w:val="Compact"/>
            </w:pPr>
            <w:r>
              <w:rPr>
                <w:sz w:val="20"/>
                <w:szCs w:val="20"/>
              </w:rPr>
              <w:t xml:space="preserve">GAO-09-306SP and NASA, Dawn cost grew and was briefly cancelled/reinstated 2006, launch slipped to 2007; pre-JCL confirmation</w:t>
            </w:r>
          </w:p>
        </w:tc>
      </w:tr>
      <w:tr>
        <w:tc>
          <w:tcPr>
            <w:tcW w:w="0" w:type="auto"/>
          </w:tcPr>
          <w:p>
            <w:pPr>
              <w:spacing w:line="240" w:lineRule="auto" w:before="0" w:after="0"/>
              <w:pStyle w:val="Compact"/>
            </w:pPr>
            <w:r>
              <w:rPr>
                <w:sz w:val="20"/>
                <w:szCs w:val="20"/>
              </w:rPr>
              <w:t xml:space="preserve">Wide-field Infrared Survey Explorer (WISE)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GAO-10-227SP, WISE launched December 2009 within baseline cost and schedule; confirmed before full JCL mandate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GAO-06-647SP, Mars Reconnaissance Orbiter launched August 2005 within baseline; pre-JCL confirmation</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confirmation (KDP-C) to the first baseline breach event, or to the censoring date for programs that never breached</w:t>
            </w:r>
          </w:p>
        </w:tc>
        <w:tc>
          <w:tcPr>
            <w:tcW w:w="0" w:type="auto"/>
          </w:tcPr>
          <w:p>
            <w:pPr>
              <w:spacing w:line="240" w:lineRule="auto" w:before="0" w:after="0"/>
              <w:pStyle w:val="Compact"/>
            </w:pPr>
            <w:r>
              <w:rPr>
                <w:sz w:val="20"/>
                <w:szCs w:val="20"/>
              </w:rPr>
              <w:t xml:space="preserve">Coded from GAO NASA Assessments of Major Projects series (GAO-09-306SP through GAO-25-107591) confirmation and milestone dates</w:t>
            </w:r>
          </w:p>
        </w:tc>
      </w:tr>
      <w:tr>
        <w:tc>
          <w:tcPr>
            <w:tcW w:w="0" w:type="auto"/>
          </w:tcPr>
          <w:p>
            <w:pPr>
              <w:spacing w:line="240" w:lineRule="auto" w:before="0" w:after="0"/>
              <w:pStyle w:val="Compact"/>
            </w:pPr>
            <w:r>
              <w:rPr>
                <w:sz w:val="20"/>
                <w:szCs w:val="20"/>
              </w:rPr>
              <w:t xml:space="preserve">breach_event</w:t>
            </w:r>
          </w:p>
        </w:tc>
        <w:tc>
          <w:tcPr>
            <w:tcW w:w="0" w:type="auto"/>
          </w:tcPr>
          <w:p>
            <w:pPr>
              <w:spacing w:line="240" w:lineRule="auto" w:before="0" w:after="0"/>
              <w:pStyle w:val="Compact"/>
            </w:pPr>
            <w:r>
              <w:rPr>
                <w:sz w:val="20"/>
                <w:szCs w:val="20"/>
              </w:rPr>
              <w:t xml:space="preserve">1 if the program recorded a first baseline breach (development cost growth at or above 15 percent or a milestone slip at or above 6 months, NASA’s congressional re-reporting trigger), 0 if censored without a breach</w:t>
            </w:r>
          </w:p>
        </w:tc>
        <w:tc>
          <w:tcPr>
            <w:tcW w:w="0" w:type="auto"/>
          </w:tcPr>
          <w:p>
            <w:pPr>
              <w:spacing w:line="240" w:lineRule="auto" w:before="0" w:after="0"/>
              <w:pStyle w:val="Compact"/>
            </w:pPr>
            <w:r>
              <w:rPr>
                <w:sz w:val="20"/>
                <w:szCs w:val="20"/>
              </w:rPr>
              <w:t xml:space="preserve">GAO NASA Assessments of Major Projects series; NASA major program reporting thresholds</w:t>
            </w:r>
          </w:p>
        </w:tc>
      </w:tr>
      <w:tr>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1 if a binding independent cost and schedule estimate (Joint Confidence Level / Standing Review Board independent assessment) was applied at confirmation, 0 otherwise (chiefly pre-2009 confirmations before the JCL mandate)</w:t>
            </w:r>
          </w:p>
        </w:tc>
        <w:tc>
          <w:tcPr>
            <w:tcW w:w="0" w:type="auto"/>
          </w:tcPr>
          <w:p>
            <w:pPr>
              <w:spacing w:line="240" w:lineRule="auto" w:before="0" w:after="0"/>
              <w:pStyle w:val="Compact"/>
            </w:pPr>
            <w:r>
              <w:rPr>
                <w:sz w:val="20"/>
                <w:szCs w:val="20"/>
              </w:rPr>
              <w:t xml:space="preserve">GAO NASA Assessments of Major Projects series; NASA JCL policy history</w:t>
            </w:r>
          </w:p>
        </w:tc>
      </w:tr>
      <w:tr>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Natural log of the confirmed baseline life-cycle or development cost estimate in millions of USD, a proxy for program scope</w:t>
            </w:r>
          </w:p>
        </w:tc>
        <w:tc>
          <w:tcPr>
            <w:tcW w:w="0" w:type="auto"/>
          </w:tcPr>
          <w:p>
            <w:pPr>
              <w:spacing w:line="240" w:lineRule="auto" w:before="0" w:after="0"/>
              <w:pStyle w:val="Compact"/>
            </w:pPr>
            <w:r>
              <w:rPr>
                <w:sz w:val="20"/>
                <w:szCs w:val="20"/>
              </w:rPr>
              <w:t xml:space="preserve">GAO NASA Assessments of Major Projects series baseline cost fields</w:t>
            </w:r>
          </w:p>
        </w:tc>
      </w:tr>
      <w:tr>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Technology readiness level of the driving subsystem at confirmation, a proxy for technology maturity</w:t>
            </w:r>
          </w:p>
        </w:tc>
        <w:tc>
          <w:tcPr>
            <w:tcW w:w="0" w:type="auto"/>
          </w:tcPr>
          <w:p>
            <w:pPr>
              <w:spacing w:line="240" w:lineRule="auto" w:before="0" w:after="0"/>
              <w:pStyle w:val="Compact"/>
            </w:pPr>
            <w:r>
              <w:rPr>
                <w:sz w:val="20"/>
                <w:szCs w:val="20"/>
              </w:rPr>
              <w:t xml:space="preserve">GAO NASA Assessments of Major Projects technology-maturity narratives; project critical-design-review records</w:t>
            </w:r>
          </w:p>
        </w:tc>
      </w:tr>
    </w:tbl>
    <w:bookmarkEnd w:id="189"/>
    <w:bookmarkEnd w:id="190"/>
    <w:bookmarkStart w:id="198" w:name="Xbb510bcdd7565c0f7bf33dddc57df2c51a4edb6"/>
    <w:p>
      <w:pPr>
        <w:pStyle w:val="Heading2"/>
        <w:spacing w:line="480" w:lineRule="auto"/>
      </w:pPr>
      <w:r>
        <w:t xml:space="preserve">A.2 Independent Cost Estimating and the Hazard of Statutory Cost Breach in NASA Major Projects: A Cox Proportional-Hazards Analysis</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i</m:t>
          </m:r>
          <m:r>
            <m:rPr>
              <m:sty m:val="p"/>
            </m:rPr>
            <m:t>c</m:t>
          </m:r>
          <m:r>
            <m:rPr>
              <m:sty m:val="p"/>
            </m:rPr>
            <m:t>o</m:t>
          </m:r>
          <m:r>
            <m:rPr>
              <m:sty m:val="p"/>
            </m:rPr>
            <m:t>s</m:t>
          </m:r>
          <m:r>
            <m:rPr>
              <m:sty m:val="p"/>
            </m:rPr>
            <m:t>t</m:t>
          </m:r>
          <m:r>
            <m:rPr>
              <m:sty m:val="p"/>
            </m:rPr>
            <m:t>_</m:t>
          </m:r>
          <m:r>
            <m:rPr>
              <m:sty m:val="p"/>
            </m:rPr>
            <m:t>r</m:t>
          </m:r>
          <m:r>
            <m:rPr>
              <m:sty m:val="p"/>
            </m:rPr>
            <m:t>i</m:t>
          </m:r>
          <m:r>
            <m:rPr>
              <m:sty m:val="p"/>
            </m:rPr>
            <m:t>g</m:t>
          </m:r>
          <m:r>
            <m:rPr>
              <m:sty m:val="p"/>
            </m:rPr>
            <m:t>o</m:t>
          </m:r>
          <m:r>
            <m:rPr>
              <m:sty m:val="p"/>
            </m:rPr>
            <m:t>r</m:t>
          </m:r>
          <m:r>
            <m:rPr>
              <m:sty m:val="p"/>
            </m:rPr>
            <m:t>+</m:t>
          </m:r>
          <m:sSub>
            <m:e>
              <m:r>
                <m:t>β</m:t>
              </m:r>
            </m:e>
            <m:sub>
              <m:r>
                <m:t>2</m:t>
              </m:r>
            </m:sub>
          </m:sSub>
          <m:r>
            <m:t> </m:t>
          </m:r>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r>
            <m:rPr>
              <m:sty m:val="p"/>
            </m:rPr>
            <m:t>+</m:t>
          </m:r>
          <m:sSub>
            <m:e>
              <m:r>
                <m:t>β</m:t>
              </m:r>
            </m:e>
            <m:sub>
              <m:r>
                <m:t>3</m:t>
              </m:r>
            </m:sub>
          </m:sSub>
          <m:r>
            <m:t> </m:t>
          </m:r>
          <m:r>
            <m:rPr>
              <m:sty m:val="p"/>
            </m:rPr>
            <m:t>c</m:t>
          </m:r>
          <m:r>
            <m:rPr>
              <m:sty m:val="p"/>
            </m:rPr>
            <m:t>r</m:t>
          </m:r>
          <m:r>
            <m:rPr>
              <m:sty m:val="p"/>
            </m:rPr>
            <m:t>e</m:t>
          </m:r>
          <m:r>
            <m:rPr>
              <m:sty m:val="p"/>
            </m:rPr>
            <m:t>w</m:t>
          </m:r>
          <m:r>
            <m:rPr>
              <m:sty m:val="p"/>
            </m:rPr>
            <m:t>e</m:t>
          </m:r>
          <m:r>
            <m:rPr>
              <m:sty m:val="p"/>
            </m:rPr>
            <m:t>d</m:t>
          </m:r>
          <m:r>
            <m:rPr>
              <m:sty m:val="p"/>
            </m:rPr>
            <m:t>)</m:t>
          </m:r>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-1.2453</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-1.5702</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[-2.7997, 0.3092]</w:t>
            </w:r>
          </w:p>
        </w:tc>
        <w:tc>
          <w:tcPr>
            <w:tcW w:w="0" w:type="auto"/>
          </w:tcPr>
          <w:p>
            <w:pPr>
              <w:spacing w:line="240" w:lineRule="auto" w:before="0" w:after="0"/>
              <w:pStyle w:val="Compact"/>
            </w:pPr>
            <w:r>
              <w:rPr>
                <w:sz w:val="20"/>
                <w:szCs w:val="20"/>
              </w:rPr>
              <w:t xml:space="preserve">0.2879</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[-1.3407, 0.7867]</w:t>
            </w:r>
          </w:p>
        </w:tc>
        <w:tc>
          <w:tcPr>
            <w:tcW w:w="0" w:type="auto"/>
          </w:tcPr>
          <w:p>
            <w:pPr>
              <w:spacing w:line="240" w:lineRule="auto" w:before="0" w:after="0"/>
              <w:pStyle w:val="Compact"/>
            </w:pPr>
            <w:r>
              <w:rPr>
                <w:sz w:val="20"/>
                <w:szCs w:val="20"/>
              </w:rPr>
              <w:t xml:space="preserve">0.7581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0.7561</w:t>
            </w:r>
          </w:p>
        </w:tc>
        <w:tc>
          <w:tcPr>
            <w:tcW w:w="0" w:type="auto"/>
          </w:tcPr>
          <w:p>
            <w:pPr>
              <w:spacing w:line="240" w:lineRule="auto" w:before="0" w:after="0"/>
              <w:pStyle w:val="Compact"/>
            </w:pPr>
            <w:r>
              <w:rPr>
                <w:sz w:val="20"/>
                <w:szCs w:val="20"/>
              </w:rPr>
              <w:t xml:space="preserve">0.8817</w:t>
            </w:r>
          </w:p>
        </w:tc>
        <w:tc>
          <w:tcPr>
            <w:tcW w:w="0" w:type="auto"/>
          </w:tcPr>
          <w:p>
            <w:pPr>
              <w:spacing w:line="240" w:lineRule="auto" w:before="0" w:after="0"/>
              <w:pStyle w:val="Compact"/>
            </w:pPr>
            <w:r>
              <w:rPr>
                <w:sz w:val="20"/>
                <w:szCs w:val="20"/>
              </w:rPr>
              <w:t xml:space="preserve">0.8576</w:t>
            </w:r>
          </w:p>
        </w:tc>
        <w:tc>
          <w:tcPr>
            <w:tcW w:w="0" w:type="auto"/>
          </w:tcPr>
          <w:p>
            <w:pPr>
              <w:spacing w:line="240" w:lineRule="auto" w:before="0" w:after="0"/>
              <w:pStyle w:val="Compact"/>
            </w:pPr>
            <w:r>
              <w:rPr>
                <w:sz w:val="20"/>
                <w:szCs w:val="20"/>
              </w:rPr>
              <w:t xml:space="preserve">0.3911</w:t>
            </w:r>
          </w:p>
        </w:tc>
        <w:tc>
          <w:tcPr>
            <w:tcW w:w="0" w:type="auto"/>
          </w:tcPr>
          <w:p>
            <w:pPr>
              <w:spacing w:line="240" w:lineRule="auto" w:before="0" w:after="0"/>
              <w:pStyle w:val="Compact"/>
            </w:pPr>
            <w:r>
              <w:rPr>
                <w:sz w:val="20"/>
                <w:szCs w:val="20"/>
              </w:rPr>
              <w:t xml:space="preserve">[-0.972, 2.4842]</w:t>
            </w:r>
          </w:p>
        </w:tc>
        <w:tc>
          <w:tcPr>
            <w:tcW w:w="0" w:type="auto"/>
          </w:tcPr>
          <w:p>
            <w:pPr>
              <w:spacing w:line="240" w:lineRule="auto" w:before="0" w:after="0"/>
              <w:pStyle w:val="Compact"/>
            </w:pPr>
            <w:r>
              <w:rPr>
                <w:sz w:val="20"/>
                <w:szCs w:val="20"/>
              </w:rPr>
              <w:t xml:space="preserve">2.13</w:t>
            </w:r>
          </w:p>
        </w:tc>
      </w:tr>
    </w:tbl>
    <w:p>
      <w:pPr>
        <w:pStyle w:val="BodyText"/>
        <w:spacing w:line="480" w:lineRule="auto"/>
        <w:ind w:firstLine="720"/>
      </w:pPr>
      <w:r>
        <w:t xml:space="preserve">Fit: N = 28 events = 14</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confirmation to statutory cost breach versus project scale for 28 NASA major projects; larger and crewed projects cluster toward earlier breach." title="" id="193" name="Picture"/>
            <a:graphic>
              <a:graphicData uri="http://schemas.openxmlformats.org/drawingml/2006/picture">
                <pic:pic>
                  <pic:nvPicPr>
                    <pic:cNvPr descr="D:/Claude_Code/brain/collegium/candidates/dissertations/JPL_MGMT_SMA_TECH_02/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confirmation to statutory cost breach versus project scale for 28 NASA major projects; larger and crewed projects cluster toward earlier breach.</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baseline_lcc_b</w:t>
            </w:r>
          </w:p>
        </w:tc>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(Jul 2025); Planetary Society Europa Clipper cost chart (baseline $4.25B 2019 -&gt; ~$5.0B, 18% growth, launched Oct 2024)</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WFIRST/Roman confirmation 2 Mar 2020, dev cost $3.2B max $3.934B; SpaceNews</w:t>
            </w:r>
            <w:r>
              <w:rPr>
                <w:sz w:val="20"/>
                <w:szCs w:val="20"/>
              </w:rPr>
              <w:t xml:space="preserve"> </w:t>
            </w:r>
            <w:r>
              <w:rPr>
                <w:sz w:val="20"/>
                <w:szCs w:val="20"/>
              </w:rPr>
              <w:t xml:space="preserve">‘Pandemic causes delay and cost increase’</w:t>
            </w:r>
            <w:r>
              <w:rPr>
                <w:sz w:val="20"/>
                <w:szCs w:val="20"/>
              </w:rPr>
              <w:t xml:space="preserve"> </w:t>
            </w:r>
            <w:r>
              <w:rPr>
                <w:sz w:val="20"/>
                <w:szCs w:val="20"/>
              </w:rPr>
              <w:t xml:space="preserve">(launch slip to May 2027, under 15% threshold)</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‘Asteroid-Hunting Telescope Clears NASA Review’</w:t>
            </w:r>
            <w:r>
              <w:rPr>
                <w:sz w:val="20"/>
                <w:szCs w:val="20"/>
              </w:rPr>
              <w:t xml:space="preserve"> </w:t>
            </w:r>
            <w:r>
              <w:rPr>
                <w:sz w:val="20"/>
                <w:szCs w:val="20"/>
              </w:rPr>
              <w:t xml:space="preserve">(KDP-C 2022, $1.2B baseline, 2-yr slip 2026-&gt;2028); SpaceNews</w:t>
            </w:r>
            <w:r>
              <w:rPr>
                <w:sz w:val="20"/>
                <w:szCs w:val="20"/>
              </w:rPr>
              <w:t xml:space="preserve"> </w:t>
            </w:r>
            <w:r>
              <w:rPr>
                <w:sz w:val="20"/>
                <w:szCs w:val="20"/>
              </w:rPr>
              <w:t xml:space="preserve">‘NEO Surveyor launch delayed despite funding boost’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Psyche confirmation 2019 (~$0.99B at KDP-C); Spaceflight Now / Space.com (final ~$1.13B 2023, ~14% growth, 15-month launch slip, below 15% statutory threshold), launched Oct 2023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(Dragonfly est. life-cycle $3.35B, launch July 2028); NASA OIG IG-25-011</w:t>
            </w:r>
            <w:r>
              <w:rPr>
                <w:sz w:val="20"/>
                <w:szCs w:val="20"/>
              </w:rPr>
              <w:t xml:space="preserve"> </w:t>
            </w:r>
            <w:r>
              <w:rPr>
                <w:sz w:val="20"/>
                <w:szCs w:val="20"/>
              </w:rPr>
              <w:t xml:space="preserve">‘NASA’s Management of the Dragonfly Project’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(SPHEREx dev cost reduced $8.3M from prior year, no overrun); NASA SPHEREx confirmation 2021, launched Mar 2025</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program Lucy confirmation 2017 (~$0.98B life-cycle); NASA press kit (launched Oct 2021 on schedule, no statutory breach)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‘Cost of OSIRIS-REx’</w:t>
            </w:r>
            <w:r>
              <w:rPr>
                <w:sz w:val="20"/>
                <w:szCs w:val="20"/>
              </w:rPr>
              <w:t xml:space="preserve">; NASA New Frontiers OSIRIS-REx confirmation 2013 (~$0.8B), launched Sep 2016 on baseline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InSight; NASA OIG and press releases (2015 instrument leak forced 26-month slip from Mar 2016 to May 2018, ~$153.8M cost growth, breached threshold)</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2020 confirmation 2016 (~$2.44B life-cycle); NASA press kit (launched July 2020 on schedule)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historical-overrun discussion; GAO/NASA replan history (2011 rebaseline to $8.8B from ~$5B, multi-year delay, major statutory breach)</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(SLS exited portfolio after $3.6B in overruns and 4-year delay); NASA SLS Block 1 baseline 2014</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accounts for &gt;$360M of annual cost growth FY25); NASA Orion baseline; GAO accumulated overrun figures</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(EGS exited portfolio after $3.6B in overruns and 4-year delay equiv.); NASA EGS baseline 2014</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(Gateway Initial Capability among 4 projects = ~60% of $32.1B dev portfolio); GAO-24-106767 cost-growth identification</w:t>
            </w:r>
          </w:p>
        </w:tc>
      </w:tr>
      <w:tr>
        <w:tc>
          <w:tcPr>
            <w:tcW w:w="0" w:type="auto"/>
          </w:tcPr>
          <w:p>
            <w:pPr>
              <w:spacing w:line="240" w:lineRule="auto" w:before="0" w:after="0"/>
              <w:pStyle w:val="Compact"/>
            </w:pPr>
            <w:r>
              <w:rPr>
                <w:sz w:val="20"/>
                <w:szCs w:val="20"/>
              </w:rPr>
              <w:t xml:space="preserve">Human Landing System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(HLS Initial Capability among 4 largest dev projects); GAO HLS schedule/cost-risk findings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NASA-ISRO NISAR confirmation 2016 (~$1.5B NASA share baseline ~$0.9B); GAO-25-107591 (NISAR schedule data Apr 2025, multi-year slip 2020-&gt;2024)</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NASA/USGS Landsat 9 confirmation 2017 (~$0.88B); NASA press kit (launched Sep 2021 on baseline)</w:t>
            </w:r>
          </w:p>
        </w:tc>
      </w:tr>
      <w:tr>
        <w:tc>
          <w:tcPr>
            <w:tcW w:w="0" w:type="auto"/>
          </w:tcPr>
          <w:p>
            <w:pPr>
              <w:spacing w:line="240" w:lineRule="auto" w:before="0" w:after="0"/>
              <w:pStyle w:val="Compact"/>
            </w:pPr>
            <w:r>
              <w:rPr>
                <w:sz w:val="20"/>
                <w:szCs w:val="20"/>
              </w:rPr>
              <w:t xml:space="preserve">GRACE Follow-On</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NASA/GFZ GRACE-FO confirmation ~2012 (~$0.43B NASA); NASA press kit (launched May 2018, within baseline)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confirmation 2013 (~$1.1B life-cycle); NASA/GAO assessments (ATLAS instrument cost growth and ~2-year slip 2016-&gt;2018)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TESS confirmation 2014 (~$0.34B); NASA press kit (launched Apr 2018 near baseline)</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LWS Parker Solar Probe confirmation 2014 (~$1.55B life-cycle); NASA press kit (launched Aug 2018 on schedule)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Scout MAVEN confirmation 2010 (~$0.67B); NASA press kit (launched Nov 2013 on baseline)</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GOES-R confirmation; GAO weather-satellite assessments (multi-year delay and cost growth, statutory breach)</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Planetary Defense DART confirmation 2018 (~$0.31B life-cycle, ~$0.245B dev); NASA press kit (launched Nov 2021 on schedule)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VERITAS selected 2021; SpaceNews / NASA (institutional stand-down and multi-year delay post-2022, schedule breach)</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DAVINCI selected 2021; NASA replanning and launch slip 2029-&gt;2030s (schedule/cost pressure)</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 NASA Watch (MSR potential life-cycle $8-11B, baseline delayed, independent review board cost breach)</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project crossed NASA’s 15 percent statutory development-cost-growth reporting threshold; 0 if censored (launched or still in development without breaching)</w:t>
            </w:r>
          </w:p>
        </w:tc>
        <w:tc>
          <w:tcPr>
            <w:tcW w:w="0" w:type="auto"/>
          </w:tcPr>
          <w:p>
            <w:pPr>
              <w:spacing w:line="240" w:lineRule="auto" w:before="0" w:after="0"/>
              <w:pStyle w:val="Compact"/>
            </w:pPr>
            <w:r>
              <w:rPr>
                <w:sz w:val="20"/>
                <w:szCs w:val="20"/>
              </w:rPr>
              <w:t xml:space="preserve">GAO-25-107591 NASA Assessments of Major Projects (Jul 2025): 30 of 53 historical projects stayed below the 15 percent reporting threshold</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confirmation (Key Decision Point C) to the first statutory cost breach, or to censoring at launch / latest GAO assessment</w:t>
            </w:r>
          </w:p>
        </w:tc>
        <w:tc>
          <w:tcPr>
            <w:tcW w:w="0" w:type="auto"/>
          </w:tcPr>
          <w:p>
            <w:pPr>
              <w:spacing w:line="240" w:lineRule="auto" w:before="0" w:after="0"/>
              <w:pStyle w:val="Compact"/>
            </w:pPr>
            <w:r>
              <w:rPr>
                <w:sz w:val="20"/>
                <w:szCs w:val="20"/>
              </w:rPr>
              <w:t xml:space="preserve">NASA confirmation dates and launch dates; GAO annual major-project assessments</w:t>
            </w:r>
          </w:p>
        </w:tc>
      </w:tr>
      <w:tr>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1 if the confirmation baseline was set under a high-confidence independent process (Joint Confidence Level at the 70 percent policy point, independent cost estimate, Standing Review Board concurrence); 0 otherwise</w:t>
            </w:r>
          </w:p>
        </w:tc>
        <w:tc>
          <w:tcPr>
            <w:tcW w:w="0" w:type="auto"/>
          </w:tcPr>
          <w:p>
            <w:pPr>
              <w:spacing w:line="240" w:lineRule="auto" w:before="0" w:after="0"/>
              <w:pStyle w:val="Compact"/>
            </w:pPr>
            <w:r>
              <w:rPr>
                <w:sz w:val="20"/>
                <w:szCs w:val="20"/>
              </w:rPr>
              <w:t xml:space="preserve">NASA Joint Confidence Level policy (Kuo 2011; Butts 2009); NASA Standing Review Board Handbook (Gilligan 2023)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Natural log of the confirmation-phase baseline life-cycle cost in billions of US dollars, a proxy for project scale and technical complexity</w:t>
            </w:r>
          </w:p>
        </w:tc>
        <w:tc>
          <w:tcPr>
            <w:tcW w:w="0" w:type="auto"/>
          </w:tcPr>
          <w:p>
            <w:pPr>
              <w:spacing w:line="240" w:lineRule="auto" w:before="0" w:after="0"/>
              <w:pStyle w:val="Compact"/>
            </w:pPr>
            <w:r>
              <w:rPr>
                <w:sz w:val="20"/>
                <w:szCs w:val="20"/>
              </w:rPr>
              <w:t xml:space="preserve">NASA confirmation baselines compiled from GAO assessments and Planetary Society cost charts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a human-spaceflight or Artemis project; 0 if a robotic science mission</w:t>
            </w:r>
          </w:p>
        </w:tc>
        <w:tc>
          <w:tcPr>
            <w:tcW w:w="0" w:type="auto"/>
          </w:tcPr>
          <w:p>
            <w:pPr>
              <w:spacing w:line="240" w:lineRule="auto" w:before="0" w:after="0"/>
              <w:pStyle w:val="Compact"/>
            </w:pPr>
            <w:r>
              <w:rPr>
                <w:sz w:val="20"/>
                <w:szCs w:val="20"/>
              </w:rPr>
              <w:t xml:space="preserve">GAO-25-107591 portfolio classification</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41" Type="http://schemas.openxmlformats.org/officeDocument/2006/relationships/hyperlink" Target="https://doi.org/10.1016/j.actaastro.2019.07.032" TargetMode="External"/><Relationship Id="rId176" Type="http://schemas.openxmlformats.org/officeDocument/2006/relationships/hyperlink" Target="https://doi.org/10.1016/j.actaastro.2019.08.008" TargetMode="External"/><Relationship Id="rId139" Type="http://schemas.openxmlformats.org/officeDocument/2006/relationships/hyperlink" Target="https://doi.org/10.1016/j.actaastro.2019.09.030" TargetMode="External"/><Relationship Id="rId174" Type="http://schemas.openxmlformats.org/officeDocument/2006/relationships/hyperlink" Target="https://doi.org/10.1016/j.actaastro.2022.03.009" TargetMode="External"/><Relationship Id="rId180" Type="http://schemas.openxmlformats.org/officeDocument/2006/relationships/hyperlink" Target="https://doi.org/10.1016/j.actaastro.2022.03.038" TargetMode="External"/><Relationship Id="rId143" Type="http://schemas.openxmlformats.org/officeDocument/2006/relationships/hyperlink" Target="https://doi.org/10.1016/j.actaastro.2022.12.036" TargetMode="External"/><Relationship Id="rId167" Type="http://schemas.openxmlformats.org/officeDocument/2006/relationships/hyperlink" Target="https://doi.org/10.1016/j.actaastro.2025.02.009" TargetMode="External"/><Relationship Id="rId178" Type="http://schemas.openxmlformats.org/officeDocument/2006/relationships/hyperlink" Target="https://doi.org/10.1016/j.actaastro.2025.10.028" TargetMode="External"/><Relationship Id="rId172" Type="http://schemas.openxmlformats.org/officeDocument/2006/relationships/hyperlink" Target="https://doi.org/10.1016/j.actaastro.2025.11.069" TargetMode="External"/><Relationship Id="rId170" Type="http://schemas.openxmlformats.org/officeDocument/2006/relationships/hyperlink" Target="https://doi.org/10.1016/j.actaastro.2026.02.010" TargetMode="External"/><Relationship Id="rId157" Type="http://schemas.openxmlformats.org/officeDocument/2006/relationships/hyperlink" Target="https://doi.org/10.64861/CEPU7718" TargetMode="External"/><Relationship Id="rId163" Type="http://schemas.openxmlformats.org/officeDocument/2006/relationships/hyperlink" Target="https://doi.org/10.64861/SIJX9169" TargetMode="External"/></Relationships>
</file>

<file path=word/_rels/footnotes.xml.rels><?xml version='1.0' encoding='UTF-8' standalone='yes'?>
<Relationships xmlns="http://schemas.openxmlformats.org/package/2006/relationships"><Relationship Id="rId141" Type="http://schemas.openxmlformats.org/officeDocument/2006/relationships/hyperlink" Target="https://doi.org/10.1016/j.actaastro.2019.07.032" TargetMode="External"/><Relationship Id="rId176" Type="http://schemas.openxmlformats.org/officeDocument/2006/relationships/hyperlink" Target="https://doi.org/10.1016/j.actaastro.2019.08.008" TargetMode="External"/><Relationship Id="rId139" Type="http://schemas.openxmlformats.org/officeDocument/2006/relationships/hyperlink" Target="https://doi.org/10.1016/j.actaastro.2019.09.030" TargetMode="External"/><Relationship Id="rId174" Type="http://schemas.openxmlformats.org/officeDocument/2006/relationships/hyperlink" Target="https://doi.org/10.1016/j.actaastro.2022.03.009" TargetMode="External"/><Relationship Id="rId180" Type="http://schemas.openxmlformats.org/officeDocument/2006/relationships/hyperlink" Target="https://doi.org/10.1016/j.actaastro.2022.03.038" TargetMode="External"/><Relationship Id="rId143" Type="http://schemas.openxmlformats.org/officeDocument/2006/relationships/hyperlink" Target="https://doi.org/10.1016/j.actaastro.2022.12.036" TargetMode="External"/><Relationship Id="rId167" Type="http://schemas.openxmlformats.org/officeDocument/2006/relationships/hyperlink" Target="https://doi.org/10.1016/j.actaastro.2025.02.009" TargetMode="External"/><Relationship Id="rId178" Type="http://schemas.openxmlformats.org/officeDocument/2006/relationships/hyperlink" Target="https://doi.org/10.1016/j.actaastro.2025.10.028" TargetMode="External"/><Relationship Id="rId172" Type="http://schemas.openxmlformats.org/officeDocument/2006/relationships/hyperlink" Target="https://doi.org/10.1016/j.actaastro.2025.11.069" TargetMode="External"/><Relationship Id="rId170" Type="http://schemas.openxmlformats.org/officeDocument/2006/relationships/hyperlink" Target="https://doi.org/10.1016/j.actaastro.2026.02.010" TargetMode="External"/><Relationship Id="rId157" Type="http://schemas.openxmlformats.org/officeDocument/2006/relationships/hyperlink" Target="https://doi.org/10.64861/CEPU7718" TargetMode="External"/><Relationship Id="rId163" Type="http://schemas.openxmlformats.org/officeDocument/2006/relationships/hyperlink" Target="https://doi.org/10.64861/SIJX9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Causal Effect of Independent Cost Estimating on Realized Mission Outcomes: A</dc:title>
  <dc:creator>Annika Pereira (1B-MPM-063)</dc:creator>
  <cp:keywords/>
  <dcterms:created xsi:type="dcterms:W3CDTF">2026-07-02T16:06:23Z</dcterms:created>
  <dcterms:modified xsi:type="dcterms:W3CDTF">2026-07-02T16:06:23Z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