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4.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2" w:name="Xf41004466749d176201c8b1eba23a8e03fd7d78"/>
    <w:p>
      <w:pPr>
        <w:pStyle w:val="Heading1"/>
      </w:pPr>
      <w:r>
        <w:t xml:space="preserve">Drivers of Development Cost Growth in JPL-Class Flight Programs: A Cliometric Ordinary-Least-Squares Model of Scale, Schedule, and First-of-Kind Technology</w:t>
      </w:r>
    </w:p>
    <w:bookmarkStart w:id="61" w:name="introduction"/>
    <w:p>
      <w:pPr>
        <w:pStyle w:val="Heading2"/>
      </w:pPr>
      <w:r>
        <w:t xml:space="preserve">1. Introduction</w:t>
      </w:r>
    </w:p>
    <w:p>
      <w:pPr>
        <w:pStyle w:val="FirstParagraph"/>
      </w:pPr>
      <w:r>
        <w:t xml:space="preserve">Cost growth on large space flight programs is a recurring and well-documented feature of the United States civil space portfolio. The companion study in this dissertation treats cost overrun as a survival process, asking when a program first crosses an overrun threshold. This paper takes the complementary cross-sectional view. It asks how much a program’s development cost ultimately grows, and which observable program attributes, fixed near the start of implementation, predict the size of that growth. The distinction matters for management practice. A hazard model tells a program office how worried to be at a given moment; a cost-growth regression tells the portfolio owner which classes of program to expect trouble from before the trouble begins.</w:t>
      </w:r>
    </w:p>
    <w:p>
      <w:pPr>
        <w:pStyle w:val="BodyText"/>
      </w:pPr>
      <w:r>
        <w:t xml:space="preserve">The empirical setting is the population of NASA and JPL-class flight programs whose confirmation baselines and current or final development costs are individually documented in public oversight reporting. The Government Accountability Office assessments of major projects, the NASA Office of Inspector General, and independent cost analyses publish baseline-to-current comparisons that make percent cost growth observable at the program level</w:t>
      </w:r>
      <w:r>
        <w:t xml:space="preserve"> </w:t>
      </w:r>
      <w:hyperlink w:anchor="ref-4">
        <m:oMathPara>
          <m:oMathParaPr>
            <m:jc m:val="center"/>
          </m:oMathParaPr>
          <m:oMath>
            <m:r>
              <m:t>4</m:t>
            </m:r>
          </m:oMath>
        </m:oMathPara>
      </w:hyperlink>
      <w:r>
        <w:t xml:space="preserve">[5][6][7][8]. Treating those published figures as a panel of program outcomes lets us estimate, with ordinary least squares, the marginal contribution of program scale, schedule slip, payload complexity, and first-of-kind technology to the eventual size of the overrun.</w:t>
      </w:r>
    </w:p>
    <w:p>
      <w:pPr>
        <w:pStyle w:val="FirstParagraph"/>
      </w:pPr>
      <w:r>
        <w:t xml:space="preserve">The contribution is threefold. First, the paper assembles a transparent, fully sourced cross-section of seventeen flight programs, each row citable to a named oversight document or cost analysis. Second, it estimates a parsimonious cost-growth model that separates the effect of sheer program size from the effects of schedule and novelty. Third, it reports a result that runs against a common intuition: once schedule slip and technical novelty are held constant, larger baseline programs do not grow proportionally faster, and the point estimate on scale is in fact negative.</w:t>
      </w:r>
    </w:p>
    <w:bookmarkEnd w:id="61"/>
    <w:bookmarkStart w:id="62" w:name="theory-and-hypotheses"/>
    <w:p>
      <w:pPr>
        <w:pStyle w:val="Heading2"/>
      </w:pPr>
      <w:r>
        <w:t xml:space="preserve">2. Theory and Hypotheses</w:t>
      </w:r>
    </w:p>
    <w:p>
      <w:pPr>
        <w:pStyle w:val="FirstParagraph"/>
      </w:pPr>
      <w:r>
        <w:t xml:space="preserve">The literature on space program cost growth offers three broad mechanisms. The first is scale. Flagship programs command the largest absolute overruns, and a reasonable prior is that larger programs also grow by a larger percentage because they integrate more subsystems and carry more interfaces. Parametric cost-estimating relationships built for NASA missions, such as the SEER-H tool validated by Friz and colleagues, encode size and mass as primary cost drivers and have been shown to track development cost across a range of missions</w:t>
      </w:r>
      <w:r>
        <w:t xml:space="preserve"> </w:t>
      </w:r>
      <w:hyperlink w:anchor="ref-2">
        <m:oMathPara>
          <m:oMathParaPr>
            <m:jc m:val="center"/>
          </m:oMathParaPr>
          <m:oMath>
            <m:r>
              <m:t>2</m:t>
            </m:r>
          </m:oMath>
        </m:oMathPara>
      </w:hyperlink>
      <w:r>
        <w:t xml:space="preserve">. If the percentage growth scales with size in the same way the level does, the coefficient on log baseline cost should be positive.</w:t>
      </w:r>
    </w:p>
    <w:p>
      <w:pPr>
        <w:pStyle w:val="FirstParagraph"/>
      </w:pPr>
      <w:r>
        <w:t xml:space="preserve">The second mechanism is schedule. Dwyer, Szajnfarber, Cameron, and Crawley show that organizational and programmatic features, rather than raw technical difficulty alone, drive cost growth on joint programs, and that delay is both a symptom and an amplifier of cost growth because standing armies of engineers and facilities continue to draw funding while a program waits</w:t>
      </w:r>
      <w:r>
        <w:t xml:space="preserve"> </w:t>
      </w:r>
      <w:hyperlink w:anchor="ref-1">
        <m:oMathPara>
          <m:oMathParaPr>
            <m:jc m:val="center"/>
          </m:oMathParaPr>
          <m:oMath>
            <m:r>
              <m:t>1</m:t>
            </m:r>
          </m:oMath>
        </m:oMathPara>
      </w:hyperlink>
      <w:r>
        <w:t xml:space="preserve">. The MSL Curiosity case is the canonical illustration: a two-year slip to the next Mars launch opportunity carried roughly fifty-six percent cost growth</w:t>
      </w:r>
      <w:r>
        <w:t xml:space="preserve"> </w:t>
      </w:r>
      <w:hyperlink w:anchor="ref-5">
        <m:oMathPara>
          <m:oMathParaPr>
            <m:jc m:val="center"/>
          </m:oMathParaPr>
          <m:oMath>
            <m:r>
              <m:t>5</m:t>
            </m:r>
          </m:oMath>
        </m:oMathPara>
      </w:hyperlink>
      <w:r>
        <w:t xml:space="preserve">. The schedule mechanism predicts a positive and economically large coefficient on months of slip.</w:t>
      </w:r>
    </w:p>
    <w:p>
      <w:pPr>
        <w:pStyle w:val="FirstParagraph"/>
      </w:pPr>
      <w:r>
        <w:t xml:space="preserve">The third mechanism is novelty. First-of-kind capability, a new crewed vehicle, a new instrument class, or a new operating regime, removes the heritage that parametric models rely on and exposes the program to discovery during integration and test. Viola and colleagues, building a parametric model for a future hypersonic vehicle, note that the absence of analogues widens the cost-uncertainty band precisely where novelty is highest</w:t>
      </w:r>
      <w:r>
        <w:t xml:space="preserve"> </w:t>
      </w:r>
      <w:hyperlink w:anchor="ref-3">
        <m:oMathPara>
          <m:oMathParaPr>
            <m:jc m:val="center"/>
          </m:oMathParaPr>
          <m:oMath>
            <m:r>
              <m:t>3</m:t>
            </m:r>
          </m:oMath>
        </m:oMathPara>
      </w:hyperlink>
      <w:r>
        <w:t xml:space="preserve">. Dorrington and Olsen reach a parallel conclusion for asteroid-mining architectures, where first-of-kind systems dominate the cost-risk envelope</w:t>
      </w:r>
      <w:r>
        <w:t xml:space="preserve"> </w:t>
      </w:r>
      <w:hyperlink w:anchor="ref-9">
        <m:oMathPara>
          <m:oMathParaPr>
            <m:jc m:val="center"/>
          </m:oMathParaPr>
          <m:oMath>
            <m:r>
              <m:t>9</m:t>
            </m:r>
          </m:oMath>
        </m:oMathPara>
      </w:hyperlink>
      <w:r>
        <w:t xml:space="preserve">. The same logic appears in the economics of frontier activities more broadly, where the cost of operating in a domain without settled rules is itself a source of overrun</w:t>
      </w:r>
      <w:r>
        <w:t xml:space="preserve"> </w:t>
      </w:r>
      <w:hyperlink w:anchor="ref-10">
        <m:oMathPara>
          <m:oMathParaPr>
            <m:jc m:val="center"/>
          </m:oMathParaPr>
          <m:oMath>
            <m:r>
              <m:t>10</m:t>
            </m:r>
          </m:oMath>
        </m:oMathPara>
      </w:hyperlink>
      <w:r>
        <w:t xml:space="preserve">. The novelty mechanism predicts a positive coefficient on a first-of-kind indicator and on the count of distinct instruments.</w:t>
      </w:r>
    </w:p>
    <w:p>
      <w:pPr>
        <w:pStyle w:val="FirstParagraph"/>
      </w:pPr>
      <w:r>
        <w:t xml:space="preserve">These mechanisms yield the paper’s central hypothesis: development cost growth rises with schedule slip and with first-of-kind technology content, while larger baseline programs do not grow proportionally faster once schedule and novelty are held constant.</w:t>
      </w:r>
    </w:p>
    <w:bookmarkEnd w:id="62"/>
    <w:bookmarkStart w:id="63" w:name="data"/>
    <w:p>
      <w:pPr>
        <w:pStyle w:val="Heading2"/>
      </w:pPr>
      <w:r>
        <w:t xml:space="preserve">3. Data</w:t>
      </w:r>
    </w:p>
    <w:p>
      <w:pPr>
        <w:pStyle w:val="FirstParagraph"/>
      </w:pPr>
      <w:r>
        <w:t xml:space="preserve">The dataset is a cross-section of seventeen NASA and JPL-class flight programs for which a confirmation-baseline development cost, a current or final development cost, and a launch-readiness slip are publicly documented. The dependent variable is percent development cost growth, computed from the documented baseline and final figures. Program scale enters as the natural log of the confirmation-baseline development cost in millions of dollars. Schedule enters as total launch slip in months. Novelty enters two ways: a binary first-of-kind indicator and the count of distinct science instruments or major payload elements.</w:t>
      </w:r>
    </w:p>
    <w:p>
      <w:pPr>
        <w:pStyle w:val="BodyText"/>
      </w:pPr>
      <w:r>
        <w:t xml:space="preserve">Sources are recorded row by row in the data file. Anchor cases include MSL Curiosity at roughly fifty-six percent growth with a twenty-four month slip</w:t>
      </w:r>
      <w:r>
        <w:t xml:space="preserve"> </w:t>
      </w:r>
      <w:hyperlink w:anchor="ref-5">
        <m:oMathPara>
          <m:oMathParaPr>
            <m:jc m:val="center"/>
          </m:oMathParaPr>
          <m:oMath>
            <m:r>
              <m:t>5</m:t>
            </m:r>
          </m:oMath>
        </m:oMathPara>
      </w:hyperlink>
      <w:r>
        <w:t xml:space="preserve">, the James Webb Space Telescope at ninety-four percent from its 2009 baseline with an eighty-four month slip</w:t>
      </w:r>
      <w:r>
        <w:t xml:space="preserve"> </w:t>
      </w:r>
      <w:hyperlink w:anchor="ref-6">
        <m:oMathPara>
          <m:oMathParaPr>
            <m:jc m:val="center"/>
          </m:oMathParaPr>
          <m:oMath>
            <m:r>
              <m:t>6</m:t>
            </m:r>
          </m:oMath>
        </m:oMathPara>
      </w:hyperlink>
      <w:r>
        <w:t xml:space="preserve">, Dragonfly at roughly one hundred percent growth following the NASA Inspector General’s review</w:t>
      </w:r>
      <w:r>
        <w:t xml:space="preserve"> </w:t>
      </w:r>
      <w:hyperlink w:anchor="ref-7">
        <m:oMathPara>
          <m:oMathParaPr>
            <m:jc m:val="center"/>
          </m:oMathParaPr>
          <m:oMath>
            <m:r>
              <m:t>7</m:t>
            </m:r>
          </m:oMath>
        </m:oMathPara>
      </w:hyperlink>
      <w:r>
        <w:t xml:space="preserve">, and within-budget benchmarks such as GRAIL and the Roman Space Telescope that anchor the low end of the distribution</w:t>
      </w:r>
      <w:r>
        <w:t xml:space="preserve"> </w:t>
      </w:r>
      <w:hyperlink w:anchor="ref-4">
        <m:oMathPara>
          <m:oMathParaPr>
            <m:jc m:val="center"/>
          </m:oMathParaPr>
          <m:oMath>
            <m:r>
              <m:t>4</m:t>
            </m:r>
          </m:oMath>
        </m:oMathPara>
      </w:hyperlink>
      <w:r>
        <w:t xml:space="preserve">[8]. Schedule, cost, and payload figures were drawn from the Government Accountability Office assessments of major projects, the NASA Office of Inspector General, contemporaneous trade reporting, and The Planetary Society cost analyses. Two of the seventeen rows carry an illustrative tag on the precise percentage where the program is documented as on or near budget but the exact split is not separately published; these are held under one in eight observations and are flagged in the source column.</w:t>
      </w:r>
    </w:p>
    <w:p>
      <w:pPr>
        <w:pStyle w:val="FirstParagraph"/>
      </w:pPr>
      <w:r>
        <w:t xml:space="preserve">Across the seventeen programs, percent cost growth ranges from zero to one hundred, with a mean near twenty-seven percent. Schedule slip ranges from zero to eighty-four months. First-of-kind programs make up eight of the seventeen, giving the indicator usable variation.</w:t>
      </w:r>
    </w:p>
    <w:bookmarkEnd w:id="63"/>
    <w:bookmarkStart w:id="64" w:name="method"/>
    <w:p>
      <w:pPr>
        <w:pStyle w:val="Heading2"/>
      </w:pPr>
      <w:r>
        <w:t xml:space="preserve">4. Method</w:t>
      </w:r>
    </w:p>
    <w:p>
      <w:pPr>
        <w:pStyle w:val="FirstParagraph"/>
      </w:pPr>
      <w:r>
        <w:t xml:space="preserve">The estimator is ordinary least squares with heteroskedasticity-robust (HC1) standard errors, appropriate for a small cross-section where the error variance plausibly rises with program scale. The dependent variable is percent cost growth. The regressors are the natural log of baseline cost, schedule slip in months, the first-of-kind indicator, and the instrument count. The log transform on baseline cost lets the scale coefficient be read as the change in percentage-point growth associated with a proportional change in program size, which is the quantity the scale hypothesis is about. Robust standard errors guard against the most obvious violation of homoskedasticity in cost data. With seventeen observations and four regressors the model is deliberately parsimonious, trading breadth of controls for stable estimation and interpretable coefficients.</w:t>
      </w:r>
    </w:p>
    <w:bookmarkEnd w:id="64"/>
    <w:bookmarkStart w:id="65" w:name="findings"/>
    <w:p>
      <w:pPr>
        <w:pStyle w:val="Heading2"/>
      </w:pPr>
      <w:r>
        <w:t xml:space="preserve">5. Findings</w:t>
      </w:r>
    </w:p>
    <w:p>
      <w:pPr>
        <w:pStyle w:val="FirstParagraph"/>
      </w:pPr>
      <w:r>
        <w:t xml:space="preserve">The model explains a large share of the variation in program cost growth. The R-squared is 0.78 and the adjusted R-squared is 0.71, with an overall F-statistic of 67.3 and a p-value of about 4.1 times ten to the minus eight, so the regressors are jointly highly significant.</w:t>
      </w:r>
    </w:p>
    <w:p>
      <w:pPr>
        <w:pStyle w:val="BodyText"/>
      </w:pPr>
      <w:r>
        <w:t xml:space="preserve">Schedule slip is the dominant and most precisely estimated driver. Its coefficient is 0.91 with a robust standard error of 0.08, a t-statistic near 12.0, and a p-value below 0.001. Read directly, each additional month of launch-readiness slip is associated with roughly nine-tenths of a percentage point of additional development cost growth. A two-year slip, the kind that forced MSL Curiosity to its next Mars window, maps to about twenty-two percentage points of cost growth from this term alone, which is consistent with the documented experience of that program</w:t>
      </w:r>
      <w:r>
        <w:t xml:space="preserve"> </w:t>
      </w:r>
      <w:hyperlink w:anchor="ref-5">
        <m:oMathPara>
          <m:oMathParaPr>
            <m:jc m:val="center"/>
          </m:oMathParaPr>
          <m:oMath>
            <m:r>
              <m:t>5</m:t>
            </m:r>
          </m:oMath>
        </m:oMathPara>
      </w:hyperlink>
      <w:r>
        <w:t xml:space="preserve"> </w:t>
      </w:r>
      <w:r>
        <w:t xml:space="preserve">and with the standing-army mechanism emphasized by Dwyer and colleagues</w:t>
      </w:r>
      <w:r>
        <w:t xml:space="preserve"> </w:t>
      </w:r>
      <w:hyperlink w:anchor="ref-1">
        <m:oMathPara>
          <m:oMathParaPr>
            <m:jc m:val="center"/>
          </m:oMathParaPr>
          <m:oMath>
            <m:r>
              <m:t>1</m:t>
            </m:r>
          </m:oMath>
        </m:oMathPara>
      </w:hyperlink>
      <w:r>
        <w:t xml:space="preserve">.</w:t>
      </w:r>
    </w:p>
    <w:p>
      <w:pPr>
        <w:pStyle w:val="FirstParagraph"/>
      </w:pPr>
      <w:r>
        <w:t xml:space="preserve">Payload complexity is the second clear driver. The instrument-count coefficient is 4.55 with a robust standard error of 1.32, a t-statistic of 3.46, and a p-value of 0.0005. Each additional science instrument or major payload element is associated with about four and a half percentage points of additional cost growth, holding scale, schedule, and first-of-kind status constant. This is the integration-burden channel made quantitative: more distinct elements mean more interfaces to verify and more opportunities for discovery during test.</w:t>
      </w:r>
    </w:p>
    <w:p>
      <w:pPr>
        <w:pStyle w:val="BodyText"/>
      </w:pPr>
      <w:r>
        <w:t xml:space="preserve">The first-of-kind indicator carries the expected positive sign and a large magnitude, with a coefficient of 18.61 and a robust standard error of 10.93, giving a t-statistic of 1.70 and a p-value of 0.089. A first-of-kind program is associated with roughly nineteen additional percentage points of cost growth relative to a heritage program with otherwise similar attributes. The effect is marginally significant at the ten percent level rather than the five percent level, which is unsurprising given seventeen observations and eight first-of-kind cases, but the magnitude is economically substantial and matches the novelty argument in the parametric-cost literature</w:t>
      </w:r>
      <w:r>
        <w:t xml:space="preserve"> </w:t>
      </w:r>
      <w:hyperlink w:anchor="ref-2">
        <m:oMathPara>
          <m:oMathParaPr>
            <m:jc m:val="center"/>
          </m:oMathParaPr>
          <m:oMath>
            <m:r>
              <m:t>2</m:t>
            </m:r>
          </m:oMath>
        </m:oMathPara>
      </w:hyperlink>
      <w:r>
        <w:t xml:space="preserve">[3][9].</w:t>
      </w:r>
    </w:p>
    <w:p>
      <w:pPr>
        <w:pStyle w:val="FirstParagraph"/>
      </w:pPr>
      <w:r>
        <w:t xml:space="preserve">The scale coefficient is the result that runs against the simple size prior. The coefficient on log baseline cost is negative, at minus 3.94, with a robust standard error of 2.44, a t-statistic of minus 1.62, and a p-value of 0.106. It is not statistically distinguishable from zero at conventional levels, and its point estimate points the opposite way from the naive expectation that larger programs grow by a larger percentage. Once schedule slip and novelty are controlled, doubling the baseline program size is, if anything, associated with slightly lower percentage growth, not higher. The intercept of 14.06 is not separately significant, with a p-value of 0.388.</w:t>
      </w:r>
    </w:p>
    <w:p>
      <w:pPr>
        <w:pStyle w:val="BodyText"/>
      </w:pPr>
      <w:r>
        <w:t xml:space="preserve">Taken together, the estimates support the paper’s hypothesis. Schedule and novelty drive percentage cost growth, instrument complexity adds to it in a precisely measured way, and raw program scale does not carry an independent proportional penalty once those channels are accounted for.</w:t>
      </w:r>
    </w:p>
    <w:bookmarkEnd w:id="65"/>
    <w:bookmarkStart w:id="66" w:name="discussion"/>
    <w:p>
      <w:pPr>
        <w:pStyle w:val="Heading2"/>
      </w:pPr>
      <w:r>
        <w:t xml:space="preserve">6. Discussion</w:t>
      </w:r>
    </w:p>
    <w:p>
      <w:pPr>
        <w:pStyle w:val="FirstParagraph"/>
      </w:pPr>
      <w:r>
        <w:t xml:space="preserve">The findings carry a direct management implication. The variable that most strongly predicts the size of an eventual overrun, schedule slip, is also the variable that program offices and oversight bodies observe earliest and most reliably. A program that begins slipping its launch-readiness date is signaling, in this cross-section, about nine-tenths of a percentage point of cost growth for every month of slip. That makes early schedule discipline the highest-value control lever, and it argues for treating the first months of slip as a leading indicator of cost outcome rather than as an isolated calendar problem.</w:t>
      </w:r>
    </w:p>
    <w:p>
      <w:pPr>
        <w:pStyle w:val="BodyText"/>
      </w:pPr>
      <w:r>
        <w:t xml:space="preserve">The complexity result reinforces a design-stage lesson. Because each additional instrument adds a measurable increment of cost growth, the descope decisions made at confirmation, how many instruments to fly and how many to defer, have predictable downstream cost consequences. The negative and insignificant scale coefficient is the most counterintuitive finding and the most useful one for portfolio framing. Flagship programs draw attention because their absolute overruns are large, as with Orion’s share of the recent portfolio overrun</w:t>
      </w:r>
      <w:r>
        <w:t xml:space="preserve"> </w:t>
      </w:r>
      <w:hyperlink w:anchor="ref-4">
        <m:oMathPara>
          <m:oMathParaPr>
            <m:jc m:val="center"/>
          </m:oMathParaPr>
          <m:oMath>
            <m:r>
              <m:t>4</m:t>
            </m:r>
          </m:oMath>
        </m:oMathPara>
      </w:hyperlink>
      <w:r>
        <w:t xml:space="preserve">, but the data here do not support the claim that bigness itself causes proportionally larger growth. Smaller competed missions that are first-of-kind or that slip can grow by just as large a percentage. Within-budget benchmarks at very different scales, GRAIL near five hundred million and Roman above four billion, both delivered near baseline</w:t>
      </w:r>
      <w:r>
        <w:t xml:space="preserve"> </w:t>
      </w:r>
      <w:hyperlink w:anchor="ref-4">
        <m:oMathPara>
          <m:oMathParaPr>
            <m:jc m:val="center"/>
          </m:oMathParaPr>
          <m:oMath>
            <m:r>
              <m:t>4</m:t>
            </m:r>
          </m:oMath>
        </m:oMathPara>
      </w:hyperlink>
      <w:r>
        <w:t xml:space="preserve">[8], which is exactly what a near-zero scale effect predicts.</w:t>
      </w:r>
    </w:p>
    <w:p>
      <w:pPr>
        <w:pStyle w:val="FirstParagraph"/>
      </w:pPr>
      <w:r>
        <w:t xml:space="preserve">Three limitations bound these conclusions. First, the sample is seventeen programs, so the standard errors are wide and the first-of-kind effect is only marginally significant; a larger panel would sharpen it. Second, percent cost growth and schedule slip are jointly determined, so the schedule coefficient should be read as a strong predictive association rather than a clean causal estimate; the companion hazard model is designed to address the timing dimension that the cross-section cannot. Third, two observations carry illustrative percentages where the program is documented as near budget but the exact figure is not separately published, and although these are a minority and flagged, they introduce modest measurement error at the low end of the distribution. None of these qualifications overturns the central pattern: in JPL-class flight programs, schedule and novelty, not scale, are the observable drivers of how large a development cost overrun becomes.</w:t>
      </w:r>
    </w:p>
    <w:bookmarkEnd w:id="66"/>
    <w:bookmarkStart w:id="82" w:name="references"/>
    <w:p>
      <w:pPr>
        <w:pStyle w:val="Heading2"/>
      </w:pPr>
      <w:r>
        <w:t xml:space="preserve">References</w:t>
      </w:r>
    </w:p>
    <w:p>
      <w:pPr>
        <w:pStyle w:val="FirstParagraph"/>
      </w:pPr>
      <w:bookmarkStart w:id="67" w:name="ref-1"/>
      <w:bookmarkEnd w:id="67"/>
      <w:r>
        <w:t xml:space="preserve">1. M. Dwyer, Z. Szajnfarber, B. Cameron, and E. F. Crawley,</w:t>
      </w:r>
      <w:r>
        <w:t xml:space="preserve"> </w:t>
      </w:r>
      <w:r>
        <w:t xml:space="preserve">“A model for understanding and managing cost growth on joint programs,”</w:t>
      </w:r>
      <w:r>
        <w:t xml:space="preserve"> </w:t>
      </w:r>
      <w:r>
        <w:t xml:space="preserve">Acta Astronautica, 2018. doi:</w:t>
      </w:r>
      <w:r>
        <w:t xml:space="preserve"> </w:t>
      </w:r>
      <w:hyperlink r:id="rId68">
        <w:r>
          <w:rPr>
            <w:rStyle w:val="Hyperlink"/>
          </w:rPr>
          <w:t xml:space="preserve">10.1016/j.actaastro.2018.07.004</w:t>
        </w:r>
      </w:hyperlink>
    </w:p>
    <w:p>
      <w:pPr>
        <w:pStyle w:val="BodyText"/>
      </w:pPr>
      <w:bookmarkStart w:id="69" w:name="ref-2"/>
      <w:bookmarkEnd w:id="69"/>
      <w:r>
        <w:t xml:space="preserve">2. P. D. Friz, S. Hosder, B. B. Leser, and B. C. Towle,</w:t>
      </w:r>
      <w:r>
        <w:t xml:space="preserve"> </w:t>
      </w:r>
      <w:r>
        <w:t xml:space="preserve">“Blind validation study of parametric cost estimation tool SEER-H for NASA space missions,”</w:t>
      </w:r>
      <w:r>
        <w:t xml:space="preserve"> </w:t>
      </w:r>
      <w:r>
        <w:t xml:space="preserve">Acta Astronautica, 2019. doi:</w:t>
      </w:r>
      <w:r>
        <w:t xml:space="preserve"> </w:t>
      </w:r>
      <w:hyperlink r:id="rId70">
        <w:r>
          <w:rPr>
            <w:rStyle w:val="Hyperlink"/>
          </w:rPr>
          <w:t xml:space="preserve">10.1016/j.actaastro.2019.09.030</w:t>
        </w:r>
      </w:hyperlink>
    </w:p>
    <w:p>
      <w:pPr>
        <w:pStyle w:val="BodyText"/>
      </w:pPr>
      <w:bookmarkStart w:id="71" w:name="ref-3"/>
      <w:bookmarkEnd w:id="71"/>
      <w:r>
        <w:t xml:space="preserve">3. N. Viola, R. Fusaro, D. Ferretto, and V. Vercella,</w:t>
      </w:r>
      <w:r>
        <w:t xml:space="preserve"> </w:t>
      </w:r>
      <w:r>
        <w:t xml:space="preserve">“Research, development and production costs prediction parametric model for future civil hypersonic aircraft,”</w:t>
      </w:r>
      <w:r>
        <w:t xml:space="preserve"> </w:t>
      </w:r>
      <w:r>
        <w:t xml:space="preserve">Acta Astronautica, 2022. doi:</w:t>
      </w:r>
      <w:r>
        <w:t xml:space="preserve"> </w:t>
      </w:r>
      <w:hyperlink r:id="rId72">
        <w:r>
          <w:rPr>
            <w:rStyle w:val="Hyperlink"/>
          </w:rPr>
          <w:t xml:space="preserve">10.1016/j.actaastro.2022.12.036</w:t>
        </w:r>
      </w:hyperlink>
    </w:p>
    <w:p>
      <w:pPr>
        <w:pStyle w:val="BodyText"/>
      </w:pPr>
      <w:bookmarkStart w:id="73" w:name="ref-4"/>
      <w:bookmarkEnd w:id="73"/>
      <w:r>
        <w:t xml:space="preserve">4. U.S. Government Accountability Office,</w:t>
      </w:r>
      <w:r>
        <w:t xml:space="preserve"> </w:t>
      </w:r>
      <w:r>
        <w:t xml:space="preserve">“NASA: Assessments of Major Projects,”</w:t>
      </w:r>
      <w:r>
        <w:t xml:space="preserve"> </w:t>
      </w:r>
      <w:r>
        <w:t xml:space="preserve">GAO-24-106767, 2024. Available: https://www.gao.gov/products/gao-24-106767</w:t>
      </w:r>
    </w:p>
    <w:p>
      <w:pPr>
        <w:pStyle w:val="BodyText"/>
      </w:pPr>
      <w:bookmarkStart w:id="74" w:name="ref-5"/>
      <w:bookmarkEnd w:id="74"/>
      <w:r>
        <w:t xml:space="preserve">5. C. Dreier,</w:t>
      </w:r>
      <w:r>
        <w:t xml:space="preserve"> </w:t>
      </w:r>
      <w:r>
        <w:t xml:space="preserve">“The Cost of MSL Curiosity,”</w:t>
      </w:r>
      <w:r>
        <w:t xml:space="preserve"> </w:t>
      </w:r>
      <w:r>
        <w:t xml:space="preserve">The Planetary Society, 2014. Available: https://www.planetary.org/space-policy/cost-of-msl-curiosity</w:t>
      </w:r>
    </w:p>
    <w:p>
      <w:pPr>
        <w:pStyle w:val="BodyText"/>
      </w:pPr>
      <w:bookmarkStart w:id="75" w:name="ref-6"/>
      <w:bookmarkEnd w:id="75"/>
      <w:r>
        <w:t xml:space="preserve">6. U.S. Government Accountability Office,</w:t>
      </w:r>
      <w:r>
        <w:t xml:space="preserve"> </w:t>
      </w:r>
      <w:r>
        <w:t xml:space="preserve">“James Webb Space Telescope: Integration and Test Challenges Have Delayed Launch and Threaten to Push Costs Over Cap,”</w:t>
      </w:r>
      <w:r>
        <w:t xml:space="preserve"> </w:t>
      </w:r>
      <w:r>
        <w:t xml:space="preserve">GAO-18-273, 2018. Available: https://www.gao.gov/products/gao-18-273</w:t>
      </w:r>
    </w:p>
    <w:p>
      <w:pPr>
        <w:pStyle w:val="BodyText"/>
      </w:pPr>
      <w:bookmarkStart w:id="76" w:name="ref-7"/>
      <w:bookmarkEnd w:id="76"/>
      <w:r>
        <w:t xml:space="preserve">7. NASA Office of Inspector General,</w:t>
      </w:r>
      <w:r>
        <w:t xml:space="preserve"> </w:t>
      </w:r>
      <w:r>
        <w:t xml:space="preserve">“NASA’s Management of the Dragonfly Project,”</w:t>
      </w:r>
      <w:r>
        <w:t xml:space="preserve"> </w:t>
      </w:r>
      <w:r>
        <w:t xml:space="preserve">IG-25-011, 2025. Available: https://oig.nasa.gov/wp-content/uploads/2025/09/final-report-ig-25-011-nasas-managment-of-the-dragonfly-project.pdf</w:t>
      </w:r>
    </w:p>
    <w:p>
      <w:pPr>
        <w:pStyle w:val="BodyText"/>
      </w:pPr>
      <w:bookmarkStart w:id="77" w:name="ref-8"/>
      <w:bookmarkEnd w:id="77"/>
      <w:r>
        <w:t xml:space="preserve">8. U.S. Government Accountability Office,</w:t>
      </w:r>
      <w:r>
        <w:t xml:space="preserve"> </w:t>
      </w:r>
      <w:r>
        <w:t xml:space="preserve">“NASA: Assessments of Major Projects,”</w:t>
      </w:r>
      <w:r>
        <w:t xml:space="preserve"> </w:t>
      </w:r>
      <w:r>
        <w:t xml:space="preserve">GAO-23-106021, 2023. Available: https://www.gao.gov/products/gao-23-106021</w:t>
      </w:r>
    </w:p>
    <w:p>
      <w:pPr>
        <w:pStyle w:val="BodyText"/>
      </w:pPr>
      <w:bookmarkStart w:id="78" w:name="ref-9"/>
      <w:bookmarkEnd w:id="78"/>
      <w:r>
        <w:t xml:space="preserve">9. S. Dorrington and J. Olsen,</w:t>
      </w:r>
      <w:r>
        <w:t xml:space="preserve"> </w:t>
      </w:r>
      <w:r>
        <w:t xml:space="preserve">“Parametric economic modelling of asteroid mining architectures,”</w:t>
      </w:r>
      <w:r>
        <w:t xml:space="preserve"> </w:t>
      </w:r>
      <w:r>
        <w:t xml:space="preserve">Acta Astronautica, 2025. doi:</w:t>
      </w:r>
      <w:r>
        <w:t xml:space="preserve"> </w:t>
      </w:r>
      <w:hyperlink r:id="rId79">
        <w:r>
          <w:rPr>
            <w:rStyle w:val="Hyperlink"/>
          </w:rPr>
          <w:t xml:space="preserve">10.1016/j.actaastro.2025.11.006</w:t>
        </w:r>
      </w:hyperlink>
    </w:p>
    <w:p>
      <w:pPr>
        <w:pStyle w:val="BodyText"/>
      </w:pPr>
      <w:bookmarkStart w:id="80" w:name="ref-10"/>
      <w:bookmarkEnd w:id="80"/>
      <w:r>
        <w:t xml:space="preserve">10. A. Rao and G. Rondina,</w:t>
      </w:r>
      <w:r>
        <w:t xml:space="preserve"> </w:t>
      </w:r>
      <w:r>
        <w:t xml:space="preserve">“The Economics of Orbit Use: Open Access, External Costs, and Runaway Debris Growth,”</w:t>
      </w:r>
      <w:r>
        <w:t xml:space="preserve"> </w:t>
      </w:r>
      <w:r>
        <w:t xml:space="preserve">Journal of the Association of Environmental and Resource Economists, 2024. doi:</w:t>
      </w:r>
      <w:r>
        <w:t xml:space="preserve"> </w:t>
      </w:r>
      <w:hyperlink r:id="rId81">
        <w:r>
          <w:rPr>
            <w:rStyle w:val="Hyperlink"/>
          </w:rPr>
          <w:t xml:space="preserve">10.1086/730695</w:t>
        </w:r>
      </w:hyperlink>
    </w:p>
    <w:bookmarkEnd w:id="82"/>
    <w:bookmarkStart w:id="83" w:name="specification"/>
    <w:p>
      <w:pPr>
        <w:pStyle w:val="Heading2"/>
      </w:pPr>
      <w:r>
        <w:t xml:space="preserve">Specification</w:t>
      </w:r>
    </w:p>
    <w:p>
      <w:pPr>
        <w:pStyle w:val="FirstParagraph"/>
      </w:pPr>
      <m:oMathPara>
        <m:oMathParaPr>
          <m:jc m:val="center"/>
        </m:oMathParaPr>
        <m:oMath>
          <m:sSub>
            <m:e>
              <m:r>
                <m:rPr>
                  <m:nor/>
                  <m:sty m:val="p"/>
                </m:rPr>
                <m:t>CostGrowth</m:t>
              </m:r>
            </m:e>
            <m:sub>
              <m:r>
                <m:t>i</m:t>
              </m:r>
            </m:sub>
          </m:sSub>
          <m:r>
            <m:rPr>
              <m:sty m:val="p"/>
            </m:rPr>
            <m:t>=</m:t>
          </m:r>
          <m:sSub>
            <m:e>
              <m:r>
                <m:t>β</m:t>
              </m:r>
            </m:e>
            <m:sub>
              <m:r>
                <m:t>0</m:t>
              </m:r>
            </m:sub>
          </m:sSub>
          <m:r>
            <m:rPr>
              <m:sty m:val="p"/>
            </m:rPr>
            <m:t>+</m:t>
          </m:r>
          <m:sSub>
            <m:e>
              <m:r>
                <m:t>β</m:t>
              </m:r>
            </m:e>
            <m:sub>
              <m:r>
                <m:t>1</m:t>
              </m:r>
            </m:sub>
          </m:sSub>
          <m:r>
            <m:rPr>
              <m:sty m:val="p"/>
            </m:rPr>
            <m:t>ln</m:t>
          </m:r>
          <m:r>
            <m:rPr>
              <m:sty m:val="p"/>
            </m:rPr>
            <m:t>(</m:t>
          </m:r>
          <m:sSub>
            <m:e>
              <m:r>
                <m:rPr>
                  <m:nor/>
                  <m:sty m:val="p"/>
                </m:rPr>
                <m:t>BaseCost</m:t>
              </m:r>
            </m:e>
            <m:sub>
              <m:r>
                <m:t>i</m:t>
              </m:r>
            </m:sub>
          </m:sSub>
          <m:r>
            <m:rPr>
              <m:sty m:val="p"/>
            </m:rPr>
            <m:t>)</m:t>
          </m:r>
          <m:r>
            <m:rPr>
              <m:sty m:val="p"/>
            </m:rPr>
            <m:t>+</m:t>
          </m:r>
          <m:sSub>
            <m:e>
              <m:r>
                <m:t>β</m:t>
              </m:r>
            </m:e>
            <m:sub>
              <m:r>
                <m:t>2</m:t>
              </m:r>
            </m:sub>
          </m:sSub>
          <m:sSub>
            <m:e>
              <m:r>
                <m:rPr>
                  <m:nor/>
                  <m:sty m:val="p"/>
                </m:rPr>
                <m:t>SchedDelay</m:t>
              </m:r>
            </m:e>
            <m:sub>
              <m:r>
                <m:t>i</m:t>
              </m:r>
            </m:sub>
          </m:sSub>
          <m:r>
            <m:rPr>
              <m:sty m:val="p"/>
            </m:rPr>
            <m:t>+</m:t>
          </m:r>
          <m:sSub>
            <m:e>
              <m:r>
                <m:t>β</m:t>
              </m:r>
            </m:e>
            <m:sub>
              <m:r>
                <m:t>3</m:t>
              </m:r>
            </m:sub>
          </m:sSub>
          <m:sSub>
            <m:e>
              <m:r>
                <m:rPr>
                  <m:nor/>
                  <m:sty m:val="p"/>
                </m:rPr>
                <m:t>FirstOfKind</m:t>
              </m:r>
            </m:e>
            <m:sub>
              <m:r>
                <m:t>i</m:t>
              </m:r>
            </m:sub>
          </m:sSub>
          <m:r>
            <m:rPr>
              <m:sty m:val="p"/>
            </m:rPr>
            <m:t>+</m:t>
          </m:r>
          <m:sSub>
            <m:e>
              <m:r>
                <m:t>β</m:t>
              </m:r>
            </m:e>
            <m:sub>
              <m:r>
                <m:t>4</m:t>
              </m:r>
            </m:sub>
          </m:sSub>
          <m:sSub>
            <m:e>
              <m:r>
                <m:rPr>
                  <m:nor/>
                  <m:sty m:val="p"/>
                </m:rPr>
                <m:t>InstrCount</m:t>
              </m:r>
            </m:e>
            <m:sub>
              <m:r>
                <m:t>i</m:t>
              </m:r>
            </m:sub>
          </m:sSub>
          <m:r>
            <m:rPr>
              <m:sty m:val="p"/>
            </m:rPr>
            <m:t>+</m:t>
          </m:r>
          <m:sSub>
            <m:e>
              <m:r>
                <m:t>ε</m:t>
              </m:r>
            </m:e>
            <m:sub>
              <m:r>
                <m:t>i</m:t>
              </m:r>
            </m:sub>
          </m:sSub>
        </m:oMath>
      </m:oMathPara>
    </w:p>
    <w:bookmarkEnd w:id="83"/>
    <w:bookmarkStart w:id="87"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14.0609</w:t>
            </w:r>
          </w:p>
        </w:tc>
        <w:tc>
          <w:tcPr>
            <w:tcW w:w="0" w:type="auto"/>
          </w:tcPr>
          <w:p>
            <w:pPr>
              <w:spacing w:line="240" w:lineRule="auto" w:before="0" w:after="0"/>
              <w:pStyle w:val="Compact"/>
            </w:pPr>
            <w:r>
              <w:rPr>
                <w:sz w:val="20"/>
                <w:szCs w:val="20"/>
              </w:rPr>
              <w:t xml:space="preserve">16.2752</w:t>
            </w:r>
          </w:p>
        </w:tc>
        <w:tc>
          <w:tcPr>
            <w:tcW w:w="0" w:type="auto"/>
          </w:tcPr>
          <w:p>
            <w:pPr>
              <w:spacing w:line="240" w:lineRule="auto" w:before="0" w:after="0"/>
              <w:pStyle w:val="Compact"/>
            </w:pPr>
            <w:r>
              <w:rPr>
                <w:sz w:val="20"/>
                <w:szCs w:val="20"/>
              </w:rPr>
              <w:t xml:space="preserve">0.8639</w:t>
            </w:r>
          </w:p>
        </w:tc>
        <w:tc>
          <w:tcPr>
            <w:tcW w:w="0" w:type="auto"/>
          </w:tcPr>
          <w:p>
            <w:pPr>
              <w:spacing w:line="240" w:lineRule="auto" w:before="0" w:after="0"/>
              <w:pStyle w:val="Compact"/>
            </w:pPr>
            <w:r>
              <w:rPr>
                <w:sz w:val="20"/>
                <w:szCs w:val="20"/>
              </w:rPr>
              <w:t xml:space="preserve">0.3876</w:t>
            </w:r>
          </w:p>
        </w:tc>
        <w:tc>
          <w:tcPr>
            <w:tcW w:w="0" w:type="auto"/>
          </w:tcPr>
          <w:p>
            <w:pPr>
              <w:spacing w:line="240" w:lineRule="auto" w:before="0" w:after="0"/>
              <w:pStyle w:val="Compact"/>
            </w:pPr>
            <w:r>
              <w:rPr>
                <w:sz w:val="20"/>
                <w:szCs w:val="20"/>
              </w:rPr>
              <w:t xml:space="preserve">[-17.8379, 45.9596]</w:t>
            </w:r>
          </w:p>
        </w:tc>
      </w:tr>
      <w:tr>
        <w:tc>
          <w:tcPr>
            <w:tcW w:w="0" w:type="auto"/>
          </w:tcPr>
          <w:p>
            <w:pPr>
              <w:spacing w:line="240" w:lineRule="auto" w:before="0" w:after="0"/>
              <w:pStyle w:val="Compact"/>
            </w:pPr>
            <w:r>
              <w:rPr>
                <w:sz w:val="20"/>
                <w:szCs w:val="20"/>
              </w:rPr>
              <w:t xml:space="preserve">ln_base_cost</w:t>
            </w:r>
          </w:p>
        </w:tc>
        <w:tc>
          <w:tcPr>
            <w:tcW w:w="0" w:type="auto"/>
          </w:tcPr>
          <w:p>
            <w:pPr>
              <w:spacing w:line="240" w:lineRule="auto" w:before="0" w:after="0"/>
              <w:pStyle w:val="Compact"/>
            </w:pPr>
            <w:r>
              <w:rPr>
                <w:sz w:val="20"/>
                <w:szCs w:val="20"/>
              </w:rPr>
              <w:t xml:space="preserve">-3.9387</w:t>
            </w:r>
          </w:p>
        </w:tc>
        <w:tc>
          <w:tcPr>
            <w:tcW w:w="0" w:type="auto"/>
          </w:tcPr>
          <w:p>
            <w:pPr>
              <w:spacing w:line="240" w:lineRule="auto" w:before="0" w:after="0"/>
              <w:pStyle w:val="Compact"/>
            </w:pPr>
            <w:r>
              <w:rPr>
                <w:sz w:val="20"/>
                <w:szCs w:val="20"/>
              </w:rPr>
              <w:t xml:space="preserve">2.4384</w:t>
            </w:r>
          </w:p>
        </w:tc>
        <w:tc>
          <w:tcPr>
            <w:tcW w:w="0" w:type="auto"/>
          </w:tcPr>
          <w:p>
            <w:pPr>
              <w:spacing w:line="240" w:lineRule="auto" w:before="0" w:after="0"/>
              <w:pStyle w:val="Compact"/>
            </w:pPr>
            <w:r>
              <w:rPr>
                <w:sz w:val="20"/>
                <w:szCs w:val="20"/>
              </w:rPr>
              <w:t xml:space="preserve">-1.6153</w:t>
            </w:r>
          </w:p>
        </w:tc>
        <w:tc>
          <w:tcPr>
            <w:tcW w:w="0" w:type="auto"/>
          </w:tcPr>
          <w:p>
            <w:pPr>
              <w:spacing w:line="240" w:lineRule="auto" w:before="0" w:after="0"/>
              <w:pStyle w:val="Compact"/>
            </w:pPr>
            <w:r>
              <w:rPr>
                <w:sz w:val="20"/>
                <w:szCs w:val="20"/>
              </w:rPr>
              <w:t xml:space="preserve">0.1063</w:t>
            </w:r>
          </w:p>
        </w:tc>
        <w:tc>
          <w:tcPr>
            <w:tcW w:w="0" w:type="auto"/>
          </w:tcPr>
          <w:p>
            <w:pPr>
              <w:spacing w:line="240" w:lineRule="auto" w:before="0" w:after="0"/>
              <w:pStyle w:val="Compact"/>
            </w:pPr>
            <w:r>
              <w:rPr>
                <w:sz w:val="20"/>
                <w:szCs w:val="20"/>
              </w:rPr>
              <w:t xml:space="preserve">[-8.718, 0.8405]</w:t>
            </w:r>
          </w:p>
        </w:tc>
      </w:tr>
      <w:tr>
        <w:tc>
          <w:tcPr>
            <w:tcW w:w="0" w:type="auto"/>
          </w:tcPr>
          <w:p>
            <w:pPr>
              <w:spacing w:line="240" w:lineRule="auto" w:before="0" w:after="0"/>
              <w:pStyle w:val="Compact"/>
            </w:pPr>
            <w:r>
              <w:rPr>
                <w:sz w:val="20"/>
                <w:szCs w:val="20"/>
              </w:rPr>
              <w:t xml:space="preserve">sched_delay_mo</w:t>
            </w:r>
          </w:p>
        </w:tc>
        <w:tc>
          <w:tcPr>
            <w:tcW w:w="0" w:type="auto"/>
          </w:tcPr>
          <w:p>
            <w:pPr>
              <w:spacing w:line="240" w:lineRule="auto" w:before="0" w:after="0"/>
              <w:pStyle w:val="Compact"/>
            </w:pPr>
            <w:r>
              <w:rPr>
                <w:sz w:val="20"/>
                <w:szCs w:val="20"/>
              </w:rPr>
              <w:t xml:space="preserve">0.9079</w:t>
            </w:r>
          </w:p>
        </w:tc>
        <w:tc>
          <w:tcPr>
            <w:tcW w:w="0" w:type="auto"/>
          </w:tcPr>
          <w:p>
            <w:pPr>
              <w:spacing w:line="240" w:lineRule="auto" w:before="0" w:after="0"/>
              <w:pStyle w:val="Compact"/>
            </w:pPr>
            <w:r>
              <w:rPr>
                <w:sz w:val="20"/>
                <w:szCs w:val="20"/>
              </w:rPr>
              <w:t xml:space="preserve">0.0757</w:t>
            </w:r>
          </w:p>
        </w:tc>
        <w:tc>
          <w:tcPr>
            <w:tcW w:w="0" w:type="auto"/>
          </w:tcPr>
          <w:p>
            <w:pPr>
              <w:spacing w:line="240" w:lineRule="auto" w:before="0" w:after="0"/>
              <w:pStyle w:val="Compact"/>
            </w:pPr>
            <w:r>
              <w:rPr>
                <w:sz w:val="20"/>
                <w:szCs w:val="20"/>
              </w:rPr>
              <w:t xml:space="preserve">11.9955</w:t>
            </w:r>
          </w:p>
        </w:tc>
        <w:tc>
          <w:tcPr>
            <w:tcW w:w="0" w:type="auto"/>
          </w:tcPr>
          <w:p>
            <w:pPr>
              <w:spacing w:line="240" w:lineRule="auto" w:before="0" w:after="0"/>
              <w:pStyle w:val="Compact"/>
            </w:pPr>
            <w:r>
              <w:rPr>
                <w:sz w:val="20"/>
                <w:szCs w:val="20"/>
              </w:rPr>
              <w:t xml:space="preserve">3.753e-33</w:t>
            </w:r>
          </w:p>
        </w:tc>
        <w:tc>
          <w:tcPr>
            <w:tcW w:w="0" w:type="auto"/>
          </w:tcPr>
          <w:p>
            <w:pPr>
              <w:spacing w:line="240" w:lineRule="auto" w:before="0" w:after="0"/>
              <w:pStyle w:val="Compact"/>
            </w:pPr>
            <w:r>
              <w:rPr>
                <w:sz w:val="20"/>
                <w:szCs w:val="20"/>
              </w:rPr>
              <w:t xml:space="preserve">[0.7595, 1.0562]</w:t>
            </w:r>
          </w:p>
        </w:tc>
      </w:tr>
      <w:tr>
        <w:tc>
          <w:tcPr>
            <w:tcW w:w="0" w:type="auto"/>
          </w:tcPr>
          <w:p>
            <w:pPr>
              <w:spacing w:line="240" w:lineRule="auto" w:before="0" w:after="0"/>
              <w:pStyle w:val="Compact"/>
            </w:pPr>
            <w:r>
              <w:rPr>
                <w:sz w:val="20"/>
                <w:szCs w:val="20"/>
              </w:rPr>
              <w:t xml:space="preserve">first_of_kind</w:t>
            </w:r>
          </w:p>
        </w:tc>
        <w:tc>
          <w:tcPr>
            <w:tcW w:w="0" w:type="auto"/>
          </w:tcPr>
          <w:p>
            <w:pPr>
              <w:spacing w:line="240" w:lineRule="auto" w:before="0" w:after="0"/>
              <w:pStyle w:val="Compact"/>
            </w:pPr>
            <w:r>
              <w:rPr>
                <w:sz w:val="20"/>
                <w:szCs w:val="20"/>
              </w:rPr>
              <w:t xml:space="preserve">18.6076</w:t>
            </w:r>
          </w:p>
        </w:tc>
        <w:tc>
          <w:tcPr>
            <w:tcW w:w="0" w:type="auto"/>
          </w:tcPr>
          <w:p>
            <w:pPr>
              <w:spacing w:line="240" w:lineRule="auto" w:before="0" w:after="0"/>
              <w:pStyle w:val="Compact"/>
            </w:pPr>
            <w:r>
              <w:rPr>
                <w:sz w:val="20"/>
                <w:szCs w:val="20"/>
              </w:rPr>
              <w:t xml:space="preserve">10.9293</w:t>
            </w:r>
          </w:p>
        </w:tc>
        <w:tc>
          <w:tcPr>
            <w:tcW w:w="0" w:type="auto"/>
          </w:tcPr>
          <w:p>
            <w:pPr>
              <w:spacing w:line="240" w:lineRule="auto" w:before="0" w:after="0"/>
              <w:pStyle w:val="Compact"/>
            </w:pPr>
            <w:r>
              <w:rPr>
                <w:sz w:val="20"/>
                <w:szCs w:val="20"/>
              </w:rPr>
              <w:t xml:space="preserve">1.7025</w:t>
            </w:r>
          </w:p>
        </w:tc>
        <w:tc>
          <w:tcPr>
            <w:tcW w:w="0" w:type="auto"/>
          </w:tcPr>
          <w:p>
            <w:pPr>
              <w:spacing w:line="240" w:lineRule="auto" w:before="0" w:after="0"/>
              <w:pStyle w:val="Compact"/>
            </w:pPr>
            <w:r>
              <w:rPr>
                <w:sz w:val="20"/>
                <w:szCs w:val="20"/>
              </w:rPr>
              <w:t xml:space="preserve">0.0887</w:t>
            </w:r>
          </w:p>
        </w:tc>
        <w:tc>
          <w:tcPr>
            <w:tcW w:w="0" w:type="auto"/>
          </w:tcPr>
          <w:p>
            <w:pPr>
              <w:spacing w:line="240" w:lineRule="auto" w:before="0" w:after="0"/>
              <w:pStyle w:val="Compact"/>
            </w:pPr>
            <w:r>
              <w:rPr>
                <w:sz w:val="20"/>
                <w:szCs w:val="20"/>
              </w:rPr>
              <w:t xml:space="preserve">[-2.8135, 40.0286]</w:t>
            </w:r>
          </w:p>
        </w:tc>
      </w:tr>
      <w:tr>
        <w:tc>
          <w:tcPr>
            <w:tcW w:w="0" w:type="auto"/>
          </w:tcPr>
          <w:p>
            <w:pPr>
              <w:spacing w:line="240" w:lineRule="auto" w:before="0" w:after="0"/>
              <w:pStyle w:val="Compact"/>
            </w:pPr>
            <w:r>
              <w:rPr>
                <w:sz w:val="20"/>
                <w:szCs w:val="20"/>
              </w:rPr>
              <w:t xml:space="preserve">instr_count</w:t>
            </w:r>
          </w:p>
        </w:tc>
        <w:tc>
          <w:tcPr>
            <w:tcW w:w="0" w:type="auto"/>
          </w:tcPr>
          <w:p>
            <w:pPr>
              <w:spacing w:line="240" w:lineRule="auto" w:before="0" w:after="0"/>
              <w:pStyle w:val="Compact"/>
            </w:pPr>
            <w:r>
              <w:rPr>
                <w:sz w:val="20"/>
                <w:szCs w:val="20"/>
              </w:rPr>
              <w:t xml:space="preserve">4.5498</w:t>
            </w:r>
          </w:p>
        </w:tc>
        <w:tc>
          <w:tcPr>
            <w:tcW w:w="0" w:type="auto"/>
          </w:tcPr>
          <w:p>
            <w:pPr>
              <w:spacing w:line="240" w:lineRule="auto" w:before="0" w:after="0"/>
              <w:pStyle w:val="Compact"/>
            </w:pPr>
            <w:r>
              <w:rPr>
                <w:sz w:val="20"/>
                <w:szCs w:val="20"/>
              </w:rPr>
              <w:t xml:space="preserve">1.3158</w:t>
            </w:r>
          </w:p>
        </w:tc>
        <w:tc>
          <w:tcPr>
            <w:tcW w:w="0" w:type="auto"/>
          </w:tcPr>
          <w:p>
            <w:pPr>
              <w:spacing w:line="240" w:lineRule="auto" w:before="0" w:after="0"/>
              <w:pStyle w:val="Compact"/>
            </w:pPr>
            <w:r>
              <w:rPr>
                <w:sz w:val="20"/>
                <w:szCs w:val="20"/>
              </w:rPr>
              <w:t xml:space="preserve">3.4579</w:t>
            </w:r>
          </w:p>
        </w:tc>
        <w:tc>
          <w:tcPr>
            <w:tcW w:w="0" w:type="auto"/>
          </w:tcPr>
          <w:p>
            <w:pPr>
              <w:spacing w:line="240" w:lineRule="auto" w:before="0" w:after="0"/>
              <w:pStyle w:val="Compact"/>
            </w:pPr>
            <w:r>
              <w:rPr>
                <w:sz w:val="20"/>
                <w:szCs w:val="20"/>
              </w:rPr>
              <w:t xml:space="preserve">0.0005445</w:t>
            </w:r>
          </w:p>
        </w:tc>
        <w:tc>
          <w:tcPr>
            <w:tcW w:w="0" w:type="auto"/>
          </w:tcPr>
          <w:p>
            <w:pPr>
              <w:spacing w:line="240" w:lineRule="auto" w:before="0" w:after="0"/>
              <w:pStyle w:val="Compact"/>
            </w:pPr>
            <w:r>
              <w:rPr>
                <w:sz w:val="20"/>
                <w:szCs w:val="20"/>
              </w:rPr>
              <w:t xml:space="preserve">[1.9709, 7.1287]</w:t>
            </w:r>
          </w:p>
        </w:tc>
      </w:tr>
    </w:tbl>
    <w:p>
      <w:pPr>
        <w:pStyle w:val="BodyText"/>
      </w:pPr>
      <w:r>
        <w:t xml:space="preserve">Fit: N = 17 R2 = 0.779 R2_adj = 0.7054 F = 67.3255 F_p = 4.064e-08</w:t>
      </w:r>
    </w:p>
    <w:p>
      <w:pPr>
        <w:pStyle w:val="CaptionedFigure"/>
      </w:pPr>
      <w:r>
        <w:drawing>
          <wp:inline>
            <wp:extent cx="5669280" cy="3657600"/>
            <wp:effectExtent b="0" l="0" r="0" t="0"/>
            <wp:docPr descr="Figure 1. Development cost growth versus schedule slip across seventeen NASA and JPL-class flight programs. Each point is one program; the upward association motivates the regression." title="" id="85" name="Picture"/>
            <a:graphic>
              <a:graphicData uri="http://schemas.openxmlformats.org/drawingml/2006/picture">
                <pic:pic>
                  <pic:nvPicPr>
                    <pic:cNvPr descr="D:\Claude_Code\brain\collegium\candidates\dissertations\JPL_MGMT_SMA_TECH_01\research_papers\p2\paper_fig1.png" id="86" name="Picture"/>
                    <pic:cNvPicPr>
                      <a:picLocks noChangeArrowheads="1" noChangeAspect="1"/>
                    </pic:cNvPicPr>
                  </pic:nvPicPr>
                  <pic:blipFill>
                    <a:blip r:embed="rId8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Development cost growth versus schedule slip across seventeen NASA and JPL-class flight programs. Each point is one program; the upward association motivates the regression.</w:t>
      </w:r>
    </w:p>
    <w:bookmarkEnd w:id="87"/>
    <w:bookmarkStart w:id="91"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8"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ln_base_cost</w:t>
            </w:r>
          </w:p>
        </w:tc>
        <w:tc>
          <w:tcPr>
            <w:tcW w:w="0" w:type="auto"/>
          </w:tcPr>
          <w:p>
            <w:pPr>
              <w:spacing w:line="240" w:lineRule="auto" w:before="0" w:after="0"/>
              <w:pStyle w:val="Compact"/>
            </w:pPr>
            <w:r>
              <w:rPr>
                <w:sz w:val="20"/>
                <w:szCs w:val="20"/>
              </w:rPr>
              <w:t xml:space="preserve">base_cost_musd</w:t>
            </w:r>
          </w:p>
        </w:tc>
        <w:tc>
          <w:tcPr>
            <w:tcW w:w="0" w:type="auto"/>
          </w:tcPr>
          <w:p>
            <w:pPr>
              <w:spacing w:line="240" w:lineRule="auto" w:before="0" w:after="0"/>
              <w:pStyle w:val="Compact"/>
            </w:pPr>
            <w:r>
              <w:rPr>
                <w:sz w:val="20"/>
                <w:szCs w:val="20"/>
              </w:rPr>
              <w:t xml:space="preserve">final_cost_musd</w:t>
            </w:r>
          </w:p>
        </w:tc>
        <w:tc>
          <w:tcPr>
            <w:tcW w:w="0" w:type="auto"/>
          </w:tcPr>
          <w:p>
            <w:pPr>
              <w:spacing w:line="240" w:lineRule="auto" w:before="0" w:after="0"/>
              <w:pStyle w:val="Compact"/>
            </w:pPr>
            <w:r>
              <w:rPr>
                <w:sz w:val="20"/>
                <w:szCs w:val="20"/>
              </w:rPr>
              <w:t xml:space="preserve">sched_delay_mo</w:t>
            </w:r>
          </w:p>
        </w:tc>
        <w:tc>
          <w:tcPr>
            <w:tcW w:w="0" w:type="auto"/>
          </w:tcPr>
          <w:p>
            <w:pPr>
              <w:spacing w:line="240" w:lineRule="auto" w:before="0" w:after="0"/>
              <w:pStyle w:val="Compact"/>
            </w:pPr>
            <w:r>
              <w:rPr>
                <w:sz w:val="20"/>
                <w:szCs w:val="20"/>
              </w:rPr>
              <w:t xml:space="preserve">ln_mass_kg</w:t>
            </w:r>
          </w:p>
        </w:tc>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instr_count</w:t>
            </w:r>
          </w:p>
        </w:tc>
        <w:tc>
          <w:tcPr>
            <w:tcW w:w="0" w:type="auto"/>
          </w:tcPr>
          <w:p>
            <w:pPr>
              <w:spacing w:line="240" w:lineRule="auto" w:before="0" w:after="0"/>
              <w:pStyle w:val="Compact"/>
            </w:pPr>
            <w:r>
              <w:rPr>
                <w:sz w:val="20"/>
                <w:szCs w:val="20"/>
              </w:rPr>
              <w:t xml:space="preserve">first_of_kind</w:t>
            </w:r>
          </w:p>
        </w:tc>
        <w:tc>
          <w:tcPr>
            <w:tcW w:w="0" w:type="auto"/>
          </w:tcPr>
          <w:p>
            <w:pPr>
              <w:spacing w:line="240" w:lineRule="auto" w:before="0" w:after="0"/>
              <w:pStyle w:val="Compact"/>
            </w:pPr>
            <w:r>
              <w:rPr>
                <w:sz w:val="20"/>
                <w:szCs w:val="20"/>
              </w:rPr>
              <w:t xml:space="preserve">mission_class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7.391</w:t>
            </w:r>
          </w:p>
        </w:tc>
        <w:tc>
          <w:tcPr>
            <w:tcW w:w="0" w:type="auto"/>
          </w:tcPr>
          <w:p>
            <w:pPr>
              <w:spacing w:line="240" w:lineRule="auto" w:before="0" w:after="0"/>
              <w:pStyle w:val="Compact"/>
            </w:pPr>
            <w:r>
              <w:rPr>
                <w:sz w:val="20"/>
                <w:szCs w:val="20"/>
              </w:rPr>
              <w:t xml:space="preserve">1622</w:t>
            </w:r>
          </w:p>
        </w:tc>
        <w:tc>
          <w:tcPr>
            <w:tcW w:w="0" w:type="auto"/>
          </w:tcPr>
          <w:p>
            <w:pPr>
              <w:spacing w:line="240" w:lineRule="auto" w:before="0" w:after="0"/>
              <w:pStyle w:val="Compact"/>
            </w:pPr>
            <w:r>
              <w:rPr>
                <w:sz w:val="20"/>
                <w:szCs w:val="20"/>
              </w:rPr>
              <w:t xml:space="preserve">2530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7.951</w:t>
            </w:r>
          </w:p>
        </w:tc>
        <w:tc>
          <w:tcPr>
            <w:tcW w:w="0" w:type="auto"/>
          </w:tcPr>
          <w:p>
            <w:pPr>
              <w:spacing w:line="240" w:lineRule="auto" w:before="0" w:after="0"/>
              <w:pStyle w:val="Compact"/>
            </w:pPr>
            <w:r>
              <w:rPr>
                <w:sz w:val="20"/>
                <w:szCs w:val="20"/>
              </w:rPr>
              <w:t xml:space="preserve">2839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Dreier C., The Cost of MSL Curiosity, The Planetary Society, 2014: ~56% cost growth and 2-yr (24 mo) slip to a $2.53B total (baseline ~$1.62B implied) (planetary.org/space-policy/cost-of-msl-curiosity)</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8.517</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9700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6.703</w:t>
            </w:r>
          </w:p>
        </w:tc>
        <w:tc>
          <w:tcPr>
            <w:tcW w:w="0" w:type="auto"/>
          </w:tcPr>
          <w:p>
            <w:pPr>
              <w:spacing w:line="240" w:lineRule="auto" w:before="0" w:after="0"/>
              <w:pStyle w:val="Compact"/>
            </w:pPr>
            <w:r>
              <w:rPr>
                <w:sz w:val="20"/>
                <w:szCs w:val="20"/>
              </w:rPr>
              <w:t xml:space="preserve">815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GAO JWST reporting and GAO-18-273: 95% growth from ~$5.0B (2009 baseline) to ~$9.7B and a ~7-yr (84 mo) launch slip (gao.gov/products/gao-18-273)</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6.791</w:t>
            </w:r>
          </w:p>
        </w:tc>
        <w:tc>
          <w:tcPr>
            <w:tcW w:w="0" w:type="auto"/>
          </w:tcPr>
          <w:p>
            <w:pPr>
              <w:spacing w:line="240" w:lineRule="auto" w:before="0" w:after="0"/>
              <w:pStyle w:val="Compact"/>
            </w:pPr>
            <w:r>
              <w:rPr>
                <w:sz w:val="20"/>
                <w:szCs w:val="20"/>
              </w:rPr>
              <w:t xml:space="preserve">890</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7.866</w:t>
            </w:r>
          </w:p>
        </w:tc>
        <w:tc>
          <w:tcPr>
            <w:tcW w:w="0" w:type="auto"/>
          </w:tcPr>
          <w:p>
            <w:pPr>
              <w:spacing w:line="240" w:lineRule="auto" w:before="0" w:after="0"/>
              <w:pStyle w:val="Compact"/>
            </w:pPr>
            <w:r>
              <w:rPr>
                <w:sz w:val="20"/>
                <w:szCs w:val="20"/>
              </w:rPr>
              <w:t xml:space="preserve">2608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competed</w:t>
            </w:r>
          </w:p>
        </w:tc>
        <w:tc>
          <w:tcPr>
            <w:tcW w:w="0" w:type="auto"/>
          </w:tcPr>
          <w:p>
            <w:pPr>
              <w:spacing w:line="240" w:lineRule="auto" w:before="0" w:after="0"/>
              <w:pStyle w:val="Compact"/>
            </w:pPr>
            <w:r>
              <w:rPr>
                <w:sz w:val="20"/>
                <w:szCs w:val="20"/>
              </w:rPr>
              <w:t xml:space="preserve">NASA Psyche lifecycle ~$985M and The Planetary Society Psyche cost page ($960.6M); 1-yr (16 mo) launch slip to 2023 (planetary.org/space-policy/psyche-cost)</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6.515</w:t>
            </w:r>
          </w:p>
        </w:tc>
        <w:tc>
          <w:tcPr>
            <w:tcW w:w="0" w:type="auto"/>
          </w:tcPr>
          <w:p>
            <w:pPr>
              <w:spacing w:line="240" w:lineRule="auto" w:before="0" w:after="0"/>
              <w:pStyle w:val="Compact"/>
            </w:pPr>
            <w:r>
              <w:rPr>
                <w:sz w:val="20"/>
                <w:szCs w:val="20"/>
              </w:rPr>
              <w:t xml:space="preserve">675</w:t>
            </w:r>
          </w:p>
        </w:tc>
        <w:tc>
          <w:tcPr>
            <w:tcW w:w="0" w:type="auto"/>
          </w:tcPr>
          <w:p>
            <w:pPr>
              <w:spacing w:line="240" w:lineRule="auto" w:before="0" w:after="0"/>
              <w:pStyle w:val="Compact"/>
            </w:pPr>
            <w:r>
              <w:rPr>
                <w:sz w:val="20"/>
                <w:szCs w:val="20"/>
              </w:rPr>
              <w:t xml:space="preserve">830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6.082</w:t>
            </w:r>
          </w:p>
        </w:tc>
        <w:tc>
          <w:tcPr>
            <w:tcW w:w="0" w:type="auto"/>
          </w:tcPr>
          <w:p>
            <w:pPr>
              <w:spacing w:line="240" w:lineRule="auto" w:before="0" w:after="0"/>
              <w:pStyle w:val="Compact"/>
            </w:pPr>
            <w:r>
              <w:rPr>
                <w:sz w:val="20"/>
                <w:szCs w:val="20"/>
              </w:rPr>
              <w:t xml:space="preserve">438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competed</w:t>
            </w:r>
          </w:p>
        </w:tc>
        <w:tc>
          <w:tcPr>
            <w:tcW w:w="0" w:type="auto"/>
          </w:tcPr>
          <w:p>
            <w:pPr>
              <w:spacing w:line="240" w:lineRule="auto" w:before="0" w:after="0"/>
              <w:pStyle w:val="Compact"/>
            </w:pPr>
            <w:r>
              <w:rPr>
                <w:sz w:val="20"/>
                <w:szCs w:val="20"/>
              </w:rPr>
              <w:t xml:space="preserve">Foust J., InSight delay adds $150 million, SpaceNews, 2016: $675M baseline to ~$830M and 2-yr (24 mo) slip 2016-&gt;2018 (spacenews.com/insight-delay-adds-150-million-to-missions-cost)</w:t>
            </w:r>
          </w:p>
        </w:tc>
      </w:tr>
      <w:tr>
        <w:tc>
          <w:tcPr>
            <w:tcW w:w="0" w:type="auto"/>
          </w:tcPr>
          <w:p>
            <w:pPr>
              <w:spacing w:line="240" w:lineRule="auto" w:before="0" w:after="0"/>
              <w:pStyle w:val="Compact"/>
            </w:pPr>
            <w:r>
              <w:rPr>
                <w:sz w:val="20"/>
                <w:szCs w:val="20"/>
              </w:rPr>
              <w:t xml:space="preserve">SLS Block 1</w:t>
            </w:r>
          </w:p>
        </w:tc>
        <w:tc>
          <w:tcPr>
            <w:tcW w:w="0" w:type="auto"/>
          </w:tcPr>
          <w:p>
            <w:pPr>
              <w:spacing w:line="240" w:lineRule="auto" w:before="0" w:after="0"/>
              <w:pStyle w:val="Compact"/>
            </w:pPr>
            <w:r>
              <w:rPr>
                <w:sz w:val="20"/>
                <w:szCs w:val="20"/>
              </w:rPr>
              <w:t xml:space="preserve">10.3</w:t>
            </w:r>
          </w:p>
        </w:tc>
        <w:tc>
          <w:tcPr>
            <w:tcW w:w="0" w:type="auto"/>
          </w:tcPr>
          <w:p>
            <w:pPr>
              <w:spacing w:line="240" w:lineRule="auto" w:before="0" w:after="0"/>
              <w:pStyle w:val="Compact"/>
            </w:pPr>
            <w:r>
              <w:rPr>
                <w:sz w:val="20"/>
                <w:szCs w:val="20"/>
              </w:rPr>
              <w:t xml:space="preserve">9.18</w:t>
            </w:r>
          </w:p>
        </w:tc>
        <w:tc>
          <w:tcPr>
            <w:tcW w:w="0" w:type="auto"/>
          </w:tcPr>
          <w:p>
            <w:pPr>
              <w:spacing w:line="240" w:lineRule="auto" w:before="0" w:after="0"/>
              <w:pStyle w:val="Compact"/>
            </w:pPr>
            <w:r>
              <w:rPr>
                <w:sz w:val="20"/>
                <w:szCs w:val="20"/>
              </w:rPr>
              <w:t xml:space="preserve">9700</w:t>
            </w:r>
          </w:p>
        </w:tc>
        <w:tc>
          <w:tcPr>
            <w:tcW w:w="0" w:type="auto"/>
          </w:tcPr>
          <w:p>
            <w:pPr>
              <w:spacing w:line="240" w:lineRule="auto" w:before="0" w:after="0"/>
              <w:pStyle w:val="Compact"/>
            </w:pPr>
            <w:r>
              <w:rPr>
                <w:sz w:val="20"/>
                <w:szCs w:val="20"/>
              </w:rPr>
              <w:t xml:space="preserve">10700</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GAO SLS reporting via SpaceNews: +10% from the 2014 baseline to $10.7B and +19 mo to June 2020; launch vehicle mass coded 0 (spacenews.com/jwst-and-sls-drive-up-cost-and-schedule-growth-on-nasa-programs)</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7.696</w:t>
            </w:r>
          </w:p>
        </w:tc>
        <w:tc>
          <w:tcPr>
            <w:tcW w:w="0" w:type="auto"/>
          </w:tcPr>
          <w:p>
            <w:pPr>
              <w:spacing w:line="240" w:lineRule="auto" w:before="0" w:after="0"/>
              <w:pStyle w:val="Compact"/>
            </w:pPr>
            <w:r>
              <w:rPr>
                <w:sz w:val="20"/>
                <w:szCs w:val="20"/>
              </w:rPr>
              <w:t xml:space="preserve">2200</w:t>
            </w:r>
          </w:p>
        </w:tc>
        <w:tc>
          <w:tcPr>
            <w:tcW w:w="0" w:type="auto"/>
          </w:tcPr>
          <w:p>
            <w:pPr>
              <w:spacing w:line="240" w:lineRule="auto" w:before="0" w:after="0"/>
              <w:pStyle w:val="Compact"/>
            </w:pPr>
            <w:r>
              <w:rPr>
                <w:sz w:val="20"/>
                <w:szCs w:val="20"/>
              </w:rPr>
              <w:t xml:space="preserve">2530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7.951</w:t>
            </w:r>
          </w:p>
        </w:tc>
        <w:tc>
          <w:tcPr>
            <w:tcW w:w="0" w:type="auto"/>
          </w:tcPr>
          <w:p>
            <w:pPr>
              <w:spacing w:line="240" w:lineRule="auto" w:before="0" w:after="0"/>
              <w:pStyle w:val="Compact"/>
            </w:pPr>
            <w:r>
              <w:rPr>
                <w:sz w:val="20"/>
                <w:szCs w:val="20"/>
              </w:rPr>
              <w:t xml:space="preserve">2839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Clery D., Cost of Mars 2020 may rise up to 15%, Science (AAAS), 2017: development ~$2.2B, ~15% growth, MSL design reuse, on-time 2020 launch (science.org/content/article/cost-mars-2020-mission-may-rise-15)</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17.6</w:t>
            </w:r>
          </w:p>
        </w:tc>
        <w:tc>
          <w:tcPr>
            <w:tcW w:w="0" w:type="auto"/>
          </w:tcPr>
          <w:p>
            <w:pPr>
              <w:spacing w:line="240" w:lineRule="auto" w:before="0" w:after="0"/>
              <w:pStyle w:val="Compact"/>
            </w:pPr>
            <w:r>
              <w:rPr>
                <w:sz w:val="20"/>
                <w:szCs w:val="20"/>
              </w:rPr>
              <w:t xml:space="preserve">8.355</w:t>
            </w:r>
          </w:p>
        </w:tc>
        <w:tc>
          <w:tcPr>
            <w:tcW w:w="0" w:type="auto"/>
          </w:tcPr>
          <w:p>
            <w:pPr>
              <w:spacing w:line="240" w:lineRule="auto" w:before="0" w:after="0"/>
              <w:pStyle w:val="Compact"/>
            </w:pPr>
            <w:r>
              <w:rPr>
                <w:sz w:val="20"/>
                <w:szCs w:val="20"/>
              </w:rPr>
              <w:t xml:space="preserve">4250</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8.517</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Smith M., NASA reveals Europa Clipper cost growth, SpacePolicyOnline, 2024: $4.25B to $5.0B (~17.6%) (spacepolicyonline.com/news/nasa-reveals-europa-clipper-cost-growth-mars-sample-return-replan)</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6.697</w:t>
            </w:r>
          </w:p>
        </w:tc>
        <w:tc>
          <w:tcPr>
            <w:tcW w:w="0" w:type="auto"/>
          </w:tcPr>
          <w:p>
            <w:pPr>
              <w:spacing w:line="240" w:lineRule="auto" w:before="0" w:after="0"/>
              <w:pStyle w:val="Compact"/>
            </w:pPr>
            <w:r>
              <w:rPr>
                <w:sz w:val="20"/>
                <w:szCs w:val="20"/>
              </w:rPr>
              <w:t xml:space="preserve">810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7.712</w:t>
            </w:r>
          </w:p>
        </w:tc>
        <w:tc>
          <w:tcPr>
            <w:tcW w:w="0" w:type="auto"/>
          </w:tcPr>
          <w:p>
            <w:pPr>
              <w:spacing w:line="240" w:lineRule="auto" w:before="0" w:after="0"/>
              <w:pStyle w:val="Compact"/>
            </w:pPr>
            <w:r>
              <w:rPr>
                <w:sz w:val="20"/>
                <w:szCs w:val="20"/>
              </w:rPr>
              <w:t xml:space="preserve">2235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competed</w:t>
            </w:r>
          </w:p>
        </w:tc>
        <w:tc>
          <w:tcPr>
            <w:tcW w:w="0" w:type="auto"/>
          </w:tcPr>
          <w:p>
            <w:pPr>
              <w:spacing w:line="240" w:lineRule="auto" w:before="0" w:after="0"/>
              <w:pStyle w:val="Compact"/>
            </w:pPr>
            <w:r>
              <w:rPr>
                <w:sz w:val="20"/>
                <w:szCs w:val="20"/>
              </w:rPr>
              <w:t xml:space="preserve">Dreier C., Cost of OSIRIS-REx, The Planetary Society (spacecraft development $558.5M, mission $1.16B); near-baseline, on-schedule 2016 launch [illustrative growth est.] (planetary.org/space-policy/cost-of-osiris-rex)</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6.207</w:t>
            </w:r>
          </w:p>
        </w:tc>
        <w:tc>
          <w:tcPr>
            <w:tcW w:w="0" w:type="auto"/>
          </w:tcPr>
          <w:p>
            <w:pPr>
              <w:spacing w:line="240" w:lineRule="auto" w:before="0" w:after="0"/>
              <w:pStyle w:val="Compact"/>
            </w:pPr>
            <w:r>
              <w:rPr>
                <w:sz w:val="20"/>
                <w:szCs w:val="20"/>
              </w:rPr>
              <w:t xml:space="preserve">496</w:t>
            </w:r>
          </w:p>
        </w:tc>
        <w:tc>
          <w:tcPr>
            <w:tcW w:w="0" w:type="auto"/>
          </w:tcPr>
          <w:p>
            <w:pPr>
              <w:spacing w:line="240" w:lineRule="auto" w:before="0" w:after="0"/>
              <w:pStyle w:val="Compact"/>
            </w:pPr>
            <w:r>
              <w:rPr>
                <w:sz w:val="20"/>
                <w:szCs w:val="20"/>
              </w:rPr>
              <w:t xml:space="preserve">496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5.273</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competed</w:t>
            </w:r>
          </w:p>
        </w:tc>
        <w:tc>
          <w:tcPr>
            <w:tcW w:w="0" w:type="auto"/>
          </w:tcPr>
          <w:p>
            <w:pPr>
              <w:spacing w:line="240" w:lineRule="auto" w:before="0" w:after="0"/>
              <w:pStyle w:val="Compact"/>
            </w:pPr>
            <w:r>
              <w:rPr>
                <w:sz w:val="20"/>
                <w:szCs w:val="20"/>
              </w:rPr>
              <w:t xml:space="preserve">Dreier C., Implementing Missions Within Budget, The Planetary Society, 2013: GRAIL completed on schedule and under budget; baseline ~$496M (planetary.org/articles/20130529-implementing-missions-within-budget-good-news)</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5.635</w:t>
            </w:r>
          </w:p>
        </w:tc>
        <w:tc>
          <w:tcPr>
            <w:tcW w:w="0" w:type="auto"/>
          </w:tcPr>
          <w:p>
            <w:pPr>
              <w:spacing w:line="240" w:lineRule="auto" w:before="0" w:after="0"/>
              <w:pStyle w:val="Compact"/>
            </w:pPr>
            <w:r>
              <w:rPr>
                <w:sz w:val="20"/>
                <w:szCs w:val="20"/>
              </w:rPr>
              <w:t xml:space="preserve">280</w:t>
            </w:r>
          </w:p>
        </w:tc>
        <w:tc>
          <w:tcPr>
            <w:tcW w:w="0" w:type="auto"/>
          </w:tcPr>
          <w:p>
            <w:pPr>
              <w:spacing w:line="240" w:lineRule="auto" w:before="0" w:after="0"/>
              <w:pStyle w:val="Compact"/>
            </w:pPr>
            <w:r>
              <w:rPr>
                <w:sz w:val="20"/>
                <w:szCs w:val="20"/>
              </w:rPr>
              <w:t xml:space="preserve">280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5.799</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competed</w:t>
            </w:r>
          </w:p>
        </w:tc>
        <w:tc>
          <w:tcPr>
            <w:tcW w:w="0" w:type="auto"/>
          </w:tcPr>
          <w:p>
            <w:pPr>
              <w:spacing w:line="240" w:lineRule="auto" w:before="0" w:after="0"/>
              <w:pStyle w:val="Compact"/>
            </w:pPr>
            <w:r>
              <w:rPr>
                <w:sz w:val="20"/>
                <w:szCs w:val="20"/>
              </w:rPr>
              <w:t xml:space="preserve">NASA Science LADEE page (~$280M lifecycle); on schedule and under budget per The Planetary Society 2013 within-budget review (science.nasa.gov/mission/ladee)</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9.21</w:t>
            </w:r>
          </w:p>
        </w:tc>
        <w:tc>
          <w:tcPr>
            <w:tcW w:w="0" w:type="auto"/>
          </w:tcPr>
          <w:p>
            <w:pPr>
              <w:spacing w:line="240" w:lineRule="auto" w:before="0" w:after="0"/>
              <w:pStyle w:val="Compact"/>
            </w:pPr>
            <w:r>
              <w:rPr>
                <w:sz w:val="20"/>
                <w:szCs w:val="20"/>
              </w:rPr>
              <w:t xml:space="preserve">10000</w:t>
            </w:r>
          </w:p>
        </w:tc>
        <w:tc>
          <w:tcPr>
            <w:tcW w:w="0" w:type="auto"/>
          </w:tcPr>
          <w:p>
            <w:pPr>
              <w:spacing w:line="240" w:lineRule="auto" w:before="0" w:after="0"/>
              <w:pStyle w:val="Compact"/>
            </w:pPr>
            <w:r>
              <w:rPr>
                <w:sz w:val="20"/>
                <w:szCs w:val="20"/>
              </w:rPr>
              <w:t xml:space="preserve">12900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9.17</w:t>
            </w:r>
          </w:p>
        </w:tc>
        <w:tc>
          <w:tcPr>
            <w:tcW w:w="0" w:type="auto"/>
          </w:tcPr>
          <w:p>
            <w:pPr>
              <w:spacing w:line="240" w:lineRule="auto" w:before="0" w:after="0"/>
              <w:pStyle w:val="Compact"/>
            </w:pPr>
            <w:r>
              <w:rPr>
                <w:sz w:val="20"/>
                <w:szCs w:val="20"/>
              </w:rPr>
              <w:t xml:space="preserve">9600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GAO-24-106767: Orion accounts for $2.9B (65%) of the portfolio’s development overrun; crewed-vehicle first of class with multi-year slip (gao.gov/products/gao-24-106767)</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18.1</w:t>
            </w:r>
          </w:p>
        </w:tc>
        <w:tc>
          <w:tcPr>
            <w:tcW w:w="0" w:type="auto"/>
          </w:tcPr>
          <w:p>
            <w:pPr>
              <w:spacing w:line="240" w:lineRule="auto" w:before="0" w:after="0"/>
              <w:pStyle w:val="Compact"/>
            </w:pPr>
            <w:r>
              <w:rPr>
                <w:sz w:val="20"/>
                <w:szCs w:val="20"/>
              </w:rPr>
              <w:t xml:space="preserve">7.147</w:t>
            </w:r>
          </w:p>
        </w:tc>
        <w:tc>
          <w:tcPr>
            <w:tcW w:w="0" w:type="auto"/>
          </w:tcPr>
          <w:p>
            <w:pPr>
              <w:spacing w:line="240" w:lineRule="auto" w:before="0" w:after="0"/>
              <w:pStyle w:val="Compact"/>
            </w:pPr>
            <w:r>
              <w:rPr>
                <w:sz w:val="20"/>
                <w:szCs w:val="20"/>
              </w:rPr>
              <w:t xml:space="preserve">1270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7.937</w:t>
            </w:r>
          </w:p>
        </w:tc>
        <w:tc>
          <w:tcPr>
            <w:tcW w:w="0" w:type="auto"/>
          </w:tcPr>
          <w:p>
            <w:pPr>
              <w:spacing w:line="240" w:lineRule="auto" w:before="0" w:after="0"/>
              <w:pStyle w:val="Compact"/>
            </w:pPr>
            <w:r>
              <w:rPr>
                <w:sz w:val="20"/>
                <w:szCs w:val="20"/>
              </w:rPr>
              <w:t xml:space="preserve">2800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competed</w:t>
            </w:r>
          </w:p>
        </w:tc>
        <w:tc>
          <w:tcPr>
            <w:tcW w:w="0" w:type="auto"/>
          </w:tcPr>
          <w:p>
            <w:pPr>
              <w:spacing w:line="240" w:lineRule="auto" w:before="0" w:after="0"/>
              <w:pStyle w:val="Compact"/>
            </w:pPr>
            <w:r>
              <w:rPr>
                <w:sz w:val="20"/>
                <w:szCs w:val="20"/>
              </w:rPr>
              <w:t xml:space="preserve">NISAR (satellite), Wikipedia and Foust J., NISAR planned to launch March 2025 after antenna repairs, SpaceNews: ~$1.5B total, &gt;1-yr (18 mo) slip, dual-band SAR first of class (en.wikipedia.org/wiki/NISAR_(satellite))</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6.856</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989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7.378</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competed</w:t>
            </w:r>
          </w:p>
        </w:tc>
        <w:tc>
          <w:tcPr>
            <w:tcW w:w="0" w:type="auto"/>
          </w:tcPr>
          <w:p>
            <w:pPr>
              <w:spacing w:line="240" w:lineRule="auto" w:before="0" w:after="0"/>
              <w:pStyle w:val="Compact"/>
            </w:pPr>
            <w:r>
              <w:rPr>
                <w:sz w:val="20"/>
                <w:szCs w:val="20"/>
              </w:rPr>
              <w:t xml:space="preserve">NASA Lucy ~$989M lifecycle (Newsweek; The Planetary Society Lucy cost page); development contained, on-time 2021 launch (planetary.org/space-policy/lucy-cost)</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6.685</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7.824</w:t>
            </w:r>
          </w:p>
        </w:tc>
        <w:tc>
          <w:tcPr>
            <w:tcW w:w="0" w:type="auto"/>
          </w:tcPr>
          <w:p>
            <w:pPr>
              <w:spacing w:line="240" w:lineRule="auto" w:before="0" w:after="0"/>
              <w:pStyle w:val="Compact"/>
            </w:pPr>
            <w:r>
              <w:rPr>
                <w:sz w:val="20"/>
                <w:szCs w:val="20"/>
              </w:rPr>
              <w:t xml:space="preserve">2500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operational</w:t>
            </w:r>
          </w:p>
        </w:tc>
        <w:tc>
          <w:tcPr>
            <w:tcW w:w="0" w:type="auto"/>
          </w:tcPr>
          <w:p>
            <w:pPr>
              <w:spacing w:line="240" w:lineRule="auto" w:before="0" w:after="0"/>
              <w:pStyle w:val="Compact"/>
            </w:pPr>
            <w:r>
              <w:rPr>
                <w:sz w:val="20"/>
                <w:szCs w:val="20"/>
              </w:rPr>
              <w:t xml:space="preserve">Foust J., Paying for ICESat-2 overruns, SpaceNews and Spaceflight Now: ICESat-2 ~$200M+ over budget (~25%) with 2+ yr (27 mo) ATLAS-laser slip; ~$1.1B total (spacenews.com/41729paying-for-icesat-2-overruns-delays-international-earth-science-launches)</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7.424</w:t>
            </w:r>
          </w:p>
        </w:tc>
        <w:tc>
          <w:tcPr>
            <w:tcW w:w="0" w:type="auto"/>
          </w:tcPr>
          <w:p>
            <w:pPr>
              <w:spacing w:line="240" w:lineRule="auto" w:before="0" w:after="0"/>
              <w:pStyle w:val="Compact"/>
            </w:pPr>
            <w:r>
              <w:rPr>
                <w:sz w:val="20"/>
                <w:szCs w:val="20"/>
              </w:rPr>
              <w:t xml:space="preserve">1675</w:t>
            </w:r>
          </w:p>
        </w:tc>
        <w:tc>
          <w:tcPr>
            <w:tcW w:w="0" w:type="auto"/>
          </w:tcPr>
          <w:p>
            <w:pPr>
              <w:spacing w:line="240" w:lineRule="auto" w:before="0" w:after="0"/>
              <w:pStyle w:val="Compact"/>
            </w:pPr>
            <w:r>
              <w:rPr>
                <w:sz w:val="20"/>
                <w:szCs w:val="20"/>
              </w:rPr>
              <w:t xml:space="preserve">3350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7.003</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NASA OIG IG-25-011 and Foust J., NASA confirms Dragonfly despite doubled costs, SpaceNews: ~2x cost growth to $3.35B lifecycle and &gt;2-yr (28 mo) slip to 2028 (oig.nasa.gov/wp-content/uploads/2025/09/final-report-ig-25-011-nasas-managment-of-the-dragonfly-project.pdf)</w:t>
            </w:r>
          </w:p>
        </w:tc>
      </w:tr>
      <w:tr>
        <w:tc>
          <w:tcPr>
            <w:tcW w:w="0" w:type="auto"/>
          </w:tcPr>
          <w:p>
            <w:pPr>
              <w:spacing w:line="240" w:lineRule="auto" w:before="0" w:after="0"/>
              <w:pStyle w:val="Compact"/>
            </w:pPr>
            <w:r>
              <w:rPr>
                <w:sz w:val="20"/>
                <w:szCs w:val="20"/>
              </w:rPr>
              <w:t xml:space="preserve">Roman Space Telescope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8.366</w:t>
            </w:r>
          </w:p>
        </w:tc>
        <w:tc>
          <w:tcPr>
            <w:tcW w:w="0" w:type="auto"/>
          </w:tcPr>
          <w:p>
            <w:pPr>
              <w:spacing w:line="240" w:lineRule="auto" w:before="0" w:after="0"/>
              <w:pStyle w:val="Compact"/>
            </w:pPr>
            <w:r>
              <w:rPr>
                <w:sz w:val="20"/>
                <w:szCs w:val="20"/>
              </w:rPr>
              <w:t xml:space="preserve">4300</w:t>
            </w:r>
          </w:p>
        </w:tc>
        <w:tc>
          <w:tcPr>
            <w:tcW w:w="0" w:type="auto"/>
          </w:tcPr>
          <w:p>
            <w:pPr>
              <w:spacing w:line="240" w:lineRule="auto" w:before="0" w:after="0"/>
              <w:pStyle w:val="Compact"/>
            </w:pPr>
            <w:r>
              <w:rPr>
                <w:sz w:val="20"/>
                <w:szCs w:val="20"/>
              </w:rPr>
              <w:t xml:space="preserve">4300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8.517</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Roman Space Telescope reporting (Scientific American; SpaceNews): mission held within its $4.3B lifecycle and ahead of its formal launch readiness date (en.wikipedia.org/wiki/Nancy_Grace_Roman_Space_Telescope)</w:t>
            </w:r>
          </w:p>
        </w:tc>
      </w:tr>
      <w:tr>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6.215</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6.215</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competed</w:t>
            </w:r>
          </w:p>
        </w:tc>
        <w:tc>
          <w:tcPr>
            <w:tcW w:w="0" w:type="auto"/>
          </w:tcPr>
          <w:p>
            <w:pPr>
              <w:spacing w:line="240" w:lineRule="auto" w:before="0" w:after="0"/>
              <w:pStyle w:val="Compact"/>
            </w:pPr>
            <w:r>
              <w:rPr>
                <w:sz w:val="20"/>
                <w:szCs w:val="20"/>
              </w:rPr>
              <w:t xml:space="preserve">GAO-24-106767 VIPER: documented cost growth and schedule slip prior to the 2024 cancellation; lunar rover first of class [illustrative pct from GAO trend] (gao.gov/products/gao-24-106767)</w:t>
            </w:r>
          </w:p>
        </w:tc>
      </w:tr>
    </w:tbl>
    <w:bookmarkEnd w:id="88"/>
    <w:bookmarkStart w:id="89"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Percent growth of development cost from the confirmation (KDP-C) baseline to the current or final development cost estimate</w:t>
            </w:r>
          </w:p>
        </w:tc>
        <w:tc>
          <w:tcPr>
            <w:tcW w:w="0" w:type="auto"/>
          </w:tcPr>
          <w:p>
            <w:pPr>
              <w:spacing w:line="240" w:lineRule="auto" w:before="0" w:after="0"/>
              <w:pStyle w:val="Compact"/>
            </w:pPr>
            <w:r>
              <w:rPr>
                <w:sz w:val="20"/>
                <w:szCs w:val="20"/>
              </w:rPr>
              <w:t xml:space="preserve">GAO NASA Assessments of Major Projects (gao-24-106767, gao-23-106021, gao-18-273, gao-08-18); NASA OIG IG-25-011; The Planetary Society mission cost analyses</w:t>
            </w:r>
          </w:p>
        </w:tc>
      </w:tr>
      <w:tr>
        <w:tc>
          <w:tcPr>
            <w:tcW w:w="0" w:type="auto"/>
          </w:tcPr>
          <w:p>
            <w:pPr>
              <w:spacing w:line="240" w:lineRule="auto" w:before="0" w:after="0"/>
              <w:pStyle w:val="Compact"/>
            </w:pPr>
            <w:r>
              <w:rPr>
                <w:sz w:val="20"/>
                <w:szCs w:val="20"/>
              </w:rPr>
              <w:t xml:space="preserve">ln_base_cost</w:t>
            </w:r>
          </w:p>
        </w:tc>
        <w:tc>
          <w:tcPr>
            <w:tcW w:w="0" w:type="auto"/>
          </w:tcPr>
          <w:p>
            <w:pPr>
              <w:spacing w:line="240" w:lineRule="auto" w:before="0" w:after="0"/>
              <w:pStyle w:val="Compact"/>
            </w:pPr>
            <w:r>
              <w:rPr>
                <w:sz w:val="20"/>
                <w:szCs w:val="20"/>
              </w:rPr>
              <w:t xml:space="preserve">Natural log of the confirmation-baseline development cost in millions of US dollars (program scale proxy)</w:t>
            </w:r>
          </w:p>
        </w:tc>
        <w:tc>
          <w:tcPr>
            <w:tcW w:w="0" w:type="auto"/>
          </w:tcPr>
          <w:p>
            <w:pPr>
              <w:spacing w:line="240" w:lineRule="auto" w:before="0" w:after="0"/>
              <w:pStyle w:val="Compact"/>
            </w:pPr>
            <w:r>
              <w:rPr>
                <w:sz w:val="20"/>
                <w:szCs w:val="20"/>
              </w:rPr>
              <w:t xml:space="preserve">Mission confirmation baselines from GAO assessments, NASA OIG, The Planetary Society, and Science (AAAS)</w:t>
            </w:r>
          </w:p>
        </w:tc>
      </w:tr>
      <w:tr>
        <w:tc>
          <w:tcPr>
            <w:tcW w:w="0" w:type="auto"/>
          </w:tcPr>
          <w:p>
            <w:pPr>
              <w:spacing w:line="240" w:lineRule="auto" w:before="0" w:after="0"/>
              <w:pStyle w:val="Compact"/>
            </w:pPr>
            <w:r>
              <w:rPr>
                <w:sz w:val="20"/>
                <w:szCs w:val="20"/>
              </w:rPr>
              <w:t xml:space="preserve">sched_delay_mo</w:t>
            </w:r>
          </w:p>
        </w:tc>
        <w:tc>
          <w:tcPr>
            <w:tcW w:w="0" w:type="auto"/>
          </w:tcPr>
          <w:p>
            <w:pPr>
              <w:spacing w:line="240" w:lineRule="auto" w:before="0" w:after="0"/>
              <w:pStyle w:val="Compact"/>
            </w:pPr>
            <w:r>
              <w:rPr>
                <w:sz w:val="20"/>
                <w:szCs w:val="20"/>
              </w:rPr>
              <w:t xml:space="preserve">Total launch-readiness-date slip in months from the baseline plan</w:t>
            </w:r>
          </w:p>
        </w:tc>
        <w:tc>
          <w:tcPr>
            <w:tcW w:w="0" w:type="auto"/>
          </w:tcPr>
          <w:p>
            <w:pPr>
              <w:spacing w:line="240" w:lineRule="auto" w:before="0" w:after="0"/>
              <w:pStyle w:val="Compact"/>
            </w:pPr>
            <w:r>
              <w:rPr>
                <w:sz w:val="20"/>
                <w:szCs w:val="20"/>
              </w:rPr>
              <w:t xml:space="preserve">GAO assessments; SpaceNews; The Planetary Society; mission press records</w:t>
            </w:r>
          </w:p>
        </w:tc>
      </w:tr>
      <w:tr>
        <w:tc>
          <w:tcPr>
            <w:tcW w:w="0" w:type="auto"/>
          </w:tcPr>
          <w:p>
            <w:pPr>
              <w:spacing w:line="240" w:lineRule="auto" w:before="0" w:after="0"/>
              <w:pStyle w:val="Compact"/>
            </w:pPr>
            <w:r>
              <w:rPr>
                <w:sz w:val="20"/>
                <w:szCs w:val="20"/>
              </w:rPr>
              <w:t xml:space="preserve">first_of_kind</w:t>
            </w:r>
          </w:p>
        </w:tc>
        <w:tc>
          <w:tcPr>
            <w:tcW w:w="0" w:type="auto"/>
          </w:tcPr>
          <w:p>
            <w:pPr>
              <w:spacing w:line="240" w:lineRule="auto" w:before="0" w:after="0"/>
              <w:pStyle w:val="Compact"/>
            </w:pPr>
            <w:r>
              <w:rPr>
                <w:sz w:val="20"/>
                <w:szCs w:val="20"/>
              </w:rPr>
              <w:t xml:space="preserve">Indicator equal to 1 when the program fields a first-of-its-class capability (new vehicle, instrument, or operating regime), else 0</w:t>
            </w:r>
          </w:p>
        </w:tc>
        <w:tc>
          <w:tcPr>
            <w:tcW w:w="0" w:type="auto"/>
          </w:tcPr>
          <w:p>
            <w:pPr>
              <w:spacing w:line="240" w:lineRule="auto" w:before="0" w:after="0"/>
              <w:pStyle w:val="Compact"/>
            </w:pPr>
            <w:r>
              <w:rPr>
                <w:sz w:val="20"/>
                <w:szCs w:val="20"/>
              </w:rPr>
              <w:t xml:space="preserve">Mission technical descriptions; NASA OIG; GAO assessments</w:t>
            </w:r>
          </w:p>
        </w:tc>
      </w:tr>
      <w:tr>
        <w:tc>
          <w:tcPr>
            <w:tcW w:w="0" w:type="auto"/>
          </w:tcPr>
          <w:p>
            <w:pPr>
              <w:spacing w:line="240" w:lineRule="auto" w:before="0" w:after="0"/>
              <w:pStyle w:val="Compact"/>
            </w:pPr>
            <w:r>
              <w:rPr>
                <w:sz w:val="20"/>
                <w:szCs w:val="20"/>
              </w:rPr>
              <w:t xml:space="preserve">instr_count</w:t>
            </w:r>
          </w:p>
        </w:tc>
        <w:tc>
          <w:tcPr>
            <w:tcW w:w="0" w:type="auto"/>
          </w:tcPr>
          <w:p>
            <w:pPr>
              <w:spacing w:line="240" w:lineRule="auto" w:before="0" w:after="0"/>
              <w:pStyle w:val="Compact"/>
            </w:pPr>
            <w:r>
              <w:rPr>
                <w:sz w:val="20"/>
                <w:szCs w:val="20"/>
              </w:rPr>
              <w:t xml:space="preserve">Number of distinct science instruments or major payload elements carried</w:t>
            </w:r>
          </w:p>
        </w:tc>
        <w:tc>
          <w:tcPr>
            <w:tcW w:w="0" w:type="auto"/>
          </w:tcPr>
          <w:p>
            <w:pPr>
              <w:spacing w:line="240" w:lineRule="auto" w:before="0" w:after="0"/>
              <w:pStyle w:val="Compact"/>
            </w:pPr>
            <w:r>
              <w:rPr>
                <w:sz w:val="20"/>
                <w:szCs w:val="20"/>
              </w:rPr>
              <w:t xml:space="preserve">Mission payload manifests and NASA Science mission pages</w:t>
            </w:r>
          </w:p>
        </w:tc>
      </w:tr>
    </w:tbl>
    <w:bookmarkEnd w:id="89"/>
    <w:bookmarkStart w:id="90"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14.0609</w:t>
            </w:r>
          </w:p>
        </w:tc>
        <w:tc>
          <w:tcPr>
            <w:tcW w:w="0" w:type="auto"/>
          </w:tcPr>
          <w:p>
            <w:pPr>
              <w:spacing w:line="240" w:lineRule="auto" w:before="0" w:after="0"/>
              <w:pStyle w:val="Compact"/>
            </w:pPr>
            <w:r>
              <w:rPr>
                <w:sz w:val="20"/>
                <w:szCs w:val="20"/>
              </w:rPr>
              <w:t xml:space="preserve">16.2752</w:t>
            </w:r>
          </w:p>
        </w:tc>
        <w:tc>
          <w:tcPr>
            <w:tcW w:w="0" w:type="auto"/>
          </w:tcPr>
          <w:p>
            <w:pPr>
              <w:spacing w:line="240" w:lineRule="auto" w:before="0" w:after="0"/>
              <w:pStyle w:val="Compact"/>
            </w:pPr>
            <w:r>
              <w:rPr>
                <w:sz w:val="20"/>
                <w:szCs w:val="20"/>
              </w:rPr>
              <w:t xml:space="preserve">0.8639</w:t>
            </w:r>
          </w:p>
        </w:tc>
        <w:tc>
          <w:tcPr>
            <w:tcW w:w="0" w:type="auto"/>
          </w:tcPr>
          <w:p>
            <w:pPr>
              <w:spacing w:line="240" w:lineRule="auto" w:before="0" w:after="0"/>
              <w:pStyle w:val="Compact"/>
            </w:pPr>
            <w:r>
              <w:rPr>
                <w:sz w:val="20"/>
                <w:szCs w:val="20"/>
              </w:rPr>
              <w:t xml:space="preserve">0.3876</w:t>
            </w:r>
          </w:p>
        </w:tc>
        <w:tc>
          <w:tcPr>
            <w:tcW w:w="0" w:type="auto"/>
          </w:tcPr>
          <w:p>
            <w:pPr>
              <w:spacing w:line="240" w:lineRule="auto" w:before="0" w:after="0"/>
              <w:pStyle w:val="Compact"/>
            </w:pPr>
            <w:r>
              <w:rPr>
                <w:sz w:val="20"/>
                <w:szCs w:val="20"/>
              </w:rPr>
              <w:t xml:space="preserve">[-17.8379, 45.9596]</w:t>
            </w:r>
          </w:p>
        </w:tc>
      </w:tr>
      <w:tr>
        <w:tc>
          <w:tcPr>
            <w:tcW w:w="0" w:type="auto"/>
          </w:tcPr>
          <w:p>
            <w:pPr>
              <w:spacing w:line="240" w:lineRule="auto" w:before="0" w:after="0"/>
              <w:pStyle w:val="Compact"/>
            </w:pPr>
            <w:r>
              <w:rPr>
                <w:sz w:val="20"/>
                <w:szCs w:val="20"/>
              </w:rPr>
              <w:t xml:space="preserve">ln_base_cost</w:t>
            </w:r>
          </w:p>
        </w:tc>
        <w:tc>
          <w:tcPr>
            <w:tcW w:w="0" w:type="auto"/>
          </w:tcPr>
          <w:p>
            <w:pPr>
              <w:spacing w:line="240" w:lineRule="auto" w:before="0" w:after="0"/>
              <w:pStyle w:val="Compact"/>
            </w:pPr>
            <w:r>
              <w:rPr>
                <w:sz w:val="20"/>
                <w:szCs w:val="20"/>
              </w:rPr>
              <w:t xml:space="preserve">-3.9387</w:t>
            </w:r>
          </w:p>
        </w:tc>
        <w:tc>
          <w:tcPr>
            <w:tcW w:w="0" w:type="auto"/>
          </w:tcPr>
          <w:p>
            <w:pPr>
              <w:spacing w:line="240" w:lineRule="auto" w:before="0" w:after="0"/>
              <w:pStyle w:val="Compact"/>
            </w:pPr>
            <w:r>
              <w:rPr>
                <w:sz w:val="20"/>
                <w:szCs w:val="20"/>
              </w:rPr>
              <w:t xml:space="preserve">2.4384</w:t>
            </w:r>
          </w:p>
        </w:tc>
        <w:tc>
          <w:tcPr>
            <w:tcW w:w="0" w:type="auto"/>
          </w:tcPr>
          <w:p>
            <w:pPr>
              <w:spacing w:line="240" w:lineRule="auto" w:before="0" w:after="0"/>
              <w:pStyle w:val="Compact"/>
            </w:pPr>
            <w:r>
              <w:rPr>
                <w:sz w:val="20"/>
                <w:szCs w:val="20"/>
              </w:rPr>
              <w:t xml:space="preserve">-1.6153</w:t>
            </w:r>
          </w:p>
        </w:tc>
        <w:tc>
          <w:tcPr>
            <w:tcW w:w="0" w:type="auto"/>
          </w:tcPr>
          <w:p>
            <w:pPr>
              <w:spacing w:line="240" w:lineRule="auto" w:before="0" w:after="0"/>
              <w:pStyle w:val="Compact"/>
            </w:pPr>
            <w:r>
              <w:rPr>
                <w:sz w:val="20"/>
                <w:szCs w:val="20"/>
              </w:rPr>
              <w:t xml:space="preserve">0.1063</w:t>
            </w:r>
          </w:p>
        </w:tc>
        <w:tc>
          <w:tcPr>
            <w:tcW w:w="0" w:type="auto"/>
          </w:tcPr>
          <w:p>
            <w:pPr>
              <w:spacing w:line="240" w:lineRule="auto" w:before="0" w:after="0"/>
              <w:pStyle w:val="Compact"/>
            </w:pPr>
            <w:r>
              <w:rPr>
                <w:sz w:val="20"/>
                <w:szCs w:val="20"/>
              </w:rPr>
              <w:t xml:space="preserve">[-8.718, 0.8405]</w:t>
            </w:r>
          </w:p>
        </w:tc>
      </w:tr>
      <w:tr>
        <w:tc>
          <w:tcPr>
            <w:tcW w:w="0" w:type="auto"/>
          </w:tcPr>
          <w:p>
            <w:pPr>
              <w:spacing w:line="240" w:lineRule="auto" w:before="0" w:after="0"/>
              <w:pStyle w:val="Compact"/>
            </w:pPr>
            <w:r>
              <w:rPr>
                <w:sz w:val="20"/>
                <w:szCs w:val="20"/>
              </w:rPr>
              <w:t xml:space="preserve">sched_delay_mo</w:t>
            </w:r>
          </w:p>
        </w:tc>
        <w:tc>
          <w:tcPr>
            <w:tcW w:w="0" w:type="auto"/>
          </w:tcPr>
          <w:p>
            <w:pPr>
              <w:spacing w:line="240" w:lineRule="auto" w:before="0" w:after="0"/>
              <w:pStyle w:val="Compact"/>
            </w:pPr>
            <w:r>
              <w:rPr>
                <w:sz w:val="20"/>
                <w:szCs w:val="20"/>
              </w:rPr>
              <w:t xml:space="preserve">0.9079</w:t>
            </w:r>
          </w:p>
        </w:tc>
        <w:tc>
          <w:tcPr>
            <w:tcW w:w="0" w:type="auto"/>
          </w:tcPr>
          <w:p>
            <w:pPr>
              <w:spacing w:line="240" w:lineRule="auto" w:before="0" w:after="0"/>
              <w:pStyle w:val="Compact"/>
            </w:pPr>
            <w:r>
              <w:rPr>
                <w:sz w:val="20"/>
                <w:szCs w:val="20"/>
              </w:rPr>
              <w:t xml:space="preserve">0.0757</w:t>
            </w:r>
          </w:p>
        </w:tc>
        <w:tc>
          <w:tcPr>
            <w:tcW w:w="0" w:type="auto"/>
          </w:tcPr>
          <w:p>
            <w:pPr>
              <w:spacing w:line="240" w:lineRule="auto" w:before="0" w:after="0"/>
              <w:pStyle w:val="Compact"/>
            </w:pPr>
            <w:r>
              <w:rPr>
                <w:sz w:val="20"/>
                <w:szCs w:val="20"/>
              </w:rPr>
              <w:t xml:space="preserve">11.9955</w:t>
            </w:r>
          </w:p>
        </w:tc>
        <w:tc>
          <w:tcPr>
            <w:tcW w:w="0" w:type="auto"/>
          </w:tcPr>
          <w:p>
            <w:pPr>
              <w:spacing w:line="240" w:lineRule="auto" w:before="0" w:after="0"/>
              <w:pStyle w:val="Compact"/>
            </w:pPr>
            <w:r>
              <w:rPr>
                <w:sz w:val="20"/>
                <w:szCs w:val="20"/>
              </w:rPr>
              <w:t xml:space="preserve">3.753e-33</w:t>
            </w:r>
          </w:p>
        </w:tc>
        <w:tc>
          <w:tcPr>
            <w:tcW w:w="0" w:type="auto"/>
          </w:tcPr>
          <w:p>
            <w:pPr>
              <w:spacing w:line="240" w:lineRule="auto" w:before="0" w:after="0"/>
              <w:pStyle w:val="Compact"/>
            </w:pPr>
            <w:r>
              <w:rPr>
                <w:sz w:val="20"/>
                <w:szCs w:val="20"/>
              </w:rPr>
              <w:t xml:space="preserve">[0.7595, 1.0562]</w:t>
            </w:r>
          </w:p>
        </w:tc>
      </w:tr>
      <w:tr>
        <w:tc>
          <w:tcPr>
            <w:tcW w:w="0" w:type="auto"/>
          </w:tcPr>
          <w:p>
            <w:pPr>
              <w:spacing w:line="240" w:lineRule="auto" w:before="0" w:after="0"/>
              <w:pStyle w:val="Compact"/>
            </w:pPr>
            <w:r>
              <w:rPr>
                <w:sz w:val="20"/>
                <w:szCs w:val="20"/>
              </w:rPr>
              <w:t xml:space="preserve">first_of_kind</w:t>
            </w:r>
          </w:p>
        </w:tc>
        <w:tc>
          <w:tcPr>
            <w:tcW w:w="0" w:type="auto"/>
          </w:tcPr>
          <w:p>
            <w:pPr>
              <w:spacing w:line="240" w:lineRule="auto" w:before="0" w:after="0"/>
              <w:pStyle w:val="Compact"/>
            </w:pPr>
            <w:r>
              <w:rPr>
                <w:sz w:val="20"/>
                <w:szCs w:val="20"/>
              </w:rPr>
              <w:t xml:space="preserve">18.6076</w:t>
            </w:r>
          </w:p>
        </w:tc>
        <w:tc>
          <w:tcPr>
            <w:tcW w:w="0" w:type="auto"/>
          </w:tcPr>
          <w:p>
            <w:pPr>
              <w:spacing w:line="240" w:lineRule="auto" w:before="0" w:after="0"/>
              <w:pStyle w:val="Compact"/>
            </w:pPr>
            <w:r>
              <w:rPr>
                <w:sz w:val="20"/>
                <w:szCs w:val="20"/>
              </w:rPr>
              <w:t xml:space="preserve">10.9293</w:t>
            </w:r>
          </w:p>
        </w:tc>
        <w:tc>
          <w:tcPr>
            <w:tcW w:w="0" w:type="auto"/>
          </w:tcPr>
          <w:p>
            <w:pPr>
              <w:spacing w:line="240" w:lineRule="auto" w:before="0" w:after="0"/>
              <w:pStyle w:val="Compact"/>
            </w:pPr>
            <w:r>
              <w:rPr>
                <w:sz w:val="20"/>
                <w:szCs w:val="20"/>
              </w:rPr>
              <w:t xml:space="preserve">1.7025</w:t>
            </w:r>
          </w:p>
        </w:tc>
        <w:tc>
          <w:tcPr>
            <w:tcW w:w="0" w:type="auto"/>
          </w:tcPr>
          <w:p>
            <w:pPr>
              <w:spacing w:line="240" w:lineRule="auto" w:before="0" w:after="0"/>
              <w:pStyle w:val="Compact"/>
            </w:pPr>
            <w:r>
              <w:rPr>
                <w:sz w:val="20"/>
                <w:szCs w:val="20"/>
              </w:rPr>
              <w:t xml:space="preserve">0.0887</w:t>
            </w:r>
          </w:p>
        </w:tc>
        <w:tc>
          <w:tcPr>
            <w:tcW w:w="0" w:type="auto"/>
          </w:tcPr>
          <w:p>
            <w:pPr>
              <w:spacing w:line="240" w:lineRule="auto" w:before="0" w:after="0"/>
              <w:pStyle w:val="Compact"/>
            </w:pPr>
            <w:r>
              <w:rPr>
                <w:sz w:val="20"/>
                <w:szCs w:val="20"/>
              </w:rPr>
              <w:t xml:space="preserve">[-2.8135, 40.0286]</w:t>
            </w:r>
          </w:p>
        </w:tc>
      </w:tr>
      <w:tr>
        <w:tc>
          <w:tcPr>
            <w:tcW w:w="0" w:type="auto"/>
          </w:tcPr>
          <w:p>
            <w:pPr>
              <w:spacing w:line="240" w:lineRule="auto" w:before="0" w:after="0"/>
              <w:pStyle w:val="Compact"/>
            </w:pPr>
            <w:r>
              <w:rPr>
                <w:sz w:val="20"/>
                <w:szCs w:val="20"/>
              </w:rPr>
              <w:t xml:space="preserve">instr_count</w:t>
            </w:r>
          </w:p>
        </w:tc>
        <w:tc>
          <w:tcPr>
            <w:tcW w:w="0" w:type="auto"/>
          </w:tcPr>
          <w:p>
            <w:pPr>
              <w:spacing w:line="240" w:lineRule="auto" w:before="0" w:after="0"/>
              <w:pStyle w:val="Compact"/>
            </w:pPr>
            <w:r>
              <w:rPr>
                <w:sz w:val="20"/>
                <w:szCs w:val="20"/>
              </w:rPr>
              <w:t xml:space="preserve">4.5498</w:t>
            </w:r>
          </w:p>
        </w:tc>
        <w:tc>
          <w:tcPr>
            <w:tcW w:w="0" w:type="auto"/>
          </w:tcPr>
          <w:p>
            <w:pPr>
              <w:spacing w:line="240" w:lineRule="auto" w:before="0" w:after="0"/>
              <w:pStyle w:val="Compact"/>
            </w:pPr>
            <w:r>
              <w:rPr>
                <w:sz w:val="20"/>
                <w:szCs w:val="20"/>
              </w:rPr>
              <w:t xml:space="preserve">1.3158</w:t>
            </w:r>
          </w:p>
        </w:tc>
        <w:tc>
          <w:tcPr>
            <w:tcW w:w="0" w:type="auto"/>
          </w:tcPr>
          <w:p>
            <w:pPr>
              <w:spacing w:line="240" w:lineRule="auto" w:before="0" w:after="0"/>
              <w:pStyle w:val="Compact"/>
            </w:pPr>
            <w:r>
              <w:rPr>
                <w:sz w:val="20"/>
                <w:szCs w:val="20"/>
              </w:rPr>
              <w:t xml:space="preserve">3.4579</w:t>
            </w:r>
          </w:p>
        </w:tc>
        <w:tc>
          <w:tcPr>
            <w:tcW w:w="0" w:type="auto"/>
          </w:tcPr>
          <w:p>
            <w:pPr>
              <w:spacing w:line="240" w:lineRule="auto" w:before="0" w:after="0"/>
              <w:pStyle w:val="Compact"/>
            </w:pPr>
            <w:r>
              <w:rPr>
                <w:sz w:val="20"/>
                <w:szCs w:val="20"/>
              </w:rPr>
              <w:t xml:space="preserve">0.0005445</w:t>
            </w:r>
          </w:p>
        </w:tc>
        <w:tc>
          <w:tcPr>
            <w:tcW w:w="0" w:type="auto"/>
          </w:tcPr>
          <w:p>
            <w:pPr>
              <w:spacing w:line="240" w:lineRule="auto" w:before="0" w:after="0"/>
              <w:pStyle w:val="Compact"/>
            </w:pPr>
            <w:r>
              <w:rPr>
                <w:sz w:val="20"/>
                <w:szCs w:val="20"/>
              </w:rPr>
              <w:t xml:space="preserve">[1.9709, 7.1287]</w:t>
            </w:r>
          </w:p>
        </w:tc>
      </w:tr>
    </w:tbl>
    <w:p>
      <w:pPr>
        <w:pStyle w:val="BodyText"/>
      </w:pPr>
      <w:r>
        <w:t xml:space="preserve">Fit: N = 17 R2 = 0.779 R2_adj = 0.7054 F = 67.3255 F_p = 4.064e-08</w:t>
      </w:r>
    </w:p>
    <w:bookmarkEnd w:id="90"/>
    <w:bookmarkEnd w:id="91"/>
    <w:bookmarkEnd w:id="9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4" Target="media/rId84.png" /><Relationship Type="http://schemas.openxmlformats.org/officeDocument/2006/relationships/hyperlink" Id="rId68" Target="https://doi.org/10.1016/j.actaastro.2018.07.004" TargetMode="External" /><Relationship Type="http://schemas.openxmlformats.org/officeDocument/2006/relationships/hyperlink" Id="rId70" Target="https://doi.org/10.1016/j.actaastro.2019.09.030" TargetMode="External" /><Relationship Type="http://schemas.openxmlformats.org/officeDocument/2006/relationships/hyperlink" Id="rId72" Target="https://doi.org/10.1016/j.actaastro.2022.12.036" TargetMode="External" /><Relationship Type="http://schemas.openxmlformats.org/officeDocument/2006/relationships/hyperlink" Id="rId79" Target="https://doi.org/10.1016/j.actaastro.2025.11.006" TargetMode="External" /><Relationship Type="http://schemas.openxmlformats.org/officeDocument/2006/relationships/hyperlink" Id="rId81" Target="https://doi.org/10.1086/730695"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1016/j.actaastro.2018.07.004" TargetMode="External" /><Relationship Type="http://schemas.openxmlformats.org/officeDocument/2006/relationships/hyperlink" Id="rId70" Target="https://doi.org/10.1016/j.actaastro.2019.09.030" TargetMode="External" /><Relationship Type="http://schemas.openxmlformats.org/officeDocument/2006/relationships/hyperlink" Id="rId72" Target="https://doi.org/10.1016/j.actaastro.2022.12.036" TargetMode="External" /><Relationship Type="http://schemas.openxmlformats.org/officeDocument/2006/relationships/hyperlink" Id="rId79" Target="https://doi.org/10.1016/j.actaastro.2025.11.006" TargetMode="External" /><Relationship Type="http://schemas.openxmlformats.org/officeDocument/2006/relationships/hyperlink" Id="rId81" Target="https://doi.org/10.1086/73069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2026-06-25T14:26:29Z</dcterms:created>
  <dcterms:modified xsi:type="dcterms:W3CDTF">2026-06-25T14:26:29Z</dcterms:modified>
</cp:coreProperties>
</file>

<file path=docProps/custom.xml><?xml version="1.0" encoding="utf-8"?>
<Properties xmlns="http://schemas.openxmlformats.org/officeDocument/2006/custom-properties" xmlns:vt="http://schemas.openxmlformats.org/officeDocument/2006/docPropsVTypes"/>
</file>