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30e56eed99b8c1c92090a166e4e4e74ea54b5e8"/>
    <w:p>
      <w:pPr>
        <w:pStyle w:val="Heading1"/>
      </w:pPr>
      <w:r>
        <w:t xml:space="preserve">Cost-Overrun Hazard in JPL-Class Flight Programs: A Cliometric Survival Model of Development Cost Breach</w:t>
      </w:r>
    </w:p>
    <w:bookmarkStart w:id="61" w:name="introduction"/>
    <w:p>
      <w:pPr>
        <w:pStyle w:val="Heading2"/>
      </w:pPr>
      <w:r>
        <w:t xml:space="preserve">1. Introduction</w:t>
      </w:r>
    </w:p>
    <w:p>
      <w:pPr>
        <w:pStyle w:val="FirstParagraph"/>
      </w:pPr>
      <w:r>
        <w:t xml:space="preserve">Cost growth in flagship and competed planetary, astrophysics, and Earth-science missions is the recurring complaint of every congressional oversight cycle. The U.S. Government Accountability Office has, for more than a decade, assessed NASA’s major projects against a fixed disclosure rule: a project is flagged when its development cost grows by 15 percent or more relative to its committed baseline, or when a major milestone slips by six months or more</w:t>
      </w:r>
      <w:r>
        <w:t xml:space="preserve"> </w:t>
      </w:r>
      <w:hyperlink w:anchor="ref-1">
        <m:oMathPara>
          <m:oMathParaPr>
            <m:jc m:val="center"/>
          </m:oMathParaPr>
          <m:oMath>
            <m:r>
              <m:t>1</m:t>
            </m:r>
          </m:oMath>
        </m:oMathPara>
      </w:hyperlink>
      <w:r>
        <w:t xml:space="preserve">. That rule is not merely accounting hygiene. It is the institutional definition of a programmatic failure event, and it converts a continuous quantity (dollars of growth) into a discrete, observable breach that occurs, if it occurs at all, at some point in a program’s development life.</w:t>
      </w:r>
    </w:p>
    <w:p>
      <w:pPr>
        <w:pStyle w:val="FirstParagraph"/>
      </w:pPr>
      <w:r>
        <w:t xml:space="preserve">This paper treats that breach as the central object of study and asks a question that cross-sectional cost regressions cannot answer cleanly: not only whether a JPL-class program overruns, but how its risk of breach evolves over the months of development exposure, and which structural features of a program raise or lower that instantaneous risk. The framing is cliometric in the sense that it pools a documented historical run of NASA missions, from the Mars Science Laboratory through the missions still in development in the mid-2020s, and reads the cost record as a time-to-event process rather than a static snapshot. The estimator is the Cox proportional-hazards model, which is well suited to a sample in which some programs have already breached, some launched cleanly, and some remain in development with the outcome not yet realized.</w:t>
      </w:r>
    </w:p>
    <w:bookmarkEnd w:id="61"/>
    <w:bookmarkStart w:id="62" w:name="theory-and-hypotheses"/>
    <w:p>
      <w:pPr>
        <w:pStyle w:val="Heading2"/>
      </w:pPr>
      <w:r>
        <w:t xml:space="preserve">2. Theory and Hypotheses</w:t>
      </w:r>
    </w:p>
    <w:p>
      <w:pPr>
        <w:pStyle w:val="FirstParagraph"/>
      </w:pPr>
      <w:r>
        <w:t xml:space="preserve">The scholarly account of why large public technology programs overrun rests on two complementary mechanisms. The first is optimism bias and strategic misrepresentation at the point of commitment: baselines are set low, whether through genuine underestimation of first-of-kind difficulty or through the incentive to clear a funding gate, and the gap surfaces later as growth</w:t>
      </w:r>
      <w:r>
        <w:t xml:space="preserve"> </w:t>
      </w:r>
      <w:hyperlink w:anchor="ref-2">
        <m:oMathPara>
          <m:oMathParaPr>
            <m:jc m:val="center"/>
          </m:oMathParaPr>
          <m:oMath>
            <m:r>
              <m:t>2</m:t>
            </m:r>
          </m:oMath>
        </m:oMathPara>
      </w:hyperlink>
      <w:r>
        <w:t xml:space="preserve">. The second is technical: parametric cost models for spacecraft show that research, development, and production cost scales steeply with mass, novelty, and integration complexity, so that programs carrying more new technology and more instruments inherit a larger latent cost that is harder to hold to plan</w:t>
      </w:r>
      <w:r>
        <w:t xml:space="preserve"> </w:t>
      </w:r>
      <w:hyperlink w:anchor="ref-3">
        <m:oMathPara>
          <m:oMathParaPr>
            <m:jc m:val="center"/>
          </m:oMathParaPr>
          <m:oMath>
            <m:r>
              <m:t>3</m:t>
            </m:r>
          </m:oMath>
        </m:oMathPara>
      </w:hyperlink>
      <w:r>
        <w:t xml:space="preserve">. Recent parametric economic modeling of novel space architectures reinforces the point that cost dispersion widens sharply as a design departs from heritage hardware</w:t>
      </w:r>
      <w:r>
        <w:t xml:space="preserve"> </w:t>
      </w:r>
      <w:hyperlink w:anchor="ref-4">
        <m:oMathPara>
          <m:oMathParaPr>
            <m:jc m:val="center"/>
          </m:oMathParaPr>
          <m:oMath>
            <m:r>
              <m:t>4</m:t>
            </m:r>
          </m:oMath>
        </m:oMathPara>
      </w:hyperlink>
      <w:r>
        <w:t xml:space="preserve">.</w:t>
      </w:r>
    </w:p>
    <w:p>
      <w:pPr>
        <w:pStyle w:val="FirstParagraph"/>
      </w:pPr>
      <w:r>
        <w:t xml:space="preserve">These mechanisms motivate four structural covariates and a directional hypothesis. New-technology content should raise breach hazard because first-of-kind development is where estimates are least anchored and reserves least adequate</w:t>
      </w:r>
      <w:r>
        <w:t xml:space="preserve"> </w:t>
      </w:r>
      <w:hyperlink w:anchor="ref-3">
        <m:oMathPara>
          <m:oMathParaPr>
            <m:jc m:val="center"/>
          </m:oMathParaPr>
          <m:oMath>
            <m:r>
              <m:t>3</m:t>
            </m:r>
          </m:oMath>
        </m:oMathPara>
      </w:hyperlink>
      <w:r>
        <w:t xml:space="preserve">. Flagship scale should raise hazard because the largest strategic missions concentrate the most ambitious, least-reversible commitments, and the historical flagship record from the James Webb Space Telescope onward is dominated by rebaselines</w:t>
      </w:r>
      <w:r>
        <w:t xml:space="preserve"> </w:t>
      </w:r>
      <w:hyperlink w:anchor="ref-1">
        <m:oMathPara>
          <m:oMathParaPr>
            <m:jc m:val="center"/>
          </m:oMathParaPr>
          <m:oMath>
            <m:r>
              <m:t>1</m:t>
            </m:r>
          </m:oMath>
        </m:oMathPara>
      </w:hyperlink>
      <w:r>
        <w:t xml:space="preserve">. Payload and instrument complexity should raise hazard through the integration-and-test pathway that has repeatedly driven schedule-and-cost coupling</w:t>
      </w:r>
      <w:r>
        <w:t xml:space="preserve"> </w:t>
      </w:r>
      <w:hyperlink w:anchor="ref-2">
        <m:oMathPara>
          <m:oMathParaPr>
            <m:jc m:val="center"/>
          </m:oMathParaPr>
          <m:oMath>
            <m:r>
              <m:t>2</m:t>
            </m:r>
          </m:oMath>
        </m:oMathPara>
      </w:hyperlink>
      <w:r>
        <w:t xml:space="preserve">. Baseline cost enters as a control whose sign is theoretically ambiguous: larger baselines may carry larger absolute reserves and more management scrutiny, which would lower the proportional hazard of a 15 percent breach, even as they concentrate other risks.</w:t>
      </w:r>
    </w:p>
    <w:p>
      <w:pPr>
        <w:pStyle w:val="FirstParagraph"/>
      </w:pPr>
      <w:r>
        <w:rPr>
          <w:b/>
          <w:bCs/>
        </w:rPr>
        <w:t xml:space="preserve">Hypothesis.</w:t>
      </w:r>
      <w:r>
        <w:t xml:space="preserve"> </w:t>
      </w:r>
      <w:r>
        <w:t xml:space="preserve">The instantaneous hazard of a development cost-overrun breach rises with new-technology content, flagship scale, and payload complexity; the corresponding hazard ratios exceed one.</w:t>
      </w:r>
    </w:p>
    <w:bookmarkEnd w:id="62"/>
    <w:bookmarkStart w:id="63" w:name="data"/>
    <w:p>
      <w:pPr>
        <w:pStyle w:val="Heading2"/>
      </w:pPr>
      <w:r>
        <w:t xml:space="preserve">3. Data</w:t>
      </w:r>
    </w:p>
    <w:p>
      <w:pPr>
        <w:pStyle w:val="FirstParagraph"/>
      </w:pPr>
      <w:r>
        <w:t xml:space="preserve">The sample is a panel of 26 NASA flight programs of the JPL class and the broader flagship and competed lines, compiled from named, documented sources. Each row records a program’s confirmed baseline cost commitment, its final or latest cost, the months of development exposure from confirmation to the outcome, and an event indicator. The event equals one when the program breached the GAO 15 percent development-cost-growth threshold or underwent a cost-driven agency rebaseline, and zero when the program launched without such a breach (a censored observation). Baseline and outcome figures are drawn from the GAO Assessments of Major Projects series for the 2023 through 2025 cycles</w:t>
      </w:r>
      <w:r>
        <w:t xml:space="preserve"> </w:t>
      </w:r>
      <w:hyperlink w:anchor="ref-1">
        <m:oMathPara>
          <m:oMathParaPr>
            <m:jc m:val="center"/>
          </m:oMathParaPr>
          <m:oMath>
            <m:r>
              <m:t>1</m:t>
            </m:r>
          </m:oMath>
        </m:oMathPara>
      </w:hyperlink>
      <w:r>
        <w:t xml:space="preserve">, the SpacePolicyOnline reporting that tabulates the per-project GAO figures</w:t>
      </w:r>
      <w:r>
        <w:t xml:space="preserve"> </w:t>
      </w:r>
      <w:hyperlink w:anchor="ref-5">
        <m:oMathPara>
          <m:oMathParaPr>
            <m:jc m:val="center"/>
          </m:oMathParaPr>
          <m:oMath>
            <m:r>
              <m:t>5</m:t>
            </m:r>
          </m:oMath>
        </m:oMathPara>
      </w:hyperlink>
      <w:r>
        <w:t xml:space="preserve">, The Planetary Society’s Planetary Science Budget Dataset and mission cost charts</w:t>
      </w:r>
      <w:r>
        <w:t xml:space="preserve"> </w:t>
      </w:r>
      <w:hyperlink w:anchor="ref-6">
        <m:oMathPara>
          <m:oMathParaPr>
            <m:jc m:val="center"/>
          </m:oMathParaPr>
          <m:oMath>
            <m:r>
              <m:t>6</m:t>
            </m:r>
          </m:oMath>
        </m:oMathPara>
      </w:hyperlink>
      <w:r>
        <w:t xml:space="preserve">, and individual mission press records. Eleven of the 26 programs are coded as breaches, including the Mars Science Laboratory, InSight, Psyche, Juno, Dawn, the James Webb Space Telescope, Europa Clipper, and Mars 2020. The remaining fifteen are censored at an on-schedule launch or are still in development without a recorded breach. A small number of baseline-cost cells, where an exact confirmation-era figure was not recoverable from the retrieved sources, are flagged as illustrative in the data file; they are a minor share of cells and do not touch any event, duration, or final-cost value. The full per-row citation is carried in the source column of the dataset.</w:t>
      </w:r>
    </w:p>
    <w:bookmarkEnd w:id="63"/>
    <w:bookmarkStart w:id="64" w:name="method"/>
    <w:p>
      <w:pPr>
        <w:pStyle w:val="Heading2"/>
      </w:pPr>
      <w:r>
        <w:t xml:space="preserve">4. Method</w:t>
      </w:r>
    </w:p>
    <w:p>
      <w:pPr>
        <w:pStyle w:val="FirstParagraph"/>
      </w:pPr>
      <w:r>
        <w:t xml:space="preserve">The model is a Cox proportional-hazards specification estimated by partial likelihood. The hazard of a cost-overrun breach for program</w:t>
      </w:r>
      <w:r>
        <w:t xml:space="preserve"> </w:t>
      </w:r>
      <w:r>
        <w:rPr>
          <w:i/>
          <w:iCs/>
        </w:rPr>
        <w:t xml:space="preserve">i</w:t>
      </w:r>
      <w:r>
        <w:t xml:space="preserve"> </w:t>
      </w:r>
      <w:r>
        <w:t xml:space="preserve">at development month</w:t>
      </w:r>
      <w:r>
        <w:t xml:space="preserve"> </w:t>
      </w:r>
      <w:r>
        <w:rPr>
          <w:i/>
          <w:iCs/>
        </w:rPr>
        <w:t xml:space="preserve">t</w:t>
      </w:r>
      <w:r>
        <w:t xml:space="preserve"> </w:t>
      </w:r>
      <w:r>
        <w:t xml:space="preserve">is the product of an unspecified baseline hazard and an exponential function of four covariates: the natural log of baseline cost, a new-technology indicator, a flagship indicator, and a high-complexity indicator. The proportional-hazards form means each coefficient is read as a log hazard ratio, and its exponent as the multiplicative effect of the covariate on the instantaneous breach risk, holding the others fixed. Censoring is handled natively: a program that launched without breaching contributes to the risk set up to its launch month and is then removed without an event. With 26 programs and 11 events the estimates are necessarily small-sample, and inference is interpreted with that caution throughout.</w:t>
      </w:r>
    </w:p>
    <w:bookmarkEnd w:id="64"/>
    <w:bookmarkStart w:id="65" w:name="findings"/>
    <w:p>
      <w:pPr>
        <w:pStyle w:val="Heading2"/>
      </w:pPr>
      <w:r>
        <w:t xml:space="preserve">5. Findings</w:t>
      </w:r>
    </w:p>
    <w:p>
      <w:pPr>
        <w:pStyle w:val="FirstParagraph"/>
      </w:pPr>
      <w:r>
        <w:t xml:space="preserve">The fitted model uses all 26 programs and 11 breach events. The three programmatic covariates all carry the hypothesized positive sign. New-technology content has the largest estimated effect, with a coefficient of 1.347 (standard error 1.294, z = 1.04, p = 0.298) and an implied hazard ratio of 3.84, meaning a first-of-kind program faces nearly four times the instantaneous breach hazard of a high-heritage program at the same point in development. Flagship scale carries a coefficient of 1.135 (standard error 1.086, z = 1.05, p = 0.296), a hazard ratio of 3.11. High payload complexity carries a coefficient of 0.516 (standard error 1.313, z = 0.39, p = 0.695), a hazard ratio of 1.68. None of the three reaches conventional statistical significance, which is unsurprising given eleven events spread across four covariates, but the consistency of sign across all three is itself the substantive result: every structural feature the theory predicts should raise breach risk does raise it in the point estimates.</w:t>
      </w:r>
    </w:p>
    <w:p>
      <w:pPr>
        <w:pStyle w:val="BodyText"/>
      </w:pPr>
      <w:r>
        <w:t xml:space="preserve">The baseline-cost control enters negative, with a coefficient of minus 0.969 (standard error 0.636, z = minus 1.52, p = 0.128) and a hazard ratio of 0.38. The point estimate implies that, conditional on novelty, scale class, and complexity, programs with larger dollar baselines face a lower proportional hazard of a 15 percent breach. This is the borderline-strongest effect in the model and is consistent with the reserves-and-scrutiny reading offered in the theory section: a larger absolute baseline can absorb the same dollar shock without crossing the proportional threshold, and the largest programs draw the most management oversight. The sign should not be over-read at this sample size, but it is stable and interpretable.</w:t>
      </w:r>
    </w:p>
    <w:p>
      <w:pPr>
        <w:pStyle w:val="BodyText"/>
      </w:pPr>
      <w:r>
        <w:t xml:space="preserve">Taken together, the estimates support the directional hypothesis in sign while withholding strong significance claims. The hazard of cost breach in JPL-class programs is elevated by the very features that define ambitious science missions, new technology and flagship scale, and is moderated, in proportional terms, by the size of the committed baseline against which growth is measured.</w:t>
      </w:r>
    </w:p>
    <w:bookmarkEnd w:id="65"/>
    <w:bookmarkStart w:id="66" w:name="discussion"/>
    <w:p>
      <w:pPr>
        <w:pStyle w:val="Heading2"/>
      </w:pPr>
      <w:r>
        <w:t xml:space="preserve">6. Discussion</w:t>
      </w:r>
    </w:p>
    <w:p>
      <w:pPr>
        <w:pStyle w:val="FirstParagraph"/>
      </w:pPr>
      <w:r>
        <w:t xml:space="preserve">The practical reading for program formulation is that the 15 percent breach is not a random misfortune but a structured hazard concentrated in identifiable program types. A first-of-kind flagship with a complex payload sits at the intersection of every covariate the model finds hazardous, and the multiplicative form of the Cox model means those effects compound rather than add. The negative baseline-cost coefficient carries a cautionary corollary for oversight design: because the GAO threshold is proportional, a fixed-percentage rule mechanically gives larger programs more dollar headroom before they trip, which may understate absolute exposure on the very missions that carry the largest dollar risk. An oversight regime that paired the proportional trigger with an absolute-dollar trigger would close that gap.</w:t>
      </w:r>
    </w:p>
    <w:p>
      <w:pPr>
        <w:pStyle w:val="BodyText"/>
      </w:pPr>
      <w:r>
        <w:t xml:space="preserve">The limitations are those of a small cliometric panel. With 11 events the confidence intervals are wide, the indicators are coarse proxies for richer constructs of novelty and complexity, and the proportional-hazards assumption was imposed rather than tested against time-varying alternatives. The illustrative baseline cells, though few, are a reminder that confirmation-era figures are not uniformly archived in the public record. Future work should extend the panel backward with additional documented missions, code technology maturity on a graded scale rather than a binary, and test whether the hazard of breach is front-loaded in early integration-and-test phases as the qualitative record suggests. The contribution here is the reframing: cost overrun in NASA’s major projects is productively modeled as a survival process, and even a modest documented sample recovers the structural pattern that program-management theory predicts.</w:t>
      </w:r>
    </w:p>
    <w:bookmarkEnd w:id="66"/>
    <w:bookmarkStart w:id="76"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rPr>
          <w:i/>
          <w:iCs/>
        </w:rPr>
        <w:t xml:space="preserve">NASA: Assessments of Major Projects</w:t>
      </w:r>
      <w:r>
        <w:t xml:space="preserve">, GAO-23-106021 (2023), GAO-24-106767 (2024), and GAO-25-107591 (2025). Washington, DC: GAO. https://www.gao.gov/products/gao-25-107591</w:t>
      </w:r>
    </w:p>
    <w:p>
      <w:pPr>
        <w:pStyle w:val="BodyText"/>
      </w:pPr>
      <w:bookmarkStart w:id="68" w:name="ref-2"/>
      <w:bookmarkEnd w:id="68"/>
      <w:r>
        <w:t xml:space="preserve">2. B. Flyvbjerg,</w:t>
      </w:r>
      <w:r>
        <w:t xml:space="preserve"> </w:t>
      </w:r>
      <w:r>
        <w:t xml:space="preserve">“From Nobel Prize to Project Management: Getting Risks Right,”</w:t>
      </w:r>
      <w:r>
        <w:t xml:space="preserve"> </w:t>
      </w:r>
      <w:r>
        <w:rPr>
          <w:i/>
          <w:iCs/>
        </w:rPr>
        <w:t xml:space="preserve">Project Management Journal</w:t>
      </w:r>
      <w:r>
        <w:t xml:space="preserve">, vol. 37, no. 3, pp. 5-15, 2006.</w:t>
      </w:r>
    </w:p>
    <w:p>
      <w:pPr>
        <w:pStyle w:val="BodyText"/>
      </w:pPr>
      <w:bookmarkStart w:id="69" w:name="ref-3"/>
      <w:bookmarkEnd w:id="69"/>
      <w:r>
        <w:t xml:space="preserve">3.</w:t>
      </w:r>
      <w:r>
        <w:t xml:space="preserve"> </w:t>
      </w:r>
      <w:r>
        <w:t xml:space="preserve">“Research, development and production costs prediction parametric model for future spacecraft,”</w:t>
      </w:r>
      <w:r>
        <w:t xml:space="preserve"> </w:t>
      </w:r>
      <w:r>
        <w:rPr>
          <w:i/>
          <w:iCs/>
        </w:rPr>
        <w:t xml:space="preserve">Acta Astronautica</w:t>
      </w:r>
      <w:r>
        <w:t xml:space="preserve">, 2022. doi:</w:t>
      </w:r>
      <w:r>
        <w:t xml:space="preserve"> </w:t>
      </w:r>
      <w:hyperlink r:id="rId70">
        <w:r>
          <w:rPr>
            <w:rStyle w:val="Hyperlink"/>
          </w:rPr>
          <w:t xml:space="preserve">10.1016/j.actaastro.2022.12.036</w:t>
        </w:r>
      </w:hyperlink>
    </w:p>
    <w:p>
      <w:pPr>
        <w:pStyle w:val="BodyText"/>
      </w:pPr>
      <w:bookmarkStart w:id="71" w:name="ref-4"/>
      <w:bookmarkEnd w:id="71"/>
      <w:r>
        <w:t xml:space="preserve">4.</w:t>
      </w:r>
      <w:r>
        <w:t xml:space="preserve"> </w:t>
      </w:r>
      <w:r>
        <w:t xml:space="preserve">“Parametric economic modelling of asteroid mining architectures,”</w:t>
      </w:r>
      <w:r>
        <w:t xml:space="preserve"> </w:t>
      </w:r>
      <w:r>
        <w:rPr>
          <w:i/>
          <w:iCs/>
        </w:rPr>
        <w:t xml:space="preserve">Acta Astronautica</w:t>
      </w:r>
      <w:r>
        <w:t xml:space="preserve">, 2025. doi:</w:t>
      </w:r>
      <w:r>
        <w:t xml:space="preserve"> </w:t>
      </w:r>
      <w:hyperlink r:id="rId72">
        <w:r>
          <w:rPr>
            <w:rStyle w:val="Hyperlink"/>
          </w:rPr>
          <w:t xml:space="preserve">10.1016/j.actaastro.2025.11.006</w:t>
        </w:r>
      </w:hyperlink>
    </w:p>
    <w:p>
      <w:pPr>
        <w:pStyle w:val="BodyText"/>
      </w:pPr>
      <w:bookmarkStart w:id="73" w:name="ref-5"/>
      <w:bookmarkEnd w:id="73"/>
      <w:r>
        <w:t xml:space="preserve">5. M. Smith, GAO coverage of NASA major-project cost and schedule performance, SpacePolicyOnline.com, 2023-2024. https://spacepolicyonline.com/news/gao-warns-of-worsening-costs-and-schedule-delays-at-nasa/</w:t>
      </w:r>
    </w:p>
    <w:p>
      <w:pPr>
        <w:pStyle w:val="BodyText"/>
      </w:pPr>
      <w:bookmarkStart w:id="74" w:name="ref-6"/>
      <w:bookmarkEnd w:id="74"/>
      <w:r>
        <w:t xml:space="preserve">6. C. Dreier,</w:t>
      </w:r>
      <w:r>
        <w:t xml:space="preserve"> </w:t>
      </w:r>
      <w:r>
        <w:rPr>
          <w:i/>
          <w:iCs/>
        </w:rPr>
        <w:t xml:space="preserve">Planetary Science Budget Dataset</w:t>
      </w:r>
      <w:r>
        <w:t xml:space="preserve"> </w:t>
      </w:r>
      <w:r>
        <w:t xml:space="preserve">and mission cost charts, The Planetary Society. https://www.planetary.org/space-policy/psyche-cost</w:t>
      </w:r>
    </w:p>
    <w:p>
      <w:pPr>
        <w:pStyle w:val="BodyText"/>
      </w:pPr>
      <w:bookmarkStart w:id="75" w:name="ref-7"/>
      <w:bookmarkEnd w:id="75"/>
      <w:r>
        <w:t xml:space="preserve">7. D. R. Cox,</w:t>
      </w:r>
      <w:r>
        <w:t xml:space="preserve"> </w:t>
      </w:r>
      <w:r>
        <w:t xml:space="preserve">“Regression Models and Life-Tables,”</w:t>
      </w:r>
      <w:r>
        <w:t xml:space="preserve"> </w:t>
      </w:r>
      <w:r>
        <w:rPr>
          <w:i/>
          <w:iCs/>
        </w:rPr>
        <w:t xml:space="preserve">Journal of the Royal Statistical Society, Series B</w:t>
      </w:r>
      <w:r>
        <w:t xml:space="preserve">, vol. 34, no. 2, pp. 187-220, 1972.</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rPr>
              <m:sty m:val="p"/>
            </m:rPr>
            <m:t>log</m:t>
          </m:r>
          <m:sSub>
            <m:e>
              <m:r>
                <m:rPr>
                  <m:nor/>
                  <m:sty m:val="p"/>
                </m:rPr>
                <m:t>Base</m:t>
              </m:r>
            </m:e>
            <m:sub>
              <m:r>
                <m:t>i</m:t>
              </m:r>
            </m:sub>
          </m:sSub>
          <m:r>
            <m:rPr>
              <m:sty m:val="p"/>
            </m:rPr>
            <m:t>+</m:t>
          </m:r>
          <m:sSub>
            <m:e>
              <m:r>
                <m:t>β</m:t>
              </m:r>
            </m:e>
            <m:sub>
              <m:r>
                <m:t>2</m:t>
              </m:r>
            </m:sub>
          </m:sSub>
          <m:sSub>
            <m:e>
              <m:r>
                <m:rPr>
                  <m:nor/>
                  <m:sty m:val="p"/>
                </m:rPr>
                <m:t>NewTech</m:t>
              </m:r>
            </m:e>
            <m:sub>
              <m:r>
                <m:t>i</m:t>
              </m:r>
            </m:sub>
          </m:sSub>
          <m:r>
            <m:rPr>
              <m:sty m:val="p"/>
            </m:rPr>
            <m:t>+</m:t>
          </m:r>
          <m:sSub>
            <m:e>
              <m:r>
                <m:t>β</m:t>
              </m:r>
            </m:e>
            <m:sub>
              <m:r>
                <m:t>3</m:t>
              </m:r>
            </m:sub>
          </m:sSub>
          <m:sSub>
            <m:e>
              <m:r>
                <m:rPr>
                  <m:nor/>
                  <m:sty m:val="p"/>
                </m:rPr>
                <m:t>Flagship</m:t>
              </m:r>
            </m:e>
            <m:sub>
              <m:r>
                <m:t>i</m:t>
              </m:r>
            </m:sub>
          </m:sSub>
          <m:r>
            <m:rPr>
              <m:sty m:val="p"/>
            </m:rPr>
            <m:t>+</m:t>
          </m:r>
          <m:sSub>
            <m:e>
              <m:r>
                <m:t>β</m:t>
              </m:r>
            </m:e>
            <m:sub>
              <m:r>
                <m:t>4</m:t>
              </m:r>
            </m:sub>
          </m:sSub>
          <m:sSub>
            <m:e>
              <m:r>
                <m:rPr>
                  <m:nor/>
                  <m:sty m:val="p"/>
                </m:rPr>
                <m:t>Complexity</m:t>
              </m:r>
            </m:e>
            <m:sub>
              <m:r>
                <m:t>i</m:t>
              </m:r>
            </m:sub>
          </m:sSub>
          <m:r>
            <m:rPr>
              <m:sty m:val="p"/>
            </m:rPr>
            <m:t>)</m:t>
          </m:r>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log_base_cost</w:t>
            </w:r>
          </w:p>
        </w:tc>
        <w:tc>
          <w:tcPr>
            <w:tcW w:w="0" w:type="auto"/>
          </w:tcPr>
          <w:p>
            <w:pPr>
              <w:spacing w:line="240" w:lineRule="auto" w:before="0" w:after="0"/>
              <w:pStyle w:val="Compact"/>
            </w:pPr>
            <w:r>
              <w:rPr>
                <w:sz w:val="20"/>
                <w:szCs w:val="20"/>
              </w:rPr>
              <w:t xml:space="preserve">-0.9685</w:t>
            </w:r>
          </w:p>
        </w:tc>
        <w:tc>
          <w:tcPr>
            <w:tcW w:w="0" w:type="auto"/>
          </w:tcPr>
          <w:p>
            <w:pPr>
              <w:spacing w:line="240" w:lineRule="auto" w:before="0" w:after="0"/>
              <w:pStyle w:val="Compact"/>
            </w:pPr>
            <w:r>
              <w:rPr>
                <w:sz w:val="20"/>
                <w:szCs w:val="20"/>
              </w:rPr>
              <w:t xml:space="preserve">0.6362</w:t>
            </w:r>
          </w:p>
        </w:tc>
        <w:tc>
          <w:tcPr>
            <w:tcW w:w="0" w:type="auto"/>
          </w:tcPr>
          <w:p>
            <w:pPr>
              <w:spacing w:line="240" w:lineRule="auto" w:before="0" w:after="0"/>
              <w:pStyle w:val="Compact"/>
            </w:pPr>
            <w:r>
              <w:rPr>
                <w:sz w:val="20"/>
                <w:szCs w:val="20"/>
              </w:rPr>
              <w:t xml:space="preserve">-1.5221</w:t>
            </w:r>
          </w:p>
        </w:tc>
        <w:tc>
          <w:tcPr>
            <w:tcW w:w="0" w:type="auto"/>
          </w:tcPr>
          <w:p>
            <w:pPr>
              <w:spacing w:line="240" w:lineRule="auto" w:before="0" w:after="0"/>
              <w:pStyle w:val="Compact"/>
            </w:pPr>
            <w:r>
              <w:rPr>
                <w:sz w:val="20"/>
                <w:szCs w:val="20"/>
              </w:rPr>
              <w:t xml:space="preserve">0.128</w:t>
            </w:r>
          </w:p>
        </w:tc>
        <w:tc>
          <w:tcPr>
            <w:tcW w:w="0" w:type="auto"/>
          </w:tcPr>
          <w:p>
            <w:pPr>
              <w:spacing w:line="240" w:lineRule="auto" w:before="0" w:after="0"/>
              <w:pStyle w:val="Compact"/>
            </w:pPr>
            <w:r>
              <w:rPr>
                <w:sz w:val="20"/>
                <w:szCs w:val="20"/>
              </w:rPr>
              <w:t xml:space="preserve">[-2.2155, 0.2786]</w:t>
            </w:r>
          </w:p>
        </w:tc>
        <w:tc>
          <w:tcPr>
            <w:tcW w:w="0" w:type="auto"/>
          </w:tcPr>
          <w:p>
            <w:pPr>
              <w:spacing w:line="240" w:lineRule="auto" w:before="0" w:after="0"/>
              <w:pStyle w:val="Compact"/>
            </w:pPr>
            <w:r>
              <w:rPr>
                <w:sz w:val="20"/>
                <w:szCs w:val="20"/>
              </w:rPr>
              <w:t xml:space="preserve">0.3797</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1.3466</w:t>
            </w:r>
          </w:p>
        </w:tc>
        <w:tc>
          <w:tcPr>
            <w:tcW w:w="0" w:type="auto"/>
          </w:tcPr>
          <w:p>
            <w:pPr>
              <w:spacing w:line="240" w:lineRule="auto" w:before="0" w:after="0"/>
              <w:pStyle w:val="Compact"/>
            </w:pPr>
            <w:r>
              <w:rPr>
                <w:sz w:val="20"/>
                <w:szCs w:val="20"/>
              </w:rPr>
              <w:t xml:space="preserve">1.2942</w:t>
            </w:r>
          </w:p>
        </w:tc>
        <w:tc>
          <w:tcPr>
            <w:tcW w:w="0" w:type="auto"/>
          </w:tcPr>
          <w:p>
            <w:pPr>
              <w:spacing w:line="240" w:lineRule="auto" w:before="0" w:after="0"/>
              <w:pStyle w:val="Compact"/>
            </w:pPr>
            <w:r>
              <w:rPr>
                <w:sz w:val="20"/>
                <w:szCs w:val="20"/>
              </w:rPr>
              <w:t xml:space="preserve">1.0405</w:t>
            </w:r>
          </w:p>
        </w:tc>
        <w:tc>
          <w:tcPr>
            <w:tcW w:w="0" w:type="auto"/>
          </w:tcPr>
          <w:p>
            <w:pPr>
              <w:spacing w:line="240" w:lineRule="auto" w:before="0" w:after="0"/>
              <w:pStyle w:val="Compact"/>
            </w:pPr>
            <w:r>
              <w:rPr>
                <w:sz w:val="20"/>
                <w:szCs w:val="20"/>
              </w:rPr>
              <w:t xml:space="preserve">0.2981</w:t>
            </w:r>
          </w:p>
        </w:tc>
        <w:tc>
          <w:tcPr>
            <w:tcW w:w="0" w:type="auto"/>
          </w:tcPr>
          <w:p>
            <w:pPr>
              <w:spacing w:line="240" w:lineRule="auto" w:before="0" w:after="0"/>
              <w:pStyle w:val="Compact"/>
            </w:pPr>
            <w:r>
              <w:rPr>
                <w:sz w:val="20"/>
                <w:szCs w:val="20"/>
              </w:rPr>
              <w:t xml:space="preserve">[-1.1901, 3.8832]</w:t>
            </w:r>
          </w:p>
        </w:tc>
        <w:tc>
          <w:tcPr>
            <w:tcW w:w="0" w:type="auto"/>
          </w:tcPr>
          <w:p>
            <w:pPr>
              <w:spacing w:line="240" w:lineRule="auto" w:before="0" w:after="0"/>
              <w:pStyle w:val="Compact"/>
            </w:pPr>
            <w:r>
              <w:rPr>
                <w:sz w:val="20"/>
                <w:szCs w:val="20"/>
              </w:rPr>
              <w:t xml:space="preserve">3.8443</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1.1354</w:t>
            </w:r>
          </w:p>
        </w:tc>
        <w:tc>
          <w:tcPr>
            <w:tcW w:w="0" w:type="auto"/>
          </w:tcPr>
          <w:p>
            <w:pPr>
              <w:spacing w:line="240" w:lineRule="auto" w:before="0" w:after="0"/>
              <w:pStyle w:val="Compact"/>
            </w:pPr>
            <w:r>
              <w:rPr>
                <w:sz w:val="20"/>
                <w:szCs w:val="20"/>
              </w:rPr>
              <w:t xml:space="preserve">1.0862</w:t>
            </w:r>
          </w:p>
        </w:tc>
        <w:tc>
          <w:tcPr>
            <w:tcW w:w="0" w:type="auto"/>
          </w:tcPr>
          <w:p>
            <w:pPr>
              <w:spacing w:line="240" w:lineRule="auto" w:before="0" w:after="0"/>
              <w:pStyle w:val="Compact"/>
            </w:pPr>
            <w:r>
              <w:rPr>
                <w:sz w:val="20"/>
                <w:szCs w:val="20"/>
              </w:rPr>
              <w:t xml:space="preserve">1.0452</w:t>
            </w:r>
          </w:p>
        </w:tc>
        <w:tc>
          <w:tcPr>
            <w:tcW w:w="0" w:type="auto"/>
          </w:tcPr>
          <w:p>
            <w:pPr>
              <w:spacing w:line="240" w:lineRule="auto" w:before="0" w:after="0"/>
              <w:pStyle w:val="Compact"/>
            </w:pPr>
            <w:r>
              <w:rPr>
                <w:sz w:val="20"/>
                <w:szCs w:val="20"/>
              </w:rPr>
              <w:t xml:space="preserve">0.2959</w:t>
            </w:r>
          </w:p>
        </w:tc>
        <w:tc>
          <w:tcPr>
            <w:tcW w:w="0" w:type="auto"/>
          </w:tcPr>
          <w:p>
            <w:pPr>
              <w:spacing w:line="240" w:lineRule="auto" w:before="0" w:after="0"/>
              <w:pStyle w:val="Compact"/>
            </w:pPr>
            <w:r>
              <w:rPr>
                <w:sz w:val="20"/>
                <w:szCs w:val="20"/>
              </w:rPr>
              <w:t xml:space="preserve">[-0.9936, 3.2643]</w:t>
            </w:r>
          </w:p>
        </w:tc>
        <w:tc>
          <w:tcPr>
            <w:tcW w:w="0" w:type="auto"/>
          </w:tcPr>
          <w:p>
            <w:pPr>
              <w:spacing w:line="240" w:lineRule="auto" w:before="0" w:after="0"/>
              <w:pStyle w:val="Compact"/>
            </w:pPr>
            <w:r>
              <w:rPr>
                <w:sz w:val="20"/>
                <w:szCs w:val="20"/>
              </w:rPr>
              <w:t xml:space="preserve">3.1123</w:t>
            </w:r>
          </w:p>
        </w:tc>
      </w:tr>
      <w:tr>
        <w:tc>
          <w:tcPr>
            <w:tcW w:w="0" w:type="auto"/>
          </w:tcPr>
          <w:p>
            <w:pPr>
              <w:spacing w:line="240" w:lineRule="auto" w:before="0" w:after="0"/>
              <w:pStyle w:val="Compact"/>
            </w:pPr>
            <w:r>
              <w:rPr>
                <w:sz w:val="20"/>
                <w:szCs w:val="20"/>
              </w:rPr>
              <w:t xml:space="preserve">complexity_hi</w:t>
            </w:r>
          </w:p>
        </w:tc>
        <w:tc>
          <w:tcPr>
            <w:tcW w:w="0" w:type="auto"/>
          </w:tcPr>
          <w:p>
            <w:pPr>
              <w:spacing w:line="240" w:lineRule="auto" w:before="0" w:after="0"/>
              <w:pStyle w:val="Compact"/>
            </w:pPr>
            <w:r>
              <w:rPr>
                <w:sz w:val="20"/>
                <w:szCs w:val="20"/>
              </w:rPr>
              <w:t xml:space="preserve">0.5159</w:t>
            </w:r>
          </w:p>
        </w:tc>
        <w:tc>
          <w:tcPr>
            <w:tcW w:w="0" w:type="auto"/>
          </w:tcPr>
          <w:p>
            <w:pPr>
              <w:spacing w:line="240" w:lineRule="auto" w:before="0" w:after="0"/>
              <w:pStyle w:val="Compact"/>
            </w:pPr>
            <w:r>
              <w:rPr>
                <w:sz w:val="20"/>
                <w:szCs w:val="20"/>
              </w:rPr>
              <w:t xml:space="preserve">1.3134</w:t>
            </w:r>
          </w:p>
        </w:tc>
        <w:tc>
          <w:tcPr>
            <w:tcW w:w="0" w:type="auto"/>
          </w:tcPr>
          <w:p>
            <w:pPr>
              <w:spacing w:line="240" w:lineRule="auto" w:before="0" w:after="0"/>
              <w:pStyle w:val="Compact"/>
            </w:pPr>
            <w:r>
              <w:rPr>
                <w:sz w:val="20"/>
                <w:szCs w:val="20"/>
              </w:rPr>
              <w:t xml:space="preserve">0.3928</w:t>
            </w:r>
          </w:p>
        </w:tc>
        <w:tc>
          <w:tcPr>
            <w:tcW w:w="0" w:type="auto"/>
          </w:tcPr>
          <w:p>
            <w:pPr>
              <w:spacing w:line="240" w:lineRule="auto" w:before="0" w:after="0"/>
              <w:pStyle w:val="Compact"/>
            </w:pPr>
            <w:r>
              <w:rPr>
                <w:sz w:val="20"/>
                <w:szCs w:val="20"/>
              </w:rPr>
              <w:t xml:space="preserve">0.6945</w:t>
            </w:r>
          </w:p>
        </w:tc>
        <w:tc>
          <w:tcPr>
            <w:tcW w:w="0" w:type="auto"/>
          </w:tcPr>
          <w:p>
            <w:pPr>
              <w:spacing w:line="240" w:lineRule="auto" w:before="0" w:after="0"/>
              <w:pStyle w:val="Compact"/>
            </w:pPr>
            <w:r>
              <w:rPr>
                <w:sz w:val="20"/>
                <w:szCs w:val="20"/>
              </w:rPr>
              <w:t xml:space="preserve">[-2.0584, 3.0902]</w:t>
            </w:r>
          </w:p>
        </w:tc>
        <w:tc>
          <w:tcPr>
            <w:tcW w:w="0" w:type="auto"/>
          </w:tcPr>
          <w:p>
            <w:pPr>
              <w:spacing w:line="240" w:lineRule="auto" w:before="0" w:after="0"/>
              <w:pStyle w:val="Compact"/>
            </w:pPr>
            <w:r>
              <w:rPr>
                <w:sz w:val="20"/>
                <w:szCs w:val="20"/>
              </w:rPr>
              <w:t xml:space="preserve">1.6751</w:t>
            </w:r>
          </w:p>
        </w:tc>
      </w:tr>
    </w:tbl>
    <w:p>
      <w:pPr>
        <w:pStyle w:val="BodyText"/>
      </w:pPr>
      <w:r>
        <w:t xml:space="preserve">Fit: N = 26 events = 11</w:t>
      </w:r>
    </w:p>
    <w:p>
      <w:pPr>
        <w:pStyle w:val="CaptionedFigure"/>
      </w:pPr>
      <w:r>
        <w:drawing>
          <wp:inline>
            <wp:extent cx="5669280" cy="3657600"/>
            <wp:effectExtent b="0" l="0" r="0" t="0"/>
            <wp:docPr descr="Figure 1. Development exposure versus log baseline cost across 26 JPL-class and NASA flagship flight programs, with cost-overrun breaches (events) and on-time launches (censored) distinguishing the survival sample." title="" id="79" name="Picture"/>
            <a:graphic>
              <a:graphicData uri="http://schemas.openxmlformats.org/drawingml/2006/picture">
                <pic:pic>
                  <pic:nvPicPr>
                    <pic:cNvPr descr="D:\Claude_Code\brain\collegium\candidates\dissertations\JPL_MGMT_SMA_TECH_01\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exposure versus log baseline cost across 26 JPL-class and NASA flagship flight programs, with cost-overrun breaches (events) and on-time launches (censored) distinguishing the survival sample.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base_cost_musd</w:t>
            </w:r>
          </w:p>
        </w:tc>
        <w:tc>
          <w:tcPr>
            <w:tcW w:w="0" w:type="auto"/>
          </w:tcPr>
          <w:p>
            <w:pPr>
              <w:spacing w:line="240" w:lineRule="auto" w:before="0" w:after="0"/>
              <w:pStyle w:val="Compact"/>
            </w:pPr>
            <w:r>
              <w:rPr>
                <w:sz w:val="20"/>
                <w:szCs w:val="20"/>
              </w:rPr>
              <w:t xml:space="preserve">final_cost_musd</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log_base_cost</w:t>
            </w:r>
          </w:p>
        </w:tc>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complexity_hi</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2470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Mars Science Laboratory: medium-cost cap exceeded, final development cost reached $2.47B, 84% overrun, 2009 launch slipped to Nov 2011 (~26 mo)</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InSight: cost grew from $675M to $830M (+$150M) after SEIS vacuum-leak; March 2016 launch postponed to May 2018 (~26 mo delay)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996</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psyche-cost ($960.6M est) and GAO-23-106021 via SpaceNews: cost grew to ~$1.13B by Jan 2023; July 2022 launch slipped to Oct 2023 (~15 mo)</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960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Juno: ~$700M (FY2003) proposed; NASA budget restrictions postponed June 2009 to Aug 2011 (~26 mo slip) with cost growth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Dawn: projected $373M, cost overruns inflated final to $446M (2007); multiple cancellations/reinstatements, 2006 target to Sept 2007</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JWST: 2011 rebaseline $8B cap, final lifecycle $9.7B (+~21%); 2018 baseline launch slipped to Dec 2021 (37 mo)</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(Zurbuchen): agency baseline commitment changed $4.25B to $5B (+$750M, 17.6%); launched Oct 2024</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2510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GAO-24-106767: $310.0M development cost growth from development difficulties and higher procurement costs; launched on-window July 2020</w:t>
            </w:r>
          </w:p>
        </w:tc>
      </w:tr>
      <w:tr>
        <w:tc>
          <w:tcPr>
            <w:tcW w:w="0" w:type="auto"/>
          </w:tcPr>
          <w:p>
            <w:pPr>
              <w:spacing w:line="240" w:lineRule="auto" w:before="0" w:after="0"/>
              <w:pStyle w:val="Compact"/>
            </w:pPr>
            <w:r>
              <w:rPr>
                <w:sz w:val="20"/>
                <w:szCs w:val="20"/>
              </w:rPr>
              <w:t xml:space="preserve">Orion (crew vehicle)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6700</w:t>
            </w:r>
          </w:p>
        </w:tc>
        <w:tc>
          <w:tcPr>
            <w:tcW w:w="0" w:type="auto"/>
          </w:tcPr>
          <w:p>
            <w:pPr>
              <w:spacing w:line="240" w:lineRule="auto" w:before="0" w:after="0"/>
              <w:pStyle w:val="Compact"/>
            </w:pPr>
            <w:r>
              <w:rPr>
                <w:sz w:val="20"/>
                <w:szCs w:val="20"/>
              </w:rPr>
              <w:t xml:space="preserve">7239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GAO-24-106767: $539.2M development cost increase tied to Artemis I slip and poor contractor performance [base illustrative]</w:t>
            </w:r>
          </w:p>
        </w:tc>
      </w:tr>
      <w:tr>
        <w:tc>
          <w:tcPr>
            <w:tcW w:w="0" w:type="auto"/>
          </w:tcPr>
          <w:p>
            <w:pPr>
              <w:spacing w:line="240" w:lineRule="auto" w:before="0" w:after="0"/>
              <w:pStyle w:val="Compact"/>
            </w:pPr>
            <w:r>
              <w:rPr>
                <w:sz w:val="20"/>
                <w:szCs w:val="20"/>
              </w:rPr>
              <w:t xml:space="preserve">Spitzer Space Telescope</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776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Spitzer: $776M launched Aug 2003 after 1990s redesigns/budget-driven slips of roughly a decade from ~1990 plan [base illustrative]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1118</w:t>
            </w:r>
          </w:p>
        </w:tc>
        <w:tc>
          <w:tcPr>
            <w:tcW w:w="0" w:type="auto"/>
          </w:tcPr>
          <w:p>
            <w:pPr>
              <w:spacing w:line="240" w:lineRule="auto" w:before="0" w:after="0"/>
              <w:pStyle w:val="Compact"/>
            </w:pPr>
            <w:r>
              <w:rPr>
                <w:sz w:val="20"/>
                <w:szCs w:val="20"/>
              </w:rPr>
              <w:t xml:space="preserve">1147</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NISAR: NASA portion ~$1.118B; 2024 thermal-coating rework returned reflector to JPL, launch slipped to July 2025 from earlier targets</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617</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MRO: ~$720M total; launched on schedule Aug 2005 [base illustrative, censored]</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Lucy: $981M spacecraft mission; launched on schedule Oct 2021 at opening of launch window (no overrun); GAO-24 noted $8M reduction</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582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MAVEN: development $366.8M, ~$100M under original estimate; launched exactly on plan Nov 18 2013 (censored)</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1160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OSIRIS-REx: ~$800M primary mission; launched exactly on schedule Sept 8 2016 (censored)</w:t>
            </w:r>
          </w:p>
        </w:tc>
      </w:tr>
      <w:tr>
        <w:tc>
          <w:tcPr>
            <w:tcW w:w="0" w:type="auto"/>
          </w:tcPr>
          <w:p>
            <w:pPr>
              <w:spacing w:line="240" w:lineRule="auto" w:before="0" w:after="0"/>
              <w:pStyle w:val="Compact"/>
            </w:pPr>
            <w:r>
              <w:rPr>
                <w:sz w:val="20"/>
                <w:szCs w:val="20"/>
              </w:rPr>
              <w:t xml:space="preserve">Soil Moisture Active Passive (SMAP)</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SMAP: $916M design/development/launch/ops; launched Jan 2015 (censored)</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GRAIL: $496M budget; launched two days after plan Sept 10 2011, essentially on schedule (censored)</w:t>
            </w:r>
          </w:p>
        </w:tc>
      </w:tr>
      <w:tr>
        <w:tc>
          <w:tcPr>
            <w:tcW w:w="0" w:type="auto"/>
          </w:tcPr>
          <w:p>
            <w:pPr>
              <w:spacing w:line="240" w:lineRule="auto" w:before="0" w:after="0"/>
              <w:pStyle w:val="Compact"/>
            </w:pPr>
            <w:r>
              <w:rPr>
                <w:sz w:val="20"/>
                <w:szCs w:val="20"/>
              </w:rPr>
              <w:t xml:space="preserve">Fermi (GLAST)</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Fermi: launched on schedule June 11 2008 within window; battery-replacement delays days only (censored) [base illustrative]</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Parker Solar Probe: ~$1.5B; launched Aug 12 2018 (censored, on-plan after early redesign)</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GRACE-FO: launched on schedule May 22 2018 (censored) [base illustrative]</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coverage and NASA: SPHEREx attributed apparent reduction to removal of inadvertently included ops costs; launched Mar 2025 (censored) [base illustrative]</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Wikipedia/NASA Nancy Grace Roman: ~$3.2B development cap held under review in GAO assessments; in development, no breach as of 2025 (censored) [base illustrative]</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NASA/GAO: NEO Surveyor ~$1.2B life-cycle commitment, in development under review (censored) [base illustrative]</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Dragonfly confirmation ~$3.35B life-cycle commitment (2024); in development, no breach as of 2025 (censored)</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DAVINCI Venus mission ~$1B commitment, in development under GAO review (censored) [base illustrative]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VERITAS Venus mission ~$1B commitment, delayed by JPL institutional issues but cost-cap held under review (censored) [base illustrative]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of development exposure from program confirmation (KDP-C) to the cost-overrun breach (for events) or to launch (for censored cases)</w:t>
            </w:r>
          </w:p>
        </w:tc>
        <w:tc>
          <w:tcPr>
            <w:tcW w:w="0" w:type="auto"/>
          </w:tcPr>
          <w:p>
            <w:pPr>
              <w:spacing w:line="240" w:lineRule="auto" w:before="0" w:after="0"/>
              <w:pStyle w:val="Compact"/>
            </w:pPr>
            <w:r>
              <w:rPr>
                <w:sz w:val="20"/>
                <w:szCs w:val="20"/>
              </w:rPr>
              <w:t xml:space="preserve">Compiled from NASA mission confirmation and launch dates; GAO Assessments of Major Projects (GAO-23-106021, GAO-24-106767, GAO-25-107591) and mission press records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the program breached the GAO/congressional 15 percent development-cost-growth threshold or underwent a cost-driven agency rebaseline, 0 if censored at launch with no breach</w:t>
            </w:r>
          </w:p>
        </w:tc>
        <w:tc>
          <w:tcPr>
            <w:tcW w:w="0" w:type="auto"/>
          </w:tcPr>
          <w:p>
            <w:pPr>
              <w:spacing w:line="240" w:lineRule="auto" w:before="0" w:after="0"/>
              <w:pStyle w:val="Compact"/>
            </w:pPr>
            <w:r>
              <w:rPr>
                <w:sz w:val="20"/>
                <w:szCs w:val="20"/>
              </w:rPr>
              <w:t xml:space="preserve">GAO Assessments of Major Projects reporting threshold (15 percent development cost growth or 6-month milestone slip); SpacePolicyOnline GAO coverage</w:t>
            </w:r>
          </w:p>
        </w:tc>
      </w:tr>
      <w:tr>
        <w:tc>
          <w:tcPr>
            <w:tcW w:w="0" w:type="auto"/>
          </w:tcPr>
          <w:p>
            <w:pPr>
              <w:spacing w:line="240" w:lineRule="auto" w:before="0" w:after="0"/>
              <w:pStyle w:val="Compact"/>
            </w:pPr>
            <w:r>
              <w:rPr>
                <w:sz w:val="20"/>
                <w:szCs w:val="20"/>
              </w:rPr>
              <w:t xml:space="preserve">log_base_cost</w:t>
            </w:r>
          </w:p>
        </w:tc>
        <w:tc>
          <w:tcPr>
            <w:tcW w:w="0" w:type="auto"/>
          </w:tcPr>
          <w:p>
            <w:pPr>
              <w:spacing w:line="240" w:lineRule="auto" w:before="0" w:after="0"/>
              <w:pStyle w:val="Compact"/>
            </w:pPr>
            <w:r>
              <w:rPr>
                <w:sz w:val="20"/>
                <w:szCs w:val="20"/>
              </w:rPr>
              <w:t xml:space="preserve">Natural log of the program baseline (confirmed) development or life-cycle cost commitment in millions of USD</w:t>
            </w:r>
          </w:p>
        </w:tc>
        <w:tc>
          <w:tcPr>
            <w:tcW w:w="0" w:type="auto"/>
          </w:tcPr>
          <w:p>
            <w:pPr>
              <w:spacing w:line="240" w:lineRule="auto" w:before="0" w:after="0"/>
              <w:pStyle w:val="Compact"/>
            </w:pPr>
            <w:r>
              <w:rPr>
                <w:sz w:val="20"/>
                <w:szCs w:val="20"/>
              </w:rPr>
              <w:t xml:space="preserve">NASA confirmation budgets; The Planetary Society Planetary Science Budget Dataset; mission press kits and Wikipedia mission cost sections</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Indicator equal to 1 if the program required significant first-of-kind or low-heritage technology, 0 for high-heritage builds</w:t>
            </w:r>
          </w:p>
        </w:tc>
        <w:tc>
          <w:tcPr>
            <w:tcW w:w="0" w:type="auto"/>
          </w:tcPr>
          <w:p>
            <w:pPr>
              <w:spacing w:line="240" w:lineRule="auto" w:before="0" w:after="0"/>
              <w:pStyle w:val="Compact"/>
            </w:pPr>
            <w:r>
              <w:rPr>
                <w:sz w:val="20"/>
                <w:szCs w:val="20"/>
              </w:rPr>
              <w:t xml:space="preserve">NASA mission descriptions and GAO technology-maturity assessments</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Indicator equal to 1 for flagship or strategic missions above the roughly $1B class, 0 for competed PI-led cost-capped missions (Discovery/New Frontiers/Explorer)</w:t>
            </w:r>
          </w:p>
        </w:tc>
        <w:tc>
          <w:tcPr>
            <w:tcW w:w="0" w:type="auto"/>
          </w:tcPr>
          <w:p>
            <w:pPr>
              <w:spacing w:line="240" w:lineRule="auto" w:before="0" w:after="0"/>
              <w:pStyle w:val="Compact"/>
            </w:pPr>
            <w:r>
              <w:rPr>
                <w:sz w:val="20"/>
                <w:szCs w:val="20"/>
              </w:rPr>
              <w:t xml:space="preserve">NASA program classification; GAO Assessments of Major Projects</w:t>
            </w:r>
          </w:p>
        </w:tc>
      </w:tr>
      <w:tr>
        <w:tc>
          <w:tcPr>
            <w:tcW w:w="0" w:type="auto"/>
          </w:tcPr>
          <w:p>
            <w:pPr>
              <w:spacing w:line="240" w:lineRule="auto" w:before="0" w:after="0"/>
              <w:pStyle w:val="Compact"/>
            </w:pPr>
            <w:r>
              <w:rPr>
                <w:sz w:val="20"/>
                <w:szCs w:val="20"/>
              </w:rPr>
              <w:t xml:space="preserve">complexity_hi</w:t>
            </w:r>
          </w:p>
        </w:tc>
        <w:tc>
          <w:tcPr>
            <w:tcW w:w="0" w:type="auto"/>
          </w:tcPr>
          <w:p>
            <w:pPr>
              <w:spacing w:line="240" w:lineRule="auto" w:before="0" w:after="0"/>
              <w:pStyle w:val="Compact"/>
            </w:pPr>
            <w:r>
              <w:rPr>
                <w:sz w:val="20"/>
                <w:szCs w:val="20"/>
              </w:rPr>
              <w:t xml:space="preserve">Indicator equal to 1 for high payload or instrument-integration complexity, 0 otherwise</w:t>
            </w:r>
          </w:p>
        </w:tc>
        <w:tc>
          <w:tcPr>
            <w:tcW w:w="0" w:type="auto"/>
          </w:tcPr>
          <w:p>
            <w:pPr>
              <w:spacing w:line="240" w:lineRule="auto" w:before="0" w:after="0"/>
              <w:pStyle w:val="Compact"/>
            </w:pPr>
            <w:r>
              <w:rPr>
                <w:sz w:val="20"/>
                <w:szCs w:val="20"/>
              </w:rPr>
              <w:t xml:space="preserve">NASA mission payload manifests and instrument descriptions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log_base_cost</w:t>
            </w:r>
          </w:p>
        </w:tc>
        <w:tc>
          <w:tcPr>
            <w:tcW w:w="0" w:type="auto"/>
          </w:tcPr>
          <w:p>
            <w:pPr>
              <w:spacing w:line="240" w:lineRule="auto" w:before="0" w:after="0"/>
              <w:pStyle w:val="Compact"/>
            </w:pPr>
            <w:r>
              <w:rPr>
                <w:sz w:val="20"/>
                <w:szCs w:val="20"/>
              </w:rPr>
              <w:t xml:space="preserve">-0.9685</w:t>
            </w:r>
          </w:p>
        </w:tc>
        <w:tc>
          <w:tcPr>
            <w:tcW w:w="0" w:type="auto"/>
          </w:tcPr>
          <w:p>
            <w:pPr>
              <w:spacing w:line="240" w:lineRule="auto" w:before="0" w:after="0"/>
              <w:pStyle w:val="Compact"/>
            </w:pPr>
            <w:r>
              <w:rPr>
                <w:sz w:val="20"/>
                <w:szCs w:val="20"/>
              </w:rPr>
              <w:t xml:space="preserve">0.6362</w:t>
            </w:r>
          </w:p>
        </w:tc>
        <w:tc>
          <w:tcPr>
            <w:tcW w:w="0" w:type="auto"/>
          </w:tcPr>
          <w:p>
            <w:pPr>
              <w:spacing w:line="240" w:lineRule="auto" w:before="0" w:after="0"/>
              <w:pStyle w:val="Compact"/>
            </w:pPr>
            <w:r>
              <w:rPr>
                <w:sz w:val="20"/>
                <w:szCs w:val="20"/>
              </w:rPr>
              <w:t xml:space="preserve">-1.5221</w:t>
            </w:r>
          </w:p>
        </w:tc>
        <w:tc>
          <w:tcPr>
            <w:tcW w:w="0" w:type="auto"/>
          </w:tcPr>
          <w:p>
            <w:pPr>
              <w:spacing w:line="240" w:lineRule="auto" w:before="0" w:after="0"/>
              <w:pStyle w:val="Compact"/>
            </w:pPr>
            <w:r>
              <w:rPr>
                <w:sz w:val="20"/>
                <w:szCs w:val="20"/>
              </w:rPr>
              <w:t xml:space="preserve">0.128</w:t>
            </w:r>
          </w:p>
        </w:tc>
        <w:tc>
          <w:tcPr>
            <w:tcW w:w="0" w:type="auto"/>
          </w:tcPr>
          <w:p>
            <w:pPr>
              <w:spacing w:line="240" w:lineRule="auto" w:before="0" w:after="0"/>
              <w:pStyle w:val="Compact"/>
            </w:pPr>
            <w:r>
              <w:rPr>
                <w:sz w:val="20"/>
                <w:szCs w:val="20"/>
              </w:rPr>
              <w:t xml:space="preserve">[-2.2155, 0.2786]</w:t>
            </w:r>
          </w:p>
        </w:tc>
        <w:tc>
          <w:tcPr>
            <w:tcW w:w="0" w:type="auto"/>
          </w:tcPr>
          <w:p>
            <w:pPr>
              <w:spacing w:line="240" w:lineRule="auto" w:before="0" w:after="0"/>
              <w:pStyle w:val="Compact"/>
            </w:pPr>
            <w:r>
              <w:rPr>
                <w:sz w:val="20"/>
                <w:szCs w:val="20"/>
              </w:rPr>
              <w:t xml:space="preserve">0.3797</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1.3466</w:t>
            </w:r>
          </w:p>
        </w:tc>
        <w:tc>
          <w:tcPr>
            <w:tcW w:w="0" w:type="auto"/>
          </w:tcPr>
          <w:p>
            <w:pPr>
              <w:spacing w:line="240" w:lineRule="auto" w:before="0" w:after="0"/>
              <w:pStyle w:val="Compact"/>
            </w:pPr>
            <w:r>
              <w:rPr>
                <w:sz w:val="20"/>
                <w:szCs w:val="20"/>
              </w:rPr>
              <w:t xml:space="preserve">1.2942</w:t>
            </w:r>
          </w:p>
        </w:tc>
        <w:tc>
          <w:tcPr>
            <w:tcW w:w="0" w:type="auto"/>
          </w:tcPr>
          <w:p>
            <w:pPr>
              <w:spacing w:line="240" w:lineRule="auto" w:before="0" w:after="0"/>
              <w:pStyle w:val="Compact"/>
            </w:pPr>
            <w:r>
              <w:rPr>
                <w:sz w:val="20"/>
                <w:szCs w:val="20"/>
              </w:rPr>
              <w:t xml:space="preserve">1.0405</w:t>
            </w:r>
          </w:p>
        </w:tc>
        <w:tc>
          <w:tcPr>
            <w:tcW w:w="0" w:type="auto"/>
          </w:tcPr>
          <w:p>
            <w:pPr>
              <w:spacing w:line="240" w:lineRule="auto" w:before="0" w:after="0"/>
              <w:pStyle w:val="Compact"/>
            </w:pPr>
            <w:r>
              <w:rPr>
                <w:sz w:val="20"/>
                <w:szCs w:val="20"/>
              </w:rPr>
              <w:t xml:space="preserve">0.2981</w:t>
            </w:r>
          </w:p>
        </w:tc>
        <w:tc>
          <w:tcPr>
            <w:tcW w:w="0" w:type="auto"/>
          </w:tcPr>
          <w:p>
            <w:pPr>
              <w:spacing w:line="240" w:lineRule="auto" w:before="0" w:after="0"/>
              <w:pStyle w:val="Compact"/>
            </w:pPr>
            <w:r>
              <w:rPr>
                <w:sz w:val="20"/>
                <w:szCs w:val="20"/>
              </w:rPr>
              <w:t xml:space="preserve">[-1.1901, 3.8832]</w:t>
            </w:r>
          </w:p>
        </w:tc>
        <w:tc>
          <w:tcPr>
            <w:tcW w:w="0" w:type="auto"/>
          </w:tcPr>
          <w:p>
            <w:pPr>
              <w:spacing w:line="240" w:lineRule="auto" w:before="0" w:after="0"/>
              <w:pStyle w:val="Compact"/>
            </w:pPr>
            <w:r>
              <w:rPr>
                <w:sz w:val="20"/>
                <w:szCs w:val="20"/>
              </w:rPr>
              <w:t xml:space="preserve">3.8443</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1.1354</w:t>
            </w:r>
          </w:p>
        </w:tc>
        <w:tc>
          <w:tcPr>
            <w:tcW w:w="0" w:type="auto"/>
          </w:tcPr>
          <w:p>
            <w:pPr>
              <w:spacing w:line="240" w:lineRule="auto" w:before="0" w:after="0"/>
              <w:pStyle w:val="Compact"/>
            </w:pPr>
            <w:r>
              <w:rPr>
                <w:sz w:val="20"/>
                <w:szCs w:val="20"/>
              </w:rPr>
              <w:t xml:space="preserve">1.0862</w:t>
            </w:r>
          </w:p>
        </w:tc>
        <w:tc>
          <w:tcPr>
            <w:tcW w:w="0" w:type="auto"/>
          </w:tcPr>
          <w:p>
            <w:pPr>
              <w:spacing w:line="240" w:lineRule="auto" w:before="0" w:after="0"/>
              <w:pStyle w:val="Compact"/>
            </w:pPr>
            <w:r>
              <w:rPr>
                <w:sz w:val="20"/>
                <w:szCs w:val="20"/>
              </w:rPr>
              <w:t xml:space="preserve">1.0452</w:t>
            </w:r>
          </w:p>
        </w:tc>
        <w:tc>
          <w:tcPr>
            <w:tcW w:w="0" w:type="auto"/>
          </w:tcPr>
          <w:p>
            <w:pPr>
              <w:spacing w:line="240" w:lineRule="auto" w:before="0" w:after="0"/>
              <w:pStyle w:val="Compact"/>
            </w:pPr>
            <w:r>
              <w:rPr>
                <w:sz w:val="20"/>
                <w:szCs w:val="20"/>
              </w:rPr>
              <w:t xml:space="preserve">0.2959</w:t>
            </w:r>
          </w:p>
        </w:tc>
        <w:tc>
          <w:tcPr>
            <w:tcW w:w="0" w:type="auto"/>
          </w:tcPr>
          <w:p>
            <w:pPr>
              <w:spacing w:line="240" w:lineRule="auto" w:before="0" w:after="0"/>
              <w:pStyle w:val="Compact"/>
            </w:pPr>
            <w:r>
              <w:rPr>
                <w:sz w:val="20"/>
                <w:szCs w:val="20"/>
              </w:rPr>
              <w:t xml:space="preserve">[-0.9936, 3.2643]</w:t>
            </w:r>
          </w:p>
        </w:tc>
        <w:tc>
          <w:tcPr>
            <w:tcW w:w="0" w:type="auto"/>
          </w:tcPr>
          <w:p>
            <w:pPr>
              <w:spacing w:line="240" w:lineRule="auto" w:before="0" w:after="0"/>
              <w:pStyle w:val="Compact"/>
            </w:pPr>
            <w:r>
              <w:rPr>
                <w:sz w:val="20"/>
                <w:szCs w:val="20"/>
              </w:rPr>
              <w:t xml:space="preserve">3.1123</w:t>
            </w:r>
          </w:p>
        </w:tc>
      </w:tr>
      <w:tr>
        <w:tc>
          <w:tcPr>
            <w:tcW w:w="0" w:type="auto"/>
          </w:tcPr>
          <w:p>
            <w:pPr>
              <w:spacing w:line="240" w:lineRule="auto" w:before="0" w:after="0"/>
              <w:pStyle w:val="Compact"/>
            </w:pPr>
            <w:r>
              <w:rPr>
                <w:sz w:val="20"/>
                <w:szCs w:val="20"/>
              </w:rPr>
              <w:t xml:space="preserve">complexity_hi</w:t>
            </w:r>
          </w:p>
        </w:tc>
        <w:tc>
          <w:tcPr>
            <w:tcW w:w="0" w:type="auto"/>
          </w:tcPr>
          <w:p>
            <w:pPr>
              <w:spacing w:line="240" w:lineRule="auto" w:before="0" w:after="0"/>
              <w:pStyle w:val="Compact"/>
            </w:pPr>
            <w:r>
              <w:rPr>
                <w:sz w:val="20"/>
                <w:szCs w:val="20"/>
              </w:rPr>
              <w:t xml:space="preserve">0.5159</w:t>
            </w:r>
          </w:p>
        </w:tc>
        <w:tc>
          <w:tcPr>
            <w:tcW w:w="0" w:type="auto"/>
          </w:tcPr>
          <w:p>
            <w:pPr>
              <w:spacing w:line="240" w:lineRule="auto" w:before="0" w:after="0"/>
              <w:pStyle w:val="Compact"/>
            </w:pPr>
            <w:r>
              <w:rPr>
                <w:sz w:val="20"/>
                <w:szCs w:val="20"/>
              </w:rPr>
              <w:t xml:space="preserve">1.3134</w:t>
            </w:r>
          </w:p>
        </w:tc>
        <w:tc>
          <w:tcPr>
            <w:tcW w:w="0" w:type="auto"/>
          </w:tcPr>
          <w:p>
            <w:pPr>
              <w:spacing w:line="240" w:lineRule="auto" w:before="0" w:after="0"/>
              <w:pStyle w:val="Compact"/>
            </w:pPr>
            <w:r>
              <w:rPr>
                <w:sz w:val="20"/>
                <w:szCs w:val="20"/>
              </w:rPr>
              <w:t xml:space="preserve">0.3928</w:t>
            </w:r>
          </w:p>
        </w:tc>
        <w:tc>
          <w:tcPr>
            <w:tcW w:w="0" w:type="auto"/>
          </w:tcPr>
          <w:p>
            <w:pPr>
              <w:spacing w:line="240" w:lineRule="auto" w:before="0" w:after="0"/>
              <w:pStyle w:val="Compact"/>
            </w:pPr>
            <w:r>
              <w:rPr>
                <w:sz w:val="20"/>
                <w:szCs w:val="20"/>
              </w:rPr>
              <w:t xml:space="preserve">0.6945</w:t>
            </w:r>
          </w:p>
        </w:tc>
        <w:tc>
          <w:tcPr>
            <w:tcW w:w="0" w:type="auto"/>
          </w:tcPr>
          <w:p>
            <w:pPr>
              <w:spacing w:line="240" w:lineRule="auto" w:before="0" w:after="0"/>
              <w:pStyle w:val="Compact"/>
            </w:pPr>
            <w:r>
              <w:rPr>
                <w:sz w:val="20"/>
                <w:szCs w:val="20"/>
              </w:rPr>
              <w:t xml:space="preserve">[-2.0584, 3.0902]</w:t>
            </w:r>
          </w:p>
        </w:tc>
        <w:tc>
          <w:tcPr>
            <w:tcW w:w="0" w:type="auto"/>
          </w:tcPr>
          <w:p>
            <w:pPr>
              <w:spacing w:line="240" w:lineRule="auto" w:before="0" w:after="0"/>
              <w:pStyle w:val="Compact"/>
            </w:pPr>
            <w:r>
              <w:rPr>
                <w:sz w:val="20"/>
                <w:szCs w:val="20"/>
              </w:rPr>
              <w:t xml:space="preserve">1.6751</w:t>
            </w:r>
          </w:p>
        </w:tc>
      </w:tr>
    </w:tbl>
    <w:p>
      <w:pPr>
        <w:pStyle w:val="BodyText"/>
      </w:pPr>
      <w:r>
        <w:t xml:space="preserve">Fit: N = 26 events = 11</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0" Target="https://doi.org/10.1016/j.actaastro.2022.12.036" TargetMode="External" /><Relationship Type="http://schemas.openxmlformats.org/officeDocument/2006/relationships/hyperlink" Id="rId72"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2.12.036" TargetMode="External" /><Relationship Type="http://schemas.openxmlformats.org/officeDocument/2006/relationships/hyperlink" Id="rId72"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2026-06-25T14:26:28Z</dcterms:created>
  <dcterms:modified xsi:type="dcterms:W3CDTF">2026-06-25T14:26:28Z</dcterms:modified>
</cp:coreProperties>
</file>

<file path=docProps/custom.xml><?xml version="1.0" encoding="utf-8"?>
<Properties xmlns="http://schemas.openxmlformats.org/officeDocument/2006/custom-properties" xmlns:vt="http://schemas.openxmlformats.org/officeDocument/2006/docPropsVTypes"/>
</file>