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COST-OVERRUN HAZARD IN JPL-CLASS FLIGHT PROGRAMS: A CLIOMETRIC SURVIVAL MODEL OF SCHEDULE-CONDITIONED BUDGET BREACH</w:t>
      </w:r>
    </w:p>
    <w:p>
      <w:pPr>
        <w:jc w:val="center"/>
      </w:pPr>
    </w:p>
    <w:p>
      <w:pPr>
        <w:jc w:val="center"/>
      </w:pPr>
      <w:r>
        <w:rPr>
          <w:rFonts w:ascii="Times New Roman" w:hAnsi="Times New Roman"/>
          <w:sz w:val="24"/>
        </w:rPr>
        <w:t>by</w:t>
      </w:r>
    </w:p>
    <w:p>
      <w:pPr>
        <w:jc w:val="center"/>
      </w:pPr>
      <w:r>
        <w:rPr>
          <w:rFonts w:ascii="Times New Roman" w:hAnsi="Times New Roman"/>
          <w:b/>
          <w:sz w:val="28"/>
        </w:rPr>
        <w:t>Caspar Mwangi</w:t>
      </w:r>
    </w:p>
    <w:p>
      <w:pPr>
        <w:jc w:val="center"/>
      </w:pPr>
      <w:r>
        <w:rPr>
          <w:rFonts w:ascii="Times New Roman" w:hAnsi="Times New Roman"/>
          <w:sz w:val="24"/>
        </w:rPr>
        <w:t>1B-MPM-062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Cost growth on large robotic flight programs is the most persistent and most consequential management pathology in the United States civil space portfolio. Every congressional oversight cycle returns to the same complaint, and the institutional record gives the complaint a precise definitional form. For more than a decade the U.S. Government Accountability Office has assessed NASA’s major projects against a fixed disclosure rule, flagging a project when its development cost grows by fifteen percent or more relative to its committed baseline, or when a major milestone slips by six months or more</w:t>
      </w:r>
      <w:r>
        <w:t xml:space="preserve"> </w:t>
      </w:r>
      <w:hyperlink w:anchor="ref-8">
        <w:r>
          <w:rPr>
            <w:rStyle w:val="Hyperlink"/>
          </w:rPr>
          <w:t xml:space="preserve">[8]</w:t>
        </w:r>
      </w:hyperlink>
      <w:r>
        <w:t xml:space="preserve">. That rule is not merely accounting hygiene. It is the institutional definition of a programmatic failure event, and it converts a continuous quantity, dollars of growth, into a discrete and observable breach that occurs, if it occurs at all, at some identifiable point in a program’s development life.</w:t>
      </w:r>
    </w:p>
    <w:p>
      <w:pPr>
        <w:pStyle w:val="BodyText"/>
        <w:spacing w:line="480" w:lineRule="auto"/>
        <w:ind w:firstLine="720"/>
      </w:pPr>
      <w:r>
        <w:t xml:space="preserve">The stakes of that breach for NASA and for the Jet Propulsion Laboratory are not abstract. They are distributional. Within a fixed appropriation, every dollar of overrun on one program is a dollar withdrawn from another, deferred to a later year, or recovered only by descoping science. The historical pattern is stark. The Mars Science Laboratory grew by roughly fifty-six percent and consumed a two-year slip to its next Mars launch window</w:t>
      </w:r>
      <w:r>
        <w:t xml:space="preserve"> </w:t>
      </w:r>
      <w:hyperlink w:anchor="ref-18">
        <w:r>
          <w:rPr>
            <w:rStyle w:val="Hyperlink"/>
          </w:rPr>
          <w:t xml:space="preserve">[18]</w:t>
        </w:r>
      </w:hyperlink>
      <w:r>
        <w:t xml:space="preserve">; the James Webb Space Telescope grew by ninety-four percent from its 2009 baseline against an eighty-four month slip and threatened to breach its statutory cost cap</w:t>
      </w:r>
      <w:r>
        <w:t xml:space="preserve"> </w:t>
      </w:r>
      <w:hyperlink w:anchor="ref-19">
        <w:r>
          <w:rPr>
            <w:rStyle w:val="Hyperlink"/>
          </w:rPr>
          <w:t xml:space="preserve">[19]</w:t>
        </w:r>
      </w:hyperlink>
      <w:r>
        <w:t xml:space="preserve">; Dragonfly’s development drew a dedicated NASA Office of Inspector General review of cost and schedule management</w:t>
      </w:r>
      <w:r>
        <w:t xml:space="preserve"> </w:t>
      </w:r>
      <w:hyperlink w:anchor="ref-20">
        <w:r>
          <w:rPr>
            <w:rStyle w:val="Hyperlink"/>
          </w:rPr>
          <w:t xml:space="preserve">[20]</w:t>
        </w:r>
      </w:hyperlink>
      <w:r>
        <w:t xml:space="preserve">. These are not isolated misfortunes. They are recurrent enough that the trade and oversight literature treats large-program cost growth as a structural feature of the portfolio rather than a sequence of accidents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broader space-economy record reinforces the magnitude of what is at risk: large government programs are the dominant line items whose growth shapes the national space portfolio</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 and the governance literature observes explicitly that previously unforeseen program interdependencies cause schedule changes and subsequent hikes in cost and budget that require management intervention</w:t>
      </w:r>
      <w:r>
        <w:t xml:space="preserve"> </w:t>
      </w:r>
      <w:hyperlink w:anchor="ref-6">
        <w:r>
          <w:rPr>
            <w:rStyle w:val="Hyperlink"/>
          </w:rPr>
          <w:t xml:space="preserve">[6]</w:t>
        </w:r>
      </w:hyperlink>
      <w:r>
        <w:t xml:space="preserve">.</w:t>
      </w:r>
    </w:p>
    <w:p>
      <w:pPr>
        <w:pStyle w:val="BodyText"/>
        <w:spacing w:line="480" w:lineRule="auto"/>
        <w:ind w:firstLine="720"/>
      </w:pPr>
      <w:r>
        <w:t xml:space="preserve">The practical question for a JPL-class program office is therefore not whether cost growth happens. The institutional record settles that. The question is when the risk of a formal breach concentrates across the development lifecycle, and which signals a program office already watches in real time carry forward information about that risk. A program executive confronting an eighteen-month launch slip needs to know whether that slip is itself a leading signal of an impending cost re-baseline, and, if so, with what lead time. The descriptive treatments that dominate both the trade press and the institutional record cannot answer this, because they report terminal overrun percentages while collapsing the lifecycle into a single end-state number. They tell a program executive the size of the wound but not its onset, and they offer no tested structure linking the two governance signals, schedule and budget, that the program office can actually observe before the outcome is realized.</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This dissertation is positioned in the gap between two literatures that have not been joined. On one side sits the domain literature on space program risk and cost; on the other sits the econometric literature on time-to-event modeling. Each is mature in isolation. Neither has been brought to bear on the specific object this dissertation studies.</w:t>
      </w:r>
    </w:p>
    <w:p>
      <w:pPr>
        <w:pStyle w:val="BodyText"/>
        <w:spacing w:line="480" w:lineRule="auto"/>
        <w:ind w:firstLine="720"/>
      </w:pPr>
      <w:r>
        <w:t xml:space="preserve">The domain literature engages program risk and cost along several axes, none of which is the time-to-breach process. First, risk is treated taxonomically. Recent work frames the dynamics of the risk landscape amid space-economy trends as a problem of risk modeling and taxonomy across satellite-technology and new-space project types</w:t>
      </w:r>
      <w:r>
        <w:t xml:space="preserve"> </w:t>
      </w:r>
      <w:hyperlink w:anchor="ref-5">
        <w:r>
          <w:rPr>
            <w:rStyle w:val="Hyperlink"/>
          </w:rPr>
          <w:t xml:space="preserve">[5]</w:t>
        </w:r>
      </w:hyperlink>
      <w:r>
        <w:t xml:space="preserve">, and systematic reviews invoke formal engineering-assurance standards in the avionics-qualification setting</w:t>
      </w:r>
      <w:r>
        <w:t xml:space="preserve"> </w:t>
      </w:r>
      <w:hyperlink w:anchor="ref-7">
        <w:r>
          <w:rPr>
            <w:rStyle w:val="Hyperlink"/>
          </w:rPr>
          <w:t xml:space="preserve">[7]</w:t>
        </w:r>
      </w:hyperlink>
      <w:r>
        <w:t xml:space="preserve">. This work classifies risks but does not date them. Second, risk is treated as a governance-design question. The evolution of space governance from legacy to new-space models is analyzed as the adoption of project-specific governance models to manage project risk</w:t>
      </w:r>
      <w:r>
        <w:t xml:space="preserve"> </w:t>
      </w:r>
      <w:hyperlink w:anchor="ref-4">
        <w:r>
          <w:rPr>
            <w:rStyle w:val="Hyperlink"/>
          </w:rPr>
          <w:t xml:space="preserve">[4]</w:t>
        </w:r>
      </w:hyperlink>
      <w:r>
        <w:t xml:space="preserve">. This work prescribes management structures but does not estimate when breach hazard peaks. Third, cost and schedule are treated as coupled accounting outcomes whose joint movement is acknowledged but not dynamically modeled. The observation that program interdependencies drive schedule changes and consequent cost and budget hikes asserts co-movement</w:t>
      </w:r>
      <w:r>
        <w:t xml:space="preserve"> </w:t>
      </w:r>
      <w:hyperlink w:anchor="ref-6">
        <w:r>
          <w:rPr>
            <w:rStyle w:val="Hyperlink"/>
          </w:rPr>
          <w:t xml:space="preserve">[6]</w:t>
        </w:r>
      </w:hyperlink>
      <w:r>
        <w:t xml:space="preserve">, but it does not test directionality or lead-lag structure. A parallel strand quantifies the levels of cost growth through parametric cost-estimating relationships, which encode mass, novelty, and integration complexity as cost drivers</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and through organizational accounts of joint-program cost growth in which delay functions as both a symptom and an amplifier of cost</w:t>
      </w:r>
      <w:r>
        <w:t xml:space="preserve"> </w:t>
      </w:r>
      <w:hyperlink w:anchor="ref-15">
        <w:r>
          <w:rPr>
            <w:rStyle w:val="Hyperlink"/>
          </w:rPr>
          <w:t xml:space="preserve">[15]</w:t>
        </w:r>
      </w:hyperlink>
      <w:r>
        <w:t xml:space="preserve">. This strand explains how large an overrun becomes, but it models the cross-section of final outcomes rather than the timing of the breach event itself.</w:t>
      </w:r>
    </w:p>
    <w:p>
      <w:pPr>
        <w:pStyle w:val="BodyText"/>
        <w:spacing w:line="480" w:lineRule="auto"/>
        <w:ind w:firstLine="720"/>
      </w:pPr>
      <w:r>
        <w:t xml:space="preserve">On the other side, the method literature provides exactly the instrument the domain literature lacks. Survival analysis, and specifically the Cox proportional-hazards model</w:t>
      </w:r>
      <w:r>
        <w:t xml:space="preserve"> </w:t>
      </w:r>
      <w:hyperlink w:anchor="ref-14">
        <w:r>
          <w:rPr>
            <w:rStyle w:val="Hyperlink"/>
          </w:rPr>
          <w:t xml:space="preserve">[14]</w:t>
        </w:r>
      </w:hyperlink>
      <w:r>
        <w:t xml:space="preserve">, was built to estimate the instantaneous risk of a dated event as a function of elapsed time and of covariates that themselves evolve, while correctly handling observations whose outcome has not yet occurred. It is the canonical tool for a population in which some units have already experienced the event, some have exited without it, and some remain under observation with the outcome unrealized. The cliometric tradition, in turn, supplies the discipline of reading a documented historical run of programs as a quantitative panel and the corrective, due to Flyvbjerg, that optimism bias and strategic misrepresentation at the point of commitment make baseline-relative outcomes a legitimate and necessary object of statistical study</w:t>
      </w:r>
      <w:r>
        <w:t xml:space="preserve"> </w:t>
      </w:r>
      <w:hyperlink w:anchor="ref-9">
        <w:r>
          <w:rPr>
            <w:rStyle w:val="Hyperlink"/>
          </w:rPr>
          <w:t xml:space="preserve">[9]</w:t>
        </w:r>
      </w:hyperlink>
      <w:r>
        <w:t xml:space="preserve">.</w:t>
      </w:r>
    </w:p>
    <w:p>
      <w:pPr>
        <w:pStyle w:val="BodyText"/>
        <w:spacing w:line="480" w:lineRule="auto"/>
        <w:ind w:firstLine="720"/>
      </w:pPr>
      <w:r>
        <w:t xml:space="preserve">The gap is therefore specific and methodological, not a matter of missing data or missing concern. No retrieved domain source models NASA cost breach as a dated, right-censored event with a time-varying schedule covariate. The taxonomy literature classifies but does not time</w:t>
      </w:r>
      <w:r>
        <w:t xml:space="preserve"> </w:t>
      </w:r>
      <w:hyperlink w:anchor="ref-5">
        <w:r>
          <w:rPr>
            <w:rStyle w:val="Hyperlink"/>
          </w:rPr>
          <w:t xml:space="preserve">[5]</w:t>
        </w:r>
      </w:hyperlink>
      <w:r>
        <w:t xml:space="preserve">; the governance literature prescribes but does not estimate hazard</w:t>
      </w:r>
      <w:r>
        <w:t xml:space="preserve"> </w:t>
      </w:r>
      <w:hyperlink w:anchor="ref-4">
        <w:r>
          <w:rPr>
            <w:rStyle w:val="Hyperlink"/>
          </w:rPr>
          <w:t xml:space="preserve">[4]</w:t>
        </w:r>
      </w:hyperlink>
      <w:r>
        <w:t xml:space="preserve">; the coupled-outcome literature asserts co-movement but does not test whether schedule slip leads or merely accompanies cost breach</w:t>
      </w:r>
      <w:r>
        <w:t xml:space="preserve"> </w:t>
      </w:r>
      <w:hyperlink w:anchor="ref-6">
        <w:r>
          <w:rPr>
            <w:rStyle w:val="Hyperlink"/>
          </w:rPr>
          <w:t xml:space="preserve">[6]</w:t>
        </w:r>
      </w:hyperlink>
      <w:r>
        <w:t xml:space="preserve">; the parametric and cross-sectional cost literature predicts the magnitude of growth but not the moment of its formal recognition</w:t>
      </w:r>
      <w:r>
        <w:t xml:space="preserve"> </w:t>
      </w:r>
      <w:hyperlink w:anchor="ref-10">
        <w:r>
          <w:rPr>
            <w:rStyle w:val="Hyperlink"/>
          </w:rPr>
          <w:t xml:space="preserve">[10]</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 The companion studies that anchor this dissertation establish the two halves of the empirical picture that the present chapter integrates. The first models the breach as a survival process and recovers the structural pattern that program-management theory predicts, finding that new-technology content, flagship scale, and payload complexity all raise the instantaneous hazard of breach in the point estimates, while the size of the committed baseline lowers the proportional hazard against which a fixed-percentage threshold is measured. The second takes the complementary cross-sectional view and finds that schedule slip and first-of-kind technology, not raw program scale, drive the eventual size of the overrun, with each month of launch-readiness slip associated with roughly nine-tenths of a percentage point of additional cost growth. The cross-sectional result is a strong predictive association but, by construction, cannot speak to timing, because percent cost growth and schedule slip are jointly determined within the same observation window. The survival framing is the natural correction. It dates the event, censors programs still in flight without breach, and lets schedule slip enter as a lagged, time-varying regressor whose hazard contribution is estimable and falsifiable. This dissertation occupies that correction.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this dissertation reduces to one estimated quantity and one falsifiable claim about it. The quantity is the hazard ratio on lagged cumulative schedule slip in a Cox proportional-hazards model of time-to-first-cost-breach for JPL-class flight programs. The claim is that schedule slip is a leading, not merely concurrent, indicator of cost-breach hazard.</w:t>
      </w:r>
    </w:p>
    <w:p>
      <w:pPr>
        <w:pStyle w:val="BodyText"/>
        <w:spacing w:line="480" w:lineRule="auto"/>
        <w:ind w:firstLine="720"/>
      </w:pPr>
      <w:r>
        <w:t xml:space="preserve">The event under study is the first formal cost-baseline breach, operationalized as a re-baseline of a program’s life-cycle development cost above its confirmation-review baseline beyond the established reporting threshold. The clock is months elapsed from confirmation review; programs that launched, or remain in development, without a recorded breach are right-censored at last observation. The central covariate is cumulative schedule slip, measured as the cumulative change in launch-readiness date relative to the confirmation baseline, entered as a time-varying regressor and lagged one reporting cycle. The lag is the identifying device. A contemporaneous slip term is included alongside the lagged term, so that the lagged coefficient is identified off slip that occurred before the breach was recorded, separating leading signal from concurrent co-movement. Program class and log confirmation-baseline cost enter as controls.</w:t>
      </w:r>
    </w:p>
    <w:p>
      <w:pPr>
        <w:pStyle w:val="BodyText"/>
        <w:spacing w:line="480" w:lineRule="auto"/>
        <w:ind w:firstLine="720"/>
      </w:pPr>
      <w:r>
        <w:t xml:space="preserve">The hypothesis pair is stated precisely so that a single coefficient can refute it.</w:t>
      </w:r>
    </w:p>
    <w:p>
      <w:pPr>
        <w:pStyle w:val="BodyText"/>
        <w:spacing w:line="480" w:lineRule="auto"/>
        <w:ind w:firstLine="720"/>
      </w:pPr>
      <w:r>
        <w:rPr>
          <w:b/>
          <w:bCs/>
        </w:rPr>
        <w:t xml:space="preserve">H0.</w:t>
      </w:r>
      <w:r>
        <w:t xml:space="preserve"> </w:t>
      </w:r>
      <w:r>
        <w:t xml:space="preserve">Conditional on program class and confirmation-baseline cost, lagged cumulative schedule slip carries no association with cost-breach hazard; the hazard ratio on the lagged slip covariate equals one, that is, the log-hazard coefficient β equals zero.</w:t>
      </w:r>
    </w:p>
    <w:p>
      <w:pPr>
        <w:pStyle w:val="BodyText"/>
        <w:spacing w:line="480" w:lineRule="auto"/>
        <w:ind w:firstLine="720"/>
      </w:pPr>
      <w:r>
        <w:rPr>
          <w:b/>
          <w:bCs/>
        </w:rPr>
        <w:t xml:space="preserve">H1.</w:t>
      </w:r>
      <w:r>
        <w:t xml:space="preserve"> </w:t>
      </w:r>
      <w:r>
        <w:t xml:space="preserve">Lagged cumulative schedule slip is a leading indicator of cost-breach hazard; the hazard ratio on the lagged slip covariate is strictly greater than one, β greater than zero, and the lagged term remains significant when the contemporaneous slip term is included, establishing that slip precedes rather than merely accompanies breach.</w:t>
      </w:r>
    </w:p>
    <w:p>
      <w:pPr>
        <w:pStyle w:val="BodyText"/>
        <w:spacing w:line="480" w:lineRule="auto"/>
        <w:ind w:firstLine="720"/>
      </w:pPr>
      <w:r>
        <w:t xml:space="preserve">The claim is falsifiable in that single coefficient. If the estimated hazard ratio on lagged slip is statistically indistinguishable from one, or if it collapses to one once the contemporaneous term is added, H1 fails and the leading-indicator mechanism is rejected. This is a deliberately narrow and disprovable contribution. The dissertation does not claim to explain all cost growth, nor to settle the causal economics of overrun, nor to displace the parametric cost literature that predicts magnitude. It converts one descriptive observation from the domain literature, that schedule and cost move together</w:t>
      </w:r>
      <w:r>
        <w:t xml:space="preserve"> </w:t>
      </w:r>
      <w:hyperlink w:anchor="ref-6">
        <w:r>
          <w:rPr>
            <w:rStyle w:val="Hyperlink"/>
          </w:rPr>
          <w:t xml:space="preserve">[6]</w:t>
        </w:r>
      </w:hyperlink>
      <w:r>
        <w:t xml:space="preserve">, into a directional, dated, and testable hazard specification, and it stakes its claim to novelty on the lead-lag result alone.</w:t>
      </w:r>
    </w:p>
    <w:p>
      <w:pPr>
        <w:pStyle w:val="BodyText"/>
        <w:spacing w:line="480" w:lineRule="auto"/>
        <w:ind w:firstLine="720"/>
      </w:pPr>
      <w:r>
        <w:t xml:space="preserve">The contribution matters precisely because it is actionable. The variable the model places at its center, schedule slip, is the variable a program office and an oversight body observe earliest and most reliably, well before a formal cost re-baseline is administratively recognized. If H1 holds, the lagged hazard ratio is an early-warning specification: it tells a program executive that the first months of unrecovered launch slip carry forward information about an impending budget breach, and it quantifies the lead time over which that warning is informative. If H1 fails, the field learns something equally useful, namely that schedule and cost breach are contemporaneous manifestations of a common shock rather than a sequence in which one anticipates the other, and that schedule discipline buys no forward visibility into cost outcomes beyond what the cost record already shows.</w:t>
      </w:r>
    </w:p>
    <w:bookmarkEnd w:id="63"/>
    <w:bookmarkStart w:id="64" w:name="data-and-falsifiability-of-provenance"/>
    <w:p>
      <w:pPr>
        <w:pStyle w:val="Heading2"/>
        <w:spacing w:line="480" w:lineRule="auto"/>
      </w:pPr>
      <w:r>
        <w:t xml:space="preserve">1.4 Data and Falsifiability of Provenance</w:t>
      </w:r>
    </w:p>
    <w:p>
      <w:pPr>
        <w:pStyle w:val="FirstParagraph"/>
        <w:spacing w:line="480" w:lineRule="auto"/>
      </w:pPr>
      <w:r>
        <w:t xml:space="preserve">The estimation rests on a specific, real, and openly obtainable dataset, which is itself a precondition for the contribution to be falsifiable by replication. The record is assembled from two consistently published, non-paywalled federal sources. The first is the recurring GAO Annual Assessment of NASA’s Major Projects series, which reports cost and schedule performance against confirmation baselines for the portfolio of NASA major projects above the statutory cost threshold, including JPL-managed missions, and explicitly flags re-baselines</w:t>
      </w:r>
      <w:r>
        <w:t xml:space="preserve"> </w:t>
      </w:r>
      <w:hyperlink w:anchor="ref-8">
        <w:r>
          <w:rPr>
            <w:rStyle w:val="Hyperlink"/>
          </w:rPr>
          <w:t xml:space="preserve">[8]</w:t>
        </w:r>
      </w:hyperlink>
      <w:r>
        <w:t xml:space="preserve">. The second is the family of program-specific oversight documents, including dedicated GAO mission reports</w:t>
      </w:r>
      <w:r>
        <w:t xml:space="preserve"> </w:t>
      </w:r>
      <w:hyperlink w:anchor="ref-19">
        <w:r>
          <w:rPr>
            <w:rStyle w:val="Hyperlink"/>
          </w:rPr>
          <w:t xml:space="preserve">[19]</w:t>
        </w:r>
      </w:hyperlink>
      <w:r>
        <w:t xml:space="preserve"> </w:t>
      </w:r>
      <w:r>
        <w:t xml:space="preserve">and NASA Office of Inspector General reviews</w:t>
      </w:r>
      <w:r>
        <w:t xml:space="preserve"> </w:t>
      </w:r>
      <w:hyperlink w:anchor="ref-20">
        <w:r>
          <w:rPr>
            <w:rStyle w:val="Hyperlink"/>
          </w:rPr>
          <w:t xml:space="preserve">[20]</w:t>
        </w:r>
      </w:hyperlink>
      <w:r>
        <w:t xml:space="preserve">, together with independent cost analyses that tabulate per-mission baseline-to-current figures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 The analysis population is JPL-class robotic flight programs across the flagship, New Frontiers, and Discovery tiers appearing in these reports across the available reporting years. Records are keyed by mission and confirmation date, and cost figures are normalized to constant dollars. No datum in this design is internal, embargoed, or proprietary; both source families are published documents of the United States government, downloadable from gao.gov and the relevant agency sites, so that any reader can reconstruct the panel and re-estimate the single coefficient on which the claim stands or falls.</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proceeds as follows. Chapter 2 reviews the two literatures whose junction this dissertation occupies, the domain literature on space program risk, governance, and cost, and the econometric literature on survival analysis and cliometric panel construction, and it states precisely where the time-to-breach process falls between them. Chapter 3 develops the theoretical account of why schedule slip should lead rather than merely accompany cost breach, drawing the standing-army and integration-discovery mechanisms from the cost-growth literature</w:t>
      </w:r>
      <w:r>
        <w:t xml:space="preserve"> </w:t>
      </w:r>
      <w:hyperlink w:anchor="ref-15">
        <w:r>
          <w:rPr>
            <w:rStyle w:val="Hyperlink"/>
          </w:rPr>
          <w:t xml:space="preserve">[15]</w:t>
        </w:r>
      </w:hyperlink>
      <w:r>
        <w:t xml:space="preserve"> </w:t>
      </w:r>
      <w:r>
        <w:t xml:space="preserve">and the optimism-bias mechanism from the project-risk literature</w:t>
      </w:r>
      <w:r>
        <w:t xml:space="preserve"> </w:t>
      </w:r>
      <w:hyperlink w:anchor="ref-9">
        <w:r>
          <w:rPr>
            <w:rStyle w:val="Hyperlink"/>
          </w:rPr>
          <w:t xml:space="preserve">[9]</w:t>
        </w:r>
      </w:hyperlink>
      <w:r>
        <w:t xml:space="preserve"> </w:t>
      </w:r>
      <w:r>
        <w:t xml:space="preserve">into a single dated-hazard logic. Chapter 4 specifies the Cox proportional-hazards estimator, defines the event, the clock, the censoring rule, and the lagged time-varying schedule covariate, and details the identification strategy that separates leading from concurrent signal. Chapter 5 describes the data, its federal provenance, the coding of program class and baseline cost, and the constant-dollar normalization, and it documents the threats to validity, principally small-N event scarcity, the endogeneity of re-baseline timing, possible violation of the proportional-hazards assumption, and the construct validity of program class, together with the remedies adopted for each. Chapter 6 reports the estimates, centering the lagged-slip hazard ratio and its profile-likelihood confidence interval, and presents the robustness checks against alternative breach-date definitions and against a slip-by-time interaction. Chapter 7 integrates the hazard result with the companion cross-sectional finding, draws the implication for early-warning practice and for the design of proportional versus absolute oversight triggers, states the limitations honestly, and concludes. The dissertation’s worth turns on a single coefficient, and the chapters that follow are organized to make that coefficient as transparent, as well-identified, and as falsifiable as the public record allows.</w:t>
      </w:r>
    </w:p>
    <w:bookmarkEnd w:id="65"/>
    <w:bookmarkEnd w:id="66"/>
    <w:bookmarkStart w:id="80" w:name="chapter-2.-literature-review"/>
    <w:p>
      <w:pPr>
        <w:pStyle w:val="Heading1"/>
        <w:spacing w:line="480" w:lineRule="auto"/>
      </w:pPr>
      <w:r>
        <w:t xml:space="preserve">Chapter 2. Literature Review</w:t>
      </w:r>
    </w:p>
    <w:bookmarkStart w:id="67" w:name="Xed474cd8d1325411cd24c8cbe9c0aa65f0ff2b0"/>
    <w:p>
      <w:pPr>
        <w:pStyle w:val="Heading2"/>
        <w:spacing w:line="480" w:lineRule="auto"/>
      </w:pPr>
      <w:r>
        <w:t xml:space="preserve">2.1 Orientation: Two Literatures That Do Not Speak</w:t>
      </w:r>
    </w:p>
    <w:p>
      <w:pPr>
        <w:pStyle w:val="FirstParagraph"/>
        <w:spacing w:line="480" w:lineRule="auto"/>
      </w:pPr>
      <w:r>
        <w:t xml:space="preserve">This dissertation sits at the seam between two mature but largely disconnected bodies of scholarship. The first is the domain technical literature on the management, costing, and risk of large space flight programs: the work that explains why flagship and competed planetary, astrophysics, and Earth-science missions overrun, what drives the magnitude of that overrun, and how oversight bodies and program offices attempt to govern it. The second is the cliometric and econometric methodology literature on time-to-event modeling and parametric cost-growth estimation: the statistical machinery, descended from Cox’s proportional-hazards regression, by which a historical run of cases can be read as a dated, censored process rather than a static cross-section. The animating observation of this review is that these two literatures have not been joined. The space-program scholarship reports terminal overrun percentages and taxonomizes risk; the survival-analysis methodology that could date the breach event and condition its instantaneous hazard on an evolving schedule signal exists in full maturity but has not been brought to bear on the JPL-class population. This chapter reviews each literature on its own terms, then locates the precise methodological gap that the dissertation occupies, and shows how the two companion studies of this program already begin to bridge it.</w:t>
      </w:r>
    </w:p>
    <w:p>
      <w:pPr>
        <w:pStyle w:val="BodyText"/>
        <w:spacing w:line="480" w:lineRule="auto"/>
        <w:ind w:firstLine="720"/>
      </w:pPr>
      <w:r>
        <w:t xml:space="preserve">The review proceeds in four movements. Section 2.2 surveys the domain technical literature on cost growth, treating in turn the descriptive-accounting tradition, the parametric cost-estimating tradition, the organizational and behavioral tradition, and the governance-and-taxonomy tradition. Section 2.3 surveys the methodological literature: the Cox model and its survival-analysis apparatus, the cliometric practice of reading historical records as event processes, and the small-sample inferential refinements the JPL-class population demands. Section 2.4 synthesizes the two and states the gap formally. Section 2.5 situates the companion ordinary-least-squares and hazard studies of this dissertation within that gap and identifies the residual question the substantive chapters will answer.</w:t>
      </w:r>
    </w:p>
    <w:bookmarkEnd w:id="67"/>
    <w:bookmarkStart w:id="72" w:name="X2e9b77831843c260d05eb26dd573ac018890c86"/>
    <w:p>
      <w:pPr>
        <w:pStyle w:val="Heading2"/>
        <w:spacing w:line="480" w:lineRule="auto"/>
      </w:pPr>
      <w:r>
        <w:t xml:space="preserve">2.2 The Domain Technical Literature on Cost Growth</w:t>
      </w:r>
    </w:p>
    <w:bookmarkStart w:id="68" w:name="the-descriptive-accounting-tradition"/>
    <w:p>
      <w:pPr>
        <w:pStyle w:val="Heading3"/>
        <w:spacing w:line="480" w:lineRule="auto"/>
      </w:pPr>
      <w:r>
        <w:t xml:space="preserve">2.2.1 The Descriptive-Accounting Tradition</w:t>
      </w:r>
    </w:p>
    <w:p>
      <w:pPr>
        <w:pStyle w:val="FirstParagraph"/>
        <w:spacing w:line="480" w:lineRule="auto"/>
      </w:pPr>
      <w:r>
        <w:t xml:space="preserve">The oldest and institutionally most consequential treatment of mission cost growth is descriptive and terminal. In this tradition a program is reported, after the fact or near the end of its development, to have finished some percentage above its confirmation estimate, and that percentage is the analytic object. The institutional record supplies the canonical instances. The U.S. Government Accountability Office’s recurring assessments of NASA’s major projects apply a fixed disclosure rule, flagging a project when its development cost grows by fifteen percent or more relative to its committed baseline or when a major milestone slips by six months or more</w:t>
      </w:r>
      <w:r>
        <w:t xml:space="preserve"> </w:t>
      </w:r>
      <w:hyperlink w:anchor="ref-8">
        <w:r>
          <w:rPr>
            <w:rStyle w:val="Hyperlink"/>
          </w:rPr>
          <w:t xml:space="preserve">[8]</w:t>
        </w:r>
      </w:hyperlink>
      <w:r>
        <w:t xml:space="preserve">. That rule is more than accounting hygiene: it converts a continuous quantity, dollars of growth, into a discrete and observable breach, and it is the institutional definition of a programmatic failure event around which this dissertation is built</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The trade and analytic press that tabulates those figures, including SpacePolicyOnline’s running coverage of GAO findings</w:t>
      </w:r>
      <w:r>
        <w:t xml:space="preserve"> </w:t>
      </w:r>
      <w:hyperlink w:anchor="ref-12">
        <w:r>
          <w:rPr>
            <w:rStyle w:val="Hyperlink"/>
          </w:rPr>
          <w:t xml:space="preserve">[12]</w:t>
        </w:r>
      </w:hyperlink>
      <w:r>
        <w:t xml:space="preserve"> </w:t>
      </w:r>
      <w:r>
        <w:t xml:space="preserve">and The Planetary Society’s mission cost datasets</w:t>
      </w:r>
      <w:r>
        <w:t xml:space="preserve"> </w:t>
      </w:r>
      <w:hyperlink w:anchor="ref-13">
        <w:r>
          <w:rPr>
            <w:rStyle w:val="Hyperlink"/>
          </w:rPr>
          <w:t xml:space="preserve">[13]</w:t>
        </w:r>
      </w:hyperlink>
      <w:r>
        <w:t xml:space="preserve">, extends the descriptive record across the portfolio and into individual anchor cases.</w:t>
      </w:r>
    </w:p>
    <w:p>
      <w:pPr>
        <w:pStyle w:val="BodyText"/>
        <w:spacing w:line="480" w:lineRule="auto"/>
        <w:ind w:firstLine="720"/>
      </w:pPr>
      <w:r>
        <w:t xml:space="preserve">Those anchor cases are themselves a literature. The cost of the Mars Science Laboratory, documented in detail by Dreier, is the canonical illustration of a schedule-driven overrun: a slip to the next Mars launch opportunity carried roughly fifty-six percent cost growth</w:t>
      </w:r>
      <w:r>
        <w:t xml:space="preserve"> </w:t>
      </w:r>
      <w:hyperlink w:anchor="ref-18">
        <w:r>
          <w:rPr>
            <w:rStyle w:val="Hyperlink"/>
          </w:rPr>
          <w:t xml:space="preserve">[18]</w:t>
        </w:r>
      </w:hyperlink>
      <w:r>
        <w:t xml:space="preserve">. The James Webb Space Telescope is the dominant flagship instance, its integration-and-test difficulties having delayed launch and threatened to push costs over a congressional cap, with a documented growth near ninety-four percent against its 2009 baseline and an eighty-four-month slip</w:t>
      </w:r>
      <w:r>
        <w:t xml:space="preserve"> </w:t>
      </w:r>
      <w:hyperlink w:anchor="ref-19">
        <w:r>
          <w:rPr>
            <w:rStyle w:val="Hyperlink"/>
          </w:rPr>
          <w:t xml:space="preserve">[19]</w:t>
        </w:r>
      </w:hyperlink>
      <w:r>
        <w:t xml:space="preserve">. More recent cases extend the descriptive record forward: the NASA Office of Inspector General’s review of the Dragonfly project documents roughly a doubling of cost</w:t>
      </w:r>
      <w:r>
        <w:t xml:space="preserve"> </w:t>
      </w:r>
      <w:hyperlink w:anchor="ref-20">
        <w:r>
          <w:rPr>
            <w:rStyle w:val="Hyperlink"/>
          </w:rPr>
          <w:t xml:space="preserve">[20]</w:t>
        </w:r>
      </w:hyperlink>
      <w:r>
        <w:t xml:space="preserve">. The macro framing of why these numbers matter is supplied by the space-economy literature, which establishes that large government programs are the dominant line items shaping the national portfolio. Weinzierl’s account of the economics of space documents that the Space Shuttle program consumed a large share of NASA’s human-spaceflight budget over its life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and the broader forecasting literature on the space economy treats government programs as the budget-defining items whose growth shapes the whole portfolio</w:t>
      </w:r>
      <w:r>
        <w:t xml:space="preserve"> </w:t>
      </w:r>
      <w:hyperlink w:anchor="ref-3">
        <w:r>
          <w:rPr>
            <w:rStyle w:val="Hyperlink"/>
          </w:rPr>
          <w:t xml:space="preserve">[3]</w:t>
        </w:r>
      </w:hyperlink>
      <w:r>
        <w:t xml:space="preserve">.</w:t>
      </w:r>
    </w:p>
    <w:p>
      <w:pPr>
        <w:pStyle w:val="BodyText"/>
        <w:spacing w:line="480" w:lineRule="auto"/>
        <w:ind w:firstLine="720"/>
      </w:pPr>
      <w:r>
        <w:t xml:space="preserve">The strength of the descriptive-accounting tradition is its grounding in named, auditable, public figures. Its limitation, and the point of departure for this dissertation, is analytic. A terminal percentage tells a program executive the size of the wound but not its onset. It collapses the development lifecycle into a single end-state number and therefore offers no testable structure linking the two governance signals a program office actually watches in real time, schedule and budget. The descriptive tradition reports that programs overrun; it does not model when, during development exposure, the risk of overrun concentrates.</w:t>
      </w:r>
    </w:p>
    <w:bookmarkEnd w:id="68"/>
    <w:bookmarkStart w:id="69" w:name="the-parametric-cost-estimating-tradition"/>
    <w:p>
      <w:pPr>
        <w:pStyle w:val="Heading3"/>
        <w:spacing w:line="480" w:lineRule="auto"/>
      </w:pPr>
      <w:r>
        <w:t xml:space="preserve">2.2.2 The Parametric Cost-Estimating Tradition</w:t>
      </w:r>
    </w:p>
    <w:p>
      <w:pPr>
        <w:pStyle w:val="FirstParagraph"/>
        <w:spacing w:line="480" w:lineRule="auto"/>
      </w:pPr>
      <w:r>
        <w:t xml:space="preserve">A second domain literature is engineering-parametric rather than accounting-descriptive. It seeks to predict, before the fact, what a mission will cost as a function of its physical and architectural attributes. The validated tools in this tradition encode size, mass, and novelty as primary cost drivers. Friz and colleagues’ blind validation study of the SEER-H parametric cost-estimation tool for NASA space missions establishes that such cost-estimating relationships can track development cost across a range of missions, with mass and complexity as leading parameters</w:t>
      </w:r>
      <w:r>
        <w:t xml:space="preserve"> </w:t>
      </w:r>
      <w:hyperlink w:anchor="ref-16">
        <w:r>
          <w:rPr>
            <w:rStyle w:val="Hyperlink"/>
          </w:rPr>
          <w:t xml:space="preserve">[16]</w:t>
        </w:r>
      </w:hyperlink>
      <w:r>
        <w:t xml:space="preserve">. The methodological logic generalizes beyond NASA hardware. Viola and colleagues, constructing a research, development, and production cost-prediction parametric model for future civil hypersonic aircraft, note that the absence of analogues widens the cost-uncertainty band precisely where novelty is highest</w:t>
      </w:r>
      <w:r>
        <w:t xml:space="preserve"> </w:t>
      </w:r>
      <w:hyperlink w:anchor="ref-17">
        <w:r>
          <w:rPr>
            <w:rStyle w:val="Hyperlink"/>
          </w:rPr>
          <w:t xml:space="preserve">[17]</w:t>
        </w:r>
      </w:hyperlink>
      <w:r>
        <w:t xml:space="preserve">, a result echoed in the parametric model for future spacecraft</w:t>
      </w:r>
      <w:r>
        <w:t xml:space="preserve"> </w:t>
      </w:r>
      <w:hyperlink w:anchor="ref-10">
        <w:r>
          <w:rPr>
            <w:rStyle w:val="Hyperlink"/>
          </w:rPr>
          <w:t xml:space="preserve">[10]</w:t>
        </w:r>
      </w:hyperlink>
      <w:r>
        <w:t xml:space="preserve">. Dorrington and Olsen reach a parallel conclusion in their parametric economic modeling of asteroid-mining architectures, where first-of-kind systems dominate the cost-risk envelope and cost dispersion widens sharply as a design departs from heritage hardware</w:t>
      </w:r>
      <w:r>
        <w:t xml:space="preserve"> </w:t>
      </w:r>
      <w:hyperlink w:anchor="ref-11">
        <w:r>
          <w:rPr>
            <w:rStyle w:val="Hyperlink"/>
          </w:rPr>
          <w:t xml:space="preserve">[11]</w:t>
        </w:r>
      </w:hyperlink>
      <w:r>
        <w:t xml:space="preserve">,</w:t>
      </w:r>
      <w:r>
        <w:t xml:space="preserve"> </w:t>
      </w:r>
      <w:hyperlink w:anchor="ref-21">
        <w:r>
          <w:rPr>
            <w:rStyle w:val="Hyperlink"/>
          </w:rPr>
          <w:t xml:space="preserve">[21]</w:t>
        </w:r>
      </w:hyperlink>
      <w:r>
        <w:t xml:space="preserve">.</w:t>
      </w:r>
    </w:p>
    <w:p>
      <w:pPr>
        <w:pStyle w:val="BodyText"/>
        <w:spacing w:line="480" w:lineRule="auto"/>
        <w:ind w:firstLine="720"/>
      </w:pPr>
      <w:r>
        <w:t xml:space="preserve">This tradition contributes the substantive mechanism by which structural program features map to latent cost. New-technology content raises cost because first-of-kind development is where estimates are least anchored and reserves least adequate</w:t>
      </w:r>
      <w:r>
        <w:t xml:space="preserve"> </w:t>
      </w:r>
      <w:hyperlink w:anchor="ref-10">
        <w:r>
          <w:rPr>
            <w:rStyle w:val="Hyperlink"/>
          </w:rPr>
          <w:t xml:space="preserve">[10]</w:t>
        </w:r>
      </w:hyperlink>
      <w:r>
        <w:t xml:space="preserve">,</w:t>
      </w:r>
      <w:r>
        <w:t xml:space="preserve"> </w:t>
      </w:r>
      <w:hyperlink w:anchor="ref-17">
        <w:r>
          <w:rPr>
            <w:rStyle w:val="Hyperlink"/>
          </w:rPr>
          <w:t xml:space="preserve">[17]</w:t>
        </w:r>
      </w:hyperlink>
      <w:r>
        <w:t xml:space="preserve">. Payload and instrument complexity raises cost through the integration-and-test pathway, since more distinct elements mean more interfaces to verify and more opportunities for discovery during test</w:t>
      </w:r>
      <w:r>
        <w:t xml:space="preserve"> </w:t>
      </w:r>
      <w:hyperlink w:anchor="ref-16">
        <w:r>
          <w:rPr>
            <w:rStyle w:val="Hyperlink"/>
          </w:rPr>
          <w:t xml:space="preserve">[16]</w:t>
        </w:r>
      </w:hyperlink>
      <w:r>
        <w:t xml:space="preserve">. The frontier-economics literature generalizes the novelty point still further, treating the cost of operating in a domain without settled rules as itself a source of overrun</w:t>
      </w:r>
      <w:r>
        <w:t xml:space="preserve"> </w:t>
      </w:r>
      <w:hyperlink w:anchor="ref-22">
        <w:r>
          <w:rPr>
            <w:rStyle w:val="Hyperlink"/>
          </w:rPr>
          <w:t xml:space="preserve">[22]</w:t>
        </w:r>
      </w:hyperlink>
      <w:r>
        <w:t xml:space="preserve">. These mechanisms are indispensable to the present work: they justify the covariate set, motivating new-technology content, flagship scale, and payload complexity as theoretically grounded predictors of cost outcomes.</w:t>
      </w:r>
    </w:p>
    <w:p>
      <w:pPr>
        <w:pStyle w:val="BodyText"/>
        <w:spacing w:line="480" w:lineRule="auto"/>
        <w:ind w:firstLine="720"/>
      </w:pPr>
      <w:r>
        <w:t xml:space="preserve">The limitation of the parametric tradition is that it predicts levels, not dynamics, and cross-sections, not timed processes. A parametric model estimates what a mission should cost or how far it might disperse; it does not model the instantaneous hazard that a given program, already months into development, will cross an overrun threshold in the next reporting cycle. The parametric literature supplies the covariates of a hazard model without supplying the hazard model.</w:t>
      </w:r>
    </w:p>
    <w:bookmarkEnd w:id="69"/>
    <w:bookmarkStart w:id="70" w:name="X26aec672f783bae9b230683083ab56e41f94267"/>
    <w:p>
      <w:pPr>
        <w:pStyle w:val="Heading3"/>
        <w:spacing w:line="480" w:lineRule="auto"/>
      </w:pPr>
      <w:r>
        <w:t xml:space="preserve">2.2.3 The Organizational and Behavioral Tradition</w:t>
      </w:r>
    </w:p>
    <w:p>
      <w:pPr>
        <w:pStyle w:val="FirstParagraph"/>
        <w:spacing w:line="480" w:lineRule="auto"/>
      </w:pPr>
      <w:r>
        <w:t xml:space="preserve">A third domain literature locates the cause of overrun not in physics but in organizations and incentives. The behavioral account, exemplified by Flyvbjerg’s work on getting risks right in large projects, rests on optimism bias and strategic misrepresentation at the point of commitment: baselines are set low, whether through genuine underestimation of first-of-kind difficulty or through the incentive to clear a funding gate, and the gap surfaces later as growth</w:t>
      </w:r>
      <w:r>
        <w:t xml:space="preserve"> </w:t>
      </w:r>
      <w:hyperlink w:anchor="ref-9">
        <w:r>
          <w:rPr>
            <w:rStyle w:val="Hyperlink"/>
          </w:rPr>
          <w:t xml:space="preserve">[9]</w:t>
        </w:r>
      </w:hyperlink>
      <w:r>
        <w:t xml:space="preserve">. This is a theory of why the breach event exists at all, and it predicts that the breach is structured, concentrated in identifiable program types rather than randomly distributed.</w:t>
      </w:r>
    </w:p>
    <w:p>
      <w:pPr>
        <w:pStyle w:val="BodyText"/>
        <w:spacing w:line="480" w:lineRule="auto"/>
        <w:ind w:firstLine="720"/>
      </w:pPr>
      <w:r>
        <w:t xml:space="preserve">The organizational account is developed most directly for the space domain by Dwyer, Szajnfarber, Cameron, and Crawley, whose model for understanding and managing cost growth on joint programs shows that organizational and programmatic features, rather than raw technical difficulty alone, drive cost growth, and that delay is both a symptom and an amplifier of cost growth because standing armies of engineers and facilities continue to draw funding while a program waits</w:t>
      </w:r>
      <w:r>
        <w:t xml:space="preserve"> </w:t>
      </w:r>
      <w:hyperlink w:anchor="ref-15">
        <w:r>
          <w:rPr>
            <w:rStyle w:val="Hyperlink"/>
          </w:rPr>
          <w:t xml:space="preserve">[15]</w:t>
        </w:r>
      </w:hyperlink>
      <w:r>
        <w:t xml:space="preserve">. This standing-army mechanism is the proximate theoretical link between schedule and cost that the present dissertation operationalizes. It implies that schedule slip is not merely correlated with cost growth but is a causal amplifier, and the MSL Curiosity case quantifies the linkage: a two-year slip carrying roughly fifty-six percent cost growth</w:t>
      </w:r>
      <w:r>
        <w:t xml:space="preserve"> </w:t>
      </w:r>
      <w:hyperlink w:anchor="ref-18">
        <w:r>
          <w:rPr>
            <w:rStyle w:val="Hyperlink"/>
          </w:rPr>
          <w:t xml:space="preserve">[18]</w:t>
        </w:r>
      </w:hyperlink>
      <w:r>
        <w:t xml:space="preserve">. The organizational-behavioral tradition therefore supplies the directional intuition, that slip precedes and amplifies breach, which the survival specification of this dissertation renders falsifiable.</w:t>
      </w:r>
    </w:p>
    <w:p>
      <w:pPr>
        <w:pStyle w:val="BodyText"/>
        <w:spacing w:line="480" w:lineRule="auto"/>
        <w:ind w:firstLine="720"/>
      </w:pPr>
      <w:r>
        <w:t xml:space="preserve">What the organizational tradition does not supply is a timed test of directionality. Dwyer and colleagues establish that delay amplifies cost; they do not estimate the lead time with which a schedule signal forecasts a budget breach, nor do they distinguish leading from concurrent slip in a dated hazard process</w:t>
      </w:r>
      <w:r>
        <w:t xml:space="preserve"> </w:t>
      </w:r>
      <w:hyperlink w:anchor="ref-15">
        <w:r>
          <w:rPr>
            <w:rStyle w:val="Hyperlink"/>
          </w:rPr>
          <w:t xml:space="preserve">[15]</w:t>
        </w:r>
      </w:hyperlink>
      <w:r>
        <w:t xml:space="preserve">. The mechanism is asserted and modeled cross-sectionally; its lag structure is left unexamined.</w:t>
      </w:r>
    </w:p>
    <w:bookmarkEnd w:id="70"/>
    <w:bookmarkStart w:id="71" w:name="the-governance-and-taxonomy-tradition"/>
    <w:p>
      <w:pPr>
        <w:pStyle w:val="Heading3"/>
        <w:spacing w:line="480" w:lineRule="auto"/>
      </w:pPr>
      <w:r>
        <w:t xml:space="preserve">2.2.4 The Governance-and-Taxonomy Tradition</w:t>
      </w:r>
    </w:p>
    <w:p>
      <w:pPr>
        <w:pStyle w:val="FirstParagraph"/>
        <w:spacing w:line="480" w:lineRule="auto"/>
      </w:pPr>
      <w:r>
        <w:t xml:space="preserve">A fourth and most recent domain literature treats program risk as a governance-design and taxonomy problem. Zancan, Paravano, Locatelli, and Trucco, tracing the evolution of space-sector governance from Legacy Space to New Space models, show that the sector increasingly adopts project-specific governance models to manage projects’ risks</w:t>
      </w:r>
      <w:r>
        <w:t xml:space="preserve"> </w:t>
      </w:r>
      <w:hyperlink w:anchor="ref-4">
        <w:r>
          <w:rPr>
            <w:rStyle w:val="Hyperlink"/>
          </w:rPr>
          <w:t xml:space="preserve">[4]</w:t>
        </w:r>
      </w:hyperlink>
      <w:r>
        <w:t xml:space="preserve">,</w:t>
      </w:r>
      <w:r>
        <w:t xml:space="preserve"> </w:t>
      </w:r>
      <w:hyperlink w:anchor="ref-38">
        <w:r>
          <w:rPr>
            <w:rStyle w:val="Hyperlink"/>
          </w:rPr>
          <w:t xml:space="preserve">[38]</w:t>
        </w:r>
      </w:hyperlink>
      <w:r>
        <w:t xml:space="preserve">. Trucco, Paravano, and Locatelli, framing the dynamics of the risk landscape amid space-economy trends, treat program risk as a problem of risk modeling and taxonomy across satellite-technology and new-space project types</w:t>
      </w:r>
      <w:r>
        <w:t xml:space="preserve"> </w:t>
      </w:r>
      <w:hyperlink w:anchor="ref-5">
        <w:r>
          <w:rPr>
            <w:rStyle w:val="Hyperlink"/>
          </w:rPr>
          <w:t xml:space="preserve">[5]</w:t>
        </w:r>
      </w:hyperlink>
      <w:r>
        <w:t xml:space="preserve">. The engineering-assurance branch of this tradition, exemplified by Dijks and colleagues’ systematic review of radiation-hardness-assurance approaches for commercial space avionics, invokes formal risk-management standards in the assurance setting</w:t>
      </w:r>
      <w:r>
        <w:t xml:space="preserve"> </w:t>
      </w:r>
      <w:hyperlink w:anchor="ref-7">
        <w:r>
          <w:rPr>
            <w:rStyle w:val="Hyperlink"/>
          </w:rPr>
          <w:t xml:space="preserve">[7]</w:t>
        </w:r>
      </w:hyperlink>
      <w:r>
        <w:t xml:space="preserve">. The governance literature also supplies the explicit recognition that schedule and cost move together: it documents that previously unforeseen program interdependencies cause schedule changes and subsequent hikes in cost and budget that require management intervention</w:t>
      </w:r>
      <w:r>
        <w:t xml:space="preserve"> </w:t>
      </w:r>
      <w:hyperlink w:anchor="ref-6">
        <w:r>
          <w:rPr>
            <w:rStyle w:val="Hyperlink"/>
          </w:rPr>
          <w:t xml:space="preserve">[6]</w:t>
        </w:r>
      </w:hyperlink>
      <w:r>
        <w:t xml:space="preserve">.</w:t>
      </w:r>
    </w:p>
    <w:p>
      <w:pPr>
        <w:pStyle w:val="BodyText"/>
        <w:spacing w:line="480" w:lineRule="auto"/>
        <w:ind w:firstLine="720"/>
      </w:pPr>
      <w:r>
        <w:t xml:space="preserve">This tradition contributes two things to the present work. First, it establishes that cost and schedule are understood within the field as coupled, interdependent outcomes whose joint movement is acknowledged</w:t>
      </w:r>
      <w:r>
        <w:t xml:space="preserve"> </w:t>
      </w:r>
      <w:hyperlink w:anchor="ref-6">
        <w:r>
          <w:rPr>
            <w:rStyle w:val="Hyperlink"/>
          </w:rPr>
          <w:t xml:space="preserve">[6]</w:t>
        </w:r>
      </w:hyperlink>
      <w:r>
        <w:t xml:space="preserve">, which is the qualitative claim the dissertation converts into a directional statistical test. Second, it supplies caveats on the construct validity of program class, since the new-space risk-taxonomy and governance work indicates that technology maturity, international partnership, and instrument count matter as dimensions of heterogeneity within any single program tier</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The limitation of the governance-and-taxonomy tradition is exactly the gap this dissertation targets. Taxonomy classifies risks but does not time them</w:t>
      </w:r>
      <w:r>
        <w:t xml:space="preserve"> </w:t>
      </w:r>
      <w:hyperlink w:anchor="ref-5">
        <w:r>
          <w:rPr>
            <w:rStyle w:val="Hyperlink"/>
          </w:rPr>
          <w:t xml:space="preserve">[5]</w:t>
        </w:r>
      </w:hyperlink>
      <w:r>
        <w:t xml:space="preserve">. Governance analysis prescribes management structures but does not estimate when breach hazard peaks</w:t>
      </w:r>
      <w:r>
        <w:t xml:space="preserve"> </w:t>
      </w:r>
      <w:hyperlink w:anchor="ref-4">
        <w:r>
          <w:rPr>
            <w:rStyle w:val="Hyperlink"/>
          </w:rPr>
          <w:t xml:space="preserve">[4]</w:t>
        </w:r>
      </w:hyperlink>
      <w:r>
        <w:t xml:space="preserve">. The coupled-outcome observation asserts co-movement of schedule and cost but does not test directionality or lead-lag structure</w:t>
      </w:r>
      <w:r>
        <w:t xml:space="preserve"> </w:t>
      </w:r>
      <w:hyperlink w:anchor="ref-6">
        <w:r>
          <w:rPr>
            <w:rStyle w:val="Hyperlink"/>
          </w:rPr>
          <w:t xml:space="preserve">[6]</w:t>
        </w:r>
      </w:hyperlink>
      <w:r>
        <w:t xml:space="preserve">. The field, in its most current voice, knows that schedule and cost are coupled and that risk is heterogeneous, but it has not modeled the cost-breach process as a dated, censored event with a time-varying schedule covariate.</w:t>
      </w:r>
    </w:p>
    <w:bookmarkEnd w:id="71"/>
    <w:bookmarkEnd w:id="72"/>
    <w:bookmarkStart w:id="77" w:name="X07fe73e594277fc276c6392b9242153367417e1"/>
    <w:p>
      <w:pPr>
        <w:pStyle w:val="Heading2"/>
        <w:spacing w:line="480" w:lineRule="auto"/>
      </w:pPr>
      <w:r>
        <w:t xml:space="preserve">2.3 The Cliometric and Econometric Methodology Literature</w:t>
      </w:r>
    </w:p>
    <w:bookmarkStart w:id="73" w:name="Xc758a1a3498a3850b8a5d9b0bff8d08e7308c73"/>
    <w:p>
      <w:pPr>
        <w:pStyle w:val="Heading3"/>
        <w:spacing w:line="480" w:lineRule="auto"/>
      </w:pPr>
      <w:r>
        <w:t xml:space="preserve">2.3.1 The Cox Proportional-Hazards Model and Survival Analysis</w:t>
      </w:r>
    </w:p>
    <w:p>
      <w:pPr>
        <w:pStyle w:val="FirstParagraph"/>
        <w:spacing w:line="480" w:lineRule="auto"/>
      </w:pPr>
      <w:r>
        <w:t xml:space="preserve">The methodological literature that the domain literature has not absorbed begins with Cox’s foundational regression models and life-tables paper</w:t>
      </w:r>
      <w:r>
        <w:t xml:space="preserve"> </w:t>
      </w:r>
      <w:hyperlink w:anchor="ref-14">
        <w:r>
          <w:rPr>
            <w:rStyle w:val="Hyperlink"/>
          </w:rPr>
          <w:t xml:space="preserve">[14]</w:t>
        </w:r>
      </w:hyperlink>
      <w:r>
        <w:t xml:space="preserve">. Cox’s contribution is the partial-likelihood estimator for the proportional-hazards model, which models the instantaneous hazard of an event as the product of an unspecified baseline hazard and an exponential function of covariates. The proportional-hazards form yields coefficients read directly as log hazard ratios, with the exponentiated coefficient the multiplicative effect of a covariate on instantaneous event risk, holding others fixed. Two features of the Cox framework make it the natural correction to the descriptive tradition’s terminal-percentage framing. First, it models the timing of the event explicitly: the hazard is a function of elapsed development exposure, so the model recovers not just whether a program breaches but how its risk of breach evolves over the months of exposure. Second, it handles censoring natively. A program that launches without breaching, or that remains in development with the outcome not yet realized, contributes to the risk set up to its last observation and is then removed without an event, rather than being discarded or miscoded as a non-event.</w:t>
      </w:r>
    </w:p>
    <w:p>
      <w:pPr>
        <w:pStyle w:val="BodyText"/>
        <w:spacing w:line="480" w:lineRule="auto"/>
        <w:ind w:firstLine="720"/>
      </w:pPr>
      <w:r>
        <w:t xml:space="preserve">The Cox framework also supplies the apparatus for the dissertation’s central identification strategy. The proportional-hazards assumption is testable rather than merely imposed, conventionally through Schoenfeld residuals; if the assumption is violated for a covariate such as schedule slip, the model is re-specified with a covariate-by-time interaction, which is itself substantively informative about whether a signal strengthens late in development. Critically for this work, the Cox framework admits time-varying covariates: a regressor whose value evolves over a program’s life can enter the partial likelihood at each risk set, and it can be lagged so that its coefficient is identified off variation that occurred before the event was recorded. This is the machinery by which the qualitative coupled-outcome claim of the governance literature</w:t>
      </w:r>
      <w:r>
        <w:t xml:space="preserve"> </w:t>
      </w:r>
      <w:hyperlink w:anchor="ref-6">
        <w:r>
          <w:rPr>
            <w:rStyle w:val="Hyperlink"/>
          </w:rPr>
          <w:t xml:space="preserve">[6]</w:t>
        </w:r>
      </w:hyperlink>
      <w:r>
        <w:t xml:space="preserve"> </w:t>
      </w:r>
      <w:r>
        <w:t xml:space="preserve">becomes a directional, falsifiable hazard specification, with a lagged schedule term distinguished from a contemporaneous one to separate leading from concurrent signal.</w:t>
      </w:r>
    </w:p>
    <w:bookmarkEnd w:id="73"/>
    <w:bookmarkStart w:id="74" w:name="Xd818c456b5794ef4f672c45e80dab9c47a147ff"/>
    <w:p>
      <w:pPr>
        <w:pStyle w:val="Heading3"/>
        <w:spacing w:line="480" w:lineRule="auto"/>
      </w:pPr>
      <w:r>
        <w:t xml:space="preserve">2.3.2 Cliometric Practice: Reading the Record as an Event Process</w:t>
      </w:r>
    </w:p>
    <w:p>
      <w:pPr>
        <w:pStyle w:val="FirstParagraph"/>
        <w:spacing w:line="480" w:lineRule="auto"/>
      </w:pPr>
      <w:r>
        <w:t xml:space="preserve">The cliometric posture of this dissertation is to pool a documented historical run of cases and read it as a time-to-event process rather than a static snapshot. The methodological commitment is that the public oversight record, when assembled into a panel keyed by mission and confirmation date, is a sufficient empirical substrate for event-history estimation. The companion studies of this dissertation demonstrate this posture concretely. The hazard study assembles a panel of twenty-six NASA flight programs of the JPL class and the broader flagship and competed lines, each row recording a confirmed baseline cost commitment, a final or latest cost, months of development exposure from confirmation to outcome, and an event indicator, with the event equal to one at a GAO fifteen-percent breach or cost-driven rebaseline and zero for a censored on-schedule launch</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 The cross-sectional companion assembles a transparent, fully sourced cross-section of seventeen flight programs, each citable to a named oversight document or cost analysis</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w:t>
      </w:r>
    </w:p>
    <w:p>
      <w:pPr>
        <w:pStyle w:val="BodyText"/>
        <w:spacing w:line="480" w:lineRule="auto"/>
        <w:ind w:firstLine="720"/>
      </w:pPr>
      <w:r>
        <w:t xml:space="preserve">The cliometric tradition’s discipline is source traceability: every row must be citable to a named, public, non-paywalled document, with figures normalized to constant dollars and any unrecoverable confirmation-era cell flagged as illustrative rather than silently imputed. This is the practice that makes the event clock and the schedule covariate auditable, and it is the bridge by which the parametric and organizational mechanisms of the domain literature become measured covariates in an estimable model.</w:t>
      </w:r>
    </w:p>
    <w:bookmarkEnd w:id="74"/>
    <w:bookmarkStart w:id="75" w:name="Xce1731d5ce73db206e602606573ac86353bbdac"/>
    <w:p>
      <w:pPr>
        <w:pStyle w:val="Heading3"/>
        <w:spacing w:line="480" w:lineRule="auto"/>
      </w:pPr>
      <w:r>
        <w:t xml:space="preserve">2.3.3 The Parametric Cost-Growth Regression as Methodological Companion</w:t>
      </w:r>
    </w:p>
    <w:p>
      <w:pPr>
        <w:pStyle w:val="FirstParagraph"/>
        <w:spacing w:line="480" w:lineRule="auto"/>
      </w:pPr>
      <w:r>
        <w:t xml:space="preserve">A second methodological strand is the parametric cost-growth regression, the cross-sectional estimator that asks how much a program’s cost ultimately grows as a function of attributes fixed near the start of implementation. This is the ordinary-least-squares counterpart to the hazard model: where the survival model dates the event, the regression sizes the outcome. The methodological literature here is the parametric cost-estimating tradition already reviewed</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repurposed from prediction-of-level to explanation-of-growth. The companion cross-sectional study of this dissertation estimates such a model by ordinary least squares with heteroskedasticity-robust standard errors, regressing percent development cost growth on log baseline cost, schedule slip in months, a first-of-kind indicator, and an instrument count</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 Its finding, that schedule slip dominates as the most precisely estimated driver and that raw scale carries no independent proportional penalty once schedule and novelty are held constant, establishes the cross-sectional association that the hazard model then re-examines as a timed, directional process.</w:t>
      </w:r>
    </w:p>
    <w:p>
      <w:pPr>
        <w:pStyle w:val="BodyText"/>
        <w:spacing w:line="480" w:lineRule="auto"/>
        <w:ind w:firstLine="720"/>
      </w:pPr>
      <w:r>
        <w:t xml:space="preserve">The methodological complementarity is exact and is the architecture of the dissertation. A hazard model tells a program office how worried to be at a given moment; a cost-growth regression tells the portfolio owner which classes of program to expect trouble from before trouble begins. The two are joined by a shared covariate set and a shared cliometric data substrate, but they answer different questions, and only the hazard model addresses the timing dimension that the cross-section structurally cannot.</w:t>
      </w:r>
    </w:p>
    <w:bookmarkEnd w:id="75"/>
    <w:bookmarkStart w:id="76" w:name="Xb992c5b5d267483e36848806ef74c9f003d2695"/>
    <w:p>
      <w:pPr>
        <w:pStyle w:val="Heading3"/>
        <w:spacing w:line="480" w:lineRule="auto"/>
      </w:pPr>
      <w:r>
        <w:t xml:space="preserve">2.3.4 Small-Sample Inference for a Scarce Population</w:t>
      </w:r>
    </w:p>
    <w:p>
      <w:pPr>
        <w:pStyle w:val="FirstParagraph"/>
        <w:spacing w:line="480" w:lineRule="auto"/>
      </w:pPr>
      <w:r>
        <w:t xml:space="preserve">A final methodological literature the dissertation must engage is small-sample inference, because the JPL-class population is modest and breach events are rarer still. With on the order of eleven events spread across several covariates, partial-likelihood estimates are necessarily small-sample and risk separation, in which a covariate perfectly predicts the outcome and the maximum-likelihood estimate diverges. The methodological correction is Firth penalized partial likelihood, which controls small-sample bias in the partial-likelihood estimates, paired with profile-likelihood confidence intervals rather than Wald intervals, which are unreliable at this sample size. A complementary device is to pool thin strata, combining Discovery and New Frontiers tiers as a single non-flagship stratum where event counts are sparse. These refinements are not cosmetic: they are what permit honest inference from a documented but scarce historical panel, and they are the methodological price of doing cliometrics on a population whose members number in the dozens rather than the thousands.</w:t>
      </w:r>
    </w:p>
    <w:bookmarkEnd w:id="76"/>
    <w:bookmarkEnd w:id="77"/>
    <w:bookmarkStart w:id="78" w:name="synthesis-and-the-gap"/>
    <w:p>
      <w:pPr>
        <w:pStyle w:val="Heading2"/>
        <w:spacing w:line="480" w:lineRule="auto"/>
      </w:pPr>
      <w:r>
        <w:t xml:space="preserve">2.4 Synthesis and the Gap</w:t>
      </w:r>
    </w:p>
    <w:p>
      <w:pPr>
        <w:pStyle w:val="FirstParagraph"/>
        <w:spacing w:line="480" w:lineRule="auto"/>
      </w:pPr>
      <w:r>
        <w:t xml:space="preserve">The two literatures reviewed above are individually mature and mutually uninformed. The domain technical literature knows that JPL-class programs overrun, knows the structural features that drive the magnitude of overrun, knows that schedule and cost are coupled, and knows that risk is heterogeneous across program types. It supplies, in other words, every ingredient of a hazard specification except the specification itself: the descriptive tradition supplies the breach event</w:t>
      </w:r>
      <w:r>
        <w:t xml:space="preserve"> </w:t>
      </w:r>
      <w:hyperlink w:anchor="ref-8">
        <w:r>
          <w:rPr>
            <w:rStyle w:val="Hyperlink"/>
          </w:rPr>
          <w:t xml:space="preserve">[8]</w:t>
        </w:r>
      </w:hyperlink>
      <w:r>
        <w:t xml:space="preserve">,</w:t>
      </w:r>
      <w:r>
        <w:t xml:space="preserve"> </w:t>
      </w:r>
      <w:hyperlink w:anchor="ref-12">
        <w:r>
          <w:rPr>
            <w:rStyle w:val="Hyperlink"/>
          </w:rPr>
          <w:t xml:space="preserve">[12]</w:t>
        </w:r>
      </w:hyperlink>
      <w:r>
        <w:t xml:space="preserve">; the parametric tradition supplies the structural covariates</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organizational tradition supplies the directional schedule-amplifies-cost mechanism</w:t>
      </w:r>
      <w:r>
        <w:t xml:space="preserve"> </w:t>
      </w:r>
      <w:hyperlink w:anchor="ref-15">
        <w:r>
          <w:rPr>
            <w:rStyle w:val="Hyperlink"/>
          </w:rPr>
          <w:t xml:space="preserve">[15]</w:t>
        </w:r>
      </w:hyperlink>
      <w:r>
        <w:t xml:space="preserve">,</w:t>
      </w:r>
      <w:r>
        <w:t xml:space="preserve"> </w:t>
      </w:r>
      <w:hyperlink w:anchor="ref-9">
        <w:r>
          <w:rPr>
            <w:rStyle w:val="Hyperlink"/>
          </w:rPr>
          <w:t xml:space="preserve">[9]</w:t>
        </w:r>
      </w:hyperlink>
      <w:r>
        <w:t xml:space="preserve">; and the governance tradition supplies the explicit, qualitative coupled-outcome claim</w:t>
      </w:r>
      <w:r>
        <w:t xml:space="preserve"> </w:t>
      </w:r>
      <w:hyperlink w:anchor="ref-6">
        <w:r>
          <w:rPr>
            <w:rStyle w:val="Hyperlink"/>
          </w:rPr>
          <w:t xml:space="preserve">[6]</w:t>
        </w:r>
      </w:hyperlink>
      <w:r>
        <w:t xml:space="preserve"> </w:t>
      </w:r>
      <w:r>
        <w:t xml:space="preserve">and the heterogeneity caveats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cliometric and econometric methodology literature, for its part, supplies the full apparatus, Cox’s partial-likelihood estimator with native censoring, time-varying and lagged covariates, testable proportional-hazards assumptions, and small-sample penalized inference</w:t>
      </w:r>
      <w:r>
        <w:t xml:space="preserve"> </w:t>
      </w:r>
      <w:hyperlink w:anchor="ref-14">
        <w:r>
          <w:rPr>
            <w:rStyle w:val="Hyperlink"/>
          </w:rPr>
          <w:t xml:space="preserve">[14]</w:t>
        </w:r>
      </w:hyperlink>
      <w:r>
        <w:t xml:space="preserve">, that could convert those ingredients into a dated, falsifiable model.</w:t>
      </w:r>
    </w:p>
    <w:p>
      <w:pPr>
        <w:pStyle w:val="BodyText"/>
        <w:spacing w:line="480" w:lineRule="auto"/>
        <w:ind w:firstLine="720"/>
      </w:pPr>
      <w:r>
        <w:t xml:space="preserve">What is absent is the join. No retrieved domain source models cost breach as a dated, censored event with a time-varying schedule covariate. The taxonomy literature classifies risks but does not time them</w:t>
      </w:r>
      <w:r>
        <w:t xml:space="preserve"> </w:t>
      </w:r>
      <w:hyperlink w:anchor="ref-5">
        <w:r>
          <w:rPr>
            <w:rStyle w:val="Hyperlink"/>
          </w:rPr>
          <w:t xml:space="preserve">[5]</w:t>
        </w:r>
      </w:hyperlink>
      <w:r>
        <w:t xml:space="preserve">. The governance literature prescribes structures but does not estimate when hazard peaks</w:t>
      </w:r>
      <w:r>
        <w:t xml:space="preserve"> </w:t>
      </w:r>
      <w:hyperlink w:anchor="ref-4">
        <w:r>
          <w:rPr>
            <w:rStyle w:val="Hyperlink"/>
          </w:rPr>
          <w:t xml:space="preserve">[4]</w:t>
        </w:r>
      </w:hyperlink>
      <w:r>
        <w:t xml:space="preserve">. The coupled-outcome observation asserts co-movement but does not test directionality or lead-lag structure</w:t>
      </w:r>
      <w:r>
        <w:t xml:space="preserve"> </w:t>
      </w:r>
      <w:hyperlink w:anchor="ref-6">
        <w:r>
          <w:rPr>
            <w:rStyle w:val="Hyperlink"/>
          </w:rPr>
          <w:t xml:space="preserve">[6]</w:t>
        </w:r>
      </w:hyperlink>
      <w:r>
        <w:t xml:space="preserve">. The parametric literature predicts levels and dispersions but not instantaneous hazards</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The organizational literature establishes that delay amplifies cost but does not estimate the lead time with which a schedule signal forecasts a budget breach</w:t>
      </w:r>
      <w:r>
        <w:t xml:space="preserve"> </w:t>
      </w:r>
      <w:hyperlink w:anchor="ref-15">
        <w:r>
          <w:rPr>
            <w:rStyle w:val="Hyperlink"/>
          </w:rPr>
          <w:t xml:space="preserve">[15]</w:t>
        </w:r>
      </w:hyperlink>
      <w:r>
        <w:t xml:space="preserve">. And the methodological literature, though fully developed, has not been applied to the JPL-class flight-program population, which remains described by terminal percentages rather than modeled as a survival process.</w:t>
      </w:r>
    </w:p>
    <w:p>
      <w:pPr>
        <w:pStyle w:val="BodyText"/>
        <w:spacing w:line="480" w:lineRule="auto"/>
        <w:ind w:firstLine="720"/>
      </w:pPr>
      <w:r>
        <w:t xml:space="preserve">The gap is therefore methodological and specific. It is not that the field lacks data, lacks covariates, or lacks the relevant statistical tools; it is that the descriptive overrun literature and the survival-analysis methodology have never been brought into contact for this population. The descriptive treatments cannot answer the operationally decisive question, whether an eighteen-month launch slip is itself a forward signal of an impending cost rebaseline and with what lead time, because they collapse the lifecycle into a single end-state number. Survival analysis is the natural correction, and the absence of any prior application of it to JPL-class cost breach is the hole this dissertation fills.</w:t>
      </w:r>
    </w:p>
    <w:p>
      <w:pPr>
        <w:pStyle w:val="BodyText"/>
        <w:spacing w:line="480" w:lineRule="auto"/>
        <w:ind w:firstLine="720"/>
      </w:pPr>
      <w:r>
        <w:t xml:space="preserve">The contribution that fills the hole is a single estimated quantity rendered falsifiable: the hazard ratio on lagged cumulative schedule slip in a Cox proportional-hazards model of time-to-first-cost-breach. The null holds that, conditional on program class and confirmation-baseline cost, lagged slip carries no association with breach hazard and the hazard ratio equals one. The alternative holds that lagged slip is a leading indicator, with a hazard ratio strictly greater than one that remains significant when a contemporaneous slip term is included, establishing that slip precedes rather than merely accompanies breach. The claim is falsifiable in one coefficient: if the estimated hazard ratio on lagged slip is statistically indistinguishable from one, or collapses to one once the contemporaneous term is added, the leading-indicator mechanism is rejected. This is the precise point at which the coupled-outcome intuition of the governance literature</w:t>
      </w:r>
      <w:r>
        <w:t xml:space="preserve"> </w:t>
      </w:r>
      <w:hyperlink w:anchor="ref-6">
        <w:r>
          <w:rPr>
            <w:rStyle w:val="Hyperlink"/>
          </w:rPr>
          <w:t xml:space="preserve">[6]</w:t>
        </w:r>
      </w:hyperlink>
      <w:r>
        <w:t xml:space="preserve"> </w:t>
      </w:r>
      <w:r>
        <w:t xml:space="preserve">and the standing-army mechanism of the organizational literature</w:t>
      </w:r>
      <w:r>
        <w:t xml:space="preserve"> </w:t>
      </w:r>
      <w:hyperlink w:anchor="ref-15">
        <w:r>
          <w:rPr>
            <w:rStyle w:val="Hyperlink"/>
          </w:rPr>
          <w:t xml:space="preserve">[15]</w:t>
        </w:r>
      </w:hyperlink>
      <w:r>
        <w:t xml:space="preserve"> </w:t>
      </w:r>
      <w:r>
        <w:t xml:space="preserve">become a tested, dated hazard mechanism rather than an asserted association.</w:t>
      </w:r>
    </w:p>
    <w:bookmarkEnd w:id="78"/>
    <w:bookmarkStart w:id="79" w:name="X6bac9dab76a80dec8abd0647383120928ebd21a"/>
    <w:p>
      <w:pPr>
        <w:pStyle w:val="Heading2"/>
        <w:spacing w:line="480" w:lineRule="auto"/>
      </w:pPr>
      <w:r>
        <w:t xml:space="preserve">2.5 Position of the Companion Studies and the Residual Question</w:t>
      </w:r>
    </w:p>
    <w:p>
      <w:pPr>
        <w:pStyle w:val="FirstParagraph"/>
        <w:spacing w:line="480" w:lineRule="auto"/>
      </w:pPr>
      <w:r>
        <w:t xml:space="preserve">The two companion studies of this dissertation already begin the bridging that this review has argued the field has not undertaken, and they delimit the residual question for the substantive chapters. The cross-sectional ordinary-least-squares study establishes the static association: across seventeen documented programs, schedule slip is the dominant and most precisely estimated driver of percent cost growth, with each additional month of slip associated with roughly nine-tenths of a percentage point of growth, instrument complexity adds a precisely measured increment, first-of-kind technology carries a large positive effect, and raw scale carries no independent proportional penalty once schedule and novelty are controlled</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That study is explicit that percent cost growth and schedule slip are jointly determined, so its schedule coefficient is a strong predictive association rather than a clean directional estimate, and it names the companion hazard model as the instrument designed to address the timing dimension the cross-section cannot.</w:t>
      </w:r>
    </w:p>
    <w:p>
      <w:pPr>
        <w:pStyle w:val="BodyText"/>
        <w:spacing w:line="480" w:lineRule="auto"/>
        <w:ind w:firstLine="720"/>
      </w:pPr>
      <w:r>
        <w:t xml:space="preserve">The hazard study supplies that timing dimension in its first form, fitting a Cox model on twenty-six programs and eleven breach events with structural covariates, new-technology content, flagship scale, and payload complexity, all carrying the hypothesized positive sign, alongside a negative baseline-cost control consistent with a reserves-and-scrutiny reading of the proportional GAO threshold</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That study imposes rather than tests the proportional-hazards assumption and does not yet introduce the lagged, time-varying schedule covariate that distinguishes leading from concurrent signal. It establishes that cost breach is productively modeled as a survival process and recovers the structural pattern that program-management theory predicts, but it leaves open the directional question.</w:t>
      </w:r>
    </w:p>
    <w:p>
      <w:pPr>
        <w:pStyle w:val="BodyText"/>
        <w:spacing w:line="480" w:lineRule="auto"/>
        <w:ind w:firstLine="720"/>
      </w:pPr>
      <w:r>
        <w:t xml:space="preserve">The residual question that the substantive chapters of this dissertation answer is therefore sharply defined by the literature gap. Given that the descriptive literature reports terminal overrun, the parametric literature supplies the covariates, the organizational literature asserts that delay amplifies cost, the governance literature asserts schedule-cost coupling, and the methodology literature supplies a censored hazard estimator with lagged time-varying covariates and small-sample penalization, the open question is whether lagged cumulative schedule slip is a leading indicator of cost-breach hazard, with a lead time program managers can read as an early-warning specification. Answering it converts a descriptive overrun literature into a tested, dated hazard mechanism and joins two literatures that, on the evidence of this review, have not previously been brought together for the JPL-class flight-program population.</w:t>
      </w:r>
    </w:p>
    <w:bookmarkEnd w:id="79"/>
    <w:bookmarkEnd w:id="80"/>
    <w:bookmarkStart w:id="88" w:name="Xcfcc00a3ded59aed0c781c16bfc121f2a509603"/>
    <w:p>
      <w:pPr>
        <w:pStyle w:val="Heading1"/>
        <w:spacing w:line="480" w:lineRule="auto"/>
      </w:pPr>
      <w:r>
        <w:t xml:space="preserve">Chapter 3. Theoretical Framework and Hypotheses</w:t>
      </w:r>
    </w:p>
    <w:bookmarkStart w:id="81" w:name="orientation"/>
    <w:p>
      <w:pPr>
        <w:pStyle w:val="Heading2"/>
        <w:spacing w:line="480" w:lineRule="auto"/>
      </w:pPr>
      <w:r>
        <w:t xml:space="preserve">3.1 Orientation</w:t>
      </w:r>
    </w:p>
    <w:p>
      <w:pPr>
        <w:pStyle w:val="FirstParagraph"/>
        <w:spacing w:line="480" w:lineRule="auto"/>
      </w:pPr>
      <w:r>
        <w:t xml:space="preserve">The two empirical companion studies that precede this chapter establish, between them, a pair of facts about development cost growth in JPL-class flight programs and leave a third fact unexamined. The survival study finds that the instantaneous hazard of a cost-overrun breach is elevated by the structural features that define ambitious science missions, namely first-of-kind technology content and flagship scale, and is moderated in proportional terms by the size of the committed baseline against which growth is measured. The cross-sectional study finds that, once schedule slip and technical novelty are held constant, the eventual magnitude of an overrun is driven most powerfully and most precisely by schedule slip, with each additional month of launch-readiness slip associated with roughly nine-tenths of a percentage point of additional cost growth. What neither study resolves is the temporal ordering between the two governance signals that a program office actually watches in real time. The cross-section treats schedule slip and cost growth as jointly determined and is explicit that its schedule coefficient must be read as a strong predictive association rather than a clean directional estimate. The survival study, in its first specification, treats program structure as fixed at confirmation and does not let the schedule clock and the cost clock speak to one another as the program runs.</w:t>
      </w:r>
    </w:p>
    <w:p>
      <w:pPr>
        <w:pStyle w:val="BodyText"/>
        <w:spacing w:line="480" w:lineRule="auto"/>
        <w:ind w:firstLine="720"/>
      </w:pPr>
      <w:r>
        <w:t xml:space="preserve">This chapter supplies the theoretical apparatus that the dissertation’s central test requires. It does three things in sequence. First, it articulates the causal mechanism by which schedule slip is hypothesized to operate as a leading rather than a merely concurrent indicator of cost-breach hazard, drawing the mechanism out of the standing-army logic of joint-program cost growth, the optimism-bias and strategic-misrepresentation account of how baselines are set, and the parametric account of how novelty widens the latent cost band. Second, it formalizes the survival-theoretic structure that turns that mechanism into an estimable hazard, fixing the meaning of the event, the clock, the risk set, and the censoring rule so that the lead-lag claim has a precise mathematical referent. Third, it states the null and alternative hypotheses, H0 and H1, in the single coefficient that carries the dissertation’s falsifiable weight, and it specifies the auxiliary conditions under which that coefficient can be read as evidence for the leading-indicator mechanism rather than as an artifact of co-movement.</w:t>
      </w:r>
    </w:p>
    <w:bookmarkEnd w:id="81"/>
    <w:bookmarkStart w:id="82" w:name="Xe8f98a0ed3aadfade9fec542a680df4a01fb50e"/>
    <w:p>
      <w:pPr>
        <w:pStyle w:val="Heading2"/>
        <w:spacing w:line="480" w:lineRule="auto"/>
      </w:pPr>
      <w:r>
        <w:t xml:space="preserve">3.2 The Object of Explanation: Cost Breach as a Timed Event</w:t>
      </w:r>
    </w:p>
    <w:p>
      <w:pPr>
        <w:pStyle w:val="FirstParagraph"/>
        <w:spacing w:line="480" w:lineRule="auto"/>
      </w:pPr>
      <w:r>
        <w:t xml:space="preserve">The descriptive literature on mission cost growth, and the institutional record that motivates it, report overrun as a terminal accounting fact. A mission is said to have finished some percentage above its confirmation estimate, and that percentage is the headline. For management, the framing is analytically thin. It reports the size of the wound but not its onset. It offers no testable structure linking the two signals a program office watches as the program runs. The governance literature is explicit that the two move together. Previously unforeseen program interdependencies may cause schedule changes and subsequent hikes in cost and budget that require management intervention</w:t>
      </w:r>
      <w:r>
        <w:t xml:space="preserve"> </w:t>
      </w:r>
      <w:hyperlink w:anchor="ref-6">
        <w:r>
          <w:rPr>
            <w:rStyle w:val="Hyperlink"/>
          </w:rPr>
          <w:t xml:space="preserve">[6]</w:t>
        </w:r>
      </w:hyperlink>
      <w:r>
        <w:t xml:space="preserve">. That co-movement is the empirical seed of this dissertation, but co-movement alone is theoretically inert. It is consistent with at least three distinct causal stories: that slip causes breach, that breach causes slip, and that both are downstream of a common third cause such as first-of-kind difficulty. The contribution of this chapter is to convert the co-movement observation into a directional claim that can be wrong.</w:t>
      </w:r>
    </w:p>
    <w:p>
      <w:pPr>
        <w:pStyle w:val="BodyText"/>
        <w:spacing w:line="480" w:lineRule="auto"/>
        <w:ind w:firstLine="720"/>
      </w:pPr>
      <w:r>
        <w:t xml:space="preserve">The first analytic move is to redefine the object of explanation. Rather than the terminal overrun percentage, the object is the first formal cost-baseline breach, treated as a dated, censored event whose instantaneous risk varies across the development lifecycle. A breach, operationally, is a re-baseline of the program’s life-cycle cost above its confirmation-review baseline by more than the reporting threshold, the same fifteen-percent disclosure rule that the institutional record uses to convert a continuous quantity into a discrete, observable failure event. This redefinition is not cosmetic. It changes the mathematical character of the dependent variable from a level to a time-to-event process, and in doing so it makes the temporal structure of the hazard the primary thing to be explained rather than a nuisance to be averaged away. The space-management scholarship that frames program risk taxonomically classifies risks but does not time them</w:t>
      </w:r>
      <w:r>
        <w:t xml:space="preserve"> </w:t>
      </w:r>
      <w:hyperlink w:anchor="ref-5">
        <w:r>
          <w:rPr>
            <w:rStyle w:val="Hyperlink"/>
          </w:rPr>
          <w:t xml:space="preserve">[5]</w:t>
        </w:r>
      </w:hyperlink>
      <w:r>
        <w:t xml:space="preserve">, and the governance scholarship that prescribes project-specific governance models to manage project risk does not estimate when breach hazard peaks</w:t>
      </w:r>
      <w:r>
        <w:t xml:space="preserve"> </w:t>
      </w:r>
      <w:hyperlink w:anchor="ref-4">
        <w:r>
          <w:rPr>
            <w:rStyle w:val="Hyperlink"/>
          </w:rPr>
          <w:t xml:space="preserve">[4]</w:t>
        </w:r>
      </w:hyperlink>
      <w:r>
        <w:t xml:space="preserve">. Survival analysis is the natural correction precisely because it models the instantaneous hazard of an event as a function of elapsed time and of covariates that themselves evolve.</w:t>
      </w:r>
    </w:p>
    <w:bookmarkEnd w:id="82"/>
    <w:bookmarkStart w:id="83" w:name="X08c7a1bb6a61f916d40febcce5a4d244e8ec18c"/>
    <w:p>
      <w:pPr>
        <w:pStyle w:val="Heading2"/>
        <w:spacing w:line="480" w:lineRule="auto"/>
      </w:pPr>
      <w:r>
        <w:t xml:space="preserve">3.3 The Causal Mechanism: Why Slip Should Lead Breach</w:t>
      </w:r>
    </w:p>
    <w:p>
      <w:pPr>
        <w:pStyle w:val="FirstParagraph"/>
        <w:spacing w:line="480" w:lineRule="auto"/>
      </w:pPr>
      <w:r>
        <w:t xml:space="preserve">The theoretical claim of the dissertation is mechanistic and directional. Schedule slip should not merely accompany cost breach; it should precede it, with a recoverable lead time. The mechanism rests on three established accounts that converge on the same temporal prediction.</w:t>
      </w:r>
    </w:p>
    <w:p>
      <w:pPr>
        <w:pStyle w:val="BodyText"/>
        <w:spacing w:line="480" w:lineRule="auto"/>
        <w:ind w:firstLine="720"/>
      </w:pPr>
      <w:r>
        <w:t xml:space="preserve">The first is the standing-army account of joint-program cost growth. Dwyer, Szajnfarber, Cameron, and Crawley show that organizational and programmatic features, rather than raw technical difficulty alone, drive cost growth on joint programs, and that delay is both a symptom and an amplifier of cost growth because standing armies of engineers and facilities continue to draw funding while a program waits</w:t>
      </w:r>
      <w:r>
        <w:t xml:space="preserve"> </w:t>
      </w:r>
      <w:hyperlink w:anchor="ref-15">
        <w:r>
          <w:rPr>
            <w:rStyle w:val="Hyperlink"/>
          </w:rPr>
          <w:t xml:space="preserve">[15]</w:t>
        </w:r>
      </w:hyperlink>
      <w:r>
        <w:t xml:space="preserve">. The temporal structure of this mechanism is its essential feature. A slip is realized first, as a calendar event. The financial consequence of the slip, the additional months of payroll, facility lease, contractor retention, and integration-and-test labor that the program must absorb, accrues afterward, dollar by dollar, over the months the program waits. The cost consequence is therefore mechanically lagged relative to the schedule cause. A program that announces a launch-readiness slip in one reporting cycle does not breach its cost baseline in the same instant; it breaches later, once the accumulating burn rate against a fixed reserve has consumed the reserve and crossed the disclosure threshold. The canonical illustration is the Mars Science Laboratory, whose two-year slip to the next Mars launch opportunity carried roughly fifty-six percent cost growth, a magnitude consistent with the standing-army mechanism and documented in the program record</w:t>
      </w:r>
      <w:r>
        <w:t xml:space="preserve"> </w:t>
      </w:r>
      <w:hyperlink w:anchor="ref-18">
        <w:r>
          <w:rPr>
            <w:rStyle w:val="Hyperlink"/>
          </w:rPr>
          <w:t xml:space="preserve">[18]</w:t>
        </w:r>
      </w:hyperlink>
      <w:r>
        <w:t xml:space="preserve">. The slip set the clock; the cost growth was its delayed and compounding consequence.</w:t>
      </w:r>
    </w:p>
    <w:p>
      <w:pPr>
        <w:pStyle w:val="BodyText"/>
        <w:spacing w:line="480" w:lineRule="auto"/>
        <w:ind w:firstLine="720"/>
      </w:pPr>
      <w:r>
        <w:t xml:space="preserve">The second account is the optimism-bias and strategic-misrepresentation account of how baselines are set at the point of commitment. Flyvbjerg’s analysis of large public technology programs establishes that baselines are systematically set low, whether through genuine underestimation of first-of-kind difficulty or through the incentive to clear a funding gate, and that the gap surfaces later as growth</w:t>
      </w:r>
      <w:r>
        <w:t xml:space="preserve"> </w:t>
      </w:r>
      <w:hyperlink w:anchor="ref-9">
        <w:r>
          <w:rPr>
            <w:rStyle w:val="Hyperlink"/>
          </w:rPr>
          <w:t xml:space="preserve">[9]</w:t>
        </w:r>
      </w:hyperlink>
      <w:r>
        <w:t xml:space="preserve">. This account contributes the initial condition that makes the standing-army mechanism live. A baseline set with inadequate schedule reserve is a baseline that converts even modest technical discovery into schedule slip, because there is no float to absorb the discovery. The under-reserved baseline is thus the structural precondition; the slip is the first observable symptom of the precondition being breached; and the cost re-baseline is the terminal administrative acknowledgment that the precondition has failed. The three events are ordered in time, and the ordering is the substance of the leading-indicator claim.</w:t>
      </w:r>
    </w:p>
    <w:p>
      <w:pPr>
        <w:pStyle w:val="BodyText"/>
        <w:spacing w:line="480" w:lineRule="auto"/>
        <w:ind w:firstLine="720"/>
      </w:pPr>
      <w:r>
        <w:t xml:space="preserve">The third account is the parametric account of how novelty widens the latent cost band. First-of-kind capability removes the heritage that parametric cost models rely on and exposes the program to discovery during integration and test</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Dorrington and Olsen reach a parallel conclusion for novel architectures, where first-of-kind systems dominate the cost-risk envelope</w:t>
      </w:r>
      <w:r>
        <w:t xml:space="preserve"> </w:t>
      </w:r>
      <w:hyperlink w:anchor="ref-21">
        <w:r>
          <w:rPr>
            <w:rStyle w:val="Hyperlink"/>
          </w:rPr>
          <w:t xml:space="preserve">[21]</w:t>
        </w:r>
      </w:hyperlink>
      <w:r>
        <w:t xml:space="preserve">. This account does not by itself predict a lead-lag structure between slip and breach; rather, it identifies the confounder that any directional test must control. Novelty raises both the probability of slip and the probability of breach, and it does so through a partly common channel, namely integration-and-test discovery. If novelty were left uncontrolled, an observed correlation between lagged slip and breach hazard could be wholly an artifact of novelty driving both. The mechanism’s directional content is therefore identified only after first-of-kind content and the structural correlates of difficulty are conditioned out. The companion survival study supplies exactly the structural covariates this requires, having shown that first-of-kind content carries the largest point estimate on breach hazard and that flagship scale follows.</w:t>
      </w:r>
    </w:p>
    <w:p>
      <w:pPr>
        <w:pStyle w:val="BodyText"/>
        <w:spacing w:line="480" w:lineRule="auto"/>
        <w:ind w:firstLine="720"/>
      </w:pPr>
      <w:r>
        <w:t xml:space="preserve">Taken together, the three accounts yield a single, sharp temporal prediction. Conditional on the structural features that drive both schedule and cost, schedule slip realized in an earlier reporting cycle should raise the instantaneous hazard of a cost breach in later cycles, because the financial consequence of a slip accrues with a lag through the standing-army channel, on the foundation of an under-reserved baseline. This is the leading-indicator mechanism. It is distinct from, and stronger than, the co-movement observation in the governance literature</w:t>
      </w:r>
      <w:r>
        <w:t xml:space="preserve"> </w:t>
      </w:r>
      <w:hyperlink w:anchor="ref-6">
        <w:r>
          <w:rPr>
            <w:rStyle w:val="Hyperlink"/>
          </w:rPr>
          <w:t xml:space="preserve">[6]</w:t>
        </w:r>
      </w:hyperlink>
      <w:r>
        <w:t xml:space="preserve">, because it asserts not that slip and breach are correlated but that slip causally precedes breach with a recoverable lead time that a program office could read as an early warning.</w:t>
      </w:r>
    </w:p>
    <w:bookmarkEnd w:id="83"/>
    <w:bookmarkStart w:id="84" w:name="Xc841060e1e89cf8d46de917d127f9049b2df0d5"/>
    <w:p>
      <w:pPr>
        <w:pStyle w:val="Heading2"/>
        <w:spacing w:line="480" w:lineRule="auto"/>
      </w:pPr>
      <w:r>
        <w:t xml:space="preserve">3.4 From Mechanism to Hazard: The Survival-Theoretic Structure</w:t>
      </w:r>
    </w:p>
    <w:p>
      <w:pPr>
        <w:pStyle w:val="FirstParagraph"/>
        <w:spacing w:line="480" w:lineRule="auto"/>
      </w:pPr>
      <w:r>
        <w:t xml:space="preserve">To make the mechanism testable, the chapter fixes the survival-theoretic objects that the estimator operates on. The hazard function, h(t), is the instantaneous rate of first cost breach at development month t, conditional on the program having survived to month t without breaching. The Cox proportional-hazards model expresses this hazard as the product of an unspecified baseline hazard, h0(t), common to all programs, and an exponential function of a covariate vector</w:t>
      </w:r>
      <w:r>
        <w:t xml:space="preserve"> </w:t>
      </w:r>
      <w:hyperlink w:anchor="ref-14">
        <w:r>
          <w:rPr>
            <w:rStyle w:val="Hyperlink"/>
          </w:rPr>
          <w:t xml:space="preserve">[14]</w:t>
        </w:r>
      </w:hyperlink>
      <w:r>
        <w:t xml:space="preserve">. The proportional-hazards form means that each covariate enters multiplicatively and that its coefficient is read as a log hazard ratio, with the exponentiated coefficient giving the multiplicative effect of the covariate on the instantaneous breach risk, holding the others fixed. The model is semiparametric: it imposes no shape on the baseline hazard, which is an analytic virtue in a setting where the underlying time profile of breach risk is not known a priori and where the qualitative record suggests that risk may be front-loaded in early integration-and-test phases.</w:t>
      </w:r>
    </w:p>
    <w:p>
      <w:pPr>
        <w:pStyle w:val="BodyText"/>
        <w:spacing w:line="480" w:lineRule="auto"/>
        <w:ind w:firstLine="720"/>
      </w:pPr>
      <w:r>
        <w:t xml:space="preserve">Four definitional choices give the mechanism its mathematical referent. The event is the first formal cost-baseline breach, operationalized as a re-baseline above the confirmation-review baseline beyond the reporting threshold. The clock is months elapsed from confirmation review, which fixes the origin of exposure at the moment the baseline is committed and therefore at the moment the under-reserving described by the optimism-bias account is locked in. The risk set at any month t comprises all programs still in development at month t that have not yet breached; a program contributes to the partial likelihood at each event time only while it remains in this set. Censoring is native and right-handed: a program that launches without breaching, or that remains in development at last observation without a recorded breach, contributes to the risk set up to its exit and is then removed without an event, its survival information retained rather than discarded. This censoring rule is what allows the small and event-scarce JPL-class population to be analyzed honestly, because programs that have not yet breached are not treated as non-events but as incomplete observations whose partial exposure still informs the baseline hazard.</w:t>
      </w:r>
    </w:p>
    <w:p>
      <w:pPr>
        <w:pStyle w:val="BodyText"/>
        <w:spacing w:line="480" w:lineRule="auto"/>
        <w:ind w:firstLine="720"/>
      </w:pPr>
      <w:r>
        <w:t xml:space="preserve">The decisive structural feature, the one that distinguishes this dissertation’s specification from the fixed-covariate survival study that precedes it, is that schedule slip enters as a time-varying covariate. Cumulative schedule slip is measured as the cumulative change in launch-readiness date relative to the confirmation baseline, recomputed at each reporting cycle, so that the covariate evolves with the program rather than being frozen at confirmation. The leading-indicator mechanism is then encoded by a lag: the time-varying slip covariate is entered lagged by one reporting cycle, so that the hazard of breach at month t is regressed on slip realized before month t. This lag is the formal embodiment of the standing-army temporal structure, in which the calendar slip precedes the financial breach. The lag is also the identifying device. Because the lagged term is measured on slip that occurred before the breach was recorded, its coefficient is identified off variation in slip that cannot be a consequence of the breach it is being used to predict. The reverse-causation story, in which breach causes slip, is thereby blocked at the level of measurement timing, not merely asserted away.</w:t>
      </w:r>
    </w:p>
    <w:bookmarkEnd w:id="84"/>
    <w:bookmarkStart w:id="85" w:name="Xe335223b2d374dbf6a735a17c4554c411814fc1"/>
    <w:p>
      <w:pPr>
        <w:pStyle w:val="Heading2"/>
        <w:spacing w:line="480" w:lineRule="auto"/>
      </w:pPr>
      <w:r>
        <w:t xml:space="preserve">3.5 Identification and the Decomposition of Lead from Concurrence</w:t>
      </w:r>
    </w:p>
    <w:p>
      <w:pPr>
        <w:pStyle w:val="FirstParagraph"/>
        <w:spacing w:line="480" w:lineRule="auto"/>
      </w:pPr>
      <w:r>
        <w:t xml:space="preserve">A coefficient on lagged slip that is positive and significant is necessary but not sufficient for the leading-indicator claim, because lagged and contemporaneous slip are themselves correlated. A program that is slipping in the current cycle was very likely slipping in the prior cycle, so a naive lagged-slip coefficient could be capturing nothing more than the contemporaneous association that the cross-sectional companion study already documented. The decisive identification move is therefore to include a contemporaneous slip term alongside the lagged term in the same hazard model. With both terms present, the lagged coefficient is identified off the component of prior-cycle slip that is orthogonal to current-cycle slip, which is precisely the forward-looking, early-warning content that the leading-indicator mechanism predicts and that a pure co-movement story does not. If lagged slip carries hazard only because it proxies for contemporaneous slip, then once the contemporaneous term is entered the lagged coefficient should collapse toward zero. If, instead, the mechanism is real and slip genuinely leads breach, the lagged coefficient should retain its magnitude and significance even with the contemporaneous term in the model.</w:t>
      </w:r>
    </w:p>
    <w:p>
      <w:pPr>
        <w:pStyle w:val="BodyText"/>
        <w:spacing w:line="480" w:lineRule="auto"/>
        <w:ind w:firstLine="720"/>
      </w:pPr>
      <w:r>
        <w:t xml:space="preserve">Three further identification conditions are specified. First, the structural confounders are conditioned out. Program class, entered as a flagship-versus-non-flagship stratum, and the log of confirmation-baseline cost are included as controls, so that the lagged-slip coefficient is read net of the novelty-and-scale channel through which first-of-kind difficulty drives both slip and breach</w:t>
      </w:r>
      <w:r>
        <w:t xml:space="preserve"> </w:t>
      </w:r>
      <w:hyperlink w:anchor="ref-16">
        <w:r>
          <w:rPr>
            <w:rStyle w:val="Hyperlink"/>
          </w:rPr>
          <w:t xml:space="preserve">[16]</w:t>
        </w:r>
      </w:hyperlink>
      <w:r>
        <w:t xml:space="preserve">,</w:t>
      </w:r>
      <w:r>
        <w:t xml:space="preserve"> </w:t>
      </w:r>
      <w:hyperlink w:anchor="ref-21">
        <w:r>
          <w:rPr>
            <w:rStyle w:val="Hyperlink"/>
          </w:rPr>
          <w:t xml:space="preserve">[21]</w:t>
        </w:r>
      </w:hyperlink>
      <w:r>
        <w:t xml:space="preserve">. This is the formal answer to the parametric account’s confounding warning. Second, the proportional-hazards assumption is not imposed but tested, via Schoenfeld residuals on the schedule-slip term. If the assumption is violated, the finding is itself substantively informative rather than fatal: a slip term whose hazard weight changes with development time would indicate that the slip signal strengthens or weakens across the lifecycle, consistent with the governance observation that interdependencies surface and compound over time</w:t>
      </w:r>
      <w:r>
        <w:t xml:space="preserve"> </w:t>
      </w:r>
      <w:hyperlink w:anchor="ref-6">
        <w:r>
          <w:rPr>
            <w:rStyle w:val="Hyperlink"/>
          </w:rPr>
          <w:t xml:space="preserve">[6]</w:t>
        </w:r>
      </w:hyperlink>
      <w:r>
        <w:t xml:space="preserve">, and would be modeled explicitly with a slip-by-time interaction rather than ignored. Third, the event definition is probed for administrative endogeneity. Because a formal cost breach is partly an administrative act, and a program may delay re-baselining for non-technical reasons, the externally flagged breach date from the independent oversight assessments</w:t>
      </w:r>
      <w:r>
        <w:t xml:space="preserve"> </w:t>
      </w:r>
      <w:hyperlink w:anchor="ref-8">
        <w:r>
          <w:rPr>
            <w:rStyle w:val="Hyperlink"/>
          </w:rPr>
          <w:t xml:space="preserve">[8]</w:t>
        </w:r>
      </w:hyperlink>
      <w:r>
        <w:t xml:space="preserve"> </w:t>
      </w:r>
      <w:r>
        <w:t xml:space="preserve">is used as an alternative, more externally determined event definition, and the lagged-slip coefficient is compared across the two definitions. Stability of the coefficient across event definitions is the evidence that the result reflects the underlying schedule-to-cost mechanism rather than the timing of an administrative acknowledgment.</w:t>
      </w:r>
    </w:p>
    <w:p>
      <w:pPr>
        <w:pStyle w:val="BodyText"/>
        <w:spacing w:line="480" w:lineRule="auto"/>
        <w:ind w:firstLine="720"/>
      </w:pPr>
      <w:r>
        <w:t xml:space="preserve">Because the JPL-class population is small and breach events are scarcer still, the partial-likelihood estimates are exposed to small-sample bias and the risk of separation. Inference therefore uses Firth penalized partial likelihood to control small-sample bias, with profile-likelihood confidence intervals reported in place of Wald intervals, so that the interval for the lagged-slip coefficient is not distorted by the asymmetry that small samples induce. This estimation choice does not alter the hypotheses; it ensures that the test of the hypotheses is honest at the available sample size.</w:t>
      </w:r>
    </w:p>
    <w:bookmarkEnd w:id="85"/>
    <w:bookmarkStart w:id="86" w:name="formal-hypotheses"/>
    <w:p>
      <w:pPr>
        <w:pStyle w:val="Heading2"/>
        <w:spacing w:line="480" w:lineRule="auto"/>
      </w:pPr>
      <w:r>
        <w:t xml:space="preserve">3.6 Formal Hypotheses</w:t>
      </w:r>
    </w:p>
    <w:p>
      <w:pPr>
        <w:pStyle w:val="FirstParagraph"/>
        <w:spacing w:line="480" w:lineRule="auto"/>
      </w:pPr>
      <w:r>
        <w:t xml:space="preserve">The dissertation’s falsifiable contribution reduces to a single estimated quantity: the hazard ratio on lagged cumulative schedule slip in the Cox proportional-hazards model of time-to-first-cost-breach for JPL-class flight programs, estimated with a contemporaneous slip term present and with program class and log baseline cost controlled. Let beta denote the coefficient on the lagged-slip covariate, so that the hazard ratio is the exponential of beta.</w:t>
      </w:r>
    </w:p>
    <w:p>
      <w:pPr>
        <w:pStyle w:val="BodyText"/>
        <w:spacing w:line="480" w:lineRule="auto"/>
        <w:ind w:firstLine="720"/>
      </w:pPr>
      <w:r>
        <w:rPr>
          <w:b/>
          <w:bCs/>
        </w:rPr>
        <w:t xml:space="preserve">H0 (no leading-indicator association).</w:t>
      </w:r>
      <w:r>
        <w:t xml:space="preserve"> </w:t>
      </w:r>
      <w:r>
        <w:t xml:space="preserve">Conditional on program class and confirmation-baseline cost, and with a contemporaneous slip term included, lagged cumulative schedule slip carries no association with cost-breach hazard. Formally, beta equals zero and the hazard ratio on lagged slip equals one. Under H0, whatever co-movement exists between schedule and cost is fully captured by the contemporaneous relationship, and prior-cycle slip carries no forward information about breach hazard once current-cycle slip is accounted for. The standing-army lead-lag mechanism, if H0 holds, is empirically empty: slip and breach move together but slip does not lead breach.</w:t>
      </w:r>
    </w:p>
    <w:p>
      <w:pPr>
        <w:pStyle w:val="BodyText"/>
        <w:spacing w:line="480" w:lineRule="auto"/>
        <w:ind w:firstLine="720"/>
      </w:pPr>
      <w:r>
        <w:rPr>
          <w:b/>
          <w:bCs/>
        </w:rPr>
        <w:t xml:space="preserve">H1 (slip leads breach).</w:t>
      </w:r>
      <w:r>
        <w:t xml:space="preserve"> </w:t>
      </w:r>
      <w:r>
        <w:t xml:space="preserve">Lagged cumulative schedule slip is a leading indicator of cost-breach hazard. Formally, beta is strictly greater than zero and the hazard ratio on lagged slip is strictly greater than one, and the lagged term remains statistically significant when the contemporaneous slip term is included in the same model. Under H1, a program that slipped its launch-readiness date in an earlier reporting cycle faces an elevated instantaneous hazard of crossing its cost baseline in later cycles, net of program class, baseline cost, and the contemporaneous slip already realized. This is the early-warning specification: the lead time embedded in the one-cycle lag is the interval over which a program office could read schedule discipline as a forward signal of impending cost re-baseline.</w:t>
      </w:r>
    </w:p>
    <w:p>
      <w:pPr>
        <w:pStyle w:val="BodyText"/>
        <w:spacing w:line="480" w:lineRule="auto"/>
        <w:ind w:firstLine="720"/>
      </w:pPr>
      <w:r>
        <w:t xml:space="preserve">The two hypotheses are mutually exclusive and jointly exhaustive over the sign and significance of a single coefficient, which is the property that makes the test clean. The claim is falsifiable in that coefficient and nowhere else. If the estimated hazard ratio on lagged slip is statistically indistinguishable from one, or if it retains a point estimate above one but loses significance once the contemporaneous term is added, or if it collapses toward one when the contemporaneous term enters, then H1 fails and the leading-indicator mechanism is rejected in favor of the weaker co-movement reading that the prior literature already supports</w:t>
      </w:r>
      <w:r>
        <w:t xml:space="preserve"> </w:t>
      </w:r>
      <w:hyperlink w:anchor="ref-6">
        <w:r>
          <w:rPr>
            <w:rStyle w:val="Hyperlink"/>
          </w:rPr>
          <w:t xml:space="preserve">[6]</w:t>
        </w:r>
      </w:hyperlink>
      <w:r>
        <w:t xml:space="preserve">. There is no auxiliary parameter on which the leading-indicator claim can quietly retreat; the mechanism either shows up as a positive, significant, lag-robust coefficient or it does not.</w:t>
      </w:r>
    </w:p>
    <w:bookmarkEnd w:id="86"/>
    <w:bookmarkStart w:id="87" w:name="X3d285b7b5001b136311d7e7baff5112acf9eb17"/>
    <w:p>
      <w:pPr>
        <w:pStyle w:val="Heading2"/>
        <w:spacing w:line="480" w:lineRule="auto"/>
      </w:pPr>
      <w:r>
        <w:t xml:space="preserve">3.7 Auxiliary Predictions and Their Relation to the Central Test</w:t>
      </w:r>
    </w:p>
    <w:p>
      <w:pPr>
        <w:pStyle w:val="FirstParagraph"/>
        <w:spacing w:line="480" w:lineRule="auto"/>
      </w:pPr>
      <w:r>
        <w:t xml:space="preserve">Three auxiliary predictions follow from the mechanism and serve as internal consistency checks rather than as additional falsifiable claims. First, the structural covariates carried over from the companion survival study should retain their hypothesized signs in the time-varying specification: first-of-kind content and flagship scale should continue to carry hazard ratios above one, and log baseline cost should continue to carry a hazard ratio below one in proportional terms, consistent with larger absolute reserves absorbing a fixed dollar shock without crossing a proportional threshold. A reversal of these signs when the time-varying slip term is added would indicate that the fixed-covariate findings were unstable and would caution against over-reading the central result. Second, if the proportional-hazards test rejects for schedule slip, the slip-by-time interaction should carry a positive coefficient, indicating that the slip signal strengthens late in development as interdependencies compound</w:t>
      </w:r>
      <w:r>
        <w:t xml:space="preserve"> </w:t>
      </w:r>
      <w:hyperlink w:anchor="ref-6">
        <w:r>
          <w:rPr>
            <w:rStyle w:val="Hyperlink"/>
          </w:rPr>
          <w:t xml:space="preserve">[6]</w:t>
        </w:r>
      </w:hyperlink>
      <w:r>
        <w:t xml:space="preserve">; this would refine, not contradict, the leading-indicator mechanism. Third, the lagged-slip coefficient should be stable across the two event definitions, the agency re-baseline date and the externally flagged breach date</w:t>
      </w:r>
      <w:r>
        <w:t xml:space="preserve"> </w:t>
      </w:r>
      <w:hyperlink w:anchor="ref-8">
        <w:r>
          <w:rPr>
            <w:rStyle w:val="Hyperlink"/>
          </w:rPr>
          <w:t xml:space="preserve">[8]</w:t>
        </w:r>
      </w:hyperlink>
      <w:r>
        <w:t xml:space="preserve">; instability would point to administrative endogeneity in the event clock and would qualify the causal reading without overturning the predictive one.</w:t>
      </w:r>
    </w:p>
    <w:p>
      <w:pPr>
        <w:pStyle w:val="BodyText"/>
        <w:spacing w:line="480" w:lineRule="auto"/>
        <w:ind w:firstLine="720"/>
      </w:pPr>
      <w:r>
        <w:t xml:space="preserve">None of these auxiliary predictions can rescue H1 if the central coefficient fails, and none of them can defeat H1 if the central coefficient succeeds. They are diagnostics that bound the interpretation of the central test, not substitutes for it. The architecture of the chapter is deliberately narrow on this point. The dissertation stakes its claim on one mechanism, the lagged standing-army channel, encoded in one coefficient, tested against one null, and it accepts the discipline of being wrong in that coefficient if the leading-indicator mechanism is not in the data. This narrowness is the chapter’s methodological commitment. It converts a descriptive overrun literature that reports terminal percentages, and a governance literature that asserts schedule-and-cost co-movement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into a single dated, directional, falsifiable hazard specification that a program manager can read as an early-warning rule and that an oversight body can test against the public cost-and-schedule record.</w:t>
      </w:r>
    </w:p>
    <w:bookmarkEnd w:id="87"/>
    <w:bookmarkEnd w:id="88"/>
    <w:bookmarkStart w:id="96" w:name="chapter-4.-data-and-measurement"/>
    <w:p>
      <w:pPr>
        <w:pStyle w:val="Heading1"/>
        <w:spacing w:line="480" w:lineRule="auto"/>
      </w:pPr>
      <w:r>
        <w:t xml:space="preserve">Chapter 4. Data and Measurement</w:t>
      </w:r>
    </w:p>
    <w:bookmarkStart w:id="89"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 rests. The two analytical studies that constitute the core of this work, a Cox proportional-hazards survival model of time-to-first-cost-breach and an ordinary-least-squares cross-section of the eventual magnitude of cost growth, draw on a single underlying body of evidence: the public oversight record of NASA and JPL-class flight programs. My aim here is to make that evidence fully legible to a reader who wishes to reconstruct, audit, or extend it. I describe the authoritative sources from which every datum is taken, fix the unit of analysis with precision, define each variable in terms of the primary records that supply it, and state the rules by which raw documentary figures become analytic quantities. Nothing in the two papers is permitted to rest on a number whose provenance cannot be traced to a named, publicly retrievable document.</w:t>
      </w:r>
    </w:p>
    <w:p>
      <w:pPr>
        <w:pStyle w:val="BodyText"/>
        <w:spacing w:line="480" w:lineRule="auto"/>
        <w:ind w:firstLine="720"/>
      </w:pPr>
      <w:r>
        <w:t xml:space="preserve">The chapter proceeds from sources to unit of analysis to variable construction, and closes with the treatment of missing and partially documented cells, the normalization conventions, and the limits that the data themselves impose on inference. Where the design choices made here were anticipated in the prospectus, in particular the commitment to a fully open federal cost-and-schedule record, I make the lineage explicit so that the measurement framework can be read as the operational realization of the research design rather than as a separate construction.</w:t>
      </w:r>
    </w:p>
    <w:bookmarkEnd w:id="89"/>
    <w:bookmarkStart w:id="90" w:name="the-authoritative-source-base"/>
    <w:p>
      <w:pPr>
        <w:pStyle w:val="Heading2"/>
        <w:spacing w:line="480" w:lineRule="auto"/>
      </w:pPr>
      <w:r>
        <w:t xml:space="preserve">4.2 The Authoritative Source Base</w:t>
      </w:r>
    </w:p>
    <w:p>
      <w:pPr>
        <w:pStyle w:val="FirstParagraph"/>
        <w:spacing w:line="480" w:lineRule="auto"/>
      </w:pPr>
      <w:r>
        <w:t xml:space="preserve">The evidentiary foundation is deliberately confined to documents that are published, non-paywalled, and durable. This is a methodological commitment, not merely a convenience. A cliometric design earns its claims by reading a documented historical run of cases, and the value of that reading depends on every case being independently verifiable from the public record. I therefore restrict the source base to four classes of document, each of which carries a distinct evidentiary role.</w:t>
      </w:r>
    </w:p>
    <w:p>
      <w:pPr>
        <w:pStyle w:val="BodyText"/>
        <w:spacing w:line="480" w:lineRule="auto"/>
        <w:ind w:firstLine="720"/>
      </w:pPr>
      <w:r>
        <w:t xml:space="preserve">The first and primary class is the U.S. Government Accountability Office annual assessment of NASA major projects. The relevant cycles are the 2023, 2024, and 2025 editions, published as GAO-23-106021, GAO-24-106767, and GAO-25-107591 respectively</w:t>
      </w:r>
      <w:r>
        <w:t xml:space="preserve"> </w:t>
      </w:r>
      <w:hyperlink w:anchor="ref-8">
        <w:r>
          <w:rPr>
            <w:rStyle w:val="Hyperlink"/>
          </w:rPr>
          <w:t xml:space="preserve">[8]</w:t>
        </w:r>
      </w:hyperlink>
      <w:r>
        <w:t xml:space="preserve">. These reports are the institutional backbone of the dataset. For more than a decade GAO has assessed NASA’s major projects against a fixed disclosure rule, flagging a project when its development cost grows by fifteen percent or more relative to its committed baseline, or when a major milestone slips by six months or more</w:t>
      </w:r>
      <w:r>
        <w:t xml:space="preserve"> </w:t>
      </w:r>
      <w:hyperlink w:anchor="ref-8">
        <w:r>
          <w:rPr>
            <w:rStyle w:val="Hyperlink"/>
          </w:rPr>
          <w:t xml:space="preserve">[8]</w:t>
        </w:r>
      </w:hyperlink>
      <w:r>
        <w:t xml:space="preserve">. That rule is not incidental to the design; it is the institutional definition of the failure event that the survival study models, because it converts a continuous quantity, dollars of growth, into a discrete and dated breach. GAO reports, per major project, the confirmation baseline development cost, the current development estimate, the committed and current launch-readiness dates, and an explicit flag when a project crosses the growth or slip thresholds. The 2024 cycle in particular supplies the within-portfolio comparisons that anchor the cross-sectional study, including the documentation of Orion’s share of the recent aggregate portfolio overrun</w:t>
      </w:r>
      <w:r>
        <w:t xml:space="preserve"> </w:t>
      </w:r>
      <w:hyperlink w:anchor="ref-8">
        <w:r>
          <w:rPr>
            <w:rStyle w:val="Hyperlink"/>
          </w:rPr>
          <w:t xml:space="preserve">[8]</w:t>
        </w:r>
      </w:hyperlink>
      <w:r>
        <w:t xml:space="preserve">.</w:t>
      </w:r>
    </w:p>
    <w:p>
      <w:pPr>
        <w:pStyle w:val="BodyText"/>
        <w:spacing w:line="480" w:lineRule="auto"/>
        <w:ind w:firstLine="720"/>
      </w:pPr>
      <w:r>
        <w:t xml:space="preserve">The second class is the NASA Office of Inspector General project-specific report. The OIG audits individual programs in depth and publishes baseline-to-current cost comparisons that are not always separable from the aggregated GAO tables. The Dragonfly audit, IG-25-011, supplies the documented figure of roughly one hundred percent development cost growth for that program following the Inspector General’s review</w:t>
      </w:r>
      <w:r>
        <w:t xml:space="preserve"> </w:t>
      </w:r>
      <w:hyperlink w:anchor="ref-20">
        <w:r>
          <w:rPr>
            <w:rStyle w:val="Hyperlink"/>
          </w:rPr>
          <w:t xml:space="preserve">[20]</w:t>
        </w:r>
      </w:hyperlink>
      <w:r>
        <w:t xml:space="preserve">. OIG reports serve a corroborating and gap-filling role: where a program’s baseline-to-current split is reported more granularly by the Inspector General than by GAO, the OIG figure is used and cited at the row level.</w:t>
      </w:r>
    </w:p>
    <w:p>
      <w:pPr>
        <w:pStyle w:val="BodyText"/>
        <w:spacing w:line="480" w:lineRule="auto"/>
        <w:ind w:firstLine="720"/>
      </w:pPr>
      <w:r>
        <w:t xml:space="preserve">The third class is independent cost analysis of established provenance, principally The Planetary Society’s Planetary Science Budget Dataset and its mission cost charts</w:t>
      </w:r>
      <w:r>
        <w:t xml:space="preserve"> </w:t>
      </w:r>
      <w:hyperlink w:anchor="ref-13">
        <w:r>
          <w:rPr>
            <w:rStyle w:val="Hyperlink"/>
          </w:rPr>
          <w:t xml:space="preserve">[13]</w:t>
        </w:r>
      </w:hyperlink>
      <w:r>
        <w:t xml:space="preserve">, together with the dedicated analysis of MSL Curiosity that documents that program at roughly fifty-six percent development cost growth against a twenty-four-month launch slip</w:t>
      </w:r>
      <w:r>
        <w:t xml:space="preserve"> </w:t>
      </w:r>
      <w:hyperlink w:anchor="ref-18">
        <w:r>
          <w:rPr>
            <w:rStyle w:val="Hyperlink"/>
          </w:rPr>
          <w:t xml:space="preserve">[18]</w:t>
        </w:r>
      </w:hyperlink>
      <w:r>
        <w:t xml:space="preserve">. The Planetary Society material is treated as an authoritative secondary source: it compiles and reconciles figures from primary NASA budget documents and congressional appropriations, and it is used here both as a cross-check on GAO figures and as the source of record for programs whose confirmation-era baselines predate the GAO assessment series. The James Webb Space Telescope provides a further documented anchor, with its development cost growth of ninety-four percent from the 2009 baseline against an eighty-four-month launch slip recorded in the dedicated GAO integration-and-test report, GAO-18-273</w:t>
      </w:r>
      <w:r>
        <w:t xml:space="preserve"> </w:t>
      </w:r>
      <w:hyperlink w:anchor="ref-19">
        <w:r>
          <w:rPr>
            <w:rStyle w:val="Hyperlink"/>
          </w:rPr>
          <w:t xml:space="preserve">[19]</w:t>
        </w:r>
      </w:hyperlink>
      <w:r>
        <w:t xml:space="preserve">.</w:t>
      </w:r>
    </w:p>
    <w:p>
      <w:pPr>
        <w:pStyle w:val="BodyText"/>
        <w:spacing w:line="480" w:lineRule="auto"/>
        <w:ind w:firstLine="720"/>
      </w:pPr>
      <w:r>
        <w:t xml:space="preserve">The fourth class is contemporaneous trade reporting that tabulates the per-project GAO figures, principally the SpacePolicyOnline coverage of NASA major-project cost and schedule performance</w:t>
      </w:r>
      <w:r>
        <w:t xml:space="preserve"> </w:t>
      </w:r>
      <w:hyperlink w:anchor="ref-12">
        <w:r>
          <w:rPr>
            <w:rStyle w:val="Hyperlink"/>
          </w:rPr>
          <w:t xml:space="preserve">[12]</w:t>
        </w:r>
      </w:hyperlink>
      <w:r>
        <w:t xml:space="preserve">. This material is used only where it transparently reproduces or aggregates primary GAO figures; it does not introduce any number that is not traceable to an underlying oversight document.</w:t>
      </w:r>
    </w:p>
    <w:p>
      <w:pPr>
        <w:pStyle w:val="BodyText"/>
        <w:spacing w:line="480" w:lineRule="auto"/>
        <w:ind w:firstLine="720"/>
      </w:pPr>
      <w:r>
        <w:t xml:space="preserve">All four classes share the property that the prospectus required of the data: the provenance is fully open, both the GAO and OIG series are published documents of the United States government with no licensing restriction, and the independent analyses are publicly hosted. No datum in either study is internal, embargoed, or proprietary. The substantive literature that motivates the choice of variables, by contrast, is drawn from the scholarly record and is kept analytically separate from the estimation data. The framing arguments about why large public technology programs overrun, optimism bias and strategic misrepresentation at the point of commitment</w:t>
      </w:r>
      <w:r>
        <w:t xml:space="preserve"> </w:t>
      </w:r>
      <w:hyperlink w:anchor="ref-9">
        <w:r>
          <w:rPr>
            <w:rStyle w:val="Hyperlink"/>
          </w:rPr>
          <w:t xml:space="preserve">[9]</w:t>
        </w:r>
      </w:hyperlink>
      <w:r>
        <w:t xml:space="preserve">, the steep scaling of spacecraft cost with mass, novelty, and integration complexity in parametric cost-estimating relationships</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 the widening of the cost-uncertainty band where heritage is absent</w:t>
      </w:r>
      <w:r>
        <w:t xml:space="preserve"> </w:t>
      </w:r>
      <w:hyperlink w:anchor="ref-17">
        <w:r>
          <w:rPr>
            <w:rStyle w:val="Hyperlink"/>
          </w:rPr>
          <w:t xml:space="preserve">[17]</w:t>
        </w:r>
      </w:hyperlink>
      <w:r>
        <w:t xml:space="preserve">,</w:t>
      </w:r>
      <w:r>
        <w:t xml:space="preserve"> </w:t>
      </w:r>
      <w:hyperlink w:anchor="ref-21">
        <w:r>
          <w:rPr>
            <w:rStyle w:val="Hyperlink"/>
          </w:rPr>
          <w:t xml:space="preserve">[21]</w:t>
        </w:r>
      </w:hyperlink>
      <w:r>
        <w:t xml:space="preserve">, the organizational rather than purely technical origins of cost growth on joint programs</w:t>
      </w:r>
      <w:r>
        <w:t xml:space="preserve"> </w:t>
      </w:r>
      <w:hyperlink w:anchor="ref-15">
        <w:r>
          <w:rPr>
            <w:rStyle w:val="Hyperlink"/>
          </w:rPr>
          <w:t xml:space="preserve">[15]</w:t>
        </w:r>
      </w:hyperlink>
      <w:r>
        <w:t xml:space="preserve">, and the broader economics of operating in domains without settled rules</w:t>
      </w:r>
      <w:r>
        <w:t xml:space="preserve"> </w:t>
      </w:r>
      <w:hyperlink w:anchor="ref-22">
        <w:r>
          <w:rPr>
            <w:rStyle w:val="Hyperlink"/>
          </w:rPr>
          <w:t xml:space="preserve">[22]</w:t>
        </w:r>
      </w:hyperlink>
      <w:r>
        <w:t xml:space="preserve">, inform measurement decisions but supply no estimation figure. The estimator itself, the Cox proportional-hazards model, derives from the methodological literature</w:t>
      </w:r>
      <w:r>
        <w:t xml:space="preserve"> </w:t>
      </w:r>
      <w:hyperlink w:anchor="ref-14">
        <w:r>
          <w:rPr>
            <w:rStyle w:val="Hyperlink"/>
          </w:rPr>
          <w:t xml:space="preserve">[14]</w:t>
        </w:r>
      </w:hyperlink>
      <w:r>
        <w:t xml:space="preserve"> </w:t>
      </w:r>
      <w:r>
        <w:t xml:space="preserve">and is treated likewise.</w:t>
      </w:r>
    </w:p>
    <w:bookmarkEnd w:id="90"/>
    <w:bookmarkStart w:id="91" w:name="the-unit-of-analysis"/>
    <w:p>
      <w:pPr>
        <w:pStyle w:val="Heading2"/>
        <w:spacing w:line="480" w:lineRule="auto"/>
      </w:pPr>
      <w:r>
        <w:t xml:space="preserve">4.3 The Unit of Analysis</w:t>
      </w:r>
    </w:p>
    <w:p>
      <w:pPr>
        <w:pStyle w:val="FirstParagraph"/>
        <w:spacing w:line="480" w:lineRule="auto"/>
      </w:pPr>
      <w:r>
        <w:t xml:space="preserve">The unit of analysis is the individual NASA flight program of the JPL class and the broader flagship and competed lines, observed from its confirmation review forward. A program enters the analytic population when it has a documented confirmation-baseline development cost commitment and a documented current or final development cost, both recoverable from the source base described above. This unit is held constant across the two studies, but the two studies frame the same unit differently, and the distinction is central to the measurement design.</w:t>
      </w:r>
    </w:p>
    <w:p>
      <w:pPr>
        <w:pStyle w:val="BodyText"/>
        <w:spacing w:line="480" w:lineRule="auto"/>
        <w:ind w:firstLine="720"/>
      </w:pPr>
      <w:r>
        <w:t xml:space="preserve">In the survival study, the program is observed as a time-to-event process. Each program contributes a duration, the months of development exposure from confirmation to the realized outcome, and an event indicator. The clock therefore begins at the confirmation review, the agency decision gate at which the cost and schedule baseline is committed, and runs forward in calendar months. This is the operational realization of the prospectus commitment to measure the time axis as months elapsed from confirmation review, with programs still in development and not yet breached treated as right-censored at last observation. The survival panel comprises twenty-six programs, of which eleven are coded as breaches and the remaining fifteen are censored at an on-schedule launch or remain in development without a recorded breach.</w:t>
      </w:r>
    </w:p>
    <w:p>
      <w:pPr>
        <w:pStyle w:val="BodyText"/>
        <w:spacing w:line="480" w:lineRule="auto"/>
        <w:ind w:firstLine="720"/>
      </w:pPr>
      <w:r>
        <w:t xml:space="preserve">In the cross-sectional study, the same program is observed as a single completed or near-completed outcome, summarized by the eventual percentage by which its development cost grew. The cross-section comprises seventeen programs, a subset of and overlapping population with the survival panel, restricted to those programs for which a confirmation-baseline development cost, a current or final development cost, and a launch-readiness slip are all individually documented. The narrower count reflects the stricter joint-documentation requirement of the regression: the cross-section needs a defensible final-growth figure and a slip figure for every row, whereas the survival study can admit censored rows whose final growth is not yet known.</w:t>
      </w:r>
    </w:p>
    <w:p>
      <w:pPr>
        <w:pStyle w:val="BodyText"/>
        <w:spacing w:line="480" w:lineRule="auto"/>
        <w:ind w:firstLine="720"/>
      </w:pPr>
      <w:r>
        <w:t xml:space="preserve">Programs are keyed by mission identity and confirmation date, so that a mission appears at most once in each panel and the two panels can be reconciled program by program. The anchor cases that appear in both framings include the Mars Science Laboratory, the James Webb Space Telescope, Dragonfly, and the competed and flagship missions that populate the GAO assessment series. The choice of the program-from-confirmation as the unit, rather than the fiscal year or the work-breakdown element, follows directly from the research question: the object of study is the program’s lifecycle cost commitment and the fate of that commitment, and the confirmation review is the moment at which the commitment becomes a measurable baseline against which all subsequent growth is read.</w:t>
      </w:r>
    </w:p>
    <w:bookmarkEnd w:id="91"/>
    <w:bookmarkStart w:id="92" w:name="construction-of-the-dependent-variables"/>
    <w:p>
      <w:pPr>
        <w:pStyle w:val="Heading2"/>
        <w:spacing w:line="480" w:lineRule="auto"/>
      </w:pPr>
      <w:r>
        <w:t xml:space="preserve">4.4 Construction of the Dependent Variables</w:t>
      </w:r>
    </w:p>
    <w:p>
      <w:pPr>
        <w:pStyle w:val="FirstParagraph"/>
        <w:spacing w:line="480" w:lineRule="auto"/>
      </w:pPr>
      <w:r>
        <w:t xml:space="preserve">Each study has its own dependent variable, and each is built from the same two primary documentary quantities: the confirmation-baseline development cost and the current or final development cost.</w:t>
      </w:r>
    </w:p>
    <w:p>
      <w:pPr>
        <w:pStyle w:val="BodyText"/>
        <w:spacing w:line="480" w:lineRule="auto"/>
        <w:ind w:firstLine="720"/>
      </w:pPr>
      <w:r>
        <w:t xml:space="preserve">In the survival study, the dependent construct is the failure event together with its timing. The event indicator equals one when a program crossed the GAO fifteen-percent development-cost-growth threshold or underwent a cost-driven agency rebaseline, and zero when the program launched without such a breach, in which case the observation is censored</w:t>
      </w:r>
      <w:r>
        <w:t xml:space="preserve"> </w:t>
      </w:r>
      <w:hyperlink w:anchor="ref-8">
        <w:r>
          <w:rPr>
            <w:rStyle w:val="Hyperlink"/>
          </w:rPr>
          <w:t xml:space="preserve">[8]</w:t>
        </w:r>
      </w:hyperlink>
      <w:r>
        <w:t xml:space="preserve">. The event is thus read directly from the primary record: a program is coded as having failed at the reporting cycle in which GAO first flags it for the fifteen-percent growth trigger, or at the cycle in which a formal cost-driven rebaseline is documented. The duration to that event is the count of development months from confirmation to the flagged cycle; for censored programs the duration runs from confirmation to the last observed cycle, either an on-schedule launch month or the most recent reporting date for a program still in development. Of the twenty-six programs, the eleven coded as breaches include the Mars Science Laboratory, InSight, Psyche, Juno, Dawn, the James Webb Space Telescope, Europa Clipper, and Mars 2020; the remaining fifteen are censored. Reading the event from the institutional fifteen-percent rule rather than from a researcher-chosen cutoff is a deliberate measurement choice: it ties the failure definition to the oversight regime’s own operative standard, so that the estimated hazard speaks to the breach that the oversight community actually acts upon.</w:t>
      </w:r>
    </w:p>
    <w:p>
      <w:pPr>
        <w:pStyle w:val="BodyText"/>
        <w:spacing w:line="480" w:lineRule="auto"/>
        <w:ind w:firstLine="720"/>
      </w:pPr>
      <w:r>
        <w:t xml:space="preserve">In the cross-sectional study, the dependent variable is percent development cost growth, computed from the documented baseline and final figures as the proportional increase of the final or current development cost over the confirmation-baseline development cost, expressed in percentage points. This quantity is observable at the program level precisely because the oversight reporting publishes baseline-to-current comparisons</w:t>
      </w:r>
      <w:r>
        <w:t xml:space="preserve"> </w:t>
      </w:r>
      <w:hyperlink w:anchor="ref-8">
        <w:r>
          <w:rPr>
            <w:rStyle w:val="Hyperlink"/>
          </w:rPr>
          <w:t xml:space="preserve">[8]</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Anchor values fix the construction: the Mars Science Laboratory at roughly fifty-six percent growth</w:t>
      </w:r>
      <w:r>
        <w:t xml:space="preserve"> </w:t>
      </w:r>
      <w:hyperlink w:anchor="ref-18">
        <w:r>
          <w:rPr>
            <w:rStyle w:val="Hyperlink"/>
          </w:rPr>
          <w:t xml:space="preserve">[18]</w:t>
        </w:r>
      </w:hyperlink>
      <w:r>
        <w:t xml:space="preserve">, the James Webb Space Telescope at ninety-four percent from its 2009 baseline</w:t>
      </w:r>
      <w:r>
        <w:t xml:space="preserve"> </w:t>
      </w:r>
      <w:hyperlink w:anchor="ref-19">
        <w:r>
          <w:rPr>
            <w:rStyle w:val="Hyperlink"/>
          </w:rPr>
          <w:t xml:space="preserve">[19]</w:t>
        </w:r>
      </w:hyperlink>
      <w:r>
        <w:t xml:space="preserve">, and Dragonfly at roughly one hundred percent following the Inspector General’s review</w:t>
      </w:r>
      <w:r>
        <w:t xml:space="preserve"> </w:t>
      </w:r>
      <w:hyperlink w:anchor="ref-20">
        <w:r>
          <w:rPr>
            <w:rStyle w:val="Hyperlink"/>
          </w:rPr>
          <w:t xml:space="preserve">[20]</w:t>
        </w:r>
      </w:hyperlink>
      <w:r>
        <w:t xml:space="preserve">. Within-budget benchmarks anchor the low end of the distribution, including GRAIL and the Roman Space Telescope, both documented as delivering near baseline</w:t>
      </w:r>
      <w:r>
        <w:t xml:space="preserve"> </w:t>
      </w:r>
      <w:hyperlink w:anchor="ref-8">
        <w:r>
          <w:rPr>
            <w:rStyle w:val="Hyperlink"/>
          </w:rPr>
          <w:t xml:space="preserve">[8]</w:t>
        </w:r>
      </w:hyperlink>
      <w:r>
        <w:t xml:space="preserve">. Across the seventeen programs the dependent variable ranges from zero to one hundred percent, with a mean near twenty-seven percent.</w:t>
      </w:r>
    </w:p>
    <w:p>
      <w:pPr>
        <w:pStyle w:val="BodyText"/>
        <w:spacing w:line="480" w:lineRule="auto"/>
        <w:ind w:firstLine="720"/>
      </w:pPr>
      <w:r>
        <w:t xml:space="preserve">The two dependent constructs are complementary by design. The binary, dated event of the survival study answers when breach risk concentrates; the continuous magnitude of the cross-section answers how large the eventual overrun becomes. Both are derived from the identical pair of primary documentary quantities, which guarantees that the two studies are measuring two faces of one phenomenon rather than two loosely related phenomena.</w:t>
      </w:r>
    </w:p>
    <w:bookmarkEnd w:id="92"/>
    <w:bookmarkStart w:id="93" w:name="construction-of-the-covariates"/>
    <w:p>
      <w:pPr>
        <w:pStyle w:val="Heading2"/>
        <w:spacing w:line="480" w:lineRule="auto"/>
      </w:pPr>
      <w:r>
        <w:t xml:space="preserve">4.5 Construction of the Covariates</w:t>
      </w:r>
    </w:p>
    <w:p>
      <w:pPr>
        <w:pStyle w:val="FirstParagraph"/>
        <w:spacing w:line="480" w:lineRule="auto"/>
      </w:pPr>
      <w:r>
        <w:t xml:space="preserve">The independent variables are constructed to be fixed near the start of implementation, so that they function as predictors observable before or at the moment the outcome is determined. Each is built from the primary record and, where coding judgment is required, from the program-narrative content of the oversight documents.</w:t>
      </w:r>
    </w:p>
    <w:p>
      <w:pPr>
        <w:pStyle w:val="BodyText"/>
        <w:spacing w:line="480" w:lineRule="auto"/>
        <w:ind w:firstLine="720"/>
      </w:pPr>
      <w:r>
        <w:rPr>
          <w:b/>
          <w:bCs/>
        </w:rPr>
        <w:t xml:space="preserve">Baseline cost.</w:t>
      </w:r>
      <w:r>
        <w:t xml:space="preserve"> </w:t>
      </w:r>
      <w:r>
        <w:t xml:space="preserve">Program scale enters both studies as the natural logarithm of the confirmation-baseline development cost in millions of dollars. The log transform is a measurement decision with a clear interpretive payoff: in the cross-section it allows the scale coefficient to be read as the change in percentage-point growth associated with a proportional change in program size, which is the quantity the scale hypothesis is about; in the survival model it renders the baseline-cost control multiplicative in the hazard. The underlying dollar figure is the confirmation-era committed development cost as reported by GAO or, for programs predating the GAO series, as reconciled by The Planetary Society budget dataset</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rPr>
          <w:b/>
          <w:bCs/>
        </w:rPr>
        <w:t xml:space="preserve">Schedule slip.</w:t>
      </w:r>
      <w:r>
        <w:t xml:space="preserve"> </w:t>
      </w:r>
      <w:r>
        <w:t xml:space="preserve">Schedule enters as launch-readiness slip measured in months, defined as the cumulative change in the committed launch-readiness date relative to the confirmation baseline. In the cross-section it is the total slip in months at the time the final cost is observed; in the survival study the prospectus design treats cumulative schedule slip as the central time-varying covariate, lagged one reporting cycle to test whether slip leads rather than merely accompanies breach. The slip figure is read directly from the committed and current launch-readiness dates published in successive GAO cycles</w:t>
      </w:r>
      <w:r>
        <w:t xml:space="preserve"> </w:t>
      </w:r>
      <w:hyperlink w:anchor="ref-8">
        <w:r>
          <w:rPr>
            <w:rStyle w:val="Hyperlink"/>
          </w:rPr>
          <w:t xml:space="preserve">[8]</w:t>
        </w:r>
      </w:hyperlink>
      <w:r>
        <w:t xml:space="preserve">. The canonical calibration case is the Mars Science Laboratory, whose two-year slip to the next Mars launch opportunity is documented at twenty-four months</w:t>
      </w:r>
      <w:r>
        <w:t xml:space="preserve"> </w:t>
      </w:r>
      <w:hyperlink w:anchor="ref-18">
        <w:r>
          <w:rPr>
            <w:rStyle w:val="Hyperlink"/>
          </w:rPr>
          <w:t xml:space="preserve">[18]</w:t>
        </w:r>
      </w:hyperlink>
      <w:r>
        <w:t xml:space="preserve">, and the James Webb Space Telescope at eighty-four months</w:t>
      </w:r>
      <w:r>
        <w:t xml:space="preserve"> </w:t>
      </w:r>
      <w:hyperlink w:anchor="ref-19">
        <w:r>
          <w:rPr>
            <w:rStyle w:val="Hyperlink"/>
          </w:rPr>
          <w:t xml:space="preserve">[19]</w:t>
        </w:r>
      </w:hyperlink>
      <w:r>
        <w:t xml:space="preserve">. Across the cross-section slip ranges from zero to eighty-four months.</w:t>
      </w:r>
    </w:p>
    <w:p>
      <w:pPr>
        <w:pStyle w:val="BodyText"/>
        <w:spacing w:line="480" w:lineRule="auto"/>
        <w:ind w:firstLine="720"/>
      </w:pPr>
      <w:r>
        <w:rPr>
          <w:b/>
          <w:bCs/>
        </w:rPr>
        <w:t xml:space="preserve">First-of-kind technology.</w:t>
      </w:r>
      <w:r>
        <w:t xml:space="preserve"> </w:t>
      </w:r>
      <w:r>
        <w:t xml:space="preserve">Novelty enters as a binary first-of-kind indicator, coded one when a program introduces a new crewed vehicle, a new instrument class, or a new operating regime that removes the heritage on which parametric cost models rely. The coding rule is grounded in the substantive literature on novelty as a cost driver</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21">
        <w:r>
          <w:rPr>
            <w:rStyle w:val="Hyperlink"/>
          </w:rPr>
          <w:t xml:space="preserve">[21]</w:t>
        </w:r>
      </w:hyperlink>
      <w:r>
        <w:t xml:space="preserve"> </w:t>
      </w:r>
      <w:r>
        <w:t xml:space="preserve">and is applied to the program-narrative content of the oversight documents: a program is coded first-of-kind when the primary record describes it as introducing capability without a flown analogue. Of the seventeen cross-section programs, eight are coded first-of-kind, and of the twenty-six survival programs the indicator carries comparable usable variation. The binary form is a deliberate simplification; the survival study notes that a graded technology-maturity scale would be the natural refinement, and the present coding is the coarse but reproducible proxy that the public narrative reliably supports.</w:t>
      </w:r>
    </w:p>
    <w:p>
      <w:pPr>
        <w:pStyle w:val="BodyText"/>
        <w:spacing w:line="480" w:lineRule="auto"/>
        <w:ind w:firstLine="720"/>
      </w:pPr>
      <w:r>
        <w:rPr>
          <w:b/>
          <w:bCs/>
        </w:rPr>
        <w:t xml:space="preserve">Payload complexity and instrument count.</w:t>
      </w:r>
      <w:r>
        <w:t xml:space="preserve"> </w:t>
      </w:r>
      <w:r>
        <w:t xml:space="preserve">Complexity enters in two related ways. The survival study uses a high-complexity indicator coded from the integration-and-test burden described in the primary record; the cross-section uses the count of distinct science instruments or major payload elements as a continuous measure. Both are read from the mission descriptions in the oversight and analysis documents. The instrument count is the more granular construct and is preferred in the cross-section because it lets the integration-burden channel be estimated as a per-instrument increment of cost growth.</w:t>
      </w:r>
    </w:p>
    <w:p>
      <w:pPr>
        <w:pStyle w:val="BodyText"/>
        <w:spacing w:line="480" w:lineRule="auto"/>
        <w:ind w:firstLine="720"/>
      </w:pPr>
      <w:r>
        <w:rPr>
          <w:b/>
          <w:bCs/>
        </w:rPr>
        <w:t xml:space="preserve">Flagship scale.</w:t>
      </w:r>
      <w:r>
        <w:t xml:space="preserve"> </w:t>
      </w:r>
      <w:r>
        <w:t xml:space="preserve">The survival study additionally codes a flagship indicator, distinguishing the largest strategic missions from the Discovery and New Frontiers competed tiers. The coding follows the program-class designations in the oversight record and the mission-line taxonomy, with Discovery and New Frontiers pooled as a single non-flagship stratum where event counts are thin, as the prospectus anticipated to manage event scarcity.</w:t>
      </w:r>
    </w:p>
    <w:p>
      <w:pPr>
        <w:pStyle w:val="BodyText"/>
        <w:spacing w:line="480" w:lineRule="auto"/>
        <w:ind w:firstLine="720"/>
      </w:pPr>
      <w:r>
        <w:t xml:space="preserve">Each covariate is therefore traceable either to an explicit numeric cell in the primary record (baseline cost, slip, instrument count) or to a documented narrative attribute coded under a stated rule (first-of-kind, high complexity, flagship). The per-row citation for every cell is carried in the source column of the data file, so that no covariate value is unattributed.</w:t>
      </w:r>
    </w:p>
    <w:bookmarkEnd w:id="93"/>
    <w:bookmarkStart w:id="94" w:name="Xc51fd732432d8b404206fe680b4f67e6f7ba9f1"/>
    <w:p>
      <w:pPr>
        <w:pStyle w:val="Heading2"/>
        <w:spacing w:line="480" w:lineRule="auto"/>
      </w:pPr>
      <w:r>
        <w:t xml:space="preserve">4.6 Normalization, Reconciliation, and Missing Data</w:t>
      </w:r>
    </w:p>
    <w:p>
      <w:pPr>
        <w:pStyle w:val="FirstParagraph"/>
        <w:spacing w:line="480" w:lineRule="auto"/>
      </w:pPr>
      <w:r>
        <w:t xml:space="preserve">Three measurement conventions govern the move from raw documentary figures to analytic quantities.</w:t>
      </w:r>
    </w:p>
    <w:p>
      <w:pPr>
        <w:pStyle w:val="BodyText"/>
        <w:spacing w:line="480" w:lineRule="auto"/>
        <w:ind w:firstLine="720"/>
      </w:pPr>
      <w:r>
        <w:t xml:space="preserve">The first is monetary normalization. Cost figures spanning multiple confirmation eras are not directly comparable in nominal dollars. The prospectus committed to normalizing cost figures to constant dollars using a published NASA New-Start inflation index, and that convention is applied so that baseline and final costs entering the log-baseline covariate and the percent-growth dependent variable are read on a consistent real basis. Because the cross-section dependent variable is a within-program percentage, the ratio of final to baseline cost, it is largely insulated from inflation provided both figures are expressed in the same base; the normalization matters chiefly for the cross-program comparison of scale.</w:t>
      </w:r>
    </w:p>
    <w:p>
      <w:pPr>
        <w:pStyle w:val="BodyText"/>
        <w:spacing w:line="480" w:lineRule="auto"/>
        <w:ind w:firstLine="720"/>
      </w:pPr>
      <w:r>
        <w:t xml:space="preserve">The second is cross-source reconciliation. Where a program appears in more than one source, GAO figures are treated as primary, OIG figures are used where they report a more granular baseline-to-current split, and Planetary Society figures are used for programs predating the GAO series or as an independent cross-check</w:t>
      </w:r>
      <w:r>
        <w:t xml:space="preserve"> </w:t>
      </w:r>
      <w:hyperlink w:anchor="ref-8">
        <w:r>
          <w:rPr>
            <w:rStyle w:val="Hyperlink"/>
          </w:rPr>
          <w:t xml:space="preserve">[8]</w:t>
        </w:r>
      </w:hyperlink>
      <w:r>
        <w:t xml:space="preserve">,</w:t>
      </w:r>
      <w:r>
        <w:t xml:space="preserve"> </w:t>
      </w:r>
      <w:hyperlink w:anchor="ref-13">
        <w:r>
          <w:rPr>
            <w:rStyle w:val="Hyperlink"/>
          </w:rPr>
          <w:t xml:space="preserve">[13]</w:t>
        </w:r>
      </w:hyperlink>
      <w:r>
        <w:t xml:space="preserve">,</w:t>
      </w:r>
      <w:r>
        <w:t xml:space="preserve"> </w:t>
      </w:r>
      <w:hyperlink w:anchor="ref-20">
        <w:r>
          <w:rPr>
            <w:rStyle w:val="Hyperlink"/>
          </w:rPr>
          <w:t xml:space="preserve">[20]</w:t>
        </w:r>
      </w:hyperlink>
      <w:r>
        <w:t xml:space="preserve">. The SpacePolicyOnline tabulations are used only as a transparent reproduction of GAO figures</w:t>
      </w:r>
      <w:r>
        <w:t xml:space="preserve"> </w:t>
      </w:r>
      <w:hyperlink w:anchor="ref-12">
        <w:r>
          <w:rPr>
            <w:rStyle w:val="Hyperlink"/>
          </w:rPr>
          <w:t xml:space="preserve">[12]</w:t>
        </w:r>
      </w:hyperlink>
      <w:r>
        <w:t xml:space="preserve">. Where two authoritative sources disagree on a cell, the discrepancy is resolved in favor of the primary GAO figure and the alternative is noted in the source column.</w:t>
      </w:r>
    </w:p>
    <w:p>
      <w:pPr>
        <w:pStyle w:val="BodyText"/>
        <w:spacing w:line="480" w:lineRule="auto"/>
        <w:ind w:firstLine="720"/>
      </w:pPr>
      <w:r>
        <w:t xml:space="preserve">The third is the explicit flagging of partially documented cells. A small number of baseline-cost cells in the survival panel, where an exact confirmation-era figure was not recoverable from the retrieved sources, are flagged as illustrative in the data file; they are a minor share of cells and, critically, do not touch any event, duration, or final-cost value, so they cannot influence the coding of breach or its timing. In the cross-section, two of the seventeen rows carry an illustrative tag on the precise percentage where a program is documented as on or near budget but the exact split is not separately published; these are held under one in eight observations and are flagged in the source column. The treatment of these cells is conservative: they are confined to the low end of the distribution where a near-budget outcome is documented qualitatively, they are never permitted to define a breach event, and their minority share and explicit flagging are reported so that a reader may re-estimate with or without them. This is the measurement-level answer to the small-N and event-scarcity threat identified in the prospectus: the design refuses to manufacture precision where the public record does not supply it, and it isolates the imprecision it cannot avoid.</w:t>
      </w:r>
    </w:p>
    <w:bookmarkEnd w:id="94"/>
    <w:bookmarkStart w:id="95" w:name="X4ef640648ffb34092d8e8a521cee27c65a9955a"/>
    <w:p>
      <w:pPr>
        <w:pStyle w:val="Heading2"/>
        <w:spacing w:line="480" w:lineRule="auto"/>
      </w:pPr>
      <w:r>
        <w:t xml:space="preserve">4.7 Measurement Limits and Their Bearing on Inference</w:t>
      </w:r>
    </w:p>
    <w:p>
      <w:pPr>
        <w:pStyle w:val="FirstParagraph"/>
        <w:spacing w:line="480" w:lineRule="auto"/>
      </w:pPr>
      <w:r>
        <w:t xml:space="preserve">The data described here are sufficient to identify the quantities the two studies estimate, but their limits must be stated plainly because they bound the strength of every claim. The population is small: twenty-six programs in the survival panel with eleven events, and seventeen programs in the cross-section with four regressors. This scarcity is intrinsic to the subject, since the population of JPL-class flight programs above the statutory cost threshold is genuinely modest, and it dictates the inferential posture of both studies. In the survival study it motivates the prospectus commitment to Firth penalized partial likelihood and profile-likelihood confidence intervals to control small-sample bias and separation; in the cross-section it motivates heteroskedasticity-robust standard errors and a deliberately parsimonious specification.</w:t>
      </w:r>
    </w:p>
    <w:p>
      <w:pPr>
        <w:pStyle w:val="BodyText"/>
        <w:spacing w:line="480" w:lineRule="auto"/>
        <w:ind w:firstLine="720"/>
      </w:pPr>
      <w:r>
        <w:t xml:space="preserve">A second limit is the coarseness of the novelty and complexity constructs. The binary first-of-kind indicator and the high-complexity flag are proxies for richer underlying constructs of technological maturity and integration burden, and the public narrative supports only the coarse coding. A third limit concerns the event clock itself: a formal cost breach is partly an administrative act, so the GAO-flagged date, while externally determined by the institutional fifteen-percent rule, may lag the substantive moment at which cost control was lost. The prospectus design probes this by treating the GAO-flagged breach date as an externally determined alternative to an agency rebaseline date and comparing coefficients across the two definitions.</w:t>
      </w:r>
    </w:p>
    <w:p>
      <w:pPr>
        <w:pStyle w:val="BodyText"/>
        <w:spacing w:line="480" w:lineRule="auto"/>
        <w:ind w:firstLine="720"/>
      </w:pPr>
      <w:r>
        <w:t xml:space="preserve">Finally, the two dependent constructs are jointly determined with schedule. Percent cost growth and schedule slip move together, so the cross-sectional schedule coefficient is properly read as a strong predictive association rather than a clean causal estimate, and the survival study’s lagged time-varying specification is the design response to exactly this timing problem. None of these limits is concealed by the measurement framework; each is made visible at the level of the individual cell and the individual variable, which is the standard a cliometric design must meet if its reading of the documented historical run is to be trusted. The chapters that follow estimate on this evidence base with the caution that its scale and provenance jointly require.</w:t>
      </w:r>
    </w:p>
    <w:bookmarkEnd w:id="95"/>
    <w:bookmarkEnd w:id="96"/>
    <w:bookmarkStart w:id="105" w:name="chapter-5.-methods-and-identification"/>
    <w:p>
      <w:pPr>
        <w:pStyle w:val="Heading1"/>
        <w:spacing w:line="480" w:lineRule="auto"/>
      </w:pPr>
      <w:r>
        <w:t xml:space="preserve">Chapter 5. Methods and Identification</w:t>
      </w:r>
    </w:p>
    <w:bookmarkStart w:id="97" w:name="X32f9e12c414a48598c0397f4ac5198f0e743727"/>
    <w:p>
      <w:pPr>
        <w:pStyle w:val="Heading2"/>
        <w:spacing w:line="480" w:lineRule="auto"/>
      </w:pPr>
      <w:r>
        <w:t xml:space="preserve">5.1 Overview and Logic of the Two-Estimator Design</w:t>
      </w:r>
    </w:p>
    <w:p>
      <w:pPr>
        <w:pStyle w:val="FirstParagraph"/>
        <w:spacing w:line="480" w:lineRule="auto"/>
      </w:pPr>
      <w:r>
        <w:t xml:space="preserve">This chapter specifies the estimators that carry the dissertation’s empirical weight, states the identification strategy that licenses their causal-adjacent interpretation, and enumerates the threats to validity that bound the conclusions. The argument is deliberately constructed around two complementary estimators rather than one. The reason is that the substantive question has two distinct temporal forms, and no single regression answers both cleanly. The first form is durational: given that a JPL-class flight program is alive and unbreaached at development month</w:t>
      </w:r>
      <w:r>
        <w:t xml:space="preserve"> </w:t>
      </w:r>
      <w:r>
        <w:rPr>
          <w:i/>
          <w:iCs/>
        </w:rPr>
        <w:t xml:space="preserve">t</w:t>
      </w:r>
      <w:r>
        <w:t xml:space="preserve">, what is its instantaneous risk of crossing the cost-overrun threshold in the next interval, and how does that risk move with elapsed exposure and with an evolving schedule signal, The second form is cross-sectional: conditional on observable attributes fixed near the start of implementation, how large is the eventual overrun, The durational question is answered by a Cox proportional-hazards model of time-to-first-breach; the cross-sectional question is answered by an ordinary-least-squares model of percent cost growth. The two are not redundant. A hazard model tells a program office how worried to be at a given moment, while a cost-growth regression tells a portfolio owner which classes of program to expect trouble from before the trouble begins.</w:t>
      </w:r>
    </w:p>
    <w:p>
      <w:pPr>
        <w:pStyle w:val="BodyText"/>
        <w:spacing w:line="480" w:lineRule="auto"/>
        <w:ind w:firstLine="720"/>
      </w:pPr>
      <w:r>
        <w:t xml:space="preserve">The decision to run both estimators is itself an identification choice. Schedule slip and cost growth are jointly determined in the cross-section, so the OLS schedule coefficient is a strong predictive association rather than a clean causal estimate. The hazard model is designed precisely to address the timing dimension that the cross-section cannot, by entering schedule slip as a lagged, time-varying covariate so that the lagged coefficient is identified off variation that occurred before the breach was recorded. The two models therefore stand in a deliberate division of labor: the OLS model establishes the magnitude and the sign structure of the drivers, and the hazard model establishes that one of those drivers, schedule slip, leads rather than merely accompanies the breach event. Reading them together is the methodological contribution, because each compensates for the principal weakness of the other.</w:t>
      </w:r>
    </w:p>
    <w:bookmarkEnd w:id="97"/>
    <w:bookmarkStart w:id="98" w:name="the-survival-estimator"/>
    <w:p>
      <w:pPr>
        <w:pStyle w:val="Heading2"/>
        <w:spacing w:line="480" w:lineRule="auto"/>
      </w:pPr>
      <w:r>
        <w:t xml:space="preserve">5.2 The Survival Estimator</w:t>
      </w:r>
    </w:p>
    <w:p>
      <w:pPr>
        <w:pStyle w:val="FirstParagraph"/>
        <w:spacing w:line="480" w:lineRule="auto"/>
      </w:pPr>
      <w:r>
        <w:t xml:space="preserve">The primary estimator is the Cox proportional-hazards regression introduced by Cox</w:t>
      </w:r>
      <w:r>
        <w:t xml:space="preserve"> </w:t>
      </w:r>
      <w:hyperlink w:anchor="ref-14">
        <w:r>
          <w:rPr>
            <w:rStyle w:val="Hyperlink"/>
          </w:rPr>
          <w:t xml:space="preserve">[14]</w:t>
        </w:r>
      </w:hyperlink>
      <w:r>
        <w:t xml:space="preserve">. The hazard of a cost-overrun breach for program</w:t>
      </w:r>
      <w:r>
        <w:t xml:space="preserve"> </w:t>
      </w:r>
      <w:r>
        <w:rPr>
          <w:i/>
          <w:iCs/>
        </w:rPr>
        <w:t xml:space="preserve">i</w:t>
      </w:r>
      <w:r>
        <w:t xml:space="preserve"> </w:t>
      </w:r>
      <w:r>
        <w:t xml:space="preserve">at development month</w:t>
      </w:r>
      <w:r>
        <w:t xml:space="preserve"> </w:t>
      </w:r>
      <w:r>
        <w:rPr>
          <w:i/>
          <w:iCs/>
        </w:rPr>
        <w:t xml:space="preserve">t</w:t>
      </w:r>
      <w:r>
        <w:t xml:space="preserve"> </w:t>
      </w:r>
      <w:r>
        <w:t xml:space="preserve">is modeled as the product of an unspecified baseline hazard, common to all programs and left fully nonparametric, and an exponential function of a covariate vector. In the time-invariant form used in the companion survival paper, that vector contains the natural logarithm of confirmation-baseline cost, a new-technology indicator, a flagship-scale indicator, and a high-payload-complexity indicator. Because the baseline hazard is unrestricted, the model imposes no functional shape on how breach risk rises or falls with raw development exposure, which is desirable given that the integration-and-test phases where overruns concentrate are not evenly distributed across the lifecycle. Each estimated coefficient is read as a log hazard ratio, and its exponent as the multiplicative effect of the covariate on the instantaneous breach risk, holding the others fixed.</w:t>
      </w:r>
    </w:p>
    <w:p>
      <w:pPr>
        <w:pStyle w:val="BodyText"/>
        <w:spacing w:line="480" w:lineRule="auto"/>
        <w:ind w:firstLine="720"/>
      </w:pPr>
      <w:r>
        <w:t xml:space="preserve">The dissertation extends that base specification in the direction the prospectus commits to: the central covariate is cumulative schedule slip, entered not as a fixed program attribute but as a time-varying regressor that updates at each reporting cycle. Operationally, cumulative schedule slip is the running change in launch-readiness date relative to the confirmation baseline, recomputed each time a NASA Major Program Annual Report or a Government Accountability Office assessment publishes a revised launch-readiness date. The time-varying form is what allows the estimator to distinguish a program whose slip accumulated early from one whose slip arrived late, even when the two reach the same terminal slip. This is the feature that converts the coupled-outcome observation in the governance literature, that previously unforeseen program interdependencies drive schedule changes and subsequent hikes in cost and budget</w:t>
      </w:r>
      <w:r>
        <w:t xml:space="preserve"> </w:t>
      </w:r>
      <w:hyperlink w:anchor="ref-6">
        <w:r>
          <w:rPr>
            <w:rStyle w:val="Hyperlink"/>
          </w:rPr>
          <w:t xml:space="preserve">[6]</w:t>
        </w:r>
      </w:hyperlink>
      <w:r>
        <w:t xml:space="preserve">, into a directional and testable hazard specification rather than a static correlation.</w:t>
      </w:r>
    </w:p>
    <w:p>
      <w:pPr>
        <w:pStyle w:val="BodyText"/>
        <w:spacing w:line="480" w:lineRule="auto"/>
        <w:ind w:firstLine="720"/>
      </w:pPr>
      <w:r>
        <w:t xml:space="preserve">Censoring is handled natively by the partial-likelihood machinery. A program that launched without ever breaching contributes to the risk set up to its launch month and is then removed without an event, exactly as a right-censored observation should. A program still in development at the close of the panel, with no recorded breach, is censored at last observation. This native handling of incomplete histories is the central reason the survival framework is preferred over a cross-sectional cost regression for the timing question: it uses the information in unbreaached and still-in-development programs without forcing an artificial outcome onto them. The companion survival paper fits this model on twenty-six programs with eleven breach events, and the dissertation chapter inherits that event structure while adding the time-varying slip covariate.</w:t>
      </w:r>
    </w:p>
    <w:bookmarkEnd w:id="98"/>
    <w:bookmarkStart w:id="99" w:name="the-cross-sectional-estimator"/>
    <w:p>
      <w:pPr>
        <w:pStyle w:val="Heading2"/>
        <w:spacing w:line="480" w:lineRule="auto"/>
      </w:pPr>
      <w:r>
        <w:t xml:space="preserve">5.3 The Cross-Sectional Estimator</w:t>
      </w:r>
    </w:p>
    <w:p>
      <w:pPr>
        <w:pStyle w:val="FirstParagraph"/>
        <w:spacing w:line="480" w:lineRule="auto"/>
      </w:pPr>
      <w:r>
        <w:t xml:space="preserve">The secondary estimator is ordinary least squares with heteroskedasticity-robust standard errors of the HC1 form. The dependent variable is percent development cost growth, computed from documented confirmation-baseline and current-or-final cost figures. The regressors are the natural logarithm of baseline cost, total launch slip in months, a first-of-kind indicator, and the count of distinct science instruments or major payload elements. The log transform on baseline cost lets the scale coefficient be read as the change in percentage-point growth associated with a proportional change in program size, which is the quantity the scale hypothesis is actually about. Robust standard errors are not a cosmetic choice. Cost data of this kind plausibly exhibit error variance that rises with program scale, and HC1 guards against the most obvious violation of homoskedasticity without imposing a parametric variance model that the small sample could not support.</w:t>
      </w:r>
    </w:p>
    <w:p>
      <w:pPr>
        <w:pStyle w:val="BodyText"/>
        <w:spacing w:line="480" w:lineRule="auto"/>
        <w:ind w:firstLine="720"/>
      </w:pPr>
      <w:r>
        <w:t xml:space="preserve">The OLS model is estimated on a cross-section of seventeen programs and is deliberately parsimonious, trading breadth of controls for stable estimation and interpretable coefficients. With seventeen observations and four regressors, adding further controls would purchase apparent completeness at the cost of unstable coefficients and uninterpretable standard errors. The parsimony is therefore a methodological commitment rather than a concession: the model is built to estimate the marginal contribution of scale, schedule, novelty, and complexity in a sample where each additional parameter materially erodes the degrees of freedom. The companion cross-sectional paper reports that this specification recovers a schedule coefficient near nine-tenths of a percentage point of growth per month of slip, an instrument-count coefficient near four and a half percentage points per element, a large but only marginally significant first-of-kind effect, and a negative and statistically insignificant scale coefficient. These results are inputs to the present chapter only as established findings; the chapter’s task is to defend the identification that licenses reading them.</w:t>
      </w:r>
    </w:p>
    <w:bookmarkEnd w:id="99"/>
    <w:bookmarkStart w:id="100" w:name="identification-strategy"/>
    <w:p>
      <w:pPr>
        <w:pStyle w:val="Heading2"/>
        <w:spacing w:line="480" w:lineRule="auto"/>
      </w:pPr>
      <w:r>
        <w:t xml:space="preserve">5.4 Identification Strategy</w:t>
      </w:r>
    </w:p>
    <w:p>
      <w:pPr>
        <w:pStyle w:val="FirstParagraph"/>
        <w:spacing w:line="480" w:lineRule="auto"/>
      </w:pPr>
      <w:r>
        <w:t xml:space="preserve">Identification in this design does not rest on an instrument or a natural experiment, and the chapter does not claim that it does. It rests on three features that, taken together, bound the inferential gap between association and the leading-indicator claim that the dissertation actually advances.</w:t>
      </w:r>
    </w:p>
    <w:p>
      <w:pPr>
        <w:pStyle w:val="BodyText"/>
        <w:spacing w:line="480" w:lineRule="auto"/>
        <w:ind w:firstLine="720"/>
      </w:pPr>
      <w:r>
        <w:t xml:space="preserve">The first feature is the lag structure in the hazard model. The dissertation’s single falsifiable contribution is that schedule slip is a leading, not merely concurrent, indicator of cost-breach hazard. To identify a leading relationship, the time-varying slip covariate is lagged one reporting cycle, and a contemporaneous slip term is included alongside the lagged term. The lagged coefficient is then identified off slip that was already recorded before the breach occurred, while the contemporaneous term absorbs the purely simultaneous co-movement that a cross-sectional correlation would conflate with leadership. The hypothesis test is structured around this separation: the leading-indicator claim survives only if the lagged hazard ratio is strictly greater than one and remains significant once the contemporaneous term is in the model, and it is rejected if the lagged term collapses to a hazard ratio indistinguishable from one when the contemporaneous term is added. This is the sense in which the claim is falsifiable in a single coefficient, and it is the load-bearing element of the identification strategy, because it is the only element that distinguishes the dissertation’s directional claim from the descriptive co-movement already acknowledged in the literature</w:t>
      </w:r>
      <w:r>
        <w:t xml:space="preserve"> </w:t>
      </w:r>
      <w:hyperlink w:anchor="ref-6">
        <w:r>
          <w:rPr>
            <w:rStyle w:val="Hyperlink"/>
          </w:rPr>
          <w:t xml:space="preserve">[6]</w:t>
        </w:r>
      </w:hyperlink>
      <w:r>
        <w:t xml:space="preserve">.</w:t>
      </w:r>
    </w:p>
    <w:p>
      <w:pPr>
        <w:pStyle w:val="BodyText"/>
        <w:spacing w:line="480" w:lineRule="auto"/>
        <w:ind w:firstLine="720"/>
      </w:pPr>
      <w:r>
        <w:t xml:space="preserve">The second feature is the direct testing of the proportional-hazards assumption rather than its imposition. The companion survival paper imposes proportionality; the dissertation does not. The assumption is tested via Schoenfeld residuals, which diagnose whether the effect of a covariate is stable across development time or whether it strengthens or weakens with exposure. If proportionality holds for schedule slip, the lagged hazard ratio is interpreted as a single constant multiplier. If it is violated, the model is re-specified with a slip-by-time interaction. The interaction is not a nuisance correction. It is substantively informative, because a positive interaction would establish that the slip signal grows stronger late in development, which is exactly the pattern the governance literature predicts when interdependencies surface and compound over the program lifecycle</w:t>
      </w:r>
      <w:r>
        <w:t xml:space="preserve"> </w:t>
      </w:r>
      <w:hyperlink w:anchor="ref-6">
        <w:r>
          <w:rPr>
            <w:rStyle w:val="Hyperlink"/>
          </w:rPr>
          <w:t xml:space="preserve">[6]</w:t>
        </w:r>
      </w:hyperlink>
      <w:r>
        <w:t xml:space="preserve">. Identification is therefore robust to the proportionality assumption in the sense that its failure is converted into evidence rather than allowed to silently bias the constant-hazard estimate.</w:t>
      </w:r>
    </w:p>
    <w:p>
      <w:pPr>
        <w:pStyle w:val="BodyText"/>
        <w:spacing w:line="480" w:lineRule="auto"/>
        <w:ind w:firstLine="720"/>
      </w:pPr>
      <w:r>
        <w:t xml:space="preserve">The third feature is the treatment of the event definition as an identified, not assumed, object. A formal cost breach is partly an administrative act, because a re-baseline is something the agency declares rather than something that happens to it on a fixed date. Identification of the event clock is reinforced by adopting the Government Accountability Office disclosure rule as an externally determined trigger: a project is flagged when development cost grows by fifteen percent or more relative to its committed baseline, or when a major milestone slips by six months or more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Because that rule is applied by an oversight body operating under a fixed and published threshold, the breach date it produces is less subject to the program office’s discretion than an internally declared re-baseline would be. The chapter therefore privileges the GAO-flagged date as the primary event definition and treats the agency re-baseline date as an alternative whose comparison is a robustness exercise rather than the spine of the identification.</w:t>
      </w:r>
    </w:p>
    <w:bookmarkEnd w:id="100"/>
    <w:bookmarkStart w:id="101" w:name="inference-under-small-samples"/>
    <w:p>
      <w:pPr>
        <w:pStyle w:val="Heading2"/>
        <w:spacing w:line="480" w:lineRule="auto"/>
      </w:pPr>
      <w:r>
        <w:t xml:space="preserve">5.5 Inference Under Small Samples</w:t>
      </w:r>
    </w:p>
    <w:p>
      <w:pPr>
        <w:pStyle w:val="FirstParagraph"/>
        <w:spacing w:line="480" w:lineRule="auto"/>
      </w:pPr>
      <w:r>
        <w:t xml:space="preserve">The population of JPL-class flight programs is modest, and breach events are rarer still. The companion papers report eleven events across twenty-six programs in the survival sample and seventeen programs in the cross-section. At those event counts, ordinary partial-likelihood inference is fragile, and the chapter addresses the fragility explicitly rather than reporting nominal standard errors as if the asymptotics held. For the hazard model, inference uses Firth penalized partial likelihood to control small-sample bias in the partial-likelihood estimates and to guard against separation, the condition in which a covariate perfectly predicts the event within a stratum and drives the unpenalized estimate to infinity. Confidence intervals are reported as profile-likelihood intervals rather than Wald intervals, because the Wald interval relies on a quadratic approximation to the log-likelihood that is poor when the likelihood is asymmetric, as it routinely is with few events. Where event counts in a stratum are thin, the Discovery and New Frontiers tiers are pooled into a single non-flagship stratum, which sacrifices some resolution within the competed lines in exchange for stable estimation.</w:t>
      </w:r>
    </w:p>
    <w:p>
      <w:pPr>
        <w:pStyle w:val="BodyText"/>
        <w:spacing w:line="480" w:lineRule="auto"/>
        <w:ind w:firstLine="720"/>
      </w:pPr>
      <w:r>
        <w:t xml:space="preserve">For the cross-sectional model, the small-sample posture is the HC1 robust covariance estimator paired with a frank statement that the standard errors are wide and that several coefficients are significant only at the ten percent level. The chapter does not over-read marginal significance. The substantive result the cross-section delivers is the consistency of sign across the structural covariates and the dominance of schedule slip, not a claim of conventional significance on every term. This is an honest reading of seventeen observations and four regressors, and it is the reading the dissertation defends.</w:t>
      </w:r>
    </w:p>
    <w:bookmarkEnd w:id="101"/>
    <w:bookmarkStart w:id="102" w:name="threats-to-validity-and-their-bounds"/>
    <w:p>
      <w:pPr>
        <w:pStyle w:val="Heading2"/>
        <w:spacing w:line="480" w:lineRule="auto"/>
      </w:pPr>
      <w:r>
        <w:t xml:space="preserve">5.6 Threats to Validity and Their Bounds</w:t>
      </w:r>
    </w:p>
    <w:p>
      <w:pPr>
        <w:pStyle w:val="FirstParagraph"/>
        <w:spacing w:line="480" w:lineRule="auto"/>
      </w:pPr>
      <w:r>
        <w:t xml:space="preserve">Four threats are material, and the methodological design bounds each rather than dismissing any.</w:t>
      </w:r>
    </w:p>
    <w:p>
      <w:pPr>
        <w:pStyle w:val="BodyText"/>
        <w:spacing w:line="480" w:lineRule="auto"/>
        <w:ind w:firstLine="720"/>
      </w:pPr>
      <w:r>
        <w:t xml:space="preserve">The first threat is small-N and event scarcity. A modest population with rare events inflates standard errors and risks separation in the partial likelihood. This is bounded by the Firth penalization and profile-likelihood intervals described above, and by the tier pooling that keeps the non-flagship stratum populated. The bound is not a claim that the estimates are precise. It is a claim that the imprecision is correctly represented and that the estimator does not blow up under separation. The residual exposure is that even a correctly bounded small sample cannot deliver tight confidence intervals, and the chapter reports the intervals as wide because they are wide.</w:t>
      </w:r>
    </w:p>
    <w:p>
      <w:pPr>
        <w:pStyle w:val="BodyText"/>
        <w:spacing w:line="480" w:lineRule="auto"/>
        <w:ind w:firstLine="720"/>
      </w:pPr>
      <w:r>
        <w:t xml:space="preserve">The second threat is endogeneity of re-baseline timing. Because a formal cost breach is partly an administrative act, a program may delay re-baselining for budgetary or political reasons, which would bias the event clock and contaminate the timing on which the entire survival design depends. This is bounded by the dual event definition. The GAO-flagged breach date, produced by an external oversight body under a fixed fifteen-percent-or-six-month rule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is the primary clock, and the agency re-baseline date is the alternative. Coefficients are compared across the two definitions, and the leading-indicator claim is credited only to the extent it survives under the more externally determined GAO trigger. If the lagged slip hazard ratio holds under the GAO definition but not the agency definition, the divergence is itself reported as a finding about administrative discretion rather than swept into a single preferred number.</w:t>
      </w:r>
    </w:p>
    <w:p>
      <w:pPr>
        <w:pStyle w:val="BodyText"/>
        <w:spacing w:line="480" w:lineRule="auto"/>
        <w:ind w:firstLine="720"/>
      </w:pPr>
      <w:r>
        <w:t xml:space="preserve">The third threat is violation of the proportional-hazards assumption. Schedule slip may carry different hazard weight early versus late in development, consistent with the observation that interdependencies surface and compound over time</w:t>
      </w:r>
      <w:r>
        <w:t xml:space="preserve"> </w:t>
      </w:r>
      <w:hyperlink w:anchor="ref-6">
        <w:r>
          <w:rPr>
            <w:rStyle w:val="Hyperlink"/>
          </w:rPr>
          <w:t xml:space="preserve">[6]</w:t>
        </w:r>
      </w:hyperlink>
      <w:r>
        <w:t xml:space="preserve">. This is bounded by the Schoenfeld-residual test and the conditional re-specification with a slip-by-time interaction. The bound is constructive: the failure mode is not ignored but modeled, and the interaction term recovers the late-development strengthening as an estimable quantity. The residual exposure is that with few events the Schoenfeld test itself has limited power, so a non-rejection of proportionality is weak evidence, and the chapter treats it that way rather than as confirmation.</w:t>
      </w:r>
    </w:p>
    <w:p>
      <w:pPr>
        <w:pStyle w:val="BodyText"/>
        <w:spacing w:line="480" w:lineRule="auto"/>
        <w:ind w:firstLine="720"/>
      </w:pPr>
      <w:r>
        <w:t xml:space="preserve">The fourth threat is construct validity of program class. Heterogeneity within JPL-class programs, in technology maturity, international partnership, and instrument count, is not fully captured by a tier indicator and a baseline-cost control. The new-space risk-taxonomy and governance literature is explicit that these dimensions matter: governance evolves toward project-specific models adopted to manage project risk</w:t>
      </w:r>
      <w:r>
        <w:t xml:space="preserve"> </w:t>
      </w:r>
      <w:hyperlink w:anchor="ref-4">
        <w:r>
          <w:rPr>
            <w:rStyle w:val="Hyperlink"/>
          </w:rPr>
          <w:t xml:space="preserve">[4]</w:t>
        </w:r>
      </w:hyperlink>
      <w:r>
        <w:t xml:space="preserve">, and the risk landscape itself is structured by dimensions a coarse tier cannot encode</w:t>
      </w:r>
      <w:r>
        <w:t xml:space="preserve"> </w:t>
      </w:r>
      <w:hyperlink w:anchor="ref-5">
        <w:r>
          <w:rPr>
            <w:rStyle w:val="Hyperlink"/>
          </w:rPr>
          <w:t xml:space="preserve">[5]</w:t>
        </w:r>
      </w:hyperlink>
      <w:r>
        <w:t xml:space="preserve">. This is bounded by a sensitivity specification that adds a count of new-technology elements where the Major Program Annual Report narrative permits coding, and by the instrument count already carried in the cross-sectional model. The bound is partial by construction, because narrative coding of technology content is itself a source of measurement error, and the chapter does not claim to have measured novelty without error. It claims to have probed whether the coarse class proxy is masking a novelty effect, and to have reported the answer.</w:t>
      </w:r>
    </w:p>
    <w:bookmarkEnd w:id="102"/>
    <w:bookmarkStart w:id="103" w:name="external-validity"/>
    <w:p>
      <w:pPr>
        <w:pStyle w:val="Heading2"/>
        <w:spacing w:line="480" w:lineRule="auto"/>
      </w:pPr>
      <w:r>
        <w:t xml:space="preserve">5.7 External Validity</w:t>
      </w:r>
    </w:p>
    <w:p>
      <w:pPr>
        <w:pStyle w:val="FirstParagraph"/>
        <w:spacing w:line="480" w:lineRule="auto"/>
      </w:pPr>
      <w:r>
        <w:t xml:space="preserve">A final caveat is one of transfer rather than internal bias. The estimates are recovered on NASA JPL-class programs, whose risk structures the governance and risk-taxonomy literature treats as distinct from those of commercial new-space programs</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 The leading-indicator mechanism, if confirmed, is therefore a statement about the population of federally overseen major projects assessed under the GAO disclosure rule, not a universal law of space-program execution. The chapter is explicit that the falsifiable claim is bounded to this population, and that extension to commercial programs would require re-estimation on a sample whose schedule-to-cost coupling cannot be assumed identical. This is a limitation on the reach of the conclusions, not on their validity within the studied population, and stating it is part of the identification discipline rather than a hedge against it.</w:t>
      </w:r>
    </w:p>
    <w:bookmarkEnd w:id="103"/>
    <w:bookmarkStart w:id="104" w:name="Xedcd65030d98581e99ca7f6d85011cb00bfb89f"/>
    <w:p>
      <w:pPr>
        <w:pStyle w:val="Heading2"/>
        <w:spacing w:line="480" w:lineRule="auto"/>
      </w:pPr>
      <w:r>
        <w:t xml:space="preserve">5.8 Provenance and Reproducibility of the Estimation Inputs</w:t>
      </w:r>
    </w:p>
    <w:p>
      <w:pPr>
        <w:pStyle w:val="FirstParagraph"/>
        <w:spacing w:line="480" w:lineRule="auto"/>
      </w:pPr>
      <w:r>
        <w:t xml:space="preserve">Because the estimators are only as credible as the panel they consume, the chapter closes by tying the identification strategy back to the data provenance. The estimation inputs are drawn from two consistently published, non-paywalled federal sources: the NASA Major Program Annual Report, which reports per-project confirmation cost and schedule baselines, current estimates, re-baseline events, and launch-readiness-date histories; and the Government Accountability Office Annual Assessment of NASA’s Major Projects, which reports cost and schedule performance against confirmation baselines and explicitly flags re-baselines and breaches</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The two series cross-validate each other, and the GAO series supplies the externally determined breach trigger that the identification strategy leans on. Cost figures are normalized to constant dollars using a published NASA New-Start inflation index so that the magnitude of a breach is comparable across confirmation eras. Where a confirmation-era figure is not recoverable from the public record, the cell is flagged as illustrative and is confined to baseline-cost values that touch no event, duration, or final-cost quantity, so that the flagged cells cannot move the timing on which the hazard identification depends. This provenance discipline is the precondition for the identification strategy to mean anything: a leading-indicator coefficient estimated off a contaminated event clock would identify nothing, and the open federal record is what keeps the clock clean.</w:t>
      </w:r>
    </w:p>
    <w:bookmarkEnd w:id="104"/>
    <w:bookmarkEnd w:id="105"/>
    <w:bookmarkStart w:id="118" w:name="chapter-6.-results"/>
    <w:p>
      <w:pPr>
        <w:pStyle w:val="Heading1"/>
        <w:spacing w:line="480" w:lineRule="auto"/>
      </w:pPr>
      <w:r>
        <w:t xml:space="preserve">Chapter 6. Results</w:t>
      </w:r>
    </w:p>
    <w:bookmarkStart w:id="106" w:name="overview-of-the-two-estimations"/>
    <w:p>
      <w:pPr>
        <w:pStyle w:val="Heading2"/>
        <w:spacing w:line="480" w:lineRule="auto"/>
      </w:pPr>
      <w:r>
        <w:t xml:space="preserve">6.1 Overview of the Two Estimations</w:t>
      </w:r>
    </w:p>
    <w:p>
      <w:pPr>
        <w:pStyle w:val="FirstParagraph"/>
        <w:spacing w:line="480" w:lineRule="auto"/>
      </w:pPr>
      <w:r>
        <w:t xml:space="preserve">This chapter reports and interprets the findings of the two estimations that operationalize the dissertation’s central question, namely whether and how the structural features of JPL-class flight programs govern the development cost overruns those programs incur. The two models are complementary by construction. The first is a Cox proportional-hazards regression of time to first cost-overrun breach, estimated on a panel of twenty-six programs with eleven recorded breach events. It answers the temporal question: across the months of development exposure, which program attributes raise or lower the instantaneous risk that a program crosses the disclosure threshold. The second is an ordinary-least-squares regression with heteroskedasticity-robust standard errors, estimated on a cross-section of seventeen programs. It answers the magnitude question: conditional on a fixed set of observable attributes, how large does the eventual percentage cost growth become.</w:t>
      </w:r>
    </w:p>
    <w:p>
      <w:pPr>
        <w:pStyle w:val="BodyText"/>
        <w:spacing w:line="480" w:lineRule="auto"/>
        <w:ind w:firstLine="720"/>
      </w:pPr>
      <w:r>
        <w:t xml:space="preserve">The two estimators are reported here in their fitted form, with exact coefficients, standard errors, and p-values as recovered from the partial-likelihood and least-squares routines. The supporting data matrix, the formal model statements, and the diagnostic plots are carried in Appendix A and are not reproduced in the body of this chapter. The discussion below is confined to what the numbers say and what they mean for the theory of cost-overrun hazard advanced in the preceding chapters. Throughout, the interpretive register is deliberately restrained. Both models are small-sample estimations, the survival model in particular spreading eleven events across four covariates, and the chapter draws the line between point estimates that are stable and directionally informative and coefficients that reach conventional statistical significance. The substantive claim of the dissertation does not rest on any single starred coefficient; it rests on the coherence of the sign pattern across two independent estimations of the same underlying process.</w:t>
      </w:r>
    </w:p>
    <w:bookmarkEnd w:id="106"/>
    <w:bookmarkStart w:id="110" w:name="the-survival-model-cost-breach-hazard"/>
    <w:p>
      <w:pPr>
        <w:pStyle w:val="Heading2"/>
        <w:spacing w:line="480" w:lineRule="auto"/>
      </w:pPr>
      <w:r>
        <w:t xml:space="preserve">6.2 The Survival Model: Cost-Breach Hazard</w:t>
      </w:r>
    </w:p>
    <w:p>
      <w:pPr>
        <w:pStyle w:val="FirstParagraph"/>
        <w:spacing w:line="480" w:lineRule="auto"/>
      </w:pPr>
      <w:r>
        <w:t xml:space="preserve">The Cox proportional-hazards model was fitted by partial likelihood on the full panel of twenty-six programs, of which eleven experienced a cost-overrun breach event and the remaining fifteen were right-censored at an on-schedule launch or at last observation in development. The breach event is the first formal crossing of the disclosure threshold, defined as a development cost growth of fifteen percent or more relative to the committed confirmation baseline or a cost-driven agency rebaseline, the institutional definition that the Government Accountability Office has applied to NASA’s major projects for more than a decade</w:t>
      </w:r>
      <w:r>
        <w:t xml:space="preserve"> </w:t>
      </w:r>
      <w:hyperlink w:anchor="ref-1">
        <w:r>
          <w:rPr>
            <w:rStyle w:val="Hyperlink"/>
          </w:rPr>
          <w:t xml:space="preserve">[1]</w:t>
        </w:r>
      </w:hyperlink>
      <w:r>
        <w:t xml:space="preserve">. Four covariates enter the linear predictor: the natural logarithm of confirmation-baseline cost, a binary new-technology indicator, a binary flagship indicator, and a binary high-complexity indicator. Each coefficient is read as a log hazard ratio, and its exponent as the multiplicative effect of the covariate on the instantaneous breach risk, holding the remaining three fixed.</w:t>
      </w:r>
    </w:p>
    <w:bookmarkStart w:id="107" w:name="the-programmatic-covariates"/>
    <w:p>
      <w:pPr>
        <w:pStyle w:val="Heading3"/>
        <w:spacing w:line="480" w:lineRule="auto"/>
      </w:pPr>
      <w:r>
        <w:t xml:space="preserve">6.2.1 The Programmatic Covariates</w:t>
      </w:r>
    </w:p>
    <w:p>
      <w:pPr>
        <w:pStyle w:val="FirstParagraph"/>
        <w:spacing w:line="480" w:lineRule="auto"/>
      </w:pPr>
      <w:r>
        <w:t xml:space="preserve">The three programmatic covariates, each constructed to capture a structural feature that program-management theory predicts should elevate breach risk, all carry the hypothesized positive sign. This unanimity of direction is the first and most consequential result of the survival model, and it holds before any question of significance is raised.</w:t>
      </w:r>
    </w:p>
    <w:p>
      <w:pPr>
        <w:pStyle w:val="BodyText"/>
        <w:spacing w:line="480" w:lineRule="auto"/>
        <w:ind w:firstLine="720"/>
      </w:pPr>
      <w:r>
        <w:t xml:space="preserve">New-technology content carries the largest estimated effect. Its coefficient is 1.3466, with a standard error of 1.2942 and a p-value of 0.2981. Exponentiating the coefficient yields an implied hazard ratio of approximately 3.84. The substantive reading is that, at any given month of development exposure, a first-of-kind program faces nearly four times the instantaneous breach hazard of a high-heritage program holding scale and complexity fixed. This is the largest multiplicative effect among the three programmatic indicators and the one most directly aligned with the theoretical account in which first-of-kind development is the locus of the least-anchored estimates and the least adequate reserves</w:t>
      </w:r>
      <w:r>
        <w:t xml:space="preserve"> </w:t>
      </w:r>
      <w:hyperlink w:anchor="ref-3">
        <w:r>
          <w:rPr>
            <w:rStyle w:val="Hyperlink"/>
          </w:rPr>
          <w:t xml:space="preserve">[3]</w:t>
        </w:r>
      </w:hyperlink>
      <w:r>
        <w:t xml:space="preserve">. The standard error is large relative to the coefficient, so the effect does not approach conventional significance, but the magnitude is economically meaningful and the direction is exactly as predicted.</w:t>
      </w:r>
    </w:p>
    <w:p>
      <w:pPr>
        <w:pStyle w:val="BodyText"/>
        <w:spacing w:line="480" w:lineRule="auto"/>
        <w:ind w:firstLine="720"/>
      </w:pPr>
      <w:r>
        <w:t xml:space="preserve">Flagship scale is the second programmatic covariate and carries a coefficient of 1.1354, with a standard error of 1.0862 and a p-value of 0.2959. The implied hazard ratio is approximately 3.11. A program in the flagship class therefore faces roughly three times the instantaneous breach hazard of a non-flagship program at the same point in development, holding novelty and complexity constant. The magnitude is consistent with the historical flagship record, in which the largest strategic missions concentrate the most ambitious and least-reversible commitments and the rebaseline pattern from the James Webb Space Telescope forward is dense</w:t>
      </w:r>
      <w:r>
        <w:t xml:space="preserve"> </w:t>
      </w:r>
      <w:hyperlink w:anchor="ref-1">
        <w:r>
          <w:rPr>
            <w:rStyle w:val="Hyperlink"/>
          </w:rPr>
          <w:t xml:space="preserve">[1]</w:t>
        </w:r>
      </w:hyperlink>
      <w:r>
        <w:t xml:space="preserve">. As with new technology, the standard error is of the same order as the coefficient and the p-value sits well above the conventional threshold, so the flagship effect is a stable directional signal rather than a precisely identified one.</w:t>
      </w:r>
    </w:p>
    <w:p>
      <w:pPr>
        <w:pStyle w:val="BodyText"/>
        <w:spacing w:line="480" w:lineRule="auto"/>
        <w:ind w:firstLine="720"/>
      </w:pPr>
      <w:r>
        <w:t xml:space="preserve">High payload complexity is the third programmatic covariate and carries the smallest of the three effects. Its coefficient is 0.5159, with a standard error of 1.3134 and a p-value of 0.6945. The implied hazard ratio is approximately 1.68. A high-complexity program faces an instantaneous breach hazard about two-thirds higher than a low-complexity program, holding the other covariates fixed. The standard error here exceeds the coefficient by a wide margin and the p-value is the least favorable in the model, so this is the weakest of the four estimates by the standard of statistical precision. Nonetheless the sign is positive and consistent with the integration-and-test channel through which payload and instrument complexity have repeatedly driven schedule-and-cost coupling. The complexity covariate contributes to the overall sign pattern even as it carries the least independent identifying power.</w:t>
      </w:r>
    </w:p>
    <w:bookmarkEnd w:id="107"/>
    <w:bookmarkStart w:id="108" w:name="the-baseline-cost-control"/>
    <w:p>
      <w:pPr>
        <w:pStyle w:val="Heading3"/>
        <w:spacing w:line="480" w:lineRule="auto"/>
      </w:pPr>
      <w:r>
        <w:t xml:space="preserve">6.2.2 The Baseline-Cost Control</w:t>
      </w:r>
    </w:p>
    <w:p>
      <w:pPr>
        <w:pStyle w:val="FirstParagraph"/>
        <w:spacing w:line="480" w:lineRule="auto"/>
      </w:pPr>
      <w:r>
        <w:t xml:space="preserve">The fourth covariate, the natural logarithm of confirmation-baseline cost, enters as a control rather than as a hypothesis-bearing regressor, and its sign is theoretically ambiguous in advance. The fitted coefficient is −0.9685, with a standard error of 0.6362 and a p-value of 0.128. The implied hazard ratio is approximately 0.38. The point estimate is negative, indicating that, conditional on novelty, flagship class, and complexity, programs with larger dollar baselines face a lower proportional hazard of a fifteen-percent breach.</w:t>
      </w:r>
    </w:p>
    <w:p>
      <w:pPr>
        <w:pStyle w:val="BodyText"/>
        <w:spacing w:line="480" w:lineRule="auto"/>
        <w:ind w:firstLine="720"/>
      </w:pPr>
      <w:r>
        <w:t xml:space="preserve">This is, in the precise sense of having the smallest p-value among the four covariates, the borderline-strongest effect in the survival model, even though it does not cross the conventional five-percent threshold. The negative sign is interpretable and consistent with the reserves-and-scrutiny reading developed in the theory chapter. A larger absolute baseline can absorb the same dollar shock without crossing a proportional disclosure threshold, and the largest programs draw the most concentrated management oversight, both mechanisms that would lower the proportional hazard of a fixed-percentage breach. The result should not be over-read at this sample size, and the confidence band on the hazard ratio is wide, but the estimate is stable and its direction carries a substantive corollary for oversight design that the discussion in the companion cross-section reinforces: because the disclosure trigger is proportional, a fixed-percentage rule mechanically affords larger programs more dollar headroom before they trip.</w:t>
      </w:r>
    </w:p>
    <w:bookmarkEnd w:id="108"/>
    <w:bookmarkStart w:id="109" w:name="X4e8ff8ff89682c9398ffbc596ad0b9e9bbbdecf"/>
    <w:p>
      <w:pPr>
        <w:pStyle w:val="Heading3"/>
        <w:spacing w:line="480" w:lineRule="auto"/>
      </w:pPr>
      <w:r>
        <w:t xml:space="preserve">6.2.3 Fit and the Coherence of the Hazard Estimates</w:t>
      </w:r>
    </w:p>
    <w:p>
      <w:pPr>
        <w:pStyle w:val="FirstParagraph"/>
        <w:spacing w:line="480" w:lineRule="auto"/>
      </w:pPr>
      <w:r>
        <w:t xml:space="preserve">The survival model was estimated on the full twenty-six-program panel with eleven events. With four covariates and eleven events, the ratio of events to estimated parameters is low by the standards of survival analysis, and the partial-likelihood standard errors reflect that scarcity directly: every covariate carries a standard error of the same order of magnitude as its coefficient, and none of the four reaches conventional statistical significance. This is the expected consequence of the data-generating environment rather than a failure of the specification. The JPL-class population is finite and breach events are rarer still, a constraint the design anticipated and addressed through deliberate parsimony in the covariate set.</w:t>
      </w:r>
    </w:p>
    <w:p>
      <w:pPr>
        <w:pStyle w:val="BodyText"/>
        <w:spacing w:line="480" w:lineRule="auto"/>
        <w:ind w:firstLine="720"/>
      </w:pPr>
      <w:r>
        <w:t xml:space="preserve">The substantive result of the survival model does not lie in any individual p-value. It lies in the joint sign pattern. All three programmatic covariates that theory predicts should raise breach hazard do raise it in the point estimates, and they do so in the predicted rank order, with new technology carrying the largest effect, flagship scale the second, and complexity the third. The baseline-cost control enters negative, consistent with the proportional-threshold logic. A model that recovered the entire predicted sign structure across four independent covariates, on a sample this small, is offering a coherent signal even while withholding strong significance claims on any one term. The directional hypothesis of the survival paper is supported in sign; the magnitude of the standard errors is the honest cost of an eleven-event panel.</w:t>
      </w:r>
    </w:p>
    <w:bookmarkEnd w:id="109"/>
    <w:bookmarkEnd w:id="110"/>
    <w:bookmarkStart w:id="116" w:name="Xd095f2caa8046e0ea6e1fe8497177186a984893"/>
    <w:p>
      <w:pPr>
        <w:pStyle w:val="Heading2"/>
        <w:spacing w:line="480" w:lineRule="auto"/>
      </w:pPr>
      <w:r>
        <w:t xml:space="preserve">6.3 The Cross-Sectional Model: Magnitude of Cost Growth</w:t>
      </w:r>
    </w:p>
    <w:p>
      <w:pPr>
        <w:pStyle w:val="FirstParagraph"/>
        <w:spacing w:line="480" w:lineRule="auto"/>
      </w:pPr>
      <w:r>
        <w:t xml:space="preserve">The second estimation moves from the timing of breach to the size of growth. The ordinary-least-squares model was fitted on a cross-section of seventeen NASA and JPL-class flight programs for which a confirmation-baseline development cost, a current or final development cost, and a launch-readiness slip are individually documented in public oversight reporting. The dependent variable is percent development cost growth. Four regressors enter the model: the natural logarithm of baseline cost in millions of dollars, total launch slip in months, a binary first-of-kind indicator, and the count of distinct science instruments or major payload elements. Standard errors are heteroskedasticity-robust of the HC1 form, chosen because the error variance in cost data plausibly rises with program scale and a small cross-section offers no protection against that violation under classical assumptions.</w:t>
      </w:r>
    </w:p>
    <w:bookmarkStart w:id="111" w:name="overall-fit"/>
    <w:p>
      <w:pPr>
        <w:pStyle w:val="Heading3"/>
        <w:spacing w:line="480" w:lineRule="auto"/>
      </w:pPr>
      <w:r>
        <w:t xml:space="preserve">6.3.1 Overall Fit</w:t>
      </w:r>
    </w:p>
    <w:p>
      <w:pPr>
        <w:pStyle w:val="FirstParagraph"/>
        <w:spacing w:line="480" w:lineRule="auto"/>
      </w:pPr>
      <w:r>
        <w:t xml:space="preserve">The model explains a large share of the variation in program cost growth. The R-squared is 0.7790 and the adjusted R-squared is 0.7054. The overall F-statistic is 67.33 with a p-value of approximately 4.06 times ten to the minus eight, so the four regressors are jointly highly significant by a wide margin. An adjusted R-squared above seven-tenths on a seventeen-observation cross-section, with the penalty for four regressors already absorbed, indicates that the chosen attributes capture the dominant structure of the cost-growth distribution rather than fitting noise. The gap between the raw and adjusted figures is modest, which is the expected behavior when the regressors carry genuine explanatory content rather than inflating fit through sheer parameter count. The joint F-test removes any concern that the model’s explanatory power is an artifact of a single dominant term; the regressors are jointly informative even before the individual coefficients are examined.</w:t>
      </w:r>
    </w:p>
    <w:bookmarkEnd w:id="111"/>
    <w:bookmarkStart w:id="112" w:name="schedule-slip"/>
    <w:p>
      <w:pPr>
        <w:pStyle w:val="Heading3"/>
        <w:spacing w:line="480" w:lineRule="auto"/>
      </w:pPr>
      <w:r>
        <w:t xml:space="preserve">6.3.2 Schedule Slip</w:t>
      </w:r>
    </w:p>
    <w:p>
      <w:pPr>
        <w:pStyle w:val="FirstParagraph"/>
        <w:spacing w:line="480" w:lineRule="auto"/>
      </w:pPr>
      <w:r>
        <w:t xml:space="preserve">Schedule slip is the dominant and most precisely estimated driver in the cross-section. Its coefficient is 0.9079, with a robust standard error of 0.0757 and a p-value that rounds to 0.0 at the reported precision, which is to say below any conventional threshold by a comfortable margin. The implied t-statistic, the ratio of the coefficient to its standard error, is near twelve, an unusually sharp identification for a model of this size. Read directly, each additional month of launch-readiness slip is associated with approximately nine-tenths of a percentage point of additional development cost growth.</w:t>
      </w:r>
    </w:p>
    <w:p>
      <w:pPr>
        <w:pStyle w:val="BodyText"/>
        <w:spacing w:line="480" w:lineRule="auto"/>
        <w:ind w:firstLine="720"/>
      </w:pPr>
      <w:r>
        <w:t xml:space="preserve">The economic content of this coefficient is substantial. A two-year slip, the magnitude that forced the Mars Science Laboratory to its next available Mars launch window, maps through this term alone to roughly twenty-two percentage points of cost growth, a figure consistent with the documented experience of that program</w:t>
      </w:r>
      <w:r>
        <w:t xml:space="preserve"> </w:t>
      </w:r>
      <w:hyperlink w:anchor="ref-5">
        <w:r>
          <w:rPr>
            <w:rStyle w:val="Hyperlink"/>
          </w:rPr>
          <w:t xml:space="preserve">[5]</w:t>
        </w:r>
      </w:hyperlink>
      <w:r>
        <w:t xml:space="preserve"> </w:t>
      </w:r>
      <w:r>
        <w:t xml:space="preserve">and with the standing-army mechanism in which engineering teams and facilities continue to draw funding while a program waits</w:t>
      </w:r>
      <w:r>
        <w:t xml:space="preserve"> </w:t>
      </w:r>
      <w:hyperlink w:anchor="ref-1">
        <w:r>
          <w:rPr>
            <w:rStyle w:val="Hyperlink"/>
          </w:rPr>
          <w:t xml:space="preserve">[1]</w:t>
        </w:r>
      </w:hyperlink>
      <w:r>
        <w:t xml:space="preserve">. The precision of this estimate is the empirical anchor of the cross-sectional paper. Of the four regressors, schedule slip is the one whose effect is identified beyond any reasonable doubt within the sample, and it is also, by design, the variable that program offices and oversight bodies observe earliest and most reliably. The combination of large magnitude and tight standard error makes schedule discipline the highest-value control lever the model identifies.</w:t>
      </w:r>
    </w:p>
    <w:bookmarkEnd w:id="112"/>
    <w:bookmarkStart w:id="113" w:name="instrument-count"/>
    <w:p>
      <w:pPr>
        <w:pStyle w:val="Heading3"/>
        <w:spacing w:line="480" w:lineRule="auto"/>
      </w:pPr>
      <w:r>
        <w:t xml:space="preserve">6.3.3 Instrument Count</w:t>
      </w:r>
    </w:p>
    <w:p>
      <w:pPr>
        <w:pStyle w:val="FirstParagraph"/>
        <w:spacing w:line="480" w:lineRule="auto"/>
      </w:pPr>
      <w:r>
        <w:t xml:space="preserve">Payload complexity, operationalized as the count of distinct science instruments or major payload elements, is the second clearly identified driver. Its coefficient is 4.5498, with a robust standard error of 1.3158 and a p-value of 0.0005. The implied t-statistic is approximately 3.46, comfortably significant at the one-percent level. Each additional science instrument or major payload element is associated with about four and a half percentage points of additional cost growth, holding scale, schedule, and first-of-kind status constant.</w:t>
      </w:r>
    </w:p>
    <w:p>
      <w:pPr>
        <w:pStyle w:val="BodyText"/>
        <w:spacing w:line="480" w:lineRule="auto"/>
        <w:ind w:firstLine="720"/>
      </w:pPr>
      <w:r>
        <w:t xml:space="preserve">This coefficient renders the integration-burden channel quantitative. More distinct payload elements mean more interfaces to design, integrate, and verify, and more opportunities for discovery during the integration-and-test phase where latent cost most often surfaces. The instrument-count effect is the second most precisely estimated term in the model after schedule slip, and its significance at the one-percent level distinguishes it sharply from the two remaining regressors. The practical reading is that the descope decisions made at confirmation, specifically how many instruments to fly and how many to defer, carry predictable downstream cost consequences. A program that adds a fourth or fifth instrument is, in this cross-section, committing to a measurable increment of expected cost growth that is separable from the program’s scale, schedule trajectory, and novelty.</w:t>
      </w:r>
    </w:p>
    <w:bookmarkEnd w:id="113"/>
    <w:bookmarkStart w:id="114" w:name="first-of-kind-technology"/>
    <w:p>
      <w:pPr>
        <w:pStyle w:val="Heading3"/>
        <w:spacing w:line="480" w:lineRule="auto"/>
      </w:pPr>
      <w:r>
        <w:t xml:space="preserve">6.3.4 First-of-Kind Technology</w:t>
      </w:r>
    </w:p>
    <w:p>
      <w:pPr>
        <w:pStyle w:val="FirstParagraph"/>
        <w:spacing w:line="480" w:lineRule="auto"/>
      </w:pPr>
      <w:r>
        <w:t xml:space="preserve">The first-of-kind indicator carries the expected positive sign and a large magnitude. Its coefficient is 18.6076, with a robust standard error of 10.9293 and a p-value of 0.0887. The implied t-statistic is approximately 1.70, which places the effect at marginal significance, above the ten-percent threshold in the sense of the p-value but below the conventional five-percent level. A first-of-kind program is associated with roughly nineteen additional percentage points of cost growth relative to a heritage program with otherwise similar scale, schedule, and complexity.</w:t>
      </w:r>
    </w:p>
    <w:p>
      <w:pPr>
        <w:pStyle w:val="BodyText"/>
        <w:spacing w:line="480" w:lineRule="auto"/>
        <w:ind w:firstLine="720"/>
      </w:pPr>
      <w:r>
        <w:t xml:space="preserve">The interpretation of this term must hold magnitude and precision in tension. The point estimate is economically very large, the second largest in the model after the intercept and far larger in substantive terms than the per-month schedule effect once a typical slip is considered. Yet the standard error is correspondingly wide, a consequence of estimating a binary effect across seventeen observations of which eight are coded first-of-kind. The marginal significance is exactly what a sample of this size predicts for a covariate with that distribution: the effect is real in sign and large in magnitude but cannot be pinned down with the precision that the schedule and instrument-count coefficients enjoy. The magnitude nonetheless matches the novelty argument in the parametric-cost literature, in which the absence of heritage analogues widens the cost-uncertainty band precisely where novelty is highest</w:t>
      </w:r>
      <w:r>
        <w:t xml:space="preserve"> </w:t>
      </w:r>
      <w:hyperlink w:anchor="ref-2">
        <w:r>
          <w:rPr>
            <w:rStyle w:val="Hyperlink"/>
          </w:rPr>
          <w:t xml:space="preserve">[2]</w:t>
        </w:r>
      </w:hyperlink>
      <w:r>
        <w:t xml:space="preserve">[3]. The first-of-kind effect is the cross-sectional counterpart of the new-technology hazard ratio in the survival model, and the two estimations agree that novelty is the structural feature carrying the largest, if least precisely measured, cost penalty.</w:t>
      </w:r>
    </w:p>
    <w:bookmarkEnd w:id="114"/>
    <w:bookmarkStart w:id="115" w:name="baseline-scale"/>
    <w:p>
      <w:pPr>
        <w:pStyle w:val="Heading3"/>
        <w:spacing w:line="480" w:lineRule="auto"/>
      </w:pPr>
      <w:r>
        <w:t xml:space="preserve">6.3.5 Baseline Scale</w:t>
      </w:r>
    </w:p>
    <w:p>
      <w:pPr>
        <w:pStyle w:val="FirstParagraph"/>
        <w:spacing w:line="480" w:lineRule="auto"/>
      </w:pPr>
      <w:r>
        <w:t xml:space="preserve">The coefficient on the natural logarithm of baseline cost is the result that runs against the simplest size prior, and it is the cross-sectional analogue of the negative baseline-cost hazard ratio in the survival model. The coefficient is −3.9387, with a robust standard error of 2.4384 and a p-value of 0.1063. The implied t-statistic is approximately minus 1.62. The estimate is not statistically distinguishable from zero at conventional levels, and its point estimate points in the opposite direction from the naive expectation that larger programs grow by a larger percentage.</w:t>
      </w:r>
    </w:p>
    <w:p>
      <w:pPr>
        <w:pStyle w:val="BodyText"/>
        <w:spacing w:line="480" w:lineRule="auto"/>
        <w:ind w:firstLine="720"/>
      </w:pPr>
      <w:r>
        <w:t xml:space="preserve">The substantive reading is that, once schedule slip and technical novelty are held constant, doubling the baseline program size is, if anything, associated with slightly lower percentage growth rather than higher. The negative sign is consistent across both estimations of this dissertation: the survival model’s log-baseline hazard ratio of approximately 0.38 and the cross-section’s negative percentage-growth coefficient tell the same story from two different angles, namely that absolute program scale does not carry an independent proportional cost penalty once the channels that genuinely drive growth are accounted for. The result is counterintuitive precisely because flagship programs draw oversight attention through the size of their absolute overruns, but absolute dollars and percentage growth are distinct quantities, and the data do not support the claim that bigness itself causes proportionally larger growth. Within-budget benchmarks at very different scales, from competed missions near the lower cost tiers to large strategic missions delivered near baseline, are exactly what a near-zero or mildly negative scale effect predicts. The intercept of the model is 14.0609, with a robust standard error of 16.2752 and a p-value of 0.3876, and is not separately distinguishable from zero, which is the expected behavior for a constant term in a model where the substantive action is carried by the slope coefficients.</w:t>
      </w:r>
    </w:p>
    <w:bookmarkEnd w:id="115"/>
    <w:bookmarkEnd w:id="116"/>
    <w:bookmarkStart w:id="117" w:name="synthesis-across-the-two-models"/>
    <w:p>
      <w:pPr>
        <w:pStyle w:val="Heading2"/>
        <w:spacing w:line="480" w:lineRule="auto"/>
      </w:pPr>
      <w:r>
        <w:t xml:space="preserve">6.4 Synthesis Across the Two Models</w:t>
      </w:r>
    </w:p>
    <w:p>
      <w:pPr>
        <w:pStyle w:val="FirstParagraph"/>
        <w:spacing w:line="480" w:lineRule="auto"/>
      </w:pPr>
      <w:r>
        <w:t xml:space="preserve">The two estimations were specified independently, on overlapping but distinct samples, with different estimators and different dependent variables, yet they converge on a single coherent account of cost overrun in JPL-class flight programs. That convergence is the central result of this chapter and the empirical core of the dissertation.</w:t>
      </w:r>
    </w:p>
    <w:p>
      <w:pPr>
        <w:pStyle w:val="BodyText"/>
        <w:spacing w:line="480" w:lineRule="auto"/>
        <w:ind w:firstLine="720"/>
      </w:pPr>
      <w:r>
        <w:t xml:space="preserve">The first point of agreement concerns novelty. In the survival model, new-technology content carries the largest hazard ratio, approximately 3.84, indicating that first-of-kind programs face nearly four times the instantaneous breach risk of heritage programs. In the cross-section, the first-of-kind indicator carries a coefficient of 18.6076, the largest substantive slope effect in that model, indicating roughly nineteen additional percentage points of growth. Both estimations place novelty at or near the top of the cost-risk ordering, and both estimate it with wide standard errors that reflect the limited number of first-of-kind cases. The agreement in sign and rank across two methods is more informative than either marginal p-value taken alone.</w:t>
      </w:r>
    </w:p>
    <w:p>
      <w:pPr>
        <w:pStyle w:val="BodyText"/>
        <w:spacing w:line="480" w:lineRule="auto"/>
        <w:ind w:firstLine="720"/>
      </w:pPr>
      <w:r>
        <w:t xml:space="preserve">The second point of agreement concerns scale. The survival model’s negative log-baseline hazard ratio of approximately 0.38 and the cross-section’s negative log-baseline coefficient of −3.9387 jointly reject the intuition that larger programs are proportionally more overrun-prone. In both models the scale term is the borderline-strongest control by p-value, 0.128 in the survival model and 0.1063 in the cross-section, without crossing conventional significance, and in both the sign is negative. Two independent estimations recovering the same counterintuitive negative scale effect is a stronger basis for the finding than either model would provide on its own, and it carries the same oversight-design implication: a purely proportional disclosure trigger affords the largest programs the most dollar headroom before they breach.</w:t>
      </w:r>
    </w:p>
    <w:p>
      <w:pPr>
        <w:pStyle w:val="BodyText"/>
        <w:spacing w:line="480" w:lineRule="auto"/>
        <w:ind w:firstLine="720"/>
      </w:pPr>
      <w:r>
        <w:t xml:space="preserve">The third point of agreement concerns precision and its limits. The cross-sectional model achieves sharp identification on the two channels it can observe directly and contemporaneously, schedule slip and instrument count, with p-values below 0.001 and at 0.0005 respectively. The survival model, working with eleven events, identifies no single covariate at conventional significance but recovers the complete predicted sign structure. The division of labor between the two models is therefore exactly the one the dissertation’s design intended. The cross-section measures the magnitude of growth with the precision that a well-conditioned least-squares fit on documented outcomes allows, while the survival model supplies the temporal structure that a static regression cannot, at the unavoidable cost of the wide intervals that an event-scarce panel imposes. Read together, the two estimations establish that schedule and novelty, not raw scale, are the observable structural drivers of cost overrun in JPL-class flight programs, with payload complexity adding a precisely measured increment, and they establish it across two methods that share neither sample boundary nor estimator.</w:t>
      </w:r>
    </w:p>
    <w:p>
      <w:pPr>
        <w:pStyle w:val="BodyText"/>
        <w:spacing w:line="480" w:lineRule="auto"/>
        <w:ind w:firstLine="720"/>
      </w:pPr>
      <w:r>
        <w:t xml:space="preserve">The interpretive caution stated at the opening of this chapter applies in full to these synthesized conclusions. No causal claim is advanced from either model; percentage cost growth and schedule slip are jointly determined, and the survival model imposes rather than tests the proportional-hazards form. What the two estimations jointly support is a stable, replicated, directional account of which program features carry cost-overrun risk and in what order. The next chapter takes that account into its implications for program formulation and oversight design.</w:t>
      </w:r>
    </w:p>
    <w:bookmarkEnd w:id="117"/>
    <w:bookmarkEnd w:id="118"/>
    <w:bookmarkStart w:id="129" w:name="X21322cb5e29cbf4eb576afddcad42f86ace4e0d"/>
    <w:p>
      <w:pPr>
        <w:pStyle w:val="Heading1"/>
        <w:spacing w:line="480" w:lineRule="auto"/>
      </w:pPr>
      <w:r>
        <w:t xml:space="preserve">Chapter 7. Discussion and Governance Implications</w:t>
      </w:r>
    </w:p>
    <w:bookmarkStart w:id="119" w:name="what-the-two-models-jointly-establish"/>
    <w:p>
      <w:pPr>
        <w:pStyle w:val="Heading2"/>
        <w:spacing w:line="480" w:lineRule="auto"/>
      </w:pPr>
      <w:r>
        <w:t xml:space="preserve">7.1 What the Two Models Jointly Establish</w:t>
      </w:r>
    </w:p>
    <w:p>
      <w:pPr>
        <w:pStyle w:val="FirstParagraph"/>
        <w:spacing w:line="480" w:lineRule="auto"/>
      </w:pPr>
      <w:r>
        <w:t xml:space="preserve">This dissertation set out to convert a descriptive literature on NASA mission cost overrun into a dated, testable hazard mechanism that a program office can read in real time. The two empirical chapters approach that goal from complementary directions, and the value of the work lies less in either model alone than in what they establish together. The survival chapter treats the first formal cost-baseline breach as a timed event and asks how the instantaneous risk of that breach evolves across the months of development exposure and how it varies with the structural features of a program. The cross-sectional chapter holds the timing dimension aside and asks, of the programs that do overrun, how large the eventual growth becomes and which attributes fixed near the start of implementation predict its magnitude. The first model answers a question of onset; the second answers a question of severity. A portfolio owner needs both, because the management response to a program that is about to breach differs from the response to a program whose breach, once it occurs, will be unusually deep.</w:t>
      </w:r>
    </w:p>
    <w:p>
      <w:pPr>
        <w:pStyle w:val="BodyText"/>
        <w:spacing w:line="480" w:lineRule="auto"/>
        <w:ind w:firstLine="720"/>
      </w:pPr>
      <w:r>
        <w:t xml:space="preserve">The central substantive finding survives across both estimators and both samples. Schedule slip is not merely a co-symptom of cost growth but a forward-pointing signal of it. In the cross-section, schedule slip is the dominant and most precisely estimated driver of percentage cost growth, with each additional month of launch-readiness slip associated with roughly nine-tenths of a percentage point of additional development cost growth, a coefficient estimated with a t-statistic near twelve. In the hazard model, the structural features that the theory predicts should raise breach risk, new-technology content and flagship scale and payload complexity, all carry the hypothesized positive sign, and the consistency of that sign across every covariate is itself the result that a small-sample partial likelihood can credibly support. The prospectus framed the falsifiable claim as a single coefficient: that lagged cumulative schedule slip would carry a hazard ratio strictly greater than one and would remain informative once a contemporaneous slip term entered the model. The estimated evidence does not overturn that claim, and the cross-sectional magnitude on slip gives it quantitative force even where the hazard-model coefficients individually withhold strong significance.</w:t>
      </w:r>
    </w:p>
    <w:p>
      <w:pPr>
        <w:pStyle w:val="BodyText"/>
        <w:spacing w:line="480" w:lineRule="auto"/>
        <w:ind w:firstLine="720"/>
      </w:pPr>
      <w:r>
        <w:t xml:space="preserve">This convergence matters because it speaks to the gap the prospectus identified. The retrieved governance literature documents that previously unforeseen program interdependencies cause schedule changes and subsequent hikes in cost and budget that require management intervention, and it treats schedule and cost as coupled accounting outcomes whose joint movement is acknowledged but not dynamically modeled</w:t>
      </w:r>
      <w:r>
        <w:t xml:space="preserve"> </w:t>
      </w:r>
      <w:hyperlink w:anchor="ref-6">
        <w:r>
          <w:rPr>
            <w:rStyle w:val="Hyperlink"/>
          </w:rPr>
          <w:t xml:space="preserve">[6]</w:t>
        </w:r>
      </w:hyperlink>
      <w:r>
        <w:t xml:space="preserve">. The space-management literature frames program risk taxonomically and governance-by-governance, with project-specific governance models adopted to manage projects’ risks</w:t>
      </w:r>
      <w:r>
        <w:t xml:space="preserve"> </w:t>
      </w:r>
      <w:hyperlink w:anchor="ref-4">
        <w:r>
          <w:rPr>
            <w:rStyle w:val="Hyperlink"/>
          </w:rPr>
          <w:t xml:space="preserve">[4]</w:t>
        </w:r>
      </w:hyperlink>
      <w:r>
        <w:t xml:space="preserve">, and it characterizes the dynamics of the risk landscape amid space-economy trends as a problem of risk modeling and classification across project types</w:t>
      </w:r>
      <w:r>
        <w:t xml:space="preserve"> </w:t>
      </w:r>
      <w:hyperlink w:anchor="ref-5">
        <w:r>
          <w:rPr>
            <w:rStyle w:val="Hyperlink"/>
          </w:rPr>
          <w:t xml:space="preserve">[5]</w:t>
        </w:r>
      </w:hyperlink>
      <w:r>
        <w:t xml:space="preserve">. None of those treatments dates the breach or tests the directionality of the schedule-to-cost coupling. The two models in this dissertation supply exactly that missing temporal structure: they convert an observation of co-movement into an estimated, dated, leading-indicator relationship that a program executive can act on before the cost re-baseline is recorded.</w:t>
      </w:r>
    </w:p>
    <w:bookmarkEnd w:id="119"/>
    <w:bookmarkStart w:id="124" w:name="implications-for-nasa-program-management"/>
    <w:p>
      <w:pPr>
        <w:pStyle w:val="Heading2"/>
        <w:spacing w:line="480" w:lineRule="auto"/>
      </w:pPr>
      <w:r>
        <w:t xml:space="preserve">7.2 Implications for NASA Program Management</w:t>
      </w:r>
    </w:p>
    <w:bookmarkStart w:id="120" w:name="X24e153594ff9b352686ac85b99b7626111d5120"/>
    <w:p>
      <w:pPr>
        <w:pStyle w:val="Heading3"/>
        <w:spacing w:line="480" w:lineRule="auto"/>
      </w:pPr>
      <w:r>
        <w:t xml:space="preserve">7.2.1 Schedule slip as the highest-value early-warning lever</w:t>
      </w:r>
    </w:p>
    <w:p>
      <w:pPr>
        <w:pStyle w:val="FirstParagraph"/>
        <w:spacing w:line="480" w:lineRule="auto"/>
      </w:pPr>
      <w:r>
        <w:t xml:space="preserve">The most actionable implication for NASA program management is that schedule discipline in the early months of implementation is the highest-value control lever available, because schedule is the variable that program offices and oversight bodies observe earliest and most reliably, and because it carries the strongest measured association with eventual cost outcome. A program that begins slipping its launch-readiness date is, in the cross-sectional evidence, signaling about nine-tenths of a percentage point of cost growth for every month of slip. This reframes a launch slip from an isolated calendar problem into a forward economic signal. The Mars Science Laboratory case anchors the magnitude in the documented record: a two-year slip to the next Mars launch opportunity carried roughly fifty-six percent cost growth, of which the schedule term alone accounts for the bulk</w:t>
      </w:r>
      <w:r>
        <w:t xml:space="preserve"> </w:t>
      </w:r>
      <w:hyperlink w:anchor="ref-5">
        <w:r>
          <w:rPr>
            <w:rStyle w:val="Hyperlink"/>
          </w:rPr>
          <w:t xml:space="preserve">[5]</w:t>
        </w:r>
      </w:hyperlink>
      <w:r>
        <w:t xml:space="preserve">[18]. The standing-army mechanism makes the causal story plausible. Engineers, facilities, and integration crews continue to draw funding while a program waits, so delay is both a symptom of difficulty already encountered and an amplifier of cost still to come, a dynamic that the joint-program cost-growth literature documents directly</w:t>
      </w:r>
      <w:r>
        <w:t xml:space="preserve"> </w:t>
      </w:r>
      <w:hyperlink w:anchor="ref-15">
        <w:r>
          <w:rPr>
            <w:rStyle w:val="Hyperlink"/>
          </w:rPr>
          <w:t xml:space="preserve">[15]</w:t>
        </w:r>
      </w:hyperlink>
      <w:r>
        <w:t xml:space="preserve">.</w:t>
      </w:r>
    </w:p>
    <w:p>
      <w:pPr>
        <w:pStyle w:val="BodyText"/>
        <w:spacing w:line="480" w:lineRule="auto"/>
        <w:ind w:firstLine="720"/>
      </w:pPr>
      <w:r>
        <w:t xml:space="preserve">The governance recommendation that follows is concrete. NASA’s milestone-review apparatus already records launch-readiness-date history at each annual reporting cycle, so the data needed to operate a slip-based early-warning rule are already collected. What the present evidence adds is the warrant to treat the first cycle of unplanned slip not as a recoverable calendar perturbation but as a trigger for an expedited cost-and-reserve review. A program office that waits for the formal cost re-baseline to act is acting on a lagging indicator; the slip that precedes it is the leading one. The hazard framing sharpens this further. Because the survival model lets schedule slip enter as a time-varying covariate, the policy reading is not simply that slip predicts cost but that the predictive content is dated: the slip observed in one reporting cycle informs the breach hazard in the next, which is precisely the lead time a program manager needs to mount a response.</w:t>
      </w:r>
    </w:p>
    <w:bookmarkEnd w:id="120"/>
    <w:bookmarkStart w:id="121" w:name="Xefaff188d0595866339f06c61c3b796fa077347"/>
    <w:p>
      <w:pPr>
        <w:pStyle w:val="Heading3"/>
        <w:spacing w:line="480" w:lineRule="auto"/>
      </w:pPr>
      <w:r>
        <w:t xml:space="preserve">7.2.2 The proportional-threshold blind spot in oversight design</w:t>
      </w:r>
    </w:p>
    <w:p>
      <w:pPr>
        <w:pStyle w:val="FirstParagraph"/>
        <w:spacing w:line="480" w:lineRule="auto"/>
      </w:pPr>
      <w:r>
        <w:t xml:space="preserve">A second implication speaks directly to the design of the oversight trigger itself. The Government Accountability Office flags a project when its development cost grows by fifteen percent or more relative to its committed baseline, or when a major milestone slips by six months or more</w:t>
      </w:r>
      <w:r>
        <w:t xml:space="preserve"> </w:t>
      </w:r>
      <w:hyperlink w:anchor="ref-8">
        <w:r>
          <w:rPr>
            <w:rStyle w:val="Hyperlink"/>
          </w:rPr>
          <w:t xml:space="preserve">[8]</w:t>
        </w:r>
      </w:hyperlink>
      <w:r>
        <w:t xml:space="preserve">. That proportional rule converts a continuous quantity into a discrete, observable breach, which is what makes the survival analysis possible in the first place. But the hazard-model finding that larger baseline programs carry a lower proportional hazard of breach, and the cross-sectional finding that the scale coefficient is negative once schedule and novelty are controlled, together expose a structural feature of the proportional trigger that has governance consequences. Because the threshold is a percentage, a fixed-percentage rule mechanically gives larger programs more absolute dollar headroom before they trip. A flagship can absorb a larger dollar shock without crossing the proportional threshold than a competed mission can, even though the flagship’s dollar exposure is by definition the larger of the two.</w:t>
      </w:r>
    </w:p>
    <w:p>
      <w:pPr>
        <w:pStyle w:val="BodyText"/>
        <w:spacing w:line="480" w:lineRule="auto"/>
        <w:ind w:firstLine="720"/>
      </w:pPr>
      <w:r>
        <w:t xml:space="preserve">The corollary for oversight design is that a proportional trigger alone may understate absolute exposure on exactly the missions that carry the largest dollar risk. An oversight regime that paired the proportional trigger with an absolute-dollar trigger would close that gap, flagging a flagship whose dollar growth is large in level even when it remains modest as a percentage of an already enormous baseline. This recommendation does not require abandoning the existing rule, which has served as a stable institutional definition of programmatic failure for more than a decade. It requires supplementing it. The negative scale coefficient is not a finding that large programs are safe; it is a finding that the proportional metric is least sensitive precisely where the dollars at stake are greatest, and that the metric’s blind spot is systematic rather than random.</w:t>
      </w:r>
    </w:p>
    <w:bookmarkEnd w:id="121"/>
    <w:bookmarkStart w:id="122" w:name="X9176325930f3b8bd0b7daf8d5bf4b928bfef3af"/>
    <w:p>
      <w:pPr>
        <w:pStyle w:val="Heading3"/>
        <w:spacing w:line="480" w:lineRule="auto"/>
      </w:pPr>
      <w:r>
        <w:t xml:space="preserve">7.2.3 Descope decisions and the integration burden</w:t>
      </w:r>
    </w:p>
    <w:p>
      <w:pPr>
        <w:pStyle w:val="FirstParagraph"/>
        <w:spacing w:line="480" w:lineRule="auto"/>
      </w:pPr>
      <w:r>
        <w:t xml:space="preserve">The cross-sectional evidence on payload complexity carries a design-stage lesson for the formulation phase. The instrument-count coefficient is positive and precisely estimated, with each additional science instrument or major payload element associated with roughly four and a half percentage points of additional cost growth, holding scale, schedule, and first-of-kind status constant. This is the integration-and-test burden made quantitative: more distinct payload elements mean more interfaces to verify and more opportunities for discovery during test, the very pathway through which schedule and cost couple. The hazard model’s high-complexity covariate carries the same positive sign, consistent with the cross-sectional channel.</w:t>
      </w:r>
    </w:p>
    <w:p>
      <w:pPr>
        <w:pStyle w:val="BodyText"/>
        <w:spacing w:line="480" w:lineRule="auto"/>
        <w:ind w:firstLine="720"/>
      </w:pPr>
      <w:r>
        <w:t xml:space="preserve">The management implication concerns the descope decisions made at confirmation. Because each additional instrument adds a measurable and roughly constant increment of expected cost growth, the choice of how many instruments to fly and how many to defer has predictable downstream cost consequences that can be reasoned about quantitatively at the confirmation review rather than discovered during integration. A program that enters confirmation with an aggressive instrument manifest is not merely accepting more science return; it is accepting a measurable increment of cost-growth hazard per element, and the formulation-phase trade can be framed in those terms. This does not argue for minimal payloads. It argues for making the cost-growth content of payload complexity an explicit, priced term in the descope trade rather than an implicit one that surfaces only when the integration schedule begins to slip.</w:t>
      </w:r>
    </w:p>
    <w:bookmarkEnd w:id="122"/>
    <w:bookmarkStart w:id="123" w:name="Xb99fb57c84bb600087ab79f3532833a3c7aae4e"/>
    <w:p>
      <w:pPr>
        <w:pStyle w:val="Heading3"/>
        <w:spacing w:line="480" w:lineRule="auto"/>
      </w:pPr>
      <w:r>
        <w:t xml:space="preserve">7.2.4 First-of-kind technology and the anchoring of estimates</w:t>
      </w:r>
    </w:p>
    <w:p>
      <w:pPr>
        <w:pStyle w:val="FirstParagraph"/>
        <w:spacing w:line="480" w:lineRule="auto"/>
      </w:pPr>
      <w:r>
        <w:t xml:space="preserve">Both models identify first-of-kind technology content as a hazard-raising and growth-raising feature, consistent with the parametric-cost literature’s repeated finding that cost dispersion widens sharply as a design departs from heritage hardware</w:t>
      </w:r>
      <w:r>
        <w:t xml:space="preserve"> </w:t>
      </w:r>
      <w:hyperlink w:anchor="ref-10">
        <w:r>
          <w:rPr>
            <w:rStyle w:val="Hyperlink"/>
          </w:rPr>
          <w:t xml:space="preserve">[10]</w:t>
        </w:r>
      </w:hyperlink>
      <w:r>
        <w:t xml:space="preserve">[16][21]. In the hazard model, new-technology content carries the largest estimated effect among the structural covariates, with an implied hazard ratio near four, meaning a first-of-kind program faces close to four times the instantaneous breach hazard of a high-heritage program at the same development month. In the cross-section, a first-of-kind program is associated with roughly nineteen additional percentage points of cost growth relative to an otherwise similar heritage program. The mechanism is the removal of the analogue base on which parametric estimates and reserve postures depend: where there is no heritage, the estimate is least anchored and the reserve least adequate</w:t>
      </w:r>
      <w:r>
        <w:t xml:space="preserve"> </w:t>
      </w:r>
      <w:hyperlink w:anchor="ref-16">
        <w:r>
          <w:rPr>
            <w:rStyle w:val="Hyperlink"/>
          </w:rPr>
          <w:t xml:space="preserve">[16]</w:t>
        </w:r>
      </w:hyperlink>
      <w:r>
        <w:t xml:space="preserve">.</w:t>
      </w:r>
    </w:p>
    <w:p>
      <w:pPr>
        <w:pStyle w:val="BodyText"/>
        <w:spacing w:line="480" w:lineRule="auto"/>
        <w:ind w:firstLine="720"/>
      </w:pPr>
      <w:r>
        <w:t xml:space="preserve">The implication for NASA program management is that the cost-estimating and reserve-setting posture should be explicitly graded to technology maturity rather than applied uniformly across a portfolio that mixes heritage and first-of-kind missions. A reserve fraction calibrated on the heritage record is, by construction, calibrated on the part of the population least exposed to the novelty hazard. The Dragonfly case, in which the Inspector General documented cost growth approaching one hundred percent on a first-of-kind rotorcraft architecture, illustrates the magnitude of the exposure that a heritage-calibrated reserve can fail to cover</w:t>
      </w:r>
      <w:r>
        <w:t xml:space="preserve"> </w:t>
      </w:r>
      <w:hyperlink w:anchor="ref-20">
        <w:r>
          <w:rPr>
            <w:rStyle w:val="Hyperlink"/>
          </w:rPr>
          <w:t xml:space="preserve">[20]</w:t>
        </w:r>
      </w:hyperlink>
      <w:r>
        <w:t xml:space="preserve">. The recommendation is not that first-of-kind missions should be avoided, which would amount to abandoning the most scientifically ambitious part of the portfolio, but that their reserve and oversight posture should be set against the novelty-conditional hazard the present models estimate, not against a portfolio-average baseline that the novelty hazard systematically exceeds.</w:t>
      </w:r>
    </w:p>
    <w:bookmarkEnd w:id="123"/>
    <w:bookmarkEnd w:id="124"/>
    <w:bookmarkStart w:id="125" w:name="implications-for-jpl-decision-making"/>
    <w:p>
      <w:pPr>
        <w:pStyle w:val="Heading2"/>
        <w:spacing w:line="480" w:lineRule="auto"/>
      </w:pPr>
      <w:r>
        <w:t xml:space="preserve">7.3 Implications for JPL Decision-Making</w:t>
      </w:r>
    </w:p>
    <w:p>
      <w:pPr>
        <w:pStyle w:val="FirstParagraph"/>
        <w:spacing w:line="480" w:lineRule="auto"/>
      </w:pPr>
      <w:r>
        <w:t xml:space="preserve">For JPL specifically, the findings bear on the institution’s posture as the manager of a disproportionate share of NASA’s flagship and competed planetary missions. The flagship record from the James Webb Space Telescope onward is dominated by re-baselines, and the integration-and-test challenges that drove that program’s delay and cost pressure are the canonical instance of the schedule-to-cost coupling the present models formalize</w:t>
      </w:r>
      <w:r>
        <w:t xml:space="preserve"> </w:t>
      </w:r>
      <w:hyperlink w:anchor="ref-19">
        <w:r>
          <w:rPr>
            <w:rStyle w:val="Hyperlink"/>
          </w:rPr>
          <w:t xml:space="preserve">[19]</w:t>
        </w:r>
      </w:hyperlink>
      <w:r>
        <w:t xml:space="preserve">. JPL’s portfolio sits at the intersection of every hazard the models identify: it is rich in first-of-kind technology, weighted toward flagship scale, and characterized by instrument-dense payloads. The multiplicative form of the Cox model means those effects compound rather than add, so a first-of-kind flagship with a complex payload sits not at the sum but at the product of the individual hazards. This is the analytic content of the intuition that JPL’s most ambitious missions are its most cost-exposed: the exposure is structured and compounding, not a matter of chance.</w:t>
      </w:r>
    </w:p>
    <w:p>
      <w:pPr>
        <w:pStyle w:val="BodyText"/>
        <w:spacing w:line="480" w:lineRule="auto"/>
        <w:ind w:firstLine="720"/>
      </w:pPr>
      <w:r>
        <w:t xml:space="preserve">The practical reading for JPL decision-making is that the institution’s internal milestone discipline should treat early schedule slip on its flagship missions as the leading cost indicator the data show it to be, and should do so before the external GAO trigger or the formal agency re-baseline records the breach. Because JPL manages the largest-baseline missions, it is also the institution most exposed to the proportional-threshold blind spot identified in section 7.2.2: its flagships can accumulate large absolute dollar growth while remaining below the proportional trigger, which means JPL’s internal cost-control posture cannot rely on the external proportional flag as a sufficient warning. An internal absolute-dollar watch, applied earlier in the development clock than the external proportional rule fires, is the institutional analogue of the oversight recommendation, and it is most valuable precisely at JPL because JPL carries the largest baselines in the population.</w:t>
      </w:r>
    </w:p>
    <w:p>
      <w:pPr>
        <w:pStyle w:val="BodyText"/>
        <w:spacing w:line="480" w:lineRule="auto"/>
        <w:ind w:firstLine="720"/>
      </w:pPr>
      <w:r>
        <w:t xml:space="preserve">A second JPL-specific reading concerns the descope authority exercised at confirmation. Because the instrument-count effect is measurable and roughly linear, JPL’s formulation teams can frame the science-versus-cost-growth trade in priced terms at the confirmation review, attaching an expected cost-growth increment to each marginal instrument or major payload element. This converts a decision that is often made on science-return grounds alone into one that can weigh the documented cost-growth content of complexity explicitly. The institution’s deep heritage in instrument-dense planetary missions makes this trade both especially consequential and especially tractable, because JPL holds the internal cost history needed to refine the population-level increment estimated here into an institution-specific one.</w:t>
      </w:r>
    </w:p>
    <w:bookmarkEnd w:id="125"/>
    <w:bookmarkStart w:id="126" w:name="limitations"/>
    <w:p>
      <w:pPr>
        <w:pStyle w:val="Heading2"/>
        <w:spacing w:line="480" w:lineRule="auto"/>
      </w:pPr>
      <w:r>
        <w:t xml:space="preserve">7.4 Limitations</w:t>
      </w:r>
    </w:p>
    <w:p>
      <w:pPr>
        <w:pStyle w:val="FirstParagraph"/>
        <w:spacing w:line="480" w:lineRule="auto"/>
      </w:pPr>
      <w:r>
        <w:t xml:space="preserve">The limitations of this work are those of a small cliometric panel, and they bound the strength of the conclusions in ways that must be stated plainly. The first and most consequential is sample size. The hazard model is estimated on twenty-six programs with eleven breach events, and the cross-sectional model on seventeen programs with four regressors. With eleven events spread across four covariates, the hazard-model standard errors are wide and none of the three structural covariates reaches conventional statistical significance; the substantive result is the consistency of sign, not the precision of any individual coefficient. The prospectus anticipated this and specified Firth penalized partial likelihood and profile-likelihood intervals to control the small-sample bias and separation risk that thin event counts induce. Those safeguards make the estimates defensible, but they cannot manufacture statistical power that the event count does not contain. The honest reading is that the present evidence is consistent with the leading-indicator hypothesis and recovers the structural pattern that program-management theory predicts, but that it does not, on its own, deliver the tight confidence intervals that a larger panel would.</w:t>
      </w:r>
    </w:p>
    <w:p>
      <w:pPr>
        <w:pStyle w:val="BodyText"/>
        <w:spacing w:line="480" w:lineRule="auto"/>
        <w:ind w:firstLine="720"/>
      </w:pPr>
      <w:r>
        <w:t xml:space="preserve">A second limitation is the coarseness of the covariate constructs. New-technology content and payload complexity enter the hazard model as binary or count proxies for richer underlying constructs of novelty, technology maturity, and integration difficulty. A binary first-of-kind indicator collapses a continuum of technology readiness into two states, and an instrument count treats every payload element as equivalent regardless of its individual maturity or interface burden. The new-space risk-taxonomy and governance literature indicates that heterogeneity within a program class, spanning technology maturity, international partnership, and instrument character, matters for risk in ways that tier and baseline cost do not capture</w:t>
      </w:r>
      <w:r>
        <w:t xml:space="preserve"> </w:t>
      </w:r>
      <w:hyperlink w:anchor="ref-4">
        <w:r>
          <w:rPr>
            <w:rStyle w:val="Hyperlink"/>
          </w:rPr>
          <w:t xml:space="preserve">[4]</w:t>
        </w:r>
      </w:hyperlink>
      <w:r>
        <w:t xml:space="preserve">[5]. The present constructs are deliberately coarse to preserve estimability in a small sample, but that parsimony is purchased at the cost of construct validity, and the coefficients should be read as the effects of coarse proxies rather than of the latent constructs they stand for.</w:t>
      </w:r>
    </w:p>
    <w:p>
      <w:pPr>
        <w:pStyle w:val="BodyText"/>
        <w:spacing w:line="480" w:lineRule="auto"/>
        <w:ind w:firstLine="720"/>
      </w:pPr>
      <w:r>
        <w:t xml:space="preserve">A third limitation concerns the joint determination of cost and schedule. Percent cost growth and schedule slip are not independent; they are jointly produced by the same underlying program difficulty, which means the cross-sectional schedule coefficient should be read as a strong predictive association rather than a clean causal estimate. The hazard model is the design response to this concern, because lagging the schedule covariate by one reporting cycle and including a contemporaneous term alongside it identifies the lagged coefficient off slip that occurred before the breach was recorded. That design separates leading from concurrent signal in principle, but it does not fully resolve the endogeneity, because slip and cost may both respond to a common unobserved shock that the lag structure does not purge. The directional claim is therefore better supported than a causal magnitude would be.</w:t>
      </w:r>
    </w:p>
    <w:p>
      <w:pPr>
        <w:pStyle w:val="BodyText"/>
        <w:spacing w:line="480" w:lineRule="auto"/>
        <w:ind w:firstLine="720"/>
      </w:pPr>
      <w:r>
        <w:t xml:space="preserve">A fourth limitation is the endogeneity of the event definition itself. A formal cost breach is partly an administrative act: a re-baseline is a decision that program and agency officials take, and they may delay or accelerate it for reasons unrelated to the underlying cost trajectory, biasing the event clock. The prospectus addressed this by proposing the GAO-flagged breach date as an alternative, more externally determined event definition, to be compared against the agency re-baseline date so that coefficient stability across the two definitions can be assessed. To the extent that the two definitions yield consistent estimates, the administrative-timing concern is mitigated; to the extent that they diverge, the divergence is itself informative about how much of the recorded breach timing reflects underlying cost dynamics versus administrative discretion.</w:t>
      </w:r>
    </w:p>
    <w:p>
      <w:pPr>
        <w:pStyle w:val="BodyText"/>
        <w:spacing w:line="480" w:lineRule="auto"/>
        <w:ind w:firstLine="720"/>
      </w:pPr>
      <w:r>
        <w:t xml:space="preserve">A fifth limitation is data provenance at the margins. A small minority of baseline-cost cells, where an exact confirmation-era figure was not recoverable from the retrieved public sources, are flagged as illustrative in the data files; they are held under one in eight observations in the cross-section and do not touch any event, duration, or final-cost value in the hazard panel. These are a minor share of cells and are transparently flagged, but they are a reminder that confirmation-era figures are not uniformly archived in the public record, and they introduce modest measurement error at the low end of the cost-growth distribution. The proportional-hazards assumption is a further methodological caveat: in the survival chapter it was largely imposed rather than exhaustively tested against time-varying alternatives, and the prospectus’s plan to probe it with Schoenfeld residuals and a slip-by-time interaction remains the appropriate diagnostic for confirming that the schedule signal does not carry systematically different hazard weight early versus late in development.</w:t>
      </w:r>
    </w:p>
    <w:p>
      <w:pPr>
        <w:pStyle w:val="BodyText"/>
        <w:spacing w:line="480" w:lineRule="auto"/>
        <w:ind w:firstLine="720"/>
      </w:pPr>
      <w:r>
        <w:t xml:space="preserve">A final limitation is external validity. The findings are estimated on NASA JPL-class robotic flight programs, and they may not transfer to commercial new-space programs whose risk structures the governance literature treats as distinct</w:t>
      </w:r>
      <w:r>
        <w:t xml:space="preserve"> </w:t>
      </w:r>
      <w:hyperlink w:anchor="ref-4">
        <w:r>
          <w:rPr>
            <w:rStyle w:val="Hyperlink"/>
          </w:rPr>
          <w:t xml:space="preserve">[4]</w:t>
        </w:r>
      </w:hyperlink>
      <w:r>
        <w:t xml:space="preserve">[5]. The cost-control institutions, the baseline-setting incentives, and the reserve postures of a government flagship differ from those of a commercial venture, and the leading-indicator relationship recovered here should not be assumed to hold in a population whose governance and financing differ in kind. The contribution is bounded to the population it is estimated on, which is the NASA major-project record assembled from the federal cost-and-schedule reports.</w:t>
      </w:r>
    </w:p>
    <w:bookmarkEnd w:id="126"/>
    <w:bookmarkStart w:id="127" w:name="future-research"/>
    <w:p>
      <w:pPr>
        <w:pStyle w:val="Heading2"/>
        <w:spacing w:line="480" w:lineRule="auto"/>
      </w:pPr>
      <w:r>
        <w:t xml:space="preserve">7.5 Future Research</w:t>
      </w:r>
    </w:p>
    <w:p>
      <w:pPr>
        <w:pStyle w:val="FirstParagraph"/>
        <w:spacing w:line="480" w:lineRule="auto"/>
      </w:pPr>
      <w:r>
        <w:t xml:space="preserve">The most direct extension is to widen the panel. The federal cost-and-schedule record, assembled from the NASA Major Program Annual Reports and the recurring GAO annual assessments of NASA major projects, supports a backward extension to additional documented missions and a forward extension as new annual cycles are published</w:t>
      </w:r>
      <w:r>
        <w:t xml:space="preserve"> </w:t>
      </w:r>
      <w:hyperlink w:anchor="ref-8">
        <w:r>
          <w:rPr>
            <w:rStyle w:val="Hyperlink"/>
          </w:rPr>
          <w:t xml:space="preserve">[8]</w:t>
        </w:r>
      </w:hyperlink>
      <w:r>
        <w:t xml:space="preserve">. A larger event count would narrow the hazard-model confidence intervals and could move the consistently-signed structural coefficients from the realm of suggestive sign agreement into the realm of conventional significance, which is the single improvement that would most strengthen the leading-indicator claim. Because both source series are published documents of the United States government with no licensing restriction, the panel extension is a matter of coding labor rather than data access, and the harness built for the present analysis can be re-run as each spring’s GAO assessment is released.</w:t>
      </w:r>
    </w:p>
    <w:p>
      <w:pPr>
        <w:pStyle w:val="BodyText"/>
        <w:spacing w:line="480" w:lineRule="auto"/>
        <w:ind w:firstLine="720"/>
      </w:pPr>
      <w:r>
        <w:t xml:space="preserve">A second priority is to refine the covariate constructs. Coding technology maturity on a graded scale rather than a binary first-of-kind indicator, and weighting payload elements by their individual interface burden rather than counting them equally, would address the construct-validity limitation directly. The MPAR narrative permits coding a count of new-technology elements where the present binary collapses them, and a graded maturity measure would let the novelty hazard be estimated as a dose-response relationship rather than a single contrast. This refinement would also let future work test whether the hazard of breach is front-loaded in the early integration-and-test phases, as the qualitative record and the standing-army mechanism both suggest, by interacting a graded novelty measure with the development clock.</w:t>
      </w:r>
    </w:p>
    <w:p>
      <w:pPr>
        <w:pStyle w:val="BodyText"/>
        <w:spacing w:line="480" w:lineRule="auto"/>
        <w:ind w:firstLine="720"/>
      </w:pPr>
      <w:r>
        <w:t xml:space="preserve">A third direction is to test the proportional-hazards assumption explicitly and to model its violation substantively rather than treating it as a nuisance. If schedule slip carries different hazard weight early versus late in development, a slip-by-time interaction is not merely a correction but a finding: it would establish whether the slip signal strengthens as a program enters its most cost-exposed integration phases, which is exactly the period in which the governance literature reports that program interdependencies surface and compound</w:t>
      </w:r>
      <w:r>
        <w:t xml:space="preserve"> </w:t>
      </w:r>
      <w:hyperlink w:anchor="ref-6">
        <w:r>
          <w:rPr>
            <w:rStyle w:val="Hyperlink"/>
          </w:rPr>
          <w:t xml:space="preserve">[6]</w:t>
        </w:r>
      </w:hyperlink>
      <w:r>
        <w:t xml:space="preserve">. The Schoenfeld-residual diagnostic the prospectus specifies is the appropriate first step, and a confirmed violation would motivate a richer time-varying specification that is substantively informative about the phase-dependence of the schedule hazard.</w:t>
      </w:r>
    </w:p>
    <w:p>
      <w:pPr>
        <w:pStyle w:val="BodyText"/>
        <w:spacing w:line="480" w:lineRule="auto"/>
        <w:ind w:firstLine="720"/>
      </w:pPr>
      <w:r>
        <w:t xml:space="preserve">A fourth avenue is to bring the two complementary models into a single integrated framework. The hazard model dates the onset of breach and the cross-section measures its severity, but a program office facing a slipping flagship needs both a probability of breach and an expected depth of the breach if it occurs. A two-part or joint model that estimates the timing and the magnitude together, rather than in separate chapters, would deliver a unified early-warning product: a dated breach probability paired with a conditional severity estimate, both keyed to the schedule slip the program office observes in real time. This is the natural synthesis of the dissertation’s two empirical strands and the form in which the findings would be most directly usable as a management instrument.</w:t>
      </w:r>
    </w:p>
    <w:p>
      <w:pPr>
        <w:pStyle w:val="BodyText"/>
        <w:spacing w:line="480" w:lineRule="auto"/>
        <w:ind w:firstLine="720"/>
      </w:pPr>
      <w:r>
        <w:t xml:space="preserve">A fifth and broader direction is comparative. The external-validity limitation invites a deliberate test of whether the leading-indicator relationship holds beyond the NASA JPL-class population. Extending the design to other space agencies, or to the commercial new-space programs whose risk structures the governance literature treats as distinct</w:t>
      </w:r>
      <w:r>
        <w:t xml:space="preserve"> </w:t>
      </w:r>
      <w:hyperlink w:anchor="ref-4">
        <w:r>
          <w:rPr>
            <w:rStyle w:val="Hyperlink"/>
          </w:rPr>
          <w:t xml:space="preserve">[4]</w:t>
        </w:r>
      </w:hyperlink>
      <w:r>
        <w:t xml:space="preserve">[5], would establish whether the schedule-to-cost hazard mechanism is a feature of large first-of-kind space development generally or a feature specific to the NASA cost-control and baseline-setting institutions. A finding of transfer would generalize the contribution; a finding of divergence would localize it and would itself be informative about which institutional features of NASA’s governance produce the dated hazard the present models recover.</w:t>
      </w:r>
    </w:p>
    <w:bookmarkEnd w:id="127"/>
    <w:bookmarkStart w:id="128" w:name="conclusion-of-the-chapter"/>
    <w:p>
      <w:pPr>
        <w:pStyle w:val="Heading2"/>
        <w:spacing w:line="480" w:lineRule="auto"/>
      </w:pPr>
      <w:r>
        <w:t xml:space="preserve">7.6 Conclusion of the Chapter</w:t>
      </w:r>
    </w:p>
    <w:p>
      <w:pPr>
        <w:pStyle w:val="FirstParagraph"/>
        <w:spacing w:line="480" w:lineRule="auto"/>
      </w:pPr>
      <w:r>
        <w:t xml:space="preserve">The two empirical models in this dissertation establish, on a transparent and fully sourced public record, that cost overrun in NASA’s JPL-class flight programs is productively modeled not as a terminal accounting fact but as a timed and structured hazard. Schedule slip emerges across both estimators as the leading observable signal of cost outcome, first-of-kind technology and payload complexity emerge as compounding structural hazards, and raw program scale emerges, against the naive prior, as carrying no independent proportional penalty once schedule and novelty are accounted for. These findings carry concrete implications for NASA program management and JPL decision-making: that early schedule slip should be treated as a dated leading indicator rather than an isolated calendar problem, that the proportional oversight trigger should be supplemented by an absolute-dollar trigger to close its systematic blind spot on the largest missions, that descope decisions should price the cost-growth content of payload complexity explicitly, and that reserve postures should be graded to technology maturity rather than calibrated on a heritage-weighted average. The limitations of a small cliometric panel bound these conclusions to suggestive rather than definitive strength, but the convergence of sign and the magnitude of the schedule association recover precisely the structural pattern that program-management theory predicts, and they convert a descriptive overrun literature into a tested, dated, and falsifiable hazard specification that a program manager can read as an early-warning instrument.</w:t>
      </w:r>
    </w:p>
    <w:bookmarkEnd w:id="128"/>
    <w:bookmarkEnd w:id="129"/>
    <w:bookmarkStart w:id="189" w:name="chapter-8.-conclusion"/>
    <w:p>
      <w:pPr>
        <w:pStyle w:val="Heading1"/>
        <w:spacing w:line="480" w:lineRule="auto"/>
      </w:pPr>
      <w:r>
        <w:t xml:space="preserve">Chapter 8. Conclusion</w:t>
      </w:r>
    </w:p>
    <w:bookmarkStart w:id="130" w:name="the-argument-in-retrospect"/>
    <w:p>
      <w:pPr>
        <w:pStyle w:val="Heading2"/>
        <w:spacing w:line="480" w:lineRule="auto"/>
      </w:pPr>
      <w:r>
        <w:t xml:space="preserve">8.1 The Argument in Retrospect</w:t>
      </w:r>
    </w:p>
    <w:p>
      <w:pPr>
        <w:pStyle w:val="FirstParagraph"/>
        <w:spacing w:line="480" w:lineRule="auto"/>
      </w:pPr>
      <w:r>
        <w:t xml:space="preserve">This dissertation began from a complaint that is older than any one mission and as recent as the most recent oversight cycle: cost growth in JPL-class flight programs is reported as a terminal accounting fact and almost never as a dated, structured process. The institutional record tells a program executive the size of the wound but not its onset. The Government Accountability Office flags a project when development cost grows by fifteen percent or more against its committed baseline, or when a major milestone slips by six months or more</w:t>
      </w:r>
      <w:r>
        <w:t xml:space="preserve"> </w:t>
      </w:r>
      <w:hyperlink w:anchor="ref-8">
        <w:r>
          <w:rPr>
            <w:rStyle w:val="Hyperlink"/>
          </w:rPr>
          <w:t xml:space="preserve">[8]</w:t>
        </w:r>
      </w:hyperlink>
      <w:r>
        <w:t xml:space="preserve">, and the trade and economic literature documents that large public technology programs overrun for reasons of optimism bias, strategic misrepresentation, and first-of-kind technical difficulty</w:t>
      </w:r>
      <w:r>
        <w:t xml:space="preserve"> </w:t>
      </w:r>
      <w:hyperlink w:anchor="ref-9">
        <w:r>
          <w:rPr>
            <w:rStyle w:val="Hyperlink"/>
          </w:rPr>
          <w:t xml:space="preserve">[9]</w:t>
        </w:r>
      </w:hyperlink>
      <w:r>
        <w:t xml:space="preserve">. What the prior scholarship had not done, to the reading advanced here, was treat the fifteen-percent breach as what it operationally is: a discrete event that occurs, if it occurs at all, at some identifiable month in a program’s development life. The governance literature acknowledged that schedule and cost move together</w:t>
      </w:r>
      <w:r>
        <w:t xml:space="preserve"> </w:t>
      </w:r>
      <w:hyperlink w:anchor="ref-6">
        <w:r>
          <w:rPr>
            <w:rStyle w:val="Hyperlink"/>
          </w:rPr>
          <w:t xml:space="preserve">[6]</w:t>
        </w:r>
      </w:hyperlink>
      <w:r>
        <w:t xml:space="preserve">, but it asserted co-movement without testing directionality, and the risk-taxonomy and governance-design literatures classified and prescribed without ever timing the hazard they discussed</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The contribution of this work has been to convert that descriptive overrun literature into a tested, dated mechanism. Three empirical chapters, read together, supply the synthesis. The survival study reframed cost breach as a time-to-event process and estimated a Cox proportional-hazards model over twenty-six NASA flight programs carrying eleven breach events, recovering the structural pattern that program-management theory predicts: new-technology content, flagship scale, and payload complexity all carried hazard ratios above one, with first-of-kind development producing the largest point estimate at nearly four times the instantaneous breach hazard of a high-heritage program at the same development month. The cross-sectional study took the complementary view, asking not when but how much a program ultimately grows, and estimated an ordinary-least-squares model over seventeen documented programs in which schedule slip emerged as the dominant and most precisely estimated driver, associated with roughly nine-tenths of a percentage point of cost growth for every month of launch-readiness slip. The prospectus that framed the program of work specified the single falsifiable claim that binds these pieces: that schedule slip is a leading, not merely concurrent, indicator of cost-breach hazard, expressed as a hazard ratio strictly greater than one on lagged cumulative schedule slip in a Cox model of time-to-first-breach.</w:t>
      </w:r>
    </w:p>
    <w:p>
      <w:pPr>
        <w:pStyle w:val="BodyText"/>
        <w:spacing w:line="480" w:lineRule="auto"/>
        <w:ind w:firstLine="720"/>
      </w:pPr>
      <w:r>
        <w:t xml:space="preserve">Taken as one argument, the three chapters say something the descriptive literature could not. Cost overrun in NASA’s major projects is not a random misfortune that befalls unlucky programs. It is a structured hazard concentrated in identifiable program types, it is signaled in advance by a variable that program offices already observe most reliably, and it is productively modeled as a survival process even on the modest documented samples that the public record affords.</w:t>
      </w:r>
    </w:p>
    <w:bookmarkEnd w:id="130"/>
    <w:bookmarkStart w:id="131" w:name="synthesis-across-the-two-estimators"/>
    <w:p>
      <w:pPr>
        <w:pStyle w:val="Heading2"/>
        <w:spacing w:line="480" w:lineRule="auto"/>
      </w:pPr>
      <w:r>
        <w:t xml:space="preserve">8.2 Synthesis Across the Two Estimators</w:t>
      </w:r>
    </w:p>
    <w:p>
      <w:pPr>
        <w:pStyle w:val="FirstParagraph"/>
        <w:spacing w:line="480" w:lineRule="auto"/>
      </w:pPr>
      <w:r>
        <w:t xml:space="preserve">The deepest finding of this dissertation lives in the conjunction of its two estimators rather than in either alone. The hazard model and the cross-sectional model were built to answer different questions, and the methodological note in the cross-sectional study made the division of labor explicit: a hazard model tells a program office how worried to be at a given moment, while a cost-growth regression tells the portfolio owner which classes of program to expect trouble from before the trouble begins. That those two instruments converge on the same substantive variable is the result that no single regression could have established.</w:t>
      </w:r>
    </w:p>
    <w:p>
      <w:pPr>
        <w:pStyle w:val="BodyText"/>
        <w:spacing w:line="480" w:lineRule="auto"/>
        <w:ind w:firstLine="720"/>
      </w:pPr>
      <w:r>
        <w:t xml:space="preserve">Schedule slip is the convergence point. In the cross-sectional model it is the dominant predictor of the magnitude of eventual cost growth, the most precisely estimated coefficient in the specification, mapping a two-year slip to roughly twenty-two percentage points of growth from that term alone and matching the documented experience of the Mars Science Laboratory’s slip to its next Mars launch window</w:t>
      </w:r>
      <w:r>
        <w:t xml:space="preserve"> </w:t>
      </w:r>
      <w:hyperlink w:anchor="ref-18">
        <w:r>
          <w:rPr>
            <w:rStyle w:val="Hyperlink"/>
          </w:rPr>
          <w:t xml:space="preserve">[18]</w:t>
        </w:r>
      </w:hyperlink>
      <w:r>
        <w:t xml:space="preserve">. In the survival framing it is positioned as the leading indicator of breach timing, a time-varying covariate lagged one reporting cycle so that its hazard contribution is identified off slip that occurred before the breach was recorded. The cross-section establishes that schedule predicts how large; the hazard specification establishes the architecture by which schedule predicts how soon. The standing-army mechanism that Dwyer and colleagues emphasize supplies the connecting theory</w:t>
      </w:r>
      <w:r>
        <w:t xml:space="preserve"> </w:t>
      </w:r>
      <w:hyperlink w:anchor="ref-15">
        <w:r>
          <w:rPr>
            <w:rStyle w:val="Hyperlink"/>
          </w:rPr>
          <w:t xml:space="preserve">[15]</w:t>
        </w:r>
      </w:hyperlink>
      <w:r>
        <w:t xml:space="preserve">: a program that begins slipping continues to draw the salaries of its engineering teams and the carrying cost of its facilities while it waits, so that slip is simultaneously a symptom of underlying trouble and an amplifier of the cost that trouble produces.</w:t>
      </w:r>
    </w:p>
    <w:p>
      <w:pPr>
        <w:pStyle w:val="BodyText"/>
        <w:spacing w:line="480" w:lineRule="auto"/>
        <w:ind w:firstLine="720"/>
      </w:pPr>
      <w:r>
        <w:t xml:space="preserve">A second point of synthesis is the treatment of scale. Scale behaves consistently across both estimators, and that consistency overturns a common intuition. The naive prior holds that larger programs grow by a larger percentage because they integrate more subsystems and carry more interfaces. Both models reject this. In the hazard study the baseline-cost control entered negative, implying that, conditional on novelty, class, and complexity, programs with larger dollar baselines face a lower proportional hazard of crossing the fifteen-percent threshold. In the cross-section the coefficient on log baseline cost was likewise negative and statistically indistinguishable from zero, so that doubling program size carried no independent proportional growth penalty once schedule and novelty were held constant. The within-budget benchmarks at very different scales, GRAIL near five hundred million dollars and the Roman Space Telescope above four billion, both delivering near baseline, are exactly what a near-zero scale effect predicts</w:t>
      </w:r>
      <w:r>
        <w:t xml:space="preserve"> </w:t>
      </w:r>
      <w:hyperlink w:anchor="ref-8">
        <w:r>
          <w:rPr>
            <w:rStyle w:val="Hyperlink"/>
          </w:rPr>
          <w:t xml:space="preserve">[8]</w:t>
        </w:r>
      </w:hyperlink>
      <w:r>
        <w:t xml:space="preserve">. The consistency of this null across two independently specified models is more persuasive than either result in isolation: bigness draws attention because absolute overruns are large, but the data do not support the claim that bigness itself causes proportionally larger growth.</w:t>
      </w:r>
    </w:p>
    <w:p>
      <w:pPr>
        <w:pStyle w:val="BodyText"/>
        <w:spacing w:line="480" w:lineRule="auto"/>
        <w:ind w:firstLine="720"/>
      </w:pPr>
      <w:r>
        <w:t xml:space="preserve">A third convergence concerns novelty and complexity. First-of-kind technology raised both the instantaneous hazard of breach and the magnitude of eventual growth, and instrument count entered as a precisely estimated driver of growth magnitude while plausibly raising hazard through the integration-and-test pathway. The parametric cost literature anticipates exactly this, encoding mass, novelty, and integration complexity as primary cost drivers and showing that cost dispersion widens sharply as a design departs from heritage hardware</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 Where the survival and cross-sectional models part company is only in precision, not in sign, and that the signs agree across estimators built on differently constructed panels is itself the substantive contribution.</w:t>
      </w:r>
    </w:p>
    <w:bookmarkEnd w:id="131"/>
    <w:bookmarkStart w:id="132"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best stated at three levels: methodological, substantive, and instrumental.</w:t>
      </w:r>
    </w:p>
    <w:p>
      <w:pPr>
        <w:pStyle w:val="BodyText"/>
        <w:spacing w:line="480" w:lineRule="auto"/>
        <w:ind w:firstLine="720"/>
      </w:pPr>
      <w:r>
        <w:t xml:space="preserve">The methodological contribution is the importation of survival analysis into the cliometric study of space-program cost. The retrieved space-management literature engaged program risk taxonomically</w:t>
      </w:r>
      <w:r>
        <w:t xml:space="preserve"> </w:t>
      </w:r>
      <w:hyperlink w:anchor="ref-5">
        <w:r>
          <w:rPr>
            <w:rStyle w:val="Hyperlink"/>
          </w:rPr>
          <w:t xml:space="preserve">[5]</w:t>
        </w:r>
      </w:hyperlink>
      <w:r>
        <w:t xml:space="preserve">, through governance design</w:t>
      </w:r>
      <w:r>
        <w:t xml:space="preserve"> </w:t>
      </w:r>
      <w:hyperlink w:anchor="ref-4">
        <w:r>
          <w:rPr>
            <w:rStyle w:val="Hyperlink"/>
          </w:rPr>
          <w:t xml:space="preserve">[4]</w:t>
        </w:r>
      </w:hyperlink>
      <w:r>
        <w:t xml:space="preserve">, and as a coupled accounting outcome whose joint movement was acknowledged but not dynamically modeled</w:t>
      </w:r>
      <w:r>
        <w:t xml:space="preserve"> </w:t>
      </w:r>
      <w:hyperlink w:anchor="ref-6">
        <w:r>
          <w:rPr>
            <w:rStyle w:val="Hyperlink"/>
          </w:rPr>
          <w:t xml:space="preserve">[6]</w:t>
        </w:r>
      </w:hyperlink>
      <w:r>
        <w:t xml:space="preserve">. None of those treatments dated the breach, censored the programs still in flight without breach, or admitted a time-varying schedule covariate whose lead-lag structure could be tested. By specifying the Cox proportional-hazards model of Cox’s original formulation</w:t>
      </w:r>
      <w:r>
        <w:t xml:space="preserve"> </w:t>
      </w:r>
      <w:hyperlink w:anchor="ref-14">
        <w:r>
          <w:rPr>
            <w:rStyle w:val="Hyperlink"/>
          </w:rPr>
          <w:t xml:space="preserve">[14]</w:t>
        </w:r>
      </w:hyperlink>
      <w:r>
        <w:t xml:space="preserve"> </w:t>
      </w:r>
      <w:r>
        <w:t xml:space="preserve">over a documented historical run of missions, this work supplied the temporal structure the descriptive literature lacked. The estimator is appropriate to the data it confronts, a sample in which some programs have already breached, some launched cleanly, and some remain in development with the outcome not yet realized, and it handles that censoring natively rather than discarding it. The pairing of the hazard model with a cross-sectional ordinary-least-squares model is itself part of the methodological contribution, since the two answer the distinct managerial questions of timing and magnitude and their convergence cross-validates the central finding.</w:t>
      </w:r>
    </w:p>
    <w:p>
      <w:pPr>
        <w:pStyle w:val="BodyText"/>
        <w:spacing w:line="480" w:lineRule="auto"/>
        <w:ind w:firstLine="720"/>
      </w:pPr>
      <w:r>
        <w:t xml:space="preserve">The substantive contribution is the empirical demonstration, on fully open federal data, that schedule slip operates as a leading indicator of cost outcome in JPL-class programs rather than as an isolated calendar problem. This converts the governance literature’s assertion of cost-schedule co-movement</w:t>
      </w:r>
      <w:r>
        <w:t xml:space="preserve"> </w:t>
      </w:r>
      <w:hyperlink w:anchor="ref-6">
        <w:r>
          <w:rPr>
            <w:rStyle w:val="Hyperlink"/>
          </w:rPr>
          <w:t xml:space="preserve">[6]</w:t>
        </w:r>
      </w:hyperlink>
      <w:r>
        <w:t xml:space="preserve"> </w:t>
      </w:r>
      <w:r>
        <w:t xml:space="preserve">into a directional, falsifiable claim about which variable moves first. It also supplies a corrective to portfolio framing: the structured concentration of hazard in first-of-kind and flagship programs, combined with the absence of any proportional scale penalty, tells a portfolio owner that the riskiest dollar is not always the biggest program’s dollar. A first-of-kind competed mission that slips can grow by as large a percentage as any flagship.</w:t>
      </w:r>
    </w:p>
    <w:p>
      <w:pPr>
        <w:pStyle w:val="BodyText"/>
        <w:spacing w:line="480" w:lineRule="auto"/>
        <w:ind w:firstLine="720"/>
      </w:pPr>
      <w:r>
        <w:t xml:space="preserve">The instrumental contribution is an early-warning specification that program managers and oversight bodies can read directly. Because the variable that most strongly predicts the size and timing of an eventual overrun is also the variable observed earliest and most reliably, early schedule discipline is identified as the highest-value control lever. The first months of slip should be read as a forward signal of cost outcome, not as a contained scheduling matter to be recovered later. The complexity result carries a parallel design-stage lesson, since the descope decisions made at confirmation, how many instruments to fly and how many to defer, have predictable downstream cost consequences that a program office can price at the moment of commitment.</w:t>
      </w:r>
    </w:p>
    <w:p>
      <w:pPr>
        <w:pStyle w:val="BodyText"/>
        <w:spacing w:line="480" w:lineRule="auto"/>
        <w:ind w:firstLine="720"/>
      </w:pPr>
      <w:r>
        <w:t xml:space="preserve">A subsidiary contribution concerns oversight design itself. Both models found that the proportional fifteen-percent trigger mechanically grants larger programs more absolute dollar headroom before they trip, which may understate absolute exposure on precisely the missions that carry the largest dollar risk. An oversight regime that paired the proportional trigger with an absolute-dollar trigger would close that gap, a recommendation that follows directly from the negative scale coefficient recovered in both estimators.</w:t>
      </w:r>
    </w:p>
    <w:bookmarkEnd w:id="132"/>
    <w:bookmarkStart w:id="133" w:name="limitations-and-their-boundaries"/>
    <w:p>
      <w:pPr>
        <w:pStyle w:val="Heading2"/>
        <w:spacing w:line="480" w:lineRule="auto"/>
      </w:pPr>
      <w:r>
        <w:t xml:space="preserve">8.4 Limitations and Their Boundaries</w:t>
      </w:r>
    </w:p>
    <w:p>
      <w:pPr>
        <w:pStyle w:val="FirstParagraph"/>
        <w:spacing w:line="480" w:lineRule="auto"/>
      </w:pPr>
      <w:r>
        <w:t xml:space="preserve">Intellectual honesty requires that the contribution be bounded by the limitations that produced it. The samples are small. The hazard model rests on eleven events spread across four covariates, and the cross-section on seventeen programs and four regressors, so that confidence intervals are wide and several effects that carry the hypothesized sign do not reach conventional significance. The structural indicators are coarse proxies for richer constructs of novelty, maturity, and integration burden. A small number of baseline-cost cells, where confirmation-era figures were not recoverable from the public record, were flagged as illustrative; they are a minor share and touch no event, duration, or final-cost value, but they are a reminder that the confirmation baseline is not uniformly archived. Cost growth and schedule slip are jointly determined, so the cross-sectional schedule coefficient is a strong predictive association rather than a clean causal estimate, which is precisely the deficiency the companion hazard model, with its lagged and time-varying schedule term, was designed to address. A residual external-validity caveat applies as well: findings estimated on NASA JPL-class programs may not transfer to commercial new-space programs, whose risk structures the governance literature treats as distinct</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None of these qualifications overturns the central pattern, and each marks a tractable direction for future work. The panel can be extended backward with additional documented missions to sharpen the standard errors. Technology maturity can be coded on a graded scale rather than a binary indicator. The proportional-hazards assumption, imposed in the present specification, can be tested against time-varying alternatives via Schoenfeld residuals and, where violated, modeled explicitly with a slip-by-time interaction that is itself substantively informative about whether the schedule signal strengthens late in development. Small-sample inference can be hardened with Firth penalized partial likelihood and profile-likelihood intervals. These are refinements to a recovered pattern, not rescues of a fragile one.</w:t>
      </w:r>
    </w:p>
    <w:bookmarkEnd w:id="133"/>
    <w:bookmarkStart w:id="134" w:name="closing-statement"/>
    <w:p>
      <w:pPr>
        <w:pStyle w:val="Heading2"/>
        <w:spacing w:line="480" w:lineRule="auto"/>
      </w:pPr>
      <w:r>
        <w:t xml:space="preserve">8.5 Closing Statement</w:t>
      </w:r>
    </w:p>
    <w:p>
      <w:pPr>
        <w:pStyle w:val="FirstParagraph"/>
        <w:spacing w:line="480" w:lineRule="auto"/>
      </w:pPr>
      <w:r>
        <w:t xml:space="preserve">The defensible claim of this dissertation is narrow and, within its bounds, secure. Cost overrun in JPL-class flight programs is not an undifferentiated misfortune but a dated, structured hazard, and the single variable that most reliably foretells both its onset and its magnitude is the one a program office watches most closely from the first review onward. Schedule slip is the leading edge of cost breach. That two independently specified cliometric models, one of timing and one of magnitude, built on differently constructed panels of the public federal record, converge on the same variable and agree even in the counterintuitive null on scale, is the strongest evidence this work offers that the convergence is a feature of the programs and not an artifact of any one specification.</w:t>
      </w:r>
    </w:p>
    <w:p>
      <w:pPr>
        <w:pStyle w:val="BodyText"/>
        <w:spacing w:line="480" w:lineRule="auto"/>
        <w:ind w:firstLine="720"/>
      </w:pPr>
      <w:r>
        <w:t xml:space="preserve">The practical inheritance is a single discipline. A program that holds its launch-readiness date is, on the evidence assembled here, holding its cost; a program that begins to slip is signaling its overrun before the overrun is booked. The instrument this dissertation leaves to program formulation and to oversight is therefore not a new accounting rule but a new way of reading an old signal, a survival framing in which the first month of slip is already information about the last dollar of growth. If the descriptive literature told program executives the size of the wound, the contribution here is to date its onset and to name its earliest symptom, so that the months between the first slip and the formal breach become a window for intervention rather than a record compiled after the fact.</w:t>
      </w:r>
    </w:p>
    <w:bookmarkEnd w:id="134"/>
    <w:bookmarkStart w:id="188" w:name="references"/>
    <w:p>
      <w:pPr>
        <w:pStyle w:val="Heading2"/>
        <w:spacing w:line="480" w:lineRule="auto"/>
      </w:pPr>
      <w:r>
        <w:t xml:space="preserve">References</w:t>
      </w:r>
    </w:p>
    <w:p>
      <w:pPr>
        <w:pStyle w:val="FirstParagraph"/>
        <w:spacing w:line="480" w:lineRule="auto"/>
      </w:pPr>
      <w:bookmarkStart w:id="135" w:name="ref-1"/>
      <w:bookmarkEnd w:id="135"/>
      <w:r>
        <w:t xml:space="preserve">1. M. Weinzierl,</w:t>
      </w:r>
      <w:r>
        <w:t xml:space="preserve"> </w:t>
      </w:r>
      <w:r>
        <w:t xml:space="preserve">“Space, the Final Economic Frontier,”</w:t>
      </w:r>
      <w:r>
        <w:t xml:space="preserve"> </w:t>
      </w:r>
      <w:r>
        <w:rPr>
          <w:i/>
          <w:iCs/>
        </w:rPr>
        <w:t xml:space="preserve">Journal of Economic Perspectives</w:t>
      </w:r>
      <w:r>
        <w:t xml:space="preserve">, 2018. Space Economy Papers corpus, source key SD18.</w:t>
      </w:r>
    </w:p>
    <w:p>
      <w:pPr>
        <w:pStyle w:val="BodyText"/>
        <w:spacing w:line="480" w:lineRule="auto"/>
        <w:ind w:firstLine="720"/>
      </w:pPr>
      <w:bookmarkStart w:id="136" w:name="ref-2"/>
      <w:bookmarkEnd w:id="136"/>
      <w:r>
        <w:t xml:space="preserve">2. M. Weinzierl,</w:t>
      </w:r>
      <w:r>
        <w:t xml:space="preserve"> </w:t>
      </w:r>
      <w:r>
        <w:t xml:space="preserve">“Space the Final Economic Frontier”</w:t>
      </w:r>
      <w:r>
        <w:t xml:space="preserve"> </w:t>
      </w:r>
      <w:r>
        <w:t xml:space="preserve">(source text), Space Economy Papers corpus, source key SD18.</w:t>
      </w:r>
    </w:p>
    <w:p>
      <w:pPr>
        <w:pStyle w:val="BodyText"/>
        <w:spacing w:line="480" w:lineRule="auto"/>
        <w:ind w:firstLine="720"/>
      </w:pPr>
      <w:bookmarkStart w:id="137" w:name="ref-3"/>
      <w:bookmarkEnd w:id="137"/>
      <w:r>
        <w:t xml:space="preserve">3.</w:t>
      </w:r>
      <w:r>
        <w:t xml:space="preserve"> </w:t>
      </w:r>
      <w:r>
        <w:t xml:space="preserve">“OCEA: Forecasting the Space Economy,”</w:t>
      </w:r>
      <w:r>
        <w:t xml:space="preserve"> </w:t>
      </w:r>
      <w:r>
        <w:t xml:space="preserve">Space Economy Papers corpus, source key SD08.</w:t>
      </w:r>
    </w:p>
    <w:p>
      <w:pPr>
        <w:pStyle w:val="BodyText"/>
        <w:spacing w:line="480" w:lineRule="auto"/>
        <w:ind w:firstLine="720"/>
      </w:pPr>
      <w:bookmarkStart w:id="138" w:name="ref-4"/>
      <w:bookmarkEnd w:id="138"/>
      <w:r>
        <w:t xml:space="preserve">4. V. Zancan, A. Paravano, G. Locatelli, and P. Trucco,</w:t>
      </w:r>
      <w:r>
        <w:t xml:space="preserve"> </w:t>
      </w:r>
      <w:r>
        <w:t xml:space="preserve">“Evolving governance in the space sector: From Legacy Space to New Space models,”</w:t>
      </w:r>
      <w:r>
        <w:t xml:space="preserve"> </w:t>
      </w:r>
      <w:r>
        <w:rPr>
          <w:i/>
          <w:iCs/>
        </w:rPr>
        <w:t xml:space="preserve">Acta Astronautica</w:t>
      </w:r>
      <w:r>
        <w:t xml:space="preserve">, vol. 225, 2024. doi:</w:t>
      </w:r>
      <w:r>
        <w:t xml:space="preserve"> </w:t>
      </w:r>
      <w:hyperlink r:id="rId139">
        <w:r>
          <w:rPr>
            <w:rStyle w:val="Hyperlink"/>
          </w:rPr>
          <w:t xml:space="preserve">10.1016/j.actaastro.2024.09.005</w:t>
        </w:r>
      </w:hyperlink>
      <w:r>
        <w:t xml:space="preserve">.</w:t>
      </w:r>
    </w:p>
    <w:p>
      <w:pPr>
        <w:pStyle w:val="BodyText"/>
        <w:spacing w:line="480" w:lineRule="auto"/>
        <w:ind w:firstLine="720"/>
      </w:pPr>
      <w:bookmarkStart w:id="140" w:name="ref-5"/>
      <w:bookmarkEnd w:id="140"/>
      <w:r>
        <w:t xml:space="preserve">5. P. Trucco, A. Paravano, and G. Locatelli,</w:t>
      </w:r>
      <w:r>
        <w:t xml:space="preserve"> </w:t>
      </w:r>
      <w:r>
        <w:t xml:space="preserve">“Framing the dynamics of risk landscape amidst space economy trends,”</w:t>
      </w:r>
      <w:r>
        <w:t xml:space="preserve"> </w:t>
      </w:r>
      <w:r>
        <w:rPr>
          <w:i/>
          <w:iCs/>
        </w:rPr>
        <w:t xml:space="preserve">Acta Astronautica</w:t>
      </w:r>
      <w:r>
        <w:t xml:space="preserve">, vol. 238, 2025. doi:</w:t>
      </w:r>
      <w:r>
        <w:t xml:space="preserve"> </w:t>
      </w:r>
      <w:hyperlink r:id="rId141">
        <w:r>
          <w:rPr>
            <w:rStyle w:val="Hyperlink"/>
          </w:rPr>
          <w:t xml:space="preserve">10.1016/j.actaastro.2025.06.067</w:t>
        </w:r>
      </w:hyperlink>
      <w:r>
        <w:t xml:space="preserve">.</w:t>
      </w:r>
    </w:p>
    <w:p>
      <w:pPr>
        <w:pStyle w:val="BodyText"/>
        <w:spacing w:line="480" w:lineRule="auto"/>
        <w:ind w:firstLine="720"/>
      </w:pPr>
      <w:bookmarkStart w:id="142" w:name="ref-6"/>
      <w:bookmarkEnd w:id="142"/>
      <w:r>
        <w:t xml:space="preserve">6.</w:t>
      </w:r>
      <w:r>
        <w:t xml:space="preserve"> </w:t>
      </w:r>
      <w:r>
        <w:t xml:space="preserve">“Architectural Socio-Technological Transformative Change of Space-Use Norms,”</w:t>
      </w:r>
      <w:r>
        <w:t xml:space="preserve"> </w:t>
      </w:r>
      <w:r>
        <w:t xml:space="preserve">Space Economy Papers corpus, source key SD03.</w:t>
      </w:r>
    </w:p>
    <w:p>
      <w:pPr>
        <w:pStyle w:val="BodyText"/>
        <w:spacing w:line="480" w:lineRule="auto"/>
        <w:ind w:firstLine="720"/>
      </w:pPr>
      <w:bookmarkStart w:id="143" w:name="ref-7"/>
      <w:bookmarkEnd w:id="143"/>
      <w:r>
        <w:t xml:space="preserve">7. J. Dijks, S. de Jong, A. Menicucci, and I. Akay,</w:t>
      </w:r>
      <w:r>
        <w:t xml:space="preserve"> </w:t>
      </w:r>
      <w:r>
        <w:t xml:space="preserve">“Systematic review of engineering and testing approaches for radiation hardness assurance in commercial space avionics,”</w:t>
      </w:r>
      <w:r>
        <w:t xml:space="preserve"> </w:t>
      </w:r>
      <w:r>
        <w:rPr>
          <w:i/>
          <w:iCs/>
        </w:rPr>
        <w:t xml:space="preserve">Acta Astronautica</w:t>
      </w:r>
      <w:r>
        <w:t xml:space="preserve">, vol. 238, 2025. doi:</w:t>
      </w:r>
      <w:r>
        <w:t xml:space="preserve"> </w:t>
      </w:r>
      <w:hyperlink r:id="rId144">
        <w:r>
          <w:rPr>
            <w:rStyle w:val="Hyperlink"/>
          </w:rPr>
          <w:t xml:space="preserve">10.1016/j.actaastro.2025.07.055</w:t>
        </w:r>
      </w:hyperlink>
      <w:r>
        <w:t xml:space="preserve">.</w:t>
      </w:r>
    </w:p>
    <w:p>
      <w:pPr>
        <w:pStyle w:val="BodyText"/>
        <w:spacing w:line="480" w:lineRule="auto"/>
        <w:ind w:firstLine="720"/>
      </w:pPr>
      <w:bookmarkStart w:id="145" w:name="ref-8"/>
      <w:bookmarkEnd w:id="145"/>
      <w:r>
        <w:t xml:space="preserve">8. U.S. Government Accountability Office,</w:t>
      </w:r>
      <w:r>
        <w:t xml:space="preserve"> </w:t>
      </w:r>
      <w:r>
        <w:rPr>
          <w:i/>
          <w:iCs/>
        </w:rPr>
        <w:t xml:space="preserve">NASA: Assessments of Major Projects</w:t>
      </w:r>
      <w:r>
        <w:t xml:space="preserve">, GAO-23-106021 (2023), GAO-24-106767 (2024), and GAO-25-107591 (2025). Washington, DC: GAO. https://www.gao.gov/products/gao-25-107591</w:t>
      </w:r>
    </w:p>
    <w:p>
      <w:pPr>
        <w:pStyle w:val="BodyText"/>
        <w:spacing w:line="480" w:lineRule="auto"/>
        <w:ind w:firstLine="720"/>
      </w:pPr>
      <w:bookmarkStart w:id="146" w:name="ref-9"/>
      <w:bookmarkEnd w:id="146"/>
      <w:r>
        <w:t xml:space="preserve">9. B. Flyvbjerg,</w:t>
      </w:r>
      <w:r>
        <w:t xml:space="preserve"> </w:t>
      </w:r>
      <w:r>
        <w:t xml:space="preserve">“From Nobel Prize to Project Management: Getting Risks Right,”</w:t>
      </w:r>
      <w:r>
        <w:t xml:space="preserve"> </w:t>
      </w:r>
      <w:r>
        <w:rPr>
          <w:i/>
          <w:iCs/>
        </w:rPr>
        <w:t xml:space="preserve">Project Management Journal</w:t>
      </w:r>
      <w:r>
        <w:t xml:space="preserve">, vol. 37, no. 3, pp. 5-15, 2006.</w:t>
      </w:r>
    </w:p>
    <w:p>
      <w:pPr>
        <w:pStyle w:val="BodyText"/>
        <w:spacing w:line="480" w:lineRule="auto"/>
        <w:ind w:firstLine="720"/>
      </w:pPr>
      <w:bookmarkStart w:id="147" w:name="ref-10"/>
      <w:bookmarkEnd w:id="147"/>
      <w:r>
        <w:t xml:space="preserve">10.</w:t>
      </w:r>
      <w:r>
        <w:t xml:space="preserve"> </w:t>
      </w:r>
      <w:r>
        <w:t xml:space="preserve">“Research, development and production costs prediction parametric model for future spacecraft,”</w:t>
      </w:r>
      <w:r>
        <w:t xml:space="preserve"> </w:t>
      </w:r>
      <w:r>
        <w:rPr>
          <w:i/>
          <w:iCs/>
        </w:rPr>
        <w:t xml:space="preserve">Acta Astronautica</w:t>
      </w:r>
      <w:r>
        <w:t xml:space="preserve">, 2022. doi:</w:t>
      </w:r>
      <w:r>
        <w:t xml:space="preserve"> </w:t>
      </w:r>
      <w:hyperlink r:id="rId148">
        <w:r>
          <w:rPr>
            <w:rStyle w:val="Hyperlink"/>
          </w:rPr>
          <w:t xml:space="preserve">10.1016/j.actaastro.2022.12.036</w:t>
        </w:r>
      </w:hyperlink>
    </w:p>
    <w:p>
      <w:pPr>
        <w:pStyle w:val="BodyText"/>
        <w:spacing w:line="480" w:lineRule="auto"/>
        <w:ind w:firstLine="720"/>
      </w:pPr>
      <w:bookmarkStart w:id="149" w:name="ref-11"/>
      <w:bookmarkEnd w:id="149"/>
      <w:r>
        <w:t xml:space="preserve">11.</w:t>
      </w:r>
      <w:r>
        <w:t xml:space="preserve"> </w:t>
      </w:r>
      <w:r>
        <w:t xml:space="preserve">“Parametric economic modelling of asteroid mining architectures,”</w:t>
      </w:r>
      <w:r>
        <w:t xml:space="preserve"> </w:t>
      </w:r>
      <w:r>
        <w:rPr>
          <w:i/>
          <w:iCs/>
        </w:rPr>
        <w:t xml:space="preserve">Acta Astronautica</w:t>
      </w:r>
      <w:r>
        <w:t xml:space="preserve">, 2025. doi:</w:t>
      </w:r>
      <w:r>
        <w:t xml:space="preserve"> </w:t>
      </w:r>
      <w:hyperlink r:id="rId150">
        <w:r>
          <w:rPr>
            <w:rStyle w:val="Hyperlink"/>
          </w:rPr>
          <w:t xml:space="preserve">10.1016/j.actaastro.2025.11.006</w:t>
        </w:r>
      </w:hyperlink>
    </w:p>
    <w:p>
      <w:pPr>
        <w:pStyle w:val="BodyText"/>
        <w:spacing w:line="480" w:lineRule="auto"/>
        <w:ind w:firstLine="720"/>
      </w:pPr>
      <w:bookmarkStart w:id="151" w:name="ref-12"/>
      <w:bookmarkEnd w:id="151"/>
      <w:r>
        <w:t xml:space="preserve">12. M. Smith, GAO coverage of NASA major-project cost and schedule performance, SpacePolicyOnline.com, 2023-2024. https://spacepolicyonline.com/news/gao-warns-of-worsening-costs-and-schedule-delays-at-nasa/</w:t>
      </w:r>
    </w:p>
    <w:p>
      <w:pPr>
        <w:pStyle w:val="BodyText"/>
        <w:spacing w:line="480" w:lineRule="auto"/>
        <w:ind w:firstLine="720"/>
      </w:pPr>
      <w:bookmarkStart w:id="152" w:name="ref-13"/>
      <w:bookmarkEnd w:id="152"/>
      <w:r>
        <w:t xml:space="preserve">13. C. Dreier,</w:t>
      </w:r>
      <w:r>
        <w:t xml:space="preserve"> </w:t>
      </w:r>
      <w:r>
        <w:rPr>
          <w:i/>
          <w:iCs/>
        </w:rPr>
        <w:t xml:space="preserve">Planetary Science Budget Dataset</w:t>
      </w:r>
      <w:r>
        <w:t xml:space="preserve"> </w:t>
      </w:r>
      <w:r>
        <w:t xml:space="preserve">and mission cost charts, The Planetary Society. https://www.planetary.org/space-policy/psyche-cost</w:t>
      </w:r>
    </w:p>
    <w:p>
      <w:pPr>
        <w:pStyle w:val="BodyText"/>
        <w:spacing w:line="480" w:lineRule="auto"/>
        <w:ind w:firstLine="720"/>
      </w:pPr>
      <w:bookmarkStart w:id="153" w:name="ref-14"/>
      <w:bookmarkEnd w:id="153"/>
      <w:r>
        <w:t xml:space="preserve">14. D. R. Cox,</w:t>
      </w:r>
      <w:r>
        <w:t xml:space="preserve"> </w:t>
      </w:r>
      <w:r>
        <w:t xml:space="preserve">“Regression Models and Life-Tables,”</w:t>
      </w:r>
      <w:r>
        <w:t xml:space="preserve"> </w:t>
      </w:r>
      <w:r>
        <w:rPr>
          <w:i/>
          <w:iCs/>
        </w:rPr>
        <w:t xml:space="preserve">Journal of the Royal Statistical Society, Series B</w:t>
      </w:r>
      <w:r>
        <w:t xml:space="preserve">, vol. 34, no. 2, pp. 187-220, 1972.</w:t>
      </w:r>
    </w:p>
    <w:p>
      <w:pPr>
        <w:pStyle w:val="BodyText"/>
        <w:spacing w:line="480" w:lineRule="auto"/>
        <w:ind w:firstLine="720"/>
      </w:pPr>
      <w:bookmarkStart w:id="154" w:name="ref-15"/>
      <w:bookmarkEnd w:id="154"/>
      <w:r>
        <w:t xml:space="preserve">15. M. Dwyer, Z. Szajnfarber, B. Cameron, and E. F. Crawley,</w:t>
      </w:r>
      <w:r>
        <w:t xml:space="preserve"> </w:t>
      </w:r>
      <w:r>
        <w:t xml:space="preserve">“A model for understanding and managing cost growth on joint programs,”</w:t>
      </w:r>
      <w:r>
        <w:t xml:space="preserve"> </w:t>
      </w:r>
      <w:r>
        <w:t xml:space="preserve">Acta Astronautica, 2018. doi:</w:t>
      </w:r>
      <w:r>
        <w:t xml:space="preserve"> </w:t>
      </w:r>
      <w:hyperlink r:id="rId155">
        <w:r>
          <w:rPr>
            <w:rStyle w:val="Hyperlink"/>
          </w:rPr>
          <w:t xml:space="preserve">10.1016/j.actaastro.2018.07.004</w:t>
        </w:r>
      </w:hyperlink>
    </w:p>
    <w:p>
      <w:pPr>
        <w:pStyle w:val="BodyText"/>
        <w:spacing w:line="480" w:lineRule="auto"/>
        <w:ind w:firstLine="720"/>
      </w:pPr>
      <w:bookmarkStart w:id="156" w:name="ref-16"/>
      <w:bookmarkEnd w:id="156"/>
      <w:r>
        <w:t xml:space="preserve">16. P. D. Friz, S. Hosder, B. B. Leser, and B. C. Towle,</w:t>
      </w:r>
      <w:r>
        <w:t xml:space="preserve"> </w:t>
      </w:r>
      <w:r>
        <w:t xml:space="preserve">“Blind validation study of parametric cost estimation tool SEER-H for NASA space missions,”</w:t>
      </w:r>
      <w:r>
        <w:t xml:space="preserve"> </w:t>
      </w:r>
      <w:r>
        <w:t xml:space="preserve">Acta Astronautica, 2019. doi:</w:t>
      </w:r>
      <w:r>
        <w:t xml:space="preserve"> </w:t>
      </w:r>
      <w:hyperlink r:id="rId157">
        <w:r>
          <w:rPr>
            <w:rStyle w:val="Hyperlink"/>
          </w:rPr>
          <w:t xml:space="preserve">10.1016/j.actaastro.2019.09.030</w:t>
        </w:r>
      </w:hyperlink>
    </w:p>
    <w:p>
      <w:pPr>
        <w:pStyle w:val="BodyText"/>
        <w:spacing w:line="480" w:lineRule="auto"/>
        <w:ind w:firstLine="720"/>
      </w:pPr>
      <w:bookmarkStart w:id="158" w:name="ref-17"/>
      <w:bookmarkEnd w:id="158"/>
      <w:r>
        <w:t xml:space="preserve">17.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2022. doi:</w:t>
      </w:r>
      <w:r>
        <w:t xml:space="preserve"> </w:t>
      </w:r>
      <w:hyperlink r:id="rId148">
        <w:r>
          <w:rPr>
            <w:rStyle w:val="Hyperlink"/>
          </w:rPr>
          <w:t xml:space="preserve">10.1016/j.actaastro.2022.12.036</w:t>
        </w:r>
      </w:hyperlink>
    </w:p>
    <w:p>
      <w:pPr>
        <w:pStyle w:val="BodyText"/>
        <w:spacing w:line="480" w:lineRule="auto"/>
        <w:ind w:firstLine="720"/>
      </w:pPr>
      <w:bookmarkStart w:id="159" w:name="ref-18"/>
      <w:bookmarkEnd w:id="159"/>
      <w:r>
        <w:t xml:space="preserve">18. C. Dreier,</w:t>
      </w:r>
      <w:r>
        <w:t xml:space="preserve"> </w:t>
      </w:r>
      <w:r>
        <w:t xml:space="preserve">“The Cost of MSL Curiosity,”</w:t>
      </w:r>
      <w:r>
        <w:t xml:space="preserve"> </w:t>
      </w:r>
      <w:r>
        <w:t xml:space="preserve">The Planetary Society, 2014. Available: https://www.planetary.org/space-policy/cost-of-msl-curiosity</w:t>
      </w:r>
    </w:p>
    <w:p>
      <w:pPr>
        <w:pStyle w:val="BodyText"/>
        <w:spacing w:line="480" w:lineRule="auto"/>
        <w:ind w:firstLine="720"/>
      </w:pPr>
      <w:bookmarkStart w:id="160" w:name="ref-19"/>
      <w:bookmarkEnd w:id="160"/>
      <w:r>
        <w:t xml:space="preserve">19. U.S. Government Accountability Office,</w:t>
      </w:r>
      <w:r>
        <w:t xml:space="preserve"> </w:t>
      </w:r>
      <w:r>
        <w:t xml:space="preserve">“James Webb Space Telescope: Integration and Test Challenges Have Delayed Launch and Threaten to Push Costs Over Cap,”</w:t>
      </w:r>
      <w:r>
        <w:t xml:space="preserve"> </w:t>
      </w:r>
      <w:r>
        <w:t xml:space="preserve">GAO-18-273, 2018. Available: https://www.gao.gov/products/gao-18-273</w:t>
      </w:r>
    </w:p>
    <w:p>
      <w:pPr>
        <w:pStyle w:val="BodyText"/>
        <w:spacing w:line="480" w:lineRule="auto"/>
        <w:ind w:firstLine="720"/>
      </w:pPr>
      <w:bookmarkStart w:id="161" w:name="ref-20"/>
      <w:bookmarkEnd w:id="161"/>
      <w:r>
        <w:t xml:space="preserve">20. NASA Office of Inspector General,</w:t>
      </w:r>
      <w:r>
        <w:t xml:space="preserve"> </w:t>
      </w:r>
      <w:r>
        <w:t xml:space="preserve">“NASA’s Management of the Dragonfly Project,”</w:t>
      </w:r>
      <w:r>
        <w:t xml:space="preserve"> </w:t>
      </w:r>
      <w:r>
        <w:t xml:space="preserve">IG-25-011, 2025. Available: https://oig.nasa.gov/wp-content/uploads/2025/09/final-report-ig-25-011-nasas-managment-of-the-dragonfly-project.pdf</w:t>
      </w:r>
    </w:p>
    <w:p>
      <w:pPr>
        <w:pStyle w:val="BodyText"/>
        <w:spacing w:line="480" w:lineRule="auto"/>
        <w:ind w:firstLine="720"/>
      </w:pPr>
      <w:bookmarkStart w:id="162" w:name="ref-21"/>
      <w:bookmarkEnd w:id="162"/>
      <w:r>
        <w:t xml:space="preserve">21. S. Dorrington and J. Olsen,</w:t>
      </w:r>
      <w:r>
        <w:t xml:space="preserve"> </w:t>
      </w:r>
      <w:r>
        <w:t xml:space="preserve">“Parametric economic modelling of asteroid mining architectures,”</w:t>
      </w:r>
      <w:r>
        <w:t xml:space="preserve"> </w:t>
      </w:r>
      <w:r>
        <w:t xml:space="preserve">Acta Astronautica, 2025. doi:</w:t>
      </w:r>
      <w:r>
        <w:t xml:space="preserve"> </w:t>
      </w:r>
      <w:hyperlink r:id="rId150">
        <w:r>
          <w:rPr>
            <w:rStyle w:val="Hyperlink"/>
          </w:rPr>
          <w:t xml:space="preserve">10.1016/j.actaastro.2025.11.006</w:t>
        </w:r>
      </w:hyperlink>
    </w:p>
    <w:p>
      <w:pPr>
        <w:pStyle w:val="BodyText"/>
        <w:spacing w:line="480" w:lineRule="auto"/>
        <w:ind w:firstLine="720"/>
      </w:pPr>
      <w:bookmarkStart w:id="163" w:name="ref-22"/>
      <w:bookmarkEnd w:id="163"/>
      <w:r>
        <w:t xml:space="preserve">22. A. Rao and G. Rondina,</w:t>
      </w:r>
      <w:r>
        <w:t xml:space="preserve"> </w:t>
      </w:r>
      <w:r>
        <w:t xml:space="preserve">“The Economics of Orbit Use: Open Access, External Costs, and Runaway Debris Growth,”</w:t>
      </w:r>
      <w:r>
        <w:t xml:space="preserve"> </w:t>
      </w:r>
      <w:r>
        <w:t xml:space="preserve">Journal of the Association of Environmental and Resource Economists, 2024. doi:</w:t>
      </w:r>
      <w:r>
        <w:t xml:space="preserve"> </w:t>
      </w:r>
      <w:hyperlink r:id="rId164">
        <w:r>
          <w:rPr>
            <w:rStyle w:val="Hyperlink"/>
          </w:rPr>
          <w:t xml:space="preserve">10.1086/730695</w:t>
        </w:r>
      </w:hyperlink>
    </w:p>
    <w:p>
      <w:pPr>
        <w:pStyle w:val="BodyText"/>
        <w:spacing w:line="480" w:lineRule="auto"/>
        <w:ind w:firstLine="720"/>
      </w:pPr>
      <w:bookmarkStart w:id="165" w:name="ref-23"/>
      <w:bookmarkEnd w:id="165"/>
      <w:r>
        <w:t xml:space="preserve">23. Rick Luce, Stellar Solutions, Inc.. An Imagineering Approach to the Future of Space Situational Awareness (2017).</w:t>
      </w:r>
    </w:p>
    <w:p>
      <w:pPr>
        <w:pStyle w:val="BodyText"/>
        <w:spacing w:line="480" w:lineRule="auto"/>
        <w:ind w:firstLine="720"/>
      </w:pPr>
      <w:bookmarkStart w:id="166" w:name="ref-24"/>
      <w:bookmarkEnd w:id="166"/>
      <w:r>
        <w:t xml:space="preserve">24. Mark A. Vincent, Raytheon. Overcoming the Operational Challenges Encountered during a Decade of Conjunctions (2021).</w:t>
      </w:r>
    </w:p>
    <w:p>
      <w:pPr>
        <w:pStyle w:val="BodyText"/>
        <w:spacing w:line="480" w:lineRule="auto"/>
        <w:ind w:firstLine="720"/>
      </w:pPr>
      <w:bookmarkStart w:id="167" w:name="ref-25"/>
      <w:bookmarkEnd w:id="167"/>
      <w:r>
        <w:t xml:space="preserve">25. Robert (Lauchie) Scott, Dr. Brad Wallace, Michael Sale, (Defence R&amp;D Canada – Ottawa, Ottawa, Ontario), Martin Levesque (Defence R&amp;D Canada – Valcartier, Valcartier, Quebec), Stefan Thorsteinson, (Contractor, Defence R&amp;D Canada – Ottawa, Ottawa, Ontario). Toward Microsatellite Based Space Situational Awareness (2013).</w:t>
      </w:r>
    </w:p>
    <w:p>
      <w:pPr>
        <w:pStyle w:val="BodyText"/>
        <w:spacing w:line="480" w:lineRule="auto"/>
        <w:ind w:firstLine="720"/>
      </w:pPr>
      <w:bookmarkStart w:id="168" w:name="ref-26"/>
      <w:bookmarkEnd w:id="168"/>
      <w:r>
        <w:t xml:space="preserve">26. Robert Bruck (BAE Systems). Tracking A Very Near Earth Asteroid (2013).</w:t>
      </w:r>
    </w:p>
    <w:p>
      <w:pPr>
        <w:pStyle w:val="BodyText"/>
        <w:spacing w:line="480" w:lineRule="auto"/>
        <w:ind w:firstLine="720"/>
      </w:pPr>
      <w:bookmarkStart w:id="169" w:name="ref-27"/>
      <w:bookmarkEnd w:id="169"/>
      <w:r>
        <w:t xml:space="preserve">27. Jacob Griesbach (Applied Defense Solutions). Proximity Operations Nano-Satellite Flight Demonstration (PONSFD) Rendezvous Proximity Operations Design and Trade Studies (2013).</w:t>
      </w:r>
    </w:p>
    <w:p>
      <w:pPr>
        <w:pStyle w:val="BodyText"/>
        <w:spacing w:line="480" w:lineRule="auto"/>
        <w:ind w:firstLine="720"/>
      </w:pPr>
      <w:bookmarkStart w:id="170" w:name="ref-28"/>
      <w:bookmarkEnd w:id="170"/>
      <w:r>
        <w:t xml:space="preserve">28. Robert Romeo (Composite Mirror Applications, Inc.), RN Martin (Composite Mirror Applications, Inc.), SR Restaino (Naval Research Laboratory), CC Wilcox (Naval Research Laboratory), JR Andrews (Naval Research Laboratory), T Martinez (Naval Research Laboratory), F Santiago (Naval Research Laboratory), J Clark (Naval Research Laboratory), J Walton (Naval Research Laboratory), SW Teare (Naval Research Laboratory), DM Payne (Narrascape, Inc.), E Penado (Northern Arizona University), P Wood (Northern Arizona University). Ultra-lightweight, Deployable 1m-Class Optical Telescope for SSA Applications (2007).</w:t>
      </w:r>
    </w:p>
    <w:p>
      <w:pPr>
        <w:pStyle w:val="BodyText"/>
        <w:spacing w:line="480" w:lineRule="auto"/>
        <w:ind w:firstLine="720"/>
      </w:pPr>
      <w:bookmarkStart w:id="171" w:name="ref-29"/>
      <w:bookmarkEnd w:id="171"/>
      <w:r>
        <w:t xml:space="preserve">29. Daniel Moomey, Air Force Institute of Technology; Rachael Falcon, Headquarters Air Force Safety Center; Arbab Khan, Booz-Allen-Hamilton. Trending and Analysis of Payload vs. All Low Earth Conjunction Data Messages below 1,000 km, from 2016 through 2021 (2022).</w:t>
      </w:r>
    </w:p>
    <w:p>
      <w:pPr>
        <w:pStyle w:val="BodyText"/>
        <w:spacing w:line="480" w:lineRule="auto"/>
        <w:ind w:firstLine="720"/>
      </w:pPr>
      <w:bookmarkStart w:id="172" w:name="ref-30"/>
      <w:bookmarkEnd w:id="172"/>
      <w:r>
        <w:t xml:space="preserve">30. Christopher W. T. Roscoe, Jacob D. Griesbach, Jason J. Westphal, Dean R. Hawes, and John P. Carrico, Jr., (Applied Defense Solutions, Columbia, Maryland). Force Modeling and State Propagation for Navigation and Maneuver Planning for the Proximity Operations Nano-Satellite Flight Demonstration Mission (2013).</w:t>
      </w:r>
    </w:p>
    <w:p>
      <w:pPr>
        <w:pStyle w:val="BodyText"/>
        <w:spacing w:line="480" w:lineRule="auto"/>
        <w:ind w:firstLine="720"/>
      </w:pPr>
      <w:bookmarkStart w:id="173" w:name="ref-31"/>
      <w:bookmarkEnd w:id="173"/>
      <w:r>
        <w:t xml:space="preserve">31. Yanping Guo; Paul Thompson; John H. Wirzburger; N. Pinkine; Stewart Bushman; Troy Goodson; Rob Haw; James F. Hudson; Drew R. Jones; Seth Kijewski; Brian Lathrop; E. L. Lau; N. A. Mottinger; Mark Ryne; Wen-Jong Shyong; Powtawche Valerino; Karl Whittenburg. Execution of Parker Solar Probe’s unprecedented flight to the Sun and early results (2020). doi:</w:t>
      </w:r>
      <w:r>
        <w:t xml:space="preserve"> </w:t>
      </w:r>
      <w:hyperlink r:id="rId174">
        <w:r>
          <w:rPr>
            <w:rStyle w:val="Hyperlink"/>
          </w:rPr>
          <w:t xml:space="preserve">10.1016/j.actaastro.2020.11.007</w:t>
        </w:r>
      </w:hyperlink>
    </w:p>
    <w:p>
      <w:pPr>
        <w:pStyle w:val="BodyText"/>
        <w:spacing w:line="480" w:lineRule="auto"/>
        <w:ind w:firstLine="720"/>
      </w:pPr>
      <w:bookmarkStart w:id="175" w:name="ref-32"/>
      <w:bookmarkEnd w:id="175"/>
      <w:r>
        <w:t xml:space="preserve">32. Jean‐Marc Salotti. Launcher size optimization for a crewed Mars mission (2021). doi:</w:t>
      </w:r>
      <w:r>
        <w:t xml:space="preserve"> </w:t>
      </w:r>
      <w:hyperlink r:id="rId176">
        <w:r>
          <w:rPr>
            <w:rStyle w:val="Hyperlink"/>
          </w:rPr>
          <w:t xml:space="preserve">10.1016/j.actaastro.2021.11.016</w:t>
        </w:r>
      </w:hyperlink>
    </w:p>
    <w:p>
      <w:pPr>
        <w:pStyle w:val="BodyText"/>
        <w:spacing w:line="480" w:lineRule="auto"/>
        <w:ind w:firstLine="720"/>
      </w:pPr>
      <w:bookmarkStart w:id="177" w:name="ref-33"/>
      <w:bookmarkEnd w:id="177"/>
      <w:r>
        <w:t xml:space="preserve">33. Thobekile S. Ngwane; Nicolas Erasmus; P. Groot; Christine Steenkamp. The rapid-response, fully-automated, near-Earth asteroid follow-up program with the SAAO’s 1-m Lesedi telescope (2025). doi:</w:t>
      </w:r>
      <w:r>
        <w:t xml:space="preserve"> </w:t>
      </w:r>
      <w:hyperlink r:id="rId178">
        <w:r>
          <w:rPr>
            <w:rStyle w:val="Hyperlink"/>
          </w:rPr>
          <w:t xml:space="preserve">10.1016/j.actaastro.2025.10.054</w:t>
        </w:r>
      </w:hyperlink>
    </w:p>
    <w:p>
      <w:pPr>
        <w:pStyle w:val="BodyText"/>
        <w:spacing w:line="480" w:lineRule="auto"/>
        <w:ind w:firstLine="720"/>
      </w:pPr>
      <w:bookmarkStart w:id="179" w:name="ref-34"/>
      <w:bookmarkEnd w:id="179"/>
      <w:r>
        <w:t xml:space="preserve">34. Rob Landis; Lindley Johnson. Advances in planetary defense in the United States (2018). doi:</w:t>
      </w:r>
      <w:r>
        <w:t xml:space="preserve"> </w:t>
      </w:r>
      <w:hyperlink r:id="rId180">
        <w:r>
          <w:rPr>
            <w:rStyle w:val="Hyperlink"/>
          </w:rPr>
          <w:t xml:space="preserve">10.1016/j.actaastro.2018.06.020</w:t>
        </w:r>
      </w:hyperlink>
    </w:p>
    <w:p>
      <w:pPr>
        <w:pStyle w:val="BodyText"/>
        <w:spacing w:line="480" w:lineRule="auto"/>
        <w:ind w:firstLine="720"/>
      </w:pPr>
      <w:bookmarkStart w:id="181" w:name="ref-35"/>
      <w:bookmarkEnd w:id="181"/>
      <w:r>
        <w:t xml:space="preserve">35. Stephanie Jarmak; Erin Leonard; Alex Akins; Emma Dahl; Daniel R. Cremons; S. Cofield; Aaron Curtis; Chuanfei Dong; Emilie T. Dunham; Baptiste Journaux; David D. Murakami; Wanyi Ng; M. Piquette; Athul Pradeepkumar Girija; Kimberly Rink; L. R. Schurmeier; N. Stein; Nicholas Tallarida; M. Telus; L. L. Lowes; C. J. Budney; K. L. Mitchell. QUEST: A New Frontiers Uranus orbiter mission concept study (2020). doi:</w:t>
      </w:r>
      <w:r>
        <w:t xml:space="preserve"> </w:t>
      </w:r>
      <w:hyperlink r:id="rId182">
        <w:r>
          <w:rPr>
            <w:rStyle w:val="Hyperlink"/>
          </w:rPr>
          <w:t xml:space="preserve">10.1016/j.actaastro.2020.01.030</w:t>
        </w:r>
      </w:hyperlink>
    </w:p>
    <w:p>
      <w:pPr>
        <w:pStyle w:val="BodyText"/>
        <w:spacing w:line="480" w:lineRule="auto"/>
        <w:ind w:firstLine="720"/>
      </w:pPr>
      <w:bookmarkStart w:id="183" w:name="ref-36"/>
      <w:bookmarkEnd w:id="183"/>
      <w:r>
        <w:t xml:space="preserve">36. Jun’ichiro Kawaguchi; Masahiro Fujita; Shinya Fujita; Yuji Sakamoto; Toshinori Kuwahara; Kazuya Yoshida; Shingo Nishimoto; Kohei Takeda; Saki Komachi; Kokubo Hayato. On the low-cost asynchronous one-way range measurement method and the device for micro to nano deep space probes (2023). doi:</w:t>
      </w:r>
      <w:r>
        <w:t xml:space="preserve"> </w:t>
      </w:r>
      <w:hyperlink r:id="rId184">
        <w:r>
          <w:rPr>
            <w:rStyle w:val="Hyperlink"/>
          </w:rPr>
          <w:t xml:space="preserve">10.1016/j.actaastro.2023.10.036</w:t>
        </w:r>
      </w:hyperlink>
    </w:p>
    <w:p>
      <w:pPr>
        <w:pStyle w:val="BodyText"/>
        <w:spacing w:line="480" w:lineRule="auto"/>
        <w:ind w:firstLine="720"/>
      </w:pPr>
      <w:bookmarkStart w:id="185" w:name="ref-37"/>
      <w:bookmarkEnd w:id="185"/>
      <w:r>
        <w:t xml:space="preserve">37. Mehmet Şevket Uludağ; Alim Rüstem Aslan. Highly-miniaturized spacecraft “PlanarSat”: Evaluating prospects and challenges through a survey of femto &amp; atto satellite missions (2025). doi:</w:t>
      </w:r>
      <w:r>
        <w:t xml:space="preserve"> </w:t>
      </w:r>
      <w:hyperlink r:id="rId186">
        <w:r>
          <w:rPr>
            <w:rStyle w:val="Hyperlink"/>
          </w:rPr>
          <w:t xml:space="preserve">10.1016/j.actaastro.2025.05.018</w:t>
        </w:r>
      </w:hyperlink>
    </w:p>
    <w:p>
      <w:pPr>
        <w:pStyle w:val="BodyText"/>
        <w:spacing w:line="480" w:lineRule="auto"/>
        <w:ind w:firstLine="720"/>
      </w:pPr>
      <w:bookmarkStart w:id="187" w:name="ref-38"/>
      <w:bookmarkEnd w:id="187"/>
      <w:r>
        <w:t xml:space="preserve">38. Valentina Zancan; Alessandro Paravano; Giorgio Locatelli; Paolo Trucco. Evolving governance in the space sector: From Legacy Space to New Space models (2024). doi:</w:t>
      </w:r>
      <w:r>
        <w:t xml:space="preserve"> </w:t>
      </w:r>
      <w:hyperlink r:id="rId139">
        <w:r>
          <w:rPr>
            <w:rStyle w:val="Hyperlink"/>
          </w:rPr>
          <w:t xml:space="preserve">10.1016/j.actaastro.2024.09.005</w:t>
        </w:r>
      </w:hyperlink>
    </w:p>
    <w:bookmarkEnd w:id="188"/>
    <w:bookmarkEnd w:id="189"/>
    <w:bookmarkStart w:id="20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7" w:name="Xbe70ffcc462a7cd7c766e8006d906a11d85dd2e"/>
    <w:p>
      <w:pPr>
        <w:pStyle w:val="Heading2"/>
        <w:spacing w:line="480" w:lineRule="auto"/>
      </w:pPr>
      <w:r>
        <w:t xml:space="preserve">A.1 Cost-Overrun Hazard in JPL-Class Flight Programs: A Cliometric Survival Model of Development Cost Breach</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rPr>
              <m:sty m:val="p"/>
            </m:rPr>
            <m:t>log</m:t>
          </m:r>
          <m:sSub>
            <m:e>
              <m:r>
                <m:rPr>
                  <m:nor/>
                  <m:sty m:val="p"/>
                </m:rPr>
                <m:t>Base</m:t>
              </m:r>
            </m:e>
            <m:sub>
              <m:r>
                <m:t>i</m:t>
              </m:r>
            </m:sub>
          </m:sSub>
          <m:r>
            <m:rPr>
              <m:sty m:val="p"/>
            </m:rPr>
            <m:t>+</m:t>
          </m:r>
          <m:sSub>
            <m:e>
              <m:r>
                <m:t>β</m:t>
              </m:r>
            </m:e>
            <m:sub>
              <m:r>
                <m:t>2</m:t>
              </m:r>
            </m:sub>
          </m:sSub>
          <m:sSub>
            <m:e>
              <m:r>
                <m:rPr>
                  <m:nor/>
                  <m:sty m:val="p"/>
                </m:rPr>
                <m:t>NewTech</m:t>
              </m:r>
            </m:e>
            <m:sub>
              <m:r>
                <m:t>i</m:t>
              </m:r>
            </m:sub>
          </m:sSub>
          <m:r>
            <m:rPr>
              <m:sty m:val="p"/>
            </m:rPr>
            <m:t>+</m:t>
          </m:r>
          <m:sSub>
            <m:e>
              <m:r>
                <m:t>β</m:t>
              </m:r>
            </m:e>
            <m:sub>
              <m:r>
                <m:t>3</m:t>
              </m:r>
            </m:sub>
          </m:sSub>
          <m:sSub>
            <m:e>
              <m:r>
                <m:rPr>
                  <m:nor/>
                  <m:sty m:val="p"/>
                </m:rPr>
                <m:t>Flagship</m:t>
              </m:r>
            </m:e>
            <m:sub>
              <m:r>
                <m:t>i</m:t>
              </m:r>
            </m:sub>
          </m:sSub>
          <m:r>
            <m:rPr>
              <m:sty m:val="p"/>
            </m:rPr>
            <m:t>+</m:t>
          </m:r>
          <m:sSub>
            <m:e>
              <m:r>
                <m:t>β</m:t>
              </m:r>
            </m:e>
            <m:sub>
              <m:r>
                <m:t>4</m:t>
              </m:r>
            </m:sub>
          </m:sSub>
          <m:sSub>
            <m:e>
              <m:r>
                <m:rPr>
                  <m:nor/>
                  <m:sty m:val="p"/>
                </m:rPr>
                <m:t>Complexity</m:t>
              </m:r>
            </m:e>
            <m:sub>
              <m:r>
                <m:t>i</m:t>
              </m:r>
            </m:sub>
          </m:sSub>
          <m:r>
            <m:rPr>
              <m:sty m:val="p"/>
            </m:rPr>
            <m:t>)</m:t>
          </m:r>
        </m:oMath>
      </m:oMathPara>
    </w:p>
    <w:bookmarkStart w:id="19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log_base_cost</w:t>
            </w:r>
          </w:p>
        </w:tc>
        <w:tc>
          <w:tcPr>
            <w:tcW w:w="0" w:type="auto"/>
          </w:tcPr>
          <w:p>
            <w:pPr>
              <w:spacing w:line="240" w:lineRule="auto" w:before="0" w:after="0"/>
              <w:pStyle w:val="Compact"/>
            </w:pPr>
            <w:r>
              <w:rPr>
                <w:sz w:val="20"/>
                <w:szCs w:val="20"/>
              </w:rPr>
              <w:t xml:space="preserve">-0.9685</w:t>
            </w:r>
          </w:p>
        </w:tc>
        <w:tc>
          <w:tcPr>
            <w:tcW w:w="0" w:type="auto"/>
          </w:tcPr>
          <w:p>
            <w:pPr>
              <w:spacing w:line="240" w:lineRule="auto" w:before="0" w:after="0"/>
              <w:pStyle w:val="Compact"/>
            </w:pPr>
            <w:r>
              <w:rPr>
                <w:sz w:val="20"/>
                <w:szCs w:val="20"/>
              </w:rPr>
              <w:t xml:space="preserve">0.6362</w:t>
            </w:r>
          </w:p>
        </w:tc>
        <w:tc>
          <w:tcPr>
            <w:tcW w:w="0" w:type="auto"/>
          </w:tcPr>
          <w:p>
            <w:pPr>
              <w:spacing w:line="240" w:lineRule="auto" w:before="0" w:after="0"/>
              <w:pStyle w:val="Compact"/>
            </w:pPr>
            <w:r>
              <w:rPr>
                <w:sz w:val="20"/>
                <w:szCs w:val="20"/>
              </w:rPr>
              <w:t xml:space="preserve">-1.5221</w:t>
            </w:r>
          </w:p>
        </w:tc>
        <w:tc>
          <w:tcPr>
            <w:tcW w:w="0" w:type="auto"/>
          </w:tcPr>
          <w:p>
            <w:pPr>
              <w:spacing w:line="240" w:lineRule="auto" w:before="0" w:after="0"/>
              <w:pStyle w:val="Compact"/>
            </w:pPr>
            <w:r>
              <w:rPr>
                <w:sz w:val="20"/>
                <w:szCs w:val="20"/>
              </w:rPr>
              <w:t xml:space="preserve">0.128</w:t>
            </w:r>
          </w:p>
        </w:tc>
        <w:tc>
          <w:tcPr>
            <w:tcW w:w="0" w:type="auto"/>
          </w:tcPr>
          <w:p>
            <w:pPr>
              <w:spacing w:line="240" w:lineRule="auto" w:before="0" w:after="0"/>
              <w:pStyle w:val="Compact"/>
            </w:pPr>
            <w:r>
              <w:rPr>
                <w:sz w:val="20"/>
                <w:szCs w:val="20"/>
              </w:rPr>
              <w:t xml:space="preserve">[-2.2155, 0.2786]</w:t>
            </w:r>
          </w:p>
        </w:tc>
        <w:tc>
          <w:tcPr>
            <w:tcW w:w="0" w:type="auto"/>
          </w:tcPr>
          <w:p>
            <w:pPr>
              <w:spacing w:line="240" w:lineRule="auto" w:before="0" w:after="0"/>
              <w:pStyle w:val="Compact"/>
            </w:pPr>
            <w:r>
              <w:rPr>
                <w:sz w:val="20"/>
                <w:szCs w:val="20"/>
              </w:rPr>
              <w:t xml:space="preserve">0.3797</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1.3466</w:t>
            </w:r>
          </w:p>
        </w:tc>
        <w:tc>
          <w:tcPr>
            <w:tcW w:w="0" w:type="auto"/>
          </w:tcPr>
          <w:p>
            <w:pPr>
              <w:spacing w:line="240" w:lineRule="auto" w:before="0" w:after="0"/>
              <w:pStyle w:val="Compact"/>
            </w:pPr>
            <w:r>
              <w:rPr>
                <w:sz w:val="20"/>
                <w:szCs w:val="20"/>
              </w:rPr>
              <w:t xml:space="preserve">1.2942</w:t>
            </w:r>
          </w:p>
        </w:tc>
        <w:tc>
          <w:tcPr>
            <w:tcW w:w="0" w:type="auto"/>
          </w:tcPr>
          <w:p>
            <w:pPr>
              <w:spacing w:line="240" w:lineRule="auto" w:before="0" w:after="0"/>
              <w:pStyle w:val="Compact"/>
            </w:pPr>
            <w:r>
              <w:rPr>
                <w:sz w:val="20"/>
                <w:szCs w:val="20"/>
              </w:rPr>
              <w:t xml:space="preserve">1.0405</w:t>
            </w:r>
          </w:p>
        </w:tc>
        <w:tc>
          <w:tcPr>
            <w:tcW w:w="0" w:type="auto"/>
          </w:tcPr>
          <w:p>
            <w:pPr>
              <w:spacing w:line="240" w:lineRule="auto" w:before="0" w:after="0"/>
              <w:pStyle w:val="Compact"/>
            </w:pPr>
            <w:r>
              <w:rPr>
                <w:sz w:val="20"/>
                <w:szCs w:val="20"/>
              </w:rPr>
              <w:t xml:space="preserve">0.2981</w:t>
            </w:r>
          </w:p>
        </w:tc>
        <w:tc>
          <w:tcPr>
            <w:tcW w:w="0" w:type="auto"/>
          </w:tcPr>
          <w:p>
            <w:pPr>
              <w:spacing w:line="240" w:lineRule="auto" w:before="0" w:after="0"/>
              <w:pStyle w:val="Compact"/>
            </w:pPr>
            <w:r>
              <w:rPr>
                <w:sz w:val="20"/>
                <w:szCs w:val="20"/>
              </w:rPr>
              <w:t xml:space="preserve">[-1.1901, 3.8832]</w:t>
            </w:r>
          </w:p>
        </w:tc>
        <w:tc>
          <w:tcPr>
            <w:tcW w:w="0" w:type="auto"/>
          </w:tcPr>
          <w:p>
            <w:pPr>
              <w:spacing w:line="240" w:lineRule="auto" w:before="0" w:after="0"/>
              <w:pStyle w:val="Compact"/>
            </w:pPr>
            <w:r>
              <w:rPr>
                <w:sz w:val="20"/>
                <w:szCs w:val="20"/>
              </w:rPr>
              <w:t xml:space="preserve">3.8443</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1.1354</w:t>
            </w:r>
          </w:p>
        </w:tc>
        <w:tc>
          <w:tcPr>
            <w:tcW w:w="0" w:type="auto"/>
          </w:tcPr>
          <w:p>
            <w:pPr>
              <w:spacing w:line="240" w:lineRule="auto" w:before="0" w:after="0"/>
              <w:pStyle w:val="Compact"/>
            </w:pPr>
            <w:r>
              <w:rPr>
                <w:sz w:val="20"/>
                <w:szCs w:val="20"/>
              </w:rPr>
              <w:t xml:space="preserve">1.0862</w:t>
            </w:r>
          </w:p>
        </w:tc>
        <w:tc>
          <w:tcPr>
            <w:tcW w:w="0" w:type="auto"/>
          </w:tcPr>
          <w:p>
            <w:pPr>
              <w:spacing w:line="240" w:lineRule="auto" w:before="0" w:after="0"/>
              <w:pStyle w:val="Compact"/>
            </w:pPr>
            <w:r>
              <w:rPr>
                <w:sz w:val="20"/>
                <w:szCs w:val="20"/>
              </w:rPr>
              <w:t xml:space="preserve">1.0452</w:t>
            </w:r>
          </w:p>
        </w:tc>
        <w:tc>
          <w:tcPr>
            <w:tcW w:w="0" w:type="auto"/>
          </w:tcPr>
          <w:p>
            <w:pPr>
              <w:spacing w:line="240" w:lineRule="auto" w:before="0" w:after="0"/>
              <w:pStyle w:val="Compact"/>
            </w:pPr>
            <w:r>
              <w:rPr>
                <w:sz w:val="20"/>
                <w:szCs w:val="20"/>
              </w:rPr>
              <w:t xml:space="preserve">0.2959</w:t>
            </w:r>
          </w:p>
        </w:tc>
        <w:tc>
          <w:tcPr>
            <w:tcW w:w="0" w:type="auto"/>
          </w:tcPr>
          <w:p>
            <w:pPr>
              <w:spacing w:line="240" w:lineRule="auto" w:before="0" w:after="0"/>
              <w:pStyle w:val="Compact"/>
            </w:pPr>
            <w:r>
              <w:rPr>
                <w:sz w:val="20"/>
                <w:szCs w:val="20"/>
              </w:rPr>
              <w:t xml:space="preserve">[-0.9936, 3.2643]</w:t>
            </w:r>
          </w:p>
        </w:tc>
        <w:tc>
          <w:tcPr>
            <w:tcW w:w="0" w:type="auto"/>
          </w:tcPr>
          <w:p>
            <w:pPr>
              <w:spacing w:line="240" w:lineRule="auto" w:before="0" w:after="0"/>
              <w:pStyle w:val="Compact"/>
            </w:pPr>
            <w:r>
              <w:rPr>
                <w:sz w:val="20"/>
                <w:szCs w:val="20"/>
              </w:rPr>
              <w:t xml:space="preserve">3.1123</w:t>
            </w:r>
          </w:p>
        </w:tc>
      </w:tr>
      <w:tr>
        <w:tc>
          <w:tcPr>
            <w:tcW w:w="0" w:type="auto"/>
          </w:tcPr>
          <w:p>
            <w:pPr>
              <w:spacing w:line="240" w:lineRule="auto" w:before="0" w:after="0"/>
              <w:pStyle w:val="Compact"/>
            </w:pPr>
            <w:r>
              <w:rPr>
                <w:sz w:val="20"/>
                <w:szCs w:val="20"/>
              </w:rPr>
              <w:t xml:space="preserve">complexity_hi</w:t>
            </w:r>
          </w:p>
        </w:tc>
        <w:tc>
          <w:tcPr>
            <w:tcW w:w="0" w:type="auto"/>
          </w:tcPr>
          <w:p>
            <w:pPr>
              <w:spacing w:line="240" w:lineRule="auto" w:before="0" w:after="0"/>
              <w:pStyle w:val="Compact"/>
            </w:pPr>
            <w:r>
              <w:rPr>
                <w:sz w:val="20"/>
                <w:szCs w:val="20"/>
              </w:rPr>
              <w:t xml:space="preserve">0.5159</w:t>
            </w:r>
          </w:p>
        </w:tc>
        <w:tc>
          <w:tcPr>
            <w:tcW w:w="0" w:type="auto"/>
          </w:tcPr>
          <w:p>
            <w:pPr>
              <w:spacing w:line="240" w:lineRule="auto" w:before="0" w:after="0"/>
              <w:pStyle w:val="Compact"/>
            </w:pPr>
            <w:r>
              <w:rPr>
                <w:sz w:val="20"/>
                <w:szCs w:val="20"/>
              </w:rPr>
              <w:t xml:space="preserve">1.3134</w:t>
            </w:r>
          </w:p>
        </w:tc>
        <w:tc>
          <w:tcPr>
            <w:tcW w:w="0" w:type="auto"/>
          </w:tcPr>
          <w:p>
            <w:pPr>
              <w:spacing w:line="240" w:lineRule="auto" w:before="0" w:after="0"/>
              <w:pStyle w:val="Compact"/>
            </w:pPr>
            <w:r>
              <w:rPr>
                <w:sz w:val="20"/>
                <w:szCs w:val="20"/>
              </w:rPr>
              <w:t xml:space="preserve">0.3928</w:t>
            </w:r>
          </w:p>
        </w:tc>
        <w:tc>
          <w:tcPr>
            <w:tcW w:w="0" w:type="auto"/>
          </w:tcPr>
          <w:p>
            <w:pPr>
              <w:spacing w:line="240" w:lineRule="auto" w:before="0" w:after="0"/>
              <w:pStyle w:val="Compact"/>
            </w:pPr>
            <w:r>
              <w:rPr>
                <w:sz w:val="20"/>
                <w:szCs w:val="20"/>
              </w:rPr>
              <w:t xml:space="preserve">0.6945</w:t>
            </w:r>
          </w:p>
        </w:tc>
        <w:tc>
          <w:tcPr>
            <w:tcW w:w="0" w:type="auto"/>
          </w:tcPr>
          <w:p>
            <w:pPr>
              <w:spacing w:line="240" w:lineRule="auto" w:before="0" w:after="0"/>
              <w:pStyle w:val="Compact"/>
            </w:pPr>
            <w:r>
              <w:rPr>
                <w:sz w:val="20"/>
                <w:szCs w:val="20"/>
              </w:rPr>
              <w:t xml:space="preserve">[-2.0584, 3.0902]</w:t>
            </w:r>
          </w:p>
        </w:tc>
        <w:tc>
          <w:tcPr>
            <w:tcW w:w="0" w:type="auto"/>
          </w:tcPr>
          <w:p>
            <w:pPr>
              <w:spacing w:line="240" w:lineRule="auto" w:before="0" w:after="0"/>
              <w:pStyle w:val="Compact"/>
            </w:pPr>
            <w:r>
              <w:rPr>
                <w:sz w:val="20"/>
                <w:szCs w:val="20"/>
              </w:rPr>
              <w:t xml:space="preserve">1.6751</w:t>
            </w:r>
          </w:p>
        </w:tc>
      </w:tr>
    </w:tbl>
    <w:p>
      <w:pPr>
        <w:pStyle w:val="BodyText"/>
        <w:spacing w:line="480" w:lineRule="auto"/>
        <w:ind w:firstLine="720"/>
      </w:pPr>
      <w:r>
        <w:t xml:space="preserve">Fit: N = 26 events = 11</w:t>
      </w:r>
    </w:p>
    <w:bookmarkEnd w:id="190"/>
    <w:bookmarkStart w:id="19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evelopment exposure versus log baseline cost across 26 JPL-class and NASA flagship flight programs, with cost-overrun breaches (events) and on-time launches (censored) distinguishing the survival sample." title="" id="192" name="Picture"/>
            <a:graphic>
              <a:graphicData uri="http://schemas.openxmlformats.org/drawingml/2006/picture">
                <pic:pic>
                  <pic:nvPicPr>
                    <pic:cNvPr descr="D:/Claude_Code/brain/collegium/candidates/dissertations/JPL_MGMT_SMA_TECH_01/research_papers/p1/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Development exposure versus log baseline cost across 26 JPL-class and NASA flagship flight programs, with cost-overrun breaches (events) and on-time launches (censored) distinguishing the survival sample.</w:t>
      </w:r>
    </w:p>
    <w:bookmarkEnd w:id="194"/>
    <w:bookmarkStart w:id="19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base_cost_musd</w:t>
            </w:r>
          </w:p>
        </w:tc>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log_base_cost</w:t>
            </w:r>
          </w:p>
        </w:tc>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complexity_hi</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2470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Mars Science Laboratory: medium-cost cap exceeded, final development cost reached $2.47B, 84% overrun, 2009 launch slipped to Nov 2011 (~26 mo)</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InSight: cost grew from $675M to $830M (+$150M) after SEIS vacuum-leak; March 2016 launch postponed to May 2018 (~26 mo delay)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996</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psyche-cost ($960.6M est) and GAO-23-106021 via SpaceNews: cost grew to ~$1.13B by Jan 2023; July 2022 launch slipped to Oct 2023 (~15 mo)</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960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6.551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Juno: ~$700M (FY2003) proposed; NASA budget restrictions postponed June 2009 to Aug 2011 (~26 mo slip) with cost growth</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373</w:t>
            </w:r>
          </w:p>
        </w:tc>
        <w:tc>
          <w:tcPr>
            <w:tcW w:w="0" w:type="auto"/>
          </w:tcPr>
          <w:p>
            <w:pPr>
              <w:spacing w:line="240" w:lineRule="auto" w:before="0" w:after="0"/>
              <w:pStyle w:val="Compact"/>
            </w:pPr>
            <w:r>
              <w:rPr>
                <w:sz w:val="20"/>
                <w:szCs w:val="20"/>
              </w:rPr>
              <w:t xml:space="preserve">446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Dawn: projected $373M, cost overruns inflated final to $446M (2007); multiple cancellations/reinstatements, 2006 target to Sept 2007</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JWST: 2011 rebaseline $8B cap, final lifecycle $9.7B (+~21%); 2018 baseline launch slipped to Dec 2021 (37 mo)</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(Zurbuchen): agency baseline commitment changed $4.25B to $5B (+$750M, 17.6%); launched Oct 2024</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2510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7.696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GAO-24-106767: $310.0M development cost growth from development difficulties and higher procurement costs; launched on-window July 2020</w:t>
            </w:r>
          </w:p>
        </w:tc>
      </w:tr>
      <w:tr>
        <w:tc>
          <w:tcPr>
            <w:tcW w:w="0" w:type="auto"/>
          </w:tcPr>
          <w:p>
            <w:pPr>
              <w:spacing w:line="240" w:lineRule="auto" w:before="0" w:after="0"/>
              <w:pStyle w:val="Compact"/>
            </w:pPr>
            <w:r>
              <w:rPr>
                <w:sz w:val="20"/>
                <w:szCs w:val="20"/>
              </w:rPr>
              <w:t xml:space="preserve">Orion (crew vehicle)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6700</w:t>
            </w:r>
          </w:p>
        </w:tc>
        <w:tc>
          <w:tcPr>
            <w:tcW w:w="0" w:type="auto"/>
          </w:tcPr>
          <w:p>
            <w:pPr>
              <w:spacing w:line="240" w:lineRule="auto" w:before="0" w:after="0"/>
              <w:pStyle w:val="Compact"/>
            </w:pPr>
            <w:r>
              <w:rPr>
                <w:sz w:val="20"/>
                <w:szCs w:val="20"/>
              </w:rPr>
              <w:t xml:space="preserve">7239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SpacePolicyOnline GAO-24-106767: $539.2M development cost increase tied to Artemis I slip and poor contractor performance [base illustrative]</w:t>
            </w:r>
          </w:p>
        </w:tc>
      </w:tr>
      <w:tr>
        <w:tc>
          <w:tcPr>
            <w:tcW w:w="0" w:type="auto"/>
          </w:tcPr>
          <w:p>
            <w:pPr>
              <w:spacing w:line="240" w:lineRule="auto" w:before="0" w:after="0"/>
              <w:pStyle w:val="Compact"/>
            </w:pPr>
            <w:r>
              <w:rPr>
                <w:sz w:val="20"/>
                <w:szCs w:val="20"/>
              </w:rPr>
              <w:t xml:space="preserve">Spitzer Space Telescope</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776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Spitzer: $776M launched Aug 2003 after 1990s redesigns/budget-driven slips of roughly a decade from ~1990 plan [base illustrative]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1118</w:t>
            </w:r>
          </w:p>
        </w:tc>
        <w:tc>
          <w:tcPr>
            <w:tcW w:w="0" w:type="auto"/>
          </w:tcPr>
          <w:p>
            <w:pPr>
              <w:spacing w:line="240" w:lineRule="auto" w:before="0" w:after="0"/>
              <w:pStyle w:val="Compact"/>
            </w:pPr>
            <w:r>
              <w:rPr>
                <w:sz w:val="20"/>
                <w:szCs w:val="20"/>
              </w:rPr>
              <w:t xml:space="preserve">1147</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NISAR: NASA portion ~$1.118B; 2024 thermal-coating rework returned reflector to JPL, launch slipped to July 2025 from earlier targets</w:t>
            </w:r>
          </w:p>
        </w:tc>
      </w:tr>
      <w:tr>
        <w:tc>
          <w:tcPr>
            <w:tcW w:w="0" w:type="auto"/>
          </w:tcPr>
          <w:p>
            <w:pPr>
              <w:spacing w:line="240" w:lineRule="auto" w:before="0" w:after="0"/>
              <w:pStyle w:val="Compact"/>
            </w:pPr>
            <w:r>
              <w:rPr>
                <w:sz w:val="20"/>
                <w:szCs w:val="20"/>
              </w:rPr>
              <w:t xml:space="preserve">Mars Reconnaissance Orbiter</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617</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 MRO: ~$720M total; launched on schedule Aug 2005 [base illustrative, censored]</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Lucy: $981M spacecraft mission; launched on schedule Oct 2021 at opening of launch window (no overrun); GAO-24 noted $8M reduction</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MAVEN: development $366.8M, ~$100M under original estimate; launched exactly on plan Nov 18 2013 (censored)</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1160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OSIRIS-REx: ~$800M primary mission; launched exactly on schedule Sept 8 2016 (censored)</w:t>
            </w:r>
          </w:p>
        </w:tc>
      </w:tr>
      <w:tr>
        <w:tc>
          <w:tcPr>
            <w:tcW w:w="0" w:type="auto"/>
          </w:tcPr>
          <w:p>
            <w:pPr>
              <w:spacing w:line="240" w:lineRule="auto" w:before="0" w:after="0"/>
              <w:pStyle w:val="Compact"/>
            </w:pPr>
            <w:r>
              <w:rPr>
                <w:sz w:val="20"/>
                <w:szCs w:val="20"/>
              </w:rPr>
              <w:t xml:space="preserve">Soil Moisture Active Passive (SMAP)</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916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SMAP: $916M design/development/launch/ops; launched Jan 2015 (censored)</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GRAIL: $496M budget; launched two days after plan Sept 10 2011, essentially on schedule (censored)</w:t>
            </w:r>
          </w:p>
        </w:tc>
      </w:tr>
      <w:tr>
        <w:tc>
          <w:tcPr>
            <w:tcW w:w="0" w:type="auto"/>
          </w:tcPr>
          <w:p>
            <w:pPr>
              <w:spacing w:line="240" w:lineRule="auto" w:before="0" w:after="0"/>
              <w:pStyle w:val="Compact"/>
            </w:pPr>
            <w:r>
              <w:rPr>
                <w:sz w:val="20"/>
                <w:szCs w:val="20"/>
              </w:rPr>
              <w:t xml:space="preserve">Fermi (GLAST)</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Fermi: launched on schedule June 11 2008 within window; battery-replacement delays days only (censored) [base illustrative]</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Parker Solar Probe: ~$1.5B; launched Aug 12 2018 (censored, on-plan after early redesign)</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Wikipedia GRACE-FO: launched on schedule May 22 2018 (censored) [base illustrative]</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coverage and NASA: SPHEREx attributed apparent reduction to removal of inadvertently included ops costs; launched Mar 2025 (censored) [base illustrative]</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Wikipedia/NASA Nancy Grace Roman: ~$3.2B development cap held under review in GAO assessments; in development, no breach as of 2025 (censored) [base illustrative]</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NASA/GAO: NEO Surveyor ~$1.2B life-cycle commitment, in development under review (censored) [base illustrative]</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Dragonfly confirmation ~$3.35B life-cycle commitment (2024); in development, no breach as of 2025 (censored)</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DAVINCI Venus mission ~$1B commitment, in development under GAO review (censored) [base illustrative]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VERITAS Venus mission ~$1B commitment, delayed by JPL institutional issues but cost-cap held under review (censored) [base illustrative]</w:t>
            </w:r>
          </w:p>
        </w:tc>
      </w:tr>
    </w:tbl>
    <w:bookmarkEnd w:id="195"/>
    <w:bookmarkStart w:id="19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of development exposure from program confirmation (KDP-C) to the cost-overrun breach (for events) or to launch (for censored cases)</w:t>
            </w:r>
          </w:p>
        </w:tc>
        <w:tc>
          <w:tcPr>
            <w:tcW w:w="0" w:type="auto"/>
          </w:tcPr>
          <w:p>
            <w:pPr>
              <w:spacing w:line="240" w:lineRule="auto" w:before="0" w:after="0"/>
              <w:pStyle w:val="Compact"/>
            </w:pPr>
            <w:r>
              <w:rPr>
                <w:sz w:val="20"/>
                <w:szCs w:val="20"/>
              </w:rPr>
              <w:t xml:space="preserve">Compiled from NASA mission confirmation and launch dates; GAO Assessments of Major Projects (GAO-23-106021, GAO-24-106767, GAO-25-107591) and mission press records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the program breached the GAO/congressional 15 percent development-cost-growth threshold or underwent a cost-driven agency rebaseline, 0 if censored at launch with no breach</w:t>
            </w:r>
          </w:p>
        </w:tc>
        <w:tc>
          <w:tcPr>
            <w:tcW w:w="0" w:type="auto"/>
          </w:tcPr>
          <w:p>
            <w:pPr>
              <w:spacing w:line="240" w:lineRule="auto" w:before="0" w:after="0"/>
              <w:pStyle w:val="Compact"/>
            </w:pPr>
            <w:r>
              <w:rPr>
                <w:sz w:val="20"/>
                <w:szCs w:val="20"/>
              </w:rPr>
              <w:t xml:space="preserve">GAO Assessments of Major Projects reporting threshold (15 percent development cost growth or 6-month milestone slip); SpacePolicyOnline GAO coverage</w:t>
            </w:r>
          </w:p>
        </w:tc>
      </w:tr>
      <w:tr>
        <w:tc>
          <w:tcPr>
            <w:tcW w:w="0" w:type="auto"/>
          </w:tcPr>
          <w:p>
            <w:pPr>
              <w:spacing w:line="240" w:lineRule="auto" w:before="0" w:after="0"/>
              <w:pStyle w:val="Compact"/>
            </w:pPr>
            <w:r>
              <w:rPr>
                <w:sz w:val="20"/>
                <w:szCs w:val="20"/>
              </w:rPr>
              <w:t xml:space="preserve">log_base_cost</w:t>
            </w:r>
          </w:p>
        </w:tc>
        <w:tc>
          <w:tcPr>
            <w:tcW w:w="0" w:type="auto"/>
          </w:tcPr>
          <w:p>
            <w:pPr>
              <w:spacing w:line="240" w:lineRule="auto" w:before="0" w:after="0"/>
              <w:pStyle w:val="Compact"/>
            </w:pPr>
            <w:r>
              <w:rPr>
                <w:sz w:val="20"/>
                <w:szCs w:val="20"/>
              </w:rPr>
              <w:t xml:space="preserve">Natural log of the program baseline (confirmed) development or life-cycle cost commitment in millions of USD</w:t>
            </w:r>
          </w:p>
        </w:tc>
        <w:tc>
          <w:tcPr>
            <w:tcW w:w="0" w:type="auto"/>
          </w:tcPr>
          <w:p>
            <w:pPr>
              <w:spacing w:line="240" w:lineRule="auto" w:before="0" w:after="0"/>
              <w:pStyle w:val="Compact"/>
            </w:pPr>
            <w:r>
              <w:rPr>
                <w:sz w:val="20"/>
                <w:szCs w:val="20"/>
              </w:rPr>
              <w:t xml:space="preserve">NASA confirmation budgets; The Planetary Society Planetary Science Budget Dataset; mission press kits and Wikipedia mission cost sections</w:t>
            </w:r>
          </w:p>
        </w:tc>
      </w:tr>
      <w:tr>
        <w:tc>
          <w:tcPr>
            <w:tcW w:w="0" w:type="auto"/>
          </w:tcPr>
          <w:p>
            <w:pPr>
              <w:spacing w:line="240" w:lineRule="auto" w:before="0" w:after="0"/>
              <w:pStyle w:val="Compact"/>
            </w:pPr>
            <w:r>
              <w:rPr>
                <w:sz w:val="20"/>
                <w:szCs w:val="20"/>
              </w:rPr>
              <w:t xml:space="preserve">new_tech</w:t>
            </w:r>
          </w:p>
        </w:tc>
        <w:tc>
          <w:tcPr>
            <w:tcW w:w="0" w:type="auto"/>
          </w:tcPr>
          <w:p>
            <w:pPr>
              <w:spacing w:line="240" w:lineRule="auto" w:before="0" w:after="0"/>
              <w:pStyle w:val="Compact"/>
            </w:pPr>
            <w:r>
              <w:rPr>
                <w:sz w:val="20"/>
                <w:szCs w:val="20"/>
              </w:rPr>
              <w:t xml:space="preserve">Indicator equal to 1 if the program required significant first-of-kind or low-heritage technology, 0 for high-heritage builds</w:t>
            </w:r>
          </w:p>
        </w:tc>
        <w:tc>
          <w:tcPr>
            <w:tcW w:w="0" w:type="auto"/>
          </w:tcPr>
          <w:p>
            <w:pPr>
              <w:spacing w:line="240" w:lineRule="auto" w:before="0" w:after="0"/>
              <w:pStyle w:val="Compact"/>
            </w:pPr>
            <w:r>
              <w:rPr>
                <w:sz w:val="20"/>
                <w:szCs w:val="20"/>
              </w:rPr>
              <w:t xml:space="preserve">NASA mission descriptions and GAO technology-maturity assessments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Indicator equal to 1 for flagship or strategic missions above the roughly $1B class, 0 for competed PI-led cost-capped missions (Discovery/New Frontiers/Explorer)</w:t>
            </w:r>
          </w:p>
        </w:tc>
        <w:tc>
          <w:tcPr>
            <w:tcW w:w="0" w:type="auto"/>
          </w:tcPr>
          <w:p>
            <w:pPr>
              <w:spacing w:line="240" w:lineRule="auto" w:before="0" w:after="0"/>
              <w:pStyle w:val="Compact"/>
            </w:pPr>
            <w:r>
              <w:rPr>
                <w:sz w:val="20"/>
                <w:szCs w:val="20"/>
              </w:rPr>
              <w:t xml:space="preserve">NASA program classification; GAO Assessments of Major Projects</w:t>
            </w:r>
          </w:p>
        </w:tc>
      </w:tr>
      <w:tr>
        <w:tc>
          <w:tcPr>
            <w:tcW w:w="0" w:type="auto"/>
          </w:tcPr>
          <w:p>
            <w:pPr>
              <w:spacing w:line="240" w:lineRule="auto" w:before="0" w:after="0"/>
              <w:pStyle w:val="Compact"/>
            </w:pPr>
            <w:r>
              <w:rPr>
                <w:sz w:val="20"/>
                <w:szCs w:val="20"/>
              </w:rPr>
              <w:t xml:space="preserve">complexity_hi</w:t>
            </w:r>
          </w:p>
        </w:tc>
        <w:tc>
          <w:tcPr>
            <w:tcW w:w="0" w:type="auto"/>
          </w:tcPr>
          <w:p>
            <w:pPr>
              <w:spacing w:line="240" w:lineRule="auto" w:before="0" w:after="0"/>
              <w:pStyle w:val="Compact"/>
            </w:pPr>
            <w:r>
              <w:rPr>
                <w:sz w:val="20"/>
                <w:szCs w:val="20"/>
              </w:rPr>
              <w:t xml:space="preserve">Indicator equal to 1 for high payload or instrument-integration complexity, 0 otherwise</w:t>
            </w:r>
          </w:p>
        </w:tc>
        <w:tc>
          <w:tcPr>
            <w:tcW w:w="0" w:type="auto"/>
          </w:tcPr>
          <w:p>
            <w:pPr>
              <w:spacing w:line="240" w:lineRule="auto" w:before="0" w:after="0"/>
              <w:pStyle w:val="Compact"/>
            </w:pPr>
            <w:r>
              <w:rPr>
                <w:sz w:val="20"/>
                <w:szCs w:val="20"/>
              </w:rPr>
              <w:t xml:space="preserve">NASA mission payload manifests and instrument descriptions</w:t>
            </w:r>
          </w:p>
        </w:tc>
      </w:tr>
    </w:tbl>
    <w:bookmarkEnd w:id="196"/>
    <w:bookmarkEnd w:id="197"/>
    <w:bookmarkStart w:id="205" w:name="X2a390b03edaa3d1da0b96e150f5c961ce6b5830"/>
    <w:p>
      <w:pPr>
        <w:pStyle w:val="Heading2"/>
        <w:spacing w:line="480" w:lineRule="auto"/>
      </w:pPr>
      <w:r>
        <w:t xml:space="preserve">A.2 Drivers of Development Cost Growth in JPL-Class Flight Programs: A Cliometric Ordinary-Least-Squares Model of Scale, Schedule, and First-of-Kind Technology</w:t>
      </w:r>
    </w:p>
    <w:p>
      <w:pPr>
        <w:pStyle w:val="FirstParagraph"/>
        <w:spacing w:line="480" w:lineRule="auto"/>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r>
            <m:rPr>
              <m:sty m:val="p"/>
            </m:rPr>
            <m:t>ln</m:t>
          </m:r>
          <m:r>
            <m:rPr>
              <m:sty m:val="p"/>
            </m:rPr>
            <m:t>(</m:t>
          </m:r>
          <m:sSub>
            <m:e>
              <m:r>
                <m:rPr>
                  <m:nor/>
                  <m:sty m:val="p"/>
                </m:rPr>
                <m:t>BaseCost</m:t>
              </m:r>
            </m:e>
            <m:sub>
              <m:r>
                <m:t>i</m:t>
              </m:r>
            </m:sub>
          </m:sSub>
          <m:r>
            <m:rPr>
              <m:sty m:val="p"/>
            </m:rPr>
            <m:t>)</m:t>
          </m:r>
          <m:r>
            <m:rPr>
              <m:sty m:val="p"/>
            </m:rPr>
            <m:t>+</m:t>
          </m:r>
          <m:sSub>
            <m:e>
              <m:r>
                <m:t>β</m:t>
              </m:r>
            </m:e>
            <m:sub>
              <m:r>
                <m:t>2</m:t>
              </m:r>
            </m:sub>
          </m:sSub>
          <m:sSub>
            <m:e>
              <m:r>
                <m:rPr>
                  <m:nor/>
                  <m:sty m:val="p"/>
                </m:rPr>
                <m:t>SchedDelay</m:t>
              </m:r>
            </m:e>
            <m:sub>
              <m:r>
                <m:t>i</m:t>
              </m:r>
            </m:sub>
          </m:sSub>
          <m:r>
            <m:rPr>
              <m:sty m:val="p"/>
            </m:rPr>
            <m:t>+</m:t>
          </m:r>
          <m:sSub>
            <m:e>
              <m:r>
                <m:t>β</m:t>
              </m:r>
            </m:e>
            <m:sub>
              <m:r>
                <m:t>3</m:t>
              </m:r>
            </m:sub>
          </m:sSub>
          <m:sSub>
            <m:e>
              <m:r>
                <m:rPr>
                  <m:nor/>
                  <m:sty m:val="p"/>
                </m:rPr>
                <m:t>FirstOfKind</m:t>
              </m:r>
            </m:e>
            <m:sub>
              <m:r>
                <m:t>i</m:t>
              </m:r>
            </m:sub>
          </m:sSub>
          <m:r>
            <m:rPr>
              <m:sty m:val="p"/>
            </m:rPr>
            <m:t>+</m:t>
          </m:r>
          <m:sSub>
            <m:e>
              <m:r>
                <m:t>β</m:t>
              </m:r>
            </m:e>
            <m:sub>
              <m:r>
                <m:t>4</m:t>
              </m:r>
            </m:sub>
          </m:sSub>
          <m:sSub>
            <m:e>
              <m:r>
                <m:rPr>
                  <m:nor/>
                  <m:sty m:val="p"/>
                </m:rPr>
                <m:t>InstrCount</m:t>
              </m:r>
            </m:e>
            <m:sub>
              <m:r>
                <m:t>i</m:t>
              </m:r>
            </m:sub>
          </m:sSub>
          <m:r>
            <m:rPr>
              <m:sty m:val="p"/>
            </m:rPr>
            <m:t>+</m:t>
          </m:r>
          <m:sSub>
            <m:e>
              <m:r>
                <m:t>ε</m:t>
              </m:r>
            </m:e>
            <m:sub>
              <m:r>
                <m:t>i</m:t>
              </m:r>
            </m:sub>
          </m:sSub>
        </m:oMath>
      </m:oMathPara>
    </w:p>
    <w:bookmarkStart w:id="19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14.0609</w:t>
            </w:r>
          </w:p>
        </w:tc>
        <w:tc>
          <w:tcPr>
            <w:tcW w:w="0" w:type="auto"/>
          </w:tcPr>
          <w:p>
            <w:pPr>
              <w:spacing w:line="240" w:lineRule="auto" w:before="0" w:after="0"/>
              <w:pStyle w:val="Compact"/>
            </w:pPr>
            <w:r>
              <w:rPr>
                <w:sz w:val="20"/>
                <w:szCs w:val="20"/>
              </w:rPr>
              <w:t xml:space="preserve">16.2752</w:t>
            </w:r>
          </w:p>
        </w:tc>
        <w:tc>
          <w:tcPr>
            <w:tcW w:w="0" w:type="auto"/>
          </w:tcPr>
          <w:p>
            <w:pPr>
              <w:spacing w:line="240" w:lineRule="auto" w:before="0" w:after="0"/>
              <w:pStyle w:val="Compact"/>
            </w:pPr>
            <w:r>
              <w:rPr>
                <w:sz w:val="20"/>
                <w:szCs w:val="20"/>
              </w:rPr>
              <w:t xml:space="preserve">0.8639</w:t>
            </w:r>
          </w:p>
        </w:tc>
        <w:tc>
          <w:tcPr>
            <w:tcW w:w="0" w:type="auto"/>
          </w:tcPr>
          <w:p>
            <w:pPr>
              <w:spacing w:line="240" w:lineRule="auto" w:before="0" w:after="0"/>
              <w:pStyle w:val="Compact"/>
            </w:pPr>
            <w:r>
              <w:rPr>
                <w:sz w:val="20"/>
                <w:szCs w:val="20"/>
              </w:rPr>
              <w:t xml:space="preserve">0.3876</w:t>
            </w:r>
          </w:p>
        </w:tc>
        <w:tc>
          <w:tcPr>
            <w:tcW w:w="0" w:type="auto"/>
          </w:tcPr>
          <w:p>
            <w:pPr>
              <w:spacing w:line="240" w:lineRule="auto" w:before="0" w:after="0"/>
              <w:pStyle w:val="Compact"/>
            </w:pPr>
            <w:r>
              <w:rPr>
                <w:sz w:val="20"/>
                <w:szCs w:val="20"/>
              </w:rPr>
              <w:t xml:space="preserve">[-17.8379, 45.9596]</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-3.9387</w:t>
            </w:r>
          </w:p>
        </w:tc>
        <w:tc>
          <w:tcPr>
            <w:tcW w:w="0" w:type="auto"/>
          </w:tcPr>
          <w:p>
            <w:pPr>
              <w:spacing w:line="240" w:lineRule="auto" w:before="0" w:after="0"/>
              <w:pStyle w:val="Compact"/>
            </w:pPr>
            <w:r>
              <w:rPr>
                <w:sz w:val="20"/>
                <w:szCs w:val="20"/>
              </w:rPr>
              <w:t xml:space="preserve">2.4384</w:t>
            </w:r>
          </w:p>
        </w:tc>
        <w:tc>
          <w:tcPr>
            <w:tcW w:w="0" w:type="auto"/>
          </w:tcPr>
          <w:p>
            <w:pPr>
              <w:spacing w:line="240" w:lineRule="auto" w:before="0" w:after="0"/>
              <w:pStyle w:val="Compact"/>
            </w:pPr>
            <w:r>
              <w:rPr>
                <w:sz w:val="20"/>
                <w:szCs w:val="20"/>
              </w:rPr>
              <w:t xml:space="preserve">-1.6153</w:t>
            </w:r>
          </w:p>
        </w:tc>
        <w:tc>
          <w:tcPr>
            <w:tcW w:w="0" w:type="auto"/>
          </w:tcPr>
          <w:p>
            <w:pPr>
              <w:spacing w:line="240" w:lineRule="auto" w:before="0" w:after="0"/>
              <w:pStyle w:val="Compact"/>
            </w:pPr>
            <w:r>
              <w:rPr>
                <w:sz w:val="20"/>
                <w:szCs w:val="20"/>
              </w:rPr>
              <w:t xml:space="preserve">0.1063</w:t>
            </w:r>
          </w:p>
        </w:tc>
        <w:tc>
          <w:tcPr>
            <w:tcW w:w="0" w:type="auto"/>
          </w:tcPr>
          <w:p>
            <w:pPr>
              <w:spacing w:line="240" w:lineRule="auto" w:before="0" w:after="0"/>
              <w:pStyle w:val="Compact"/>
            </w:pPr>
            <w:r>
              <w:rPr>
                <w:sz w:val="20"/>
                <w:szCs w:val="20"/>
              </w:rPr>
              <w:t xml:space="preserve">[-8.718, 0.8405]</w:t>
            </w:r>
          </w:p>
        </w:tc>
      </w:tr>
      <w:tr>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0.9079</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11.9955</w:t>
            </w:r>
          </w:p>
        </w:tc>
        <w:tc>
          <w:tcPr>
            <w:tcW w:w="0" w:type="auto"/>
          </w:tcPr>
          <w:p>
            <w:pPr>
              <w:spacing w:line="240" w:lineRule="auto" w:before="0" w:after="0"/>
              <w:pStyle w:val="Compact"/>
            </w:pPr>
            <w:r>
              <w:rPr>
                <w:sz w:val="20"/>
                <w:szCs w:val="20"/>
              </w:rPr>
              <w:t xml:space="preserve">3.753e-33</w:t>
            </w:r>
          </w:p>
        </w:tc>
        <w:tc>
          <w:tcPr>
            <w:tcW w:w="0" w:type="auto"/>
          </w:tcPr>
          <w:p>
            <w:pPr>
              <w:spacing w:line="240" w:lineRule="auto" w:before="0" w:after="0"/>
              <w:pStyle w:val="Compact"/>
            </w:pPr>
            <w:r>
              <w:rPr>
                <w:sz w:val="20"/>
                <w:szCs w:val="20"/>
              </w:rPr>
              <w:t xml:space="preserve">[0.7595, 1.0562]</w:t>
            </w:r>
          </w:p>
        </w:tc>
      </w:tr>
      <w:tr>
        <w:tc>
          <w:tcPr>
            <w:tcW w:w="0" w:type="auto"/>
          </w:tcPr>
          <w:p>
            <w:pPr>
              <w:spacing w:line="240" w:lineRule="auto" w:before="0" w:after="0"/>
              <w:pStyle w:val="Compact"/>
            </w:pPr>
            <w:r>
              <w:rPr>
                <w:sz w:val="20"/>
                <w:szCs w:val="20"/>
              </w:rPr>
              <w:t xml:space="preserve">first_of_kind</w:t>
            </w:r>
          </w:p>
        </w:tc>
        <w:tc>
          <w:tcPr>
            <w:tcW w:w="0" w:type="auto"/>
          </w:tcPr>
          <w:p>
            <w:pPr>
              <w:spacing w:line="240" w:lineRule="auto" w:before="0" w:after="0"/>
              <w:pStyle w:val="Compact"/>
            </w:pPr>
            <w:r>
              <w:rPr>
                <w:sz w:val="20"/>
                <w:szCs w:val="20"/>
              </w:rPr>
              <w:t xml:space="preserve">18.6076</w:t>
            </w:r>
          </w:p>
        </w:tc>
        <w:tc>
          <w:tcPr>
            <w:tcW w:w="0" w:type="auto"/>
          </w:tcPr>
          <w:p>
            <w:pPr>
              <w:spacing w:line="240" w:lineRule="auto" w:before="0" w:after="0"/>
              <w:pStyle w:val="Compact"/>
            </w:pPr>
            <w:r>
              <w:rPr>
                <w:sz w:val="20"/>
                <w:szCs w:val="20"/>
              </w:rPr>
              <w:t xml:space="preserve">10.9293</w:t>
            </w:r>
          </w:p>
        </w:tc>
        <w:tc>
          <w:tcPr>
            <w:tcW w:w="0" w:type="auto"/>
          </w:tcPr>
          <w:p>
            <w:pPr>
              <w:spacing w:line="240" w:lineRule="auto" w:before="0" w:after="0"/>
              <w:pStyle w:val="Compact"/>
            </w:pPr>
            <w:r>
              <w:rPr>
                <w:sz w:val="20"/>
                <w:szCs w:val="20"/>
              </w:rPr>
              <w:t xml:space="preserve">1.7025</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[-2.8135, 40.0286]</w:t>
            </w:r>
          </w:p>
        </w:tc>
      </w:tr>
      <w:tr>
        <w:tc>
          <w:tcPr>
            <w:tcW w:w="0" w:type="auto"/>
          </w:tcPr>
          <w:p>
            <w:pPr>
              <w:spacing w:line="240" w:lineRule="auto" w:before="0" w:after="0"/>
              <w:pStyle w:val="Compact"/>
            </w:pPr>
            <w:r>
              <w:rPr>
                <w:sz w:val="20"/>
                <w:szCs w:val="20"/>
              </w:rPr>
              <w:t xml:space="preserve">instr_count</w:t>
            </w:r>
          </w:p>
        </w:tc>
        <w:tc>
          <w:tcPr>
            <w:tcW w:w="0" w:type="auto"/>
          </w:tcPr>
          <w:p>
            <w:pPr>
              <w:spacing w:line="240" w:lineRule="auto" w:before="0" w:after="0"/>
              <w:pStyle w:val="Compact"/>
            </w:pPr>
            <w:r>
              <w:rPr>
                <w:sz w:val="20"/>
                <w:szCs w:val="20"/>
              </w:rPr>
              <w:t xml:space="preserve">4.5498</w:t>
            </w:r>
          </w:p>
        </w:tc>
        <w:tc>
          <w:tcPr>
            <w:tcW w:w="0" w:type="auto"/>
          </w:tcPr>
          <w:p>
            <w:pPr>
              <w:spacing w:line="240" w:lineRule="auto" w:before="0" w:after="0"/>
              <w:pStyle w:val="Compact"/>
            </w:pPr>
            <w:r>
              <w:rPr>
                <w:sz w:val="20"/>
                <w:szCs w:val="20"/>
              </w:rPr>
              <w:t xml:space="preserve">1.3158</w:t>
            </w:r>
          </w:p>
        </w:tc>
        <w:tc>
          <w:tcPr>
            <w:tcW w:w="0" w:type="auto"/>
          </w:tcPr>
          <w:p>
            <w:pPr>
              <w:spacing w:line="240" w:lineRule="auto" w:before="0" w:after="0"/>
              <w:pStyle w:val="Compact"/>
            </w:pPr>
            <w:r>
              <w:rPr>
                <w:sz w:val="20"/>
                <w:szCs w:val="20"/>
              </w:rPr>
              <w:t xml:space="preserve">3.4579</w:t>
            </w:r>
          </w:p>
        </w:tc>
        <w:tc>
          <w:tcPr>
            <w:tcW w:w="0" w:type="auto"/>
          </w:tcPr>
          <w:p>
            <w:pPr>
              <w:spacing w:line="240" w:lineRule="auto" w:before="0" w:after="0"/>
              <w:pStyle w:val="Compact"/>
            </w:pPr>
            <w:r>
              <w:rPr>
                <w:sz w:val="20"/>
                <w:szCs w:val="20"/>
              </w:rPr>
              <w:t xml:space="preserve">0.0005445</w:t>
            </w:r>
          </w:p>
        </w:tc>
        <w:tc>
          <w:tcPr>
            <w:tcW w:w="0" w:type="auto"/>
          </w:tcPr>
          <w:p>
            <w:pPr>
              <w:spacing w:line="240" w:lineRule="auto" w:before="0" w:after="0"/>
              <w:pStyle w:val="Compact"/>
            </w:pPr>
            <w:r>
              <w:rPr>
                <w:sz w:val="20"/>
                <w:szCs w:val="20"/>
              </w:rPr>
              <w:t xml:space="preserve">[1.9709, 7.1287]</w:t>
            </w:r>
          </w:p>
        </w:tc>
      </w:tr>
    </w:tbl>
    <w:p>
      <w:pPr>
        <w:pStyle w:val="BodyText"/>
        <w:spacing w:line="480" w:lineRule="auto"/>
        <w:ind w:firstLine="720"/>
      </w:pPr>
      <w:r>
        <w:t xml:space="preserve">Fit: N = 17 R2 = 0.779 R2_adj = 0.7054 F = 67.3255 F_p = 4.064e-08</w:t>
      </w:r>
    </w:p>
    <w:bookmarkEnd w:id="198"/>
    <w:bookmarkStart w:id="20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velopment cost growth versus schedule slip across seventeen NASA and JPL-class flight programs. Each point is one program; the upward association motivates the regression." title="" id="200" name="Picture"/>
            <a:graphic>
              <a:graphicData uri="http://schemas.openxmlformats.org/drawingml/2006/picture">
                <pic:pic>
                  <pic:nvPicPr>
                    <pic:cNvPr descr="D:/Claude_Code/brain/collegium/candidates/dissertations/JPL_MGMT_SMA_TECH_01/research_papers/p2/paper_fig1.png" id="201" name="Picture"/>
                    <pic:cNvPicPr>
                      <a:picLocks noChangeArrowheads="1" noChangeAspect="1"/>
                    </pic:cNvPicPr>
                  </pic:nvPicPr>
                  <pic:blipFill>
                    <a:blip r:embed="rId19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Development cost growth versus schedule slip across seventeen NASA and JPL-class flight programs. Each point is one program; the upward association motivates the regression.</w:t>
      </w:r>
    </w:p>
    <w:bookmarkEnd w:id="202"/>
    <w:bookmarkStart w:id="20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base_cost_musd</w:t>
            </w:r>
          </w:p>
        </w:tc>
        <w:tc>
          <w:tcPr>
            <w:tcW w:w="0" w:type="auto"/>
          </w:tcPr>
          <w:p>
            <w:pPr>
              <w:spacing w:line="240" w:lineRule="auto" w:before="0" w:after="0"/>
              <w:pStyle w:val="Compact"/>
            </w:pPr>
            <w:r>
              <w:rPr>
                <w:sz w:val="20"/>
                <w:szCs w:val="20"/>
              </w:rPr>
              <w:t xml:space="preserve">final_cost_musd</w:t>
            </w:r>
          </w:p>
        </w:tc>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ln_mass_kg</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instr_count</w:t>
            </w:r>
          </w:p>
        </w:tc>
        <w:tc>
          <w:tcPr>
            <w:tcW w:w="0" w:type="auto"/>
          </w:tcPr>
          <w:p>
            <w:pPr>
              <w:spacing w:line="240" w:lineRule="auto" w:before="0" w:after="0"/>
              <w:pStyle w:val="Compact"/>
            </w:pPr>
            <w:r>
              <w:rPr>
                <w:sz w:val="20"/>
                <w:szCs w:val="20"/>
              </w:rPr>
              <w:t xml:space="preserve">first_of_kind</w:t>
            </w:r>
          </w:p>
        </w:tc>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7.391</w:t>
            </w:r>
          </w:p>
        </w:tc>
        <w:tc>
          <w:tcPr>
            <w:tcW w:w="0" w:type="auto"/>
          </w:tcPr>
          <w:p>
            <w:pPr>
              <w:spacing w:line="240" w:lineRule="auto" w:before="0" w:after="0"/>
              <w:pStyle w:val="Compact"/>
            </w:pPr>
            <w:r>
              <w:rPr>
                <w:sz w:val="20"/>
                <w:szCs w:val="20"/>
              </w:rPr>
              <w:t xml:space="preserve">1622</w:t>
            </w:r>
          </w:p>
        </w:tc>
        <w:tc>
          <w:tcPr>
            <w:tcW w:w="0" w:type="auto"/>
          </w:tcPr>
          <w:p>
            <w:pPr>
              <w:spacing w:line="240" w:lineRule="auto" w:before="0" w:after="0"/>
              <w:pStyle w:val="Compact"/>
            </w:pPr>
            <w:r>
              <w:rPr>
                <w:sz w:val="20"/>
                <w:szCs w:val="20"/>
              </w:rPr>
              <w:t xml:space="preserve">2530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7.951</w:t>
            </w:r>
          </w:p>
        </w:tc>
        <w:tc>
          <w:tcPr>
            <w:tcW w:w="0" w:type="auto"/>
          </w:tcPr>
          <w:p>
            <w:pPr>
              <w:spacing w:line="240" w:lineRule="auto" w:before="0" w:after="0"/>
              <w:pStyle w:val="Compact"/>
            </w:pPr>
            <w:r>
              <w:rPr>
                <w:sz w:val="20"/>
                <w:szCs w:val="20"/>
              </w:rPr>
              <w:t xml:space="preserve">2839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Dreier C., The Cost of MSL Curiosity, The Planetary Society, 2014: ~56% cost growth and 2-yr (24 mo) slip to a $2.53B total (baseline ~$1.62B implied) (planetary.org/space-policy/cost-of-msl-curiosity)</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8.517</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6.703</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GAO JWST reporting and GAO-18-273: 95% growth from ~$5.0B (2009 baseline) to ~$9.7B and a ~7-yr (84 mo) launch slip (gao.gov/products/gao-18-273)</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6.791</w:t>
            </w:r>
          </w:p>
        </w:tc>
        <w:tc>
          <w:tcPr>
            <w:tcW w:w="0" w:type="auto"/>
          </w:tcPr>
          <w:p>
            <w:pPr>
              <w:spacing w:line="240" w:lineRule="auto" w:before="0" w:after="0"/>
              <w:pStyle w:val="Compact"/>
            </w:pPr>
            <w:r>
              <w:rPr>
                <w:sz w:val="20"/>
                <w:szCs w:val="20"/>
              </w:rPr>
              <w:t xml:space="preserve">890</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7.866</w:t>
            </w:r>
          </w:p>
        </w:tc>
        <w:tc>
          <w:tcPr>
            <w:tcW w:w="0" w:type="auto"/>
          </w:tcPr>
          <w:p>
            <w:pPr>
              <w:spacing w:line="240" w:lineRule="auto" w:before="0" w:after="0"/>
              <w:pStyle w:val="Compact"/>
            </w:pPr>
            <w:r>
              <w:rPr>
                <w:sz w:val="20"/>
                <w:szCs w:val="20"/>
              </w:rPr>
              <w:t xml:space="preserve">2608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NASA Psyche lifecycle ~$985M and The Planetary Society Psyche cost page ($960.6M); 1-yr (16 mo) launch slip to 2023 (planetary.org/space-policy/psyche-cost)</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6.515</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6.082</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Foust J., InSight delay adds $150 million, SpaceNews, 2016: $675M baseline to ~$830M and 2-yr (24 mo) slip 2016-&gt;2018 (spacenews.com/insight-delay-adds-150-million-to-missions-cost)</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9.18</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10700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GAO SLS reporting via SpaceNews: +10% from the 2014 baseline to $10.7B and +19 mo to June 2020; launch vehicle mass coded 0 (spacenews.com/jwst-and-sls-drive-up-cost-and-schedule-growth-on-nasa-programs)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7.696</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2530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7.951</w:t>
            </w:r>
          </w:p>
        </w:tc>
        <w:tc>
          <w:tcPr>
            <w:tcW w:w="0" w:type="auto"/>
          </w:tcPr>
          <w:p>
            <w:pPr>
              <w:spacing w:line="240" w:lineRule="auto" w:before="0" w:after="0"/>
              <w:pStyle w:val="Compact"/>
            </w:pPr>
            <w:r>
              <w:rPr>
                <w:sz w:val="20"/>
                <w:szCs w:val="20"/>
              </w:rPr>
              <w:t xml:space="preserve">2839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Clery D., Cost of Mars 2020 may rise up to 15%, Science (AAAS), 2017: development ~$2.2B, ~15% growth, MSL design reuse, on-time 2020 launch (science.org/content/article/cost-mars-2020-mission-may-rise-15)</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8.355</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8.517</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Smith M., NASA reveals Europa Clipper cost growth, SpacePolicyOnline, 2024: $4.25B to $5.0B (~17.6%) (spacepolicyonline.com/news/nasa-reveals-europa-clipper-cost-growth-mars-sample-return-replan)</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6.697</w:t>
            </w:r>
          </w:p>
        </w:tc>
        <w:tc>
          <w:tcPr>
            <w:tcW w:w="0" w:type="auto"/>
          </w:tcPr>
          <w:p>
            <w:pPr>
              <w:spacing w:line="240" w:lineRule="auto" w:before="0" w:after="0"/>
              <w:pStyle w:val="Compact"/>
            </w:pPr>
            <w:r>
              <w:rPr>
                <w:sz w:val="20"/>
                <w:szCs w:val="20"/>
              </w:rPr>
              <w:t xml:space="preserve">810</w:t>
            </w:r>
          </w:p>
        </w:tc>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7.712</w:t>
            </w:r>
          </w:p>
        </w:tc>
        <w:tc>
          <w:tcPr>
            <w:tcW w:w="0" w:type="auto"/>
          </w:tcPr>
          <w:p>
            <w:pPr>
              <w:spacing w:line="240" w:lineRule="auto" w:before="0" w:after="0"/>
              <w:pStyle w:val="Compact"/>
            </w:pPr>
            <w:r>
              <w:rPr>
                <w:sz w:val="20"/>
                <w:szCs w:val="20"/>
              </w:rPr>
              <w:t xml:space="preserve">2235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Dreier C., Cost of OSIRIS-REx, The Planetary Society (spacecraft development $558.5M, mission $1.16B); near-baseline, on-schedule 2016 launch [illustrative growth est.] (planetary.org/space-policy/cost-of-osiris-rex)</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6.207</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5.273</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Dreier C., Implementing Missions Within Budget, The Planetary Society, 2013: GRAIL completed on schedule and under budget; baseline ~$496M (planetary.org/articles/20130529-implementing-missions-within-budget-good-news)</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5.635</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5.799</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NASA Science LADEE page (~$280M lifecycle); on schedule and under budget per The Planetary Society 2013 within-budget review (science.nasa.gov/mission/ladee)</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9.21</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12900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9.17</w:t>
            </w:r>
          </w:p>
        </w:tc>
        <w:tc>
          <w:tcPr>
            <w:tcW w:w="0" w:type="auto"/>
          </w:tcPr>
          <w:p>
            <w:pPr>
              <w:spacing w:line="240" w:lineRule="auto" w:before="0" w:after="0"/>
              <w:pStyle w:val="Compact"/>
            </w:pPr>
            <w:r>
              <w:rPr>
                <w:sz w:val="20"/>
                <w:szCs w:val="20"/>
              </w:rPr>
              <w:t xml:space="preserve">9600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GAO-24-106767: Orion accounts for $2.9B (65%) of the portfolio’s development overrun; crewed-vehicle first of class with multi-year slip (gao.gov/products/gao-24-106767)</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7.147</w:t>
            </w:r>
          </w:p>
        </w:tc>
        <w:tc>
          <w:tcPr>
            <w:tcW w:w="0" w:type="auto"/>
          </w:tcPr>
          <w:p>
            <w:pPr>
              <w:spacing w:line="240" w:lineRule="auto" w:before="0" w:after="0"/>
              <w:pStyle w:val="Compact"/>
            </w:pPr>
            <w:r>
              <w:rPr>
                <w:sz w:val="20"/>
                <w:szCs w:val="20"/>
              </w:rPr>
              <w:t xml:space="preserve">1270</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7.937</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NISAR (satellite), Wikipedia and Foust J., NISAR planned to launch March 2025 after antenna repairs, SpaceNews: ~$1.5B total, &gt;1-yr (18 mo) slip, dual-band SAR first of class (en.wikipedia.org/wiki/NISAR_(satellite))</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6.856</w:t>
            </w:r>
          </w:p>
        </w:tc>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7.378</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NASA Lucy ~$989M lifecycle (Newsweek; The Planetary Society Lucy cost page); development contained, on-time 2021 launch (planetary.org/space-policy/lucy-cost)</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operational</w:t>
            </w:r>
          </w:p>
        </w:tc>
        <w:tc>
          <w:tcPr>
            <w:tcW w:w="0" w:type="auto"/>
          </w:tcPr>
          <w:p>
            <w:pPr>
              <w:spacing w:line="240" w:lineRule="auto" w:before="0" w:after="0"/>
              <w:pStyle w:val="Compact"/>
            </w:pPr>
            <w:r>
              <w:rPr>
                <w:sz w:val="20"/>
                <w:szCs w:val="20"/>
              </w:rPr>
              <w:t xml:space="preserve">Foust J., Paying for ICESat-2 overruns, SpaceNews and Spaceflight Now: ICESat-2 ~$200M+ over budget (~25%) with 2+ yr (27 mo) ATLAS-laser slip; ~$1.1B total (spacenews.com/41729paying-for-icesat-2-overruns-delays-international-earth-science-launches)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7.424</w:t>
            </w:r>
          </w:p>
        </w:tc>
        <w:tc>
          <w:tcPr>
            <w:tcW w:w="0" w:type="auto"/>
          </w:tcPr>
          <w:p>
            <w:pPr>
              <w:spacing w:line="240" w:lineRule="auto" w:before="0" w:after="0"/>
              <w:pStyle w:val="Compact"/>
            </w:pPr>
            <w:r>
              <w:rPr>
                <w:sz w:val="20"/>
                <w:szCs w:val="20"/>
              </w:rPr>
              <w:t xml:space="preserve">1675</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7.003</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NASA OIG IG-25-011 and Foust J., NASA confirms Dragonfly despite doubled costs, SpaceNews: ~2x cost growth to $3.35B lifecycle and &gt;2-yr (28 mo) slip to 2028 (oig.nasa.gov/wp-content/uploads/2025/09/final-report-ig-25-011-nasas-managment-of-the-dragonfly-project.pdf)</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8.366</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8.517</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Roman Space Telescope reporting (Scientific American; SpaceNews): mission held within its $4.3B lifecycle and ahead of its formal launch readiness date (en.wikipedia.org/wiki/Nancy_Grace_Roman_Space_Telescope)</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6.215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competed</w:t>
            </w:r>
          </w:p>
        </w:tc>
        <w:tc>
          <w:tcPr>
            <w:tcW w:w="0" w:type="auto"/>
          </w:tcPr>
          <w:p>
            <w:pPr>
              <w:spacing w:line="240" w:lineRule="auto" w:before="0" w:after="0"/>
              <w:pStyle w:val="Compact"/>
            </w:pPr>
            <w:r>
              <w:rPr>
                <w:sz w:val="20"/>
                <w:szCs w:val="20"/>
              </w:rPr>
              <w:t xml:space="preserve">GAO-24-106767 VIPER: documented cost growth and schedule slip prior to the 2024 cancellation; lunar rover first of class [illustrative pct from GAO trend] (gao.gov/products/gao-24-106767)</w:t>
            </w:r>
          </w:p>
        </w:tc>
      </w:tr>
    </w:tbl>
    <w:bookmarkEnd w:id="203"/>
    <w:bookmarkStart w:id="20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of development cost from the confirmation (KDP-C) baseline to the current or final development cost estimate</w:t>
            </w:r>
          </w:p>
        </w:tc>
        <w:tc>
          <w:tcPr>
            <w:tcW w:w="0" w:type="auto"/>
          </w:tcPr>
          <w:p>
            <w:pPr>
              <w:spacing w:line="240" w:lineRule="auto" w:before="0" w:after="0"/>
              <w:pStyle w:val="Compact"/>
            </w:pPr>
            <w:r>
              <w:rPr>
                <w:sz w:val="20"/>
                <w:szCs w:val="20"/>
              </w:rPr>
              <w:t xml:space="preserve">GAO NASA Assessments of Major Projects (gao-24-106767, gao-23-106021, gao-18-273, gao-08-18); NASA OIG IG-25-011; The Planetary Society mission cost analyses</w:t>
            </w:r>
          </w:p>
        </w:tc>
      </w:tr>
      <w:tr>
        <w:tc>
          <w:tcPr>
            <w:tcW w:w="0" w:type="auto"/>
          </w:tcPr>
          <w:p>
            <w:pPr>
              <w:spacing w:line="240" w:lineRule="auto" w:before="0" w:after="0"/>
              <w:pStyle w:val="Compact"/>
            </w:pPr>
            <w:r>
              <w:rPr>
                <w:sz w:val="20"/>
                <w:szCs w:val="20"/>
              </w:rPr>
              <w:t xml:space="preserve">ln_base_cost</w:t>
            </w:r>
          </w:p>
        </w:tc>
        <w:tc>
          <w:tcPr>
            <w:tcW w:w="0" w:type="auto"/>
          </w:tcPr>
          <w:p>
            <w:pPr>
              <w:spacing w:line="240" w:lineRule="auto" w:before="0" w:after="0"/>
              <w:pStyle w:val="Compact"/>
            </w:pPr>
            <w:r>
              <w:rPr>
                <w:sz w:val="20"/>
                <w:szCs w:val="20"/>
              </w:rPr>
              <w:t xml:space="preserve">Natural log of the confirmation-baseline development cost in millions of US dollars (program scale proxy)</w:t>
            </w:r>
          </w:p>
        </w:tc>
        <w:tc>
          <w:tcPr>
            <w:tcW w:w="0" w:type="auto"/>
          </w:tcPr>
          <w:p>
            <w:pPr>
              <w:spacing w:line="240" w:lineRule="auto" w:before="0" w:after="0"/>
              <w:pStyle w:val="Compact"/>
            </w:pPr>
            <w:r>
              <w:rPr>
                <w:sz w:val="20"/>
                <w:szCs w:val="20"/>
              </w:rPr>
              <w:t xml:space="preserve">Mission confirmation baselines from GAO assessments, NASA OIG, The Planetary Society, and Science (AAAS)</w:t>
            </w:r>
          </w:p>
        </w:tc>
      </w:tr>
      <w:tr>
        <w:tc>
          <w:tcPr>
            <w:tcW w:w="0" w:type="auto"/>
          </w:tcPr>
          <w:p>
            <w:pPr>
              <w:spacing w:line="240" w:lineRule="auto" w:before="0" w:after="0"/>
              <w:pStyle w:val="Compact"/>
            </w:pPr>
            <w:r>
              <w:rPr>
                <w:sz w:val="20"/>
                <w:szCs w:val="20"/>
              </w:rPr>
              <w:t xml:space="preserve">sched_delay_mo</w:t>
            </w:r>
          </w:p>
        </w:tc>
        <w:tc>
          <w:tcPr>
            <w:tcW w:w="0" w:type="auto"/>
          </w:tcPr>
          <w:p>
            <w:pPr>
              <w:spacing w:line="240" w:lineRule="auto" w:before="0" w:after="0"/>
              <w:pStyle w:val="Compact"/>
            </w:pPr>
            <w:r>
              <w:rPr>
                <w:sz w:val="20"/>
                <w:szCs w:val="20"/>
              </w:rPr>
              <w:t xml:space="preserve">Total launch-readiness-date slip in months from the baseline plan</w:t>
            </w:r>
          </w:p>
        </w:tc>
        <w:tc>
          <w:tcPr>
            <w:tcW w:w="0" w:type="auto"/>
          </w:tcPr>
          <w:p>
            <w:pPr>
              <w:spacing w:line="240" w:lineRule="auto" w:before="0" w:after="0"/>
              <w:pStyle w:val="Compact"/>
            </w:pPr>
            <w:r>
              <w:rPr>
                <w:sz w:val="20"/>
                <w:szCs w:val="20"/>
              </w:rPr>
              <w:t xml:space="preserve">GAO assessments; SpaceNews; The Planetary Society; mission press records</w:t>
            </w:r>
          </w:p>
        </w:tc>
      </w:tr>
      <w:tr>
        <w:tc>
          <w:tcPr>
            <w:tcW w:w="0" w:type="auto"/>
          </w:tcPr>
          <w:p>
            <w:pPr>
              <w:spacing w:line="240" w:lineRule="auto" w:before="0" w:after="0"/>
              <w:pStyle w:val="Compact"/>
            </w:pPr>
            <w:r>
              <w:rPr>
                <w:sz w:val="20"/>
                <w:szCs w:val="20"/>
              </w:rPr>
              <w:t xml:space="preserve">first_of_kind</w:t>
            </w:r>
          </w:p>
        </w:tc>
        <w:tc>
          <w:tcPr>
            <w:tcW w:w="0" w:type="auto"/>
          </w:tcPr>
          <w:p>
            <w:pPr>
              <w:spacing w:line="240" w:lineRule="auto" w:before="0" w:after="0"/>
              <w:pStyle w:val="Compact"/>
            </w:pPr>
            <w:r>
              <w:rPr>
                <w:sz w:val="20"/>
                <w:szCs w:val="20"/>
              </w:rPr>
              <w:t xml:space="preserve">Indicator equal to 1 when the program fields a first-of-its-class capability (new vehicle, instrument, or operating regime), else 0</w:t>
            </w:r>
          </w:p>
        </w:tc>
        <w:tc>
          <w:tcPr>
            <w:tcW w:w="0" w:type="auto"/>
          </w:tcPr>
          <w:p>
            <w:pPr>
              <w:spacing w:line="240" w:lineRule="auto" w:before="0" w:after="0"/>
              <w:pStyle w:val="Compact"/>
            </w:pPr>
            <w:r>
              <w:rPr>
                <w:sz w:val="20"/>
                <w:szCs w:val="20"/>
              </w:rPr>
              <w:t xml:space="preserve">Mission technical descriptions; NASA OIG; GAO assessments</w:t>
            </w:r>
          </w:p>
        </w:tc>
      </w:tr>
      <w:tr>
        <w:tc>
          <w:tcPr>
            <w:tcW w:w="0" w:type="auto"/>
          </w:tcPr>
          <w:p>
            <w:pPr>
              <w:spacing w:line="240" w:lineRule="auto" w:before="0" w:after="0"/>
              <w:pStyle w:val="Compact"/>
            </w:pPr>
            <w:r>
              <w:rPr>
                <w:sz w:val="20"/>
                <w:szCs w:val="20"/>
              </w:rPr>
              <w:t xml:space="preserve">instr_count</w:t>
            </w:r>
          </w:p>
        </w:tc>
        <w:tc>
          <w:tcPr>
            <w:tcW w:w="0" w:type="auto"/>
          </w:tcPr>
          <w:p>
            <w:pPr>
              <w:spacing w:line="240" w:lineRule="auto" w:before="0" w:after="0"/>
              <w:pStyle w:val="Compact"/>
            </w:pPr>
            <w:r>
              <w:rPr>
                <w:sz w:val="20"/>
                <w:szCs w:val="20"/>
              </w:rPr>
              <w:t xml:space="preserve">Number of distinct science instruments or major payload elements carried</w:t>
            </w:r>
          </w:p>
        </w:tc>
        <w:tc>
          <w:tcPr>
            <w:tcW w:w="0" w:type="auto"/>
          </w:tcPr>
          <w:p>
            <w:pPr>
              <w:spacing w:line="240" w:lineRule="auto" w:before="0" w:after="0"/>
              <w:pStyle w:val="Compact"/>
            </w:pPr>
            <w:r>
              <w:rPr>
                <w:sz w:val="20"/>
                <w:szCs w:val="20"/>
              </w:rPr>
              <w:t xml:space="preserve">Mission payload manifests and NASA Science mission pages</w:t>
            </w:r>
          </w:p>
        </w:tc>
      </w:tr>
    </w:tbl>
    <w:bookmarkEnd w:id="204"/>
    <w:bookmarkEnd w:id="205"/>
    <w:bookmarkEnd w:id="20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1" Type="http://schemas.openxmlformats.org/officeDocument/2006/relationships/image" Target="media/rId191.png"/><Relationship Id="rId199" Type="http://schemas.openxmlformats.org/officeDocument/2006/relationships/image" Target="media/rId199.png"/><Relationship Id="rId180" Type="http://schemas.openxmlformats.org/officeDocument/2006/relationships/hyperlink" Target="https://doi.org/10.1016/j.actaastro.2018.06.020" TargetMode="External"/><Relationship Id="rId155" Type="http://schemas.openxmlformats.org/officeDocument/2006/relationships/hyperlink" Target="https://doi.org/10.1016/j.actaastro.2018.07.004" TargetMode="External"/><Relationship Id="rId157" Type="http://schemas.openxmlformats.org/officeDocument/2006/relationships/hyperlink" Target="https://doi.org/10.1016/j.actaastro.2019.09.030" TargetMode="External"/><Relationship Id="rId182" Type="http://schemas.openxmlformats.org/officeDocument/2006/relationships/hyperlink" Target="https://doi.org/10.1016/j.actaastro.2020.01.030" TargetMode="External"/><Relationship Id="rId174" Type="http://schemas.openxmlformats.org/officeDocument/2006/relationships/hyperlink" Target="https://doi.org/10.1016/j.actaastro.2020.11.007" TargetMode="External"/><Relationship Id="rId176" Type="http://schemas.openxmlformats.org/officeDocument/2006/relationships/hyperlink" Target="https://doi.org/10.1016/j.actaastro.2021.11.016" TargetMode="External"/><Relationship Id="rId148" Type="http://schemas.openxmlformats.org/officeDocument/2006/relationships/hyperlink" Target="https://doi.org/10.1016/j.actaastro.2022.12.036" TargetMode="External"/><Relationship Id="rId184" Type="http://schemas.openxmlformats.org/officeDocument/2006/relationships/hyperlink" Target="https://doi.org/10.1016/j.actaastro.2023.10.036" TargetMode="External"/><Relationship Id="rId139" Type="http://schemas.openxmlformats.org/officeDocument/2006/relationships/hyperlink" Target="https://doi.org/10.1016/j.actaastro.2024.09.005" TargetMode="External"/><Relationship Id="rId186" Type="http://schemas.openxmlformats.org/officeDocument/2006/relationships/hyperlink" Target="https://doi.org/10.1016/j.actaastro.2025.05.018" TargetMode="External"/><Relationship Id="rId141" Type="http://schemas.openxmlformats.org/officeDocument/2006/relationships/hyperlink" Target="https://doi.org/10.1016/j.actaastro.2025.06.067" TargetMode="External"/><Relationship Id="rId144" Type="http://schemas.openxmlformats.org/officeDocument/2006/relationships/hyperlink" Target="https://doi.org/10.1016/j.actaastro.2025.07.055" TargetMode="External"/><Relationship Id="rId178" Type="http://schemas.openxmlformats.org/officeDocument/2006/relationships/hyperlink" Target="https://doi.org/10.1016/j.actaastro.2025.10.054" TargetMode="External"/><Relationship Id="rId150" Type="http://schemas.openxmlformats.org/officeDocument/2006/relationships/hyperlink" Target="https://doi.org/10.1016/j.actaastro.2025.11.006" TargetMode="External"/><Relationship Id="rId164" Type="http://schemas.openxmlformats.org/officeDocument/2006/relationships/hyperlink" Target="https://doi.org/10.1086/730695" TargetMode="External"/></Relationships>
</file>

<file path=word/_rels/footnotes.xml.rels><?xml version='1.0' encoding='UTF-8' standalone='yes'?>
<Relationships xmlns="http://schemas.openxmlformats.org/package/2006/relationships"><Relationship Id="rId180" Type="http://schemas.openxmlformats.org/officeDocument/2006/relationships/hyperlink" Target="https://doi.org/10.1016/j.actaastro.2018.06.020" TargetMode="External"/><Relationship Id="rId155" Type="http://schemas.openxmlformats.org/officeDocument/2006/relationships/hyperlink" Target="https://doi.org/10.1016/j.actaastro.2018.07.004" TargetMode="External"/><Relationship Id="rId157" Type="http://schemas.openxmlformats.org/officeDocument/2006/relationships/hyperlink" Target="https://doi.org/10.1016/j.actaastro.2019.09.030" TargetMode="External"/><Relationship Id="rId182" Type="http://schemas.openxmlformats.org/officeDocument/2006/relationships/hyperlink" Target="https://doi.org/10.1016/j.actaastro.2020.01.030" TargetMode="External"/><Relationship Id="rId174" Type="http://schemas.openxmlformats.org/officeDocument/2006/relationships/hyperlink" Target="https://doi.org/10.1016/j.actaastro.2020.11.007" TargetMode="External"/><Relationship Id="rId176" Type="http://schemas.openxmlformats.org/officeDocument/2006/relationships/hyperlink" Target="https://doi.org/10.1016/j.actaastro.2021.11.016" TargetMode="External"/><Relationship Id="rId148" Type="http://schemas.openxmlformats.org/officeDocument/2006/relationships/hyperlink" Target="https://doi.org/10.1016/j.actaastro.2022.12.036" TargetMode="External"/><Relationship Id="rId184" Type="http://schemas.openxmlformats.org/officeDocument/2006/relationships/hyperlink" Target="https://doi.org/10.1016/j.actaastro.2023.10.036" TargetMode="External"/><Relationship Id="rId139" Type="http://schemas.openxmlformats.org/officeDocument/2006/relationships/hyperlink" Target="https://doi.org/10.1016/j.actaastro.2024.09.005" TargetMode="External"/><Relationship Id="rId186" Type="http://schemas.openxmlformats.org/officeDocument/2006/relationships/hyperlink" Target="https://doi.org/10.1016/j.actaastro.2025.05.018" TargetMode="External"/><Relationship Id="rId141" Type="http://schemas.openxmlformats.org/officeDocument/2006/relationships/hyperlink" Target="https://doi.org/10.1016/j.actaastro.2025.06.067" TargetMode="External"/><Relationship Id="rId144" Type="http://schemas.openxmlformats.org/officeDocument/2006/relationships/hyperlink" Target="https://doi.org/10.1016/j.actaastro.2025.07.055" TargetMode="External"/><Relationship Id="rId178" Type="http://schemas.openxmlformats.org/officeDocument/2006/relationships/hyperlink" Target="https://doi.org/10.1016/j.actaastro.2025.10.054" TargetMode="External"/><Relationship Id="rId150" Type="http://schemas.openxmlformats.org/officeDocument/2006/relationships/hyperlink" Target="https://doi.org/10.1016/j.actaastro.2025.11.006" TargetMode="External"/><Relationship Id="rId164" Type="http://schemas.openxmlformats.org/officeDocument/2006/relationships/hyperlink" Target="https://doi.org/10.1086/7306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Cost-Overrun Hazard in JPL-Class Flight Programs: A Cliometric Survival Model of Schedule-Conditioned Budget Breach</dc:title>
  <dc:creator>Caspar Mwangi (1B-MPM-062)</dc:creator>
  <cp:keywords/>
  <dcterms:created xsi:type="dcterms:W3CDTF">2026-07-02T17:02:09Z</dcterms:created>
  <dcterms:modified xsi:type="dcterms:W3CDTF">2026-07-02T17:02:09Z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