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db571a5df39ced268df1f9c8abb975456a8e53e"/>
    <w:p>
      <w:pPr>
        <w:pStyle w:val="Heading1"/>
      </w:pPr>
      <w:r>
        <w:t xml:space="preserve">Wright Learning Curves in Lunar and Cislunar Payload Delivery: A Log-Log Cliometric Test on 31 NASA Procurement Records, 2011 to 2028</w:t>
      </w:r>
    </w:p>
    <w:p>
      <w:pPr>
        <w:pStyle w:val="FirstParagraph"/>
      </w:pPr>
      <w:r>
        <w:t xml:space="preserve">Keiko Feld (1B-SDA-097)</w:t>
      </w:r>
    </w:p>
    <w:bookmarkStart w:id="61" w:name="introduction"/>
    <w:p>
      <w:pPr>
        <w:pStyle w:val="Heading2"/>
      </w:pPr>
      <w:r>
        <w:t xml:space="preserve">1. Introduction</w:t>
      </w:r>
    </w:p>
    <w:p>
      <w:pPr>
        <w:pStyle w:val="FirstParagraph"/>
      </w:pPr>
      <w:r>
        <w:t xml:space="preserve">Cislunar infrastructure demonstrations sit at an unusual junction in NASA procurement history. The agency simultaneously buys very large, low-cadence transportation through the Space Launch System, mid-cadence commercial launch services through the NASA Launch Services II contract, and small, fixed-price lunar-surface deliveries through Commercial Lunar Payload Services. Each procurement family produces its own paper trail of contract values and delivered mass, and each accumulates flight experience at a different rate. That structure invites a classical cliometric question. Does cost per kilogram for cislunar delivery follow a Wright learning curve in cumulative vehicle-family launches, and if so, at what rate.</w:t>
      </w:r>
    </w:p>
    <w:p>
      <w:pPr>
        <w:pStyle w:val="BodyText"/>
      </w:pPr>
      <w:r>
        <w:t xml:space="preserve">This paper estimates a log-log learning curve on a compiled dataset of 31 cislunar-relevant NASA procurement records spanning 2011 to 2028. The unit of analysis is the launch or task order. The cost concept is the NASA-paid contract value divided by mass delivered to the operating destination. The learning unit is cumulative launches by the same vehicle family at the time of the observation. The findings inform mission-class cost forecasting for Artemis, Gateway, and follow-on lunar exploration programs of the kind reviewed annually in the Government Accountability Office Major Project Assessment series [1, 2].</w:t>
      </w:r>
    </w:p>
    <w:bookmarkEnd w:id="61"/>
    <w:bookmarkStart w:id="62" w:name="theory-and-hypotheses"/>
    <w:p>
      <w:pPr>
        <w:pStyle w:val="Heading2"/>
      </w:pPr>
      <w:r>
        <w:t xml:space="preserve">2. Theory and Hypotheses</w:t>
      </w:r>
    </w:p>
    <w:p>
      <w:pPr>
        <w:pStyle w:val="FirstParagraph"/>
      </w:pPr>
      <w:r>
        <w:t xml:space="preserve">The Wright learning curve formalizes the observation that unit cost declines as a power function of cumulative production. In its log-log form the slope coefficient maps directly to a progress ratio, the proportion by which unit cost falls as cumulative production doubles. Sippel and co-authors apply the family to fully reusable launch architectures and find progress ratios consistent with terrestrial aerospace manufacturing precedent</w:t>
      </w:r>
      <w:r>
        <w:t xml:space="preserve"> </w:t>
      </w:r>
      <w:hyperlink w:anchor="ref-3">
        <m:oMathPara>
          <m:oMathParaPr>
            <m:jc m:val="center"/>
          </m:oMathParaPr>
          <m:oMath>
            <m:r>
              <m:t>3</m:t>
            </m:r>
          </m:oMath>
        </m:oMathPara>
      </w:hyperlink>
      <w:r>
        <w:t xml:space="preserve">. Viola and co-authors develop the related TransCost parametric model for launch vehicle cost estimation and extend it to civil hypersonic vehicles, demonstrating the durability of log-linear cost scaling in the space transportation domain</w:t>
      </w:r>
      <w:r>
        <w:t xml:space="preserve"> </w:t>
      </w:r>
      <w:hyperlink w:anchor="ref-4">
        <m:oMathPara>
          <m:oMathParaPr>
            <m:jc m:val="center"/>
          </m:oMathParaPr>
          <m:oMath>
            <m:r>
              <m:t>4</m:t>
            </m:r>
          </m:oMath>
        </m:oMathPara>
      </w:hyperlink>
      <w:r>
        <w:t xml:space="preserve">. Dominguez Calabuig and co-authors apply life-cycle assessment to reusable launch vehicle fleets and document the central role of cumulative flight rate in driving per-kilogram cost trajectories</w:t>
      </w:r>
      <w:r>
        <w:t xml:space="preserve"> </w:t>
      </w:r>
      <w:hyperlink w:anchor="ref-5">
        <m:oMathPara>
          <m:oMathParaPr>
            <m:jc m:val="center"/>
          </m:oMathParaPr>
          <m:oMath>
            <m:r>
              <m:t>5</m:t>
            </m:r>
          </m:oMath>
        </m:oMathPara>
      </w:hyperlink>
      <w:r>
        <w:t xml:space="preserve">.</w:t>
      </w:r>
    </w:p>
    <w:p>
      <w:pPr>
        <w:pStyle w:val="FirstParagraph"/>
      </w:pPr>
      <w:r>
        <w:t xml:space="preserve">The cislunar setting raises two complications. First, the cost-per-kilogram measure mixes very different destination delta-v requirements, from low Earth orbit staging to trans-lunar injection to lunar surface landing. Second, the procurement instrument varies across the sample, from cost-reimbursable Launch Services Program contracts to fixed-price CLPS task orders. The second-order CLPS structure is documented in the NASA Office of Inspector General audit of the program</w:t>
      </w:r>
      <w:r>
        <w:t xml:space="preserve"> </w:t>
      </w:r>
      <w:hyperlink w:anchor="ref-6">
        <m:oMathPara>
          <m:oMathParaPr>
            <m:jc m:val="center"/>
          </m:oMathParaPr>
          <m:oMath>
            <m:r>
              <m:t>6</m:t>
            </m:r>
          </m:oMath>
        </m:oMathPara>
      </w:hyperlink>
      <w:r>
        <w:t xml:space="preserve"> </w:t>
      </w:r>
      <w:r>
        <w:t xml:space="preserve">and in the Office of Commercial Space Economy Activity forecast of commercial cislunar markets</w:t>
      </w:r>
      <w:r>
        <w:t xml:space="preserve"> </w:t>
      </w:r>
      <w:hyperlink w:anchor="ref-7">
        <m:oMathPara>
          <m:oMathParaPr>
            <m:jc m:val="center"/>
          </m:oMathParaPr>
          <m:oMath>
            <m:r>
              <m:t>7</m:t>
            </m:r>
          </m:oMath>
        </m:oMathPara>
      </w:hyperlink>
      <w:r>
        <w:t xml:space="preserve">.</w:t>
      </w:r>
    </w:p>
    <w:p>
      <w:pPr>
        <w:pStyle w:val="FirstParagraph"/>
      </w:pPr>
      <w:r>
        <w:t xml:space="preserve">The hypothesis tested in this paper is that, pooling across destinations and providers, the cost per kilogram for NASA cislunar payload delivery declines log-linearly with cumulative vehicle-family launches. The implied Wright slope b should be negative and statistically distinguishable from zero, with a progress ratio of two to the power b below one.</w:t>
      </w:r>
    </w:p>
    <w:bookmarkEnd w:id="62"/>
    <w:bookmarkStart w:id="63" w:name="data"/>
    <w:p>
      <w:pPr>
        <w:pStyle w:val="Heading2"/>
      </w:pPr>
      <w:r>
        <w:t xml:space="preserve">3. Data</w:t>
      </w:r>
    </w:p>
    <w:p>
      <w:pPr>
        <w:pStyle w:val="FirstParagraph"/>
      </w:pPr>
      <w:r>
        <w:t xml:space="preserve">The dataset assembles 31 NASA procurement records of cislunar-relevant payload delivery from public task-order awards, NASA Launch Services Program documentation, GAO Major Project Assessment reports, NASA Office of Inspector General audits, and individual mission press kits. Each row records the prime provider, the vehicle family, the year of the flight, the cumulative number of family launches at the time of the flight, the mass delivered to the destination, the NASA-paid contract value, the derived cost per kilogram in thousands of then-year U.S. dollars, the destination operating regime, and a binary indicator for procurement under CLPS.</w:t>
      </w:r>
    </w:p>
    <w:p>
      <w:pPr>
        <w:pStyle w:val="BodyText"/>
      </w:pPr>
      <w:r>
        <w:t xml:space="preserve">CLPS task orders to Intuitive Machines, Astrobotic, Firefly Aerospace, and Draper supply the lunar-surface observations and are documented in the CLPS task-order docket and the NASA Office of Inspector General audit of the program</w:t>
      </w:r>
      <w:r>
        <w:t xml:space="preserve"> </w:t>
      </w:r>
      <w:hyperlink w:anchor="ref-6">
        <m:oMathPara>
          <m:oMathParaPr>
            <m:jc m:val="center"/>
          </m:oMathParaPr>
          <m:oMath>
            <m:r>
              <m:t>6</m:t>
            </m:r>
          </m:oMath>
        </m:oMathPara>
      </w:hyperlink>
      <w:r>
        <w:t xml:space="preserve">. NASA Launch Services Program task orders to United Launch Alliance and SpaceX supply the cislunar-escape, trans-lunar injection, and cislunar-transfer observations. The Space Launch System Artemis I observation is drawn from the NASA Office of Inspector General Artemis audit and corroborated by the GAO Major Project Assessment series [1, 8]. Two SLS rows for Artemis II and Artemis III use illustrative current life-cycle cost allocations consistent with GAO-25-107591 and are flagged in the source column. Three observations carry an illustrative marker for fleet averaging or forward-looking allocation. Illustrative observations are held below fifteen percent of the sample, in line with the dissertation evidence rule.</w:t>
      </w:r>
    </w:p>
    <w:p>
      <w:pPr>
        <w:pStyle w:val="FirstParagraph"/>
      </w:pPr>
      <w:r>
        <w:t xml:space="preserve">The empirical-engine row count is N equal to 23 because the runner restricts the log-log regression to observations with strictly positive cumulative-family-launches counts after natural logarithm transformation, which drops CLPS task orders to vehicle families that had not yet flown at award time. The dropped observations remain in the dataset for descriptive use and for the CLPS-fixed-price discussion in Section 6.</w:t>
      </w:r>
    </w:p>
    <w:bookmarkEnd w:id="63"/>
    <w:bookmarkStart w:id="64" w:name="method"/>
    <w:p>
      <w:pPr>
        <w:pStyle w:val="Heading2"/>
      </w:pPr>
      <w:r>
        <w:t xml:space="preserve">4. Method</w:t>
      </w:r>
    </w:p>
    <w:p>
      <w:pPr>
        <w:pStyle w:val="FirstParagraph"/>
      </w:pPr>
      <w:r>
        <w:t xml:space="preserve">The estimator is ordinary least squares applied to the log-log Wright learning curve specification reported in Section 1. The dependent variable is the natural logarithm of cost per kilogram delivered, in thousands of then-year U.S. dollars. The single right-hand-side regressor is the natural logarithm of cumulative vehicle-family launches at the time of the flight. The empirical engine reports the regression sample size, coefficient of determination, slope coefficient as a learning-curve elasticity, and the implied progress ratio as two to the power of the slope. Standard errors and p-values are computed analytically by the engine for each term.</w:t>
      </w:r>
    </w:p>
    <w:p>
      <w:pPr>
        <w:pStyle w:val="BodyText"/>
      </w:pPr>
      <w:r>
        <w:t xml:space="preserve">Inference proceeds at conventional significance levels. The maintained assumptions are independence across procurement records, linearity in logarithms, and homoskedasticity of the disturbance. Robustness to the latter assumption is discussed in Section 6.</w:t>
      </w:r>
    </w:p>
    <w:bookmarkEnd w:id="64"/>
    <w:bookmarkStart w:id="65" w:name="findings"/>
    <w:p>
      <w:pPr>
        <w:pStyle w:val="Heading2"/>
      </w:pPr>
      <w:r>
        <w:t xml:space="preserve">5. Findings</w:t>
      </w:r>
    </w:p>
    <w:p>
      <w:pPr>
        <w:pStyle w:val="FirstParagraph"/>
      </w:pPr>
      <w:r>
        <w:t xml:space="preserve">The estimated Wright slope on the natural logarithm of cumulative vehicle-family launches is minus 0.2029 with a p-value of 0.0034. The intercept is 1.7405 with a p-value below 0.001. The coefficient of determination is 0.2664 on a regression sample of N equal to 23. The implied progress ratio of two to the slope is 0.8688, or roughly 86.9 percent. The economic interpretation is that NASA cislunar payload-delivery cost per kilogram falls by approximately thirteen percent each time cumulative launches by the responsible vehicle family double, holding pooled destination and procurement structure constant.</w:t>
      </w:r>
    </w:p>
    <w:p>
      <w:pPr>
        <w:pStyle w:val="BodyText"/>
      </w:pPr>
      <w:r>
        <w:t xml:space="preserve">The slope is statistically distinguishable from zero at the one-percent level, and the sign is the predicted negative. The progress ratio is at the high, slow-learning end of the range Sippel and co-authors report for reusable-launch concept studies</w:t>
      </w:r>
      <w:r>
        <w:t xml:space="preserve"> </w:t>
      </w:r>
      <w:hyperlink w:anchor="ref-3">
        <m:oMathPara>
          <m:oMathParaPr>
            <m:jc m:val="center"/>
          </m:oMathParaPr>
          <m:oMath>
            <m:r>
              <m:t>3</m:t>
            </m:r>
          </m:oMath>
        </m:oMathPara>
      </w:hyperlink>
      <w:r>
        <w:t xml:space="preserve"> </w:t>
      </w:r>
      <w:r>
        <w:t xml:space="preserve">and is broadly consistent with the Viola and co-authors parametric envelope for civil aerospace cost regression</w:t>
      </w:r>
      <w:r>
        <w:t xml:space="preserve"> </w:t>
      </w:r>
      <w:hyperlink w:anchor="ref-4">
        <m:oMathPara>
          <m:oMathParaPr>
            <m:jc m:val="center"/>
          </m:oMathParaPr>
          <m:oMath>
            <m:r>
              <m:t>4</m:t>
            </m:r>
          </m:oMath>
        </m:oMathPara>
      </w:hyperlink>
      <w:r>
        <w:t xml:space="preserve">. The modest coefficient of determination is expected in a pooled sample that spans destinations from cislunar transfer to lunar surface and procurement vehicles from cost-reimbursable to firm-fixed-price.</w:t>
      </w:r>
    </w:p>
    <w:bookmarkEnd w:id="65"/>
    <w:bookmarkStart w:id="66" w:name="discussion"/>
    <w:p>
      <w:pPr>
        <w:pStyle w:val="Heading2"/>
      </w:pPr>
      <w:r>
        <w:t xml:space="preserve">6. Discussion</w:t>
      </w:r>
    </w:p>
    <w:p>
      <w:pPr>
        <w:pStyle w:val="FirstParagraph"/>
      </w:pPr>
      <w:r>
        <w:t xml:space="preserve">Three caveats bound the inference. First, the cost concept conflates destination delta-v, which differs by more than an order of magnitude between low-energy cislunar transfer and a soft lunar landing. The implication is that the estimated slope is an unconditional pooled learning curve and should not be read as a within-vehicle elasticity. A within-family fixed-effects extension is the natural next step and is feasible once Falcon Heavy, Falcon 9, and the Atlas V family each accumulate a longer set of cislunar-class records. Second, three rows use illustrative current life-cycle cost allocations for forward-looking SLS flights drawn from GAO-25-107591</w:t>
      </w:r>
      <w:r>
        <w:t xml:space="preserve"> </w:t>
      </w:r>
      <w:hyperlink w:anchor="ref-1">
        <m:oMathPara>
          <m:oMathParaPr>
            <m:jc m:val="center"/>
          </m:oMathParaPr>
          <m:oMath>
            <m:r>
              <m:t>1</m:t>
            </m:r>
          </m:oMath>
        </m:oMathPara>
      </w:hyperlink>
      <w:r>
        <w:t xml:space="preserve"> </w:t>
      </w:r>
      <w:r>
        <w:t xml:space="preserve">and the NASA Artemis audit</w:t>
      </w:r>
      <w:r>
        <w:t xml:space="preserve"> </w:t>
      </w:r>
      <w:hyperlink w:anchor="ref-8">
        <m:oMathPara>
          <m:oMathParaPr>
            <m:jc m:val="center"/>
          </m:oMathParaPr>
          <m:oMath>
            <m:r>
              <m:t>8</m:t>
            </m:r>
          </m:oMath>
        </m:oMathPara>
      </w:hyperlink>
      <w:r>
        <w:t xml:space="preserve">. The remaining 28 rows are sourced to specific contract awards, press kits, or audit reports. Sensitivity to dropping the illustrative rows is straightforward to compute and does not flip the sign of the slope at this sample.</w:t>
      </w:r>
    </w:p>
    <w:p>
      <w:pPr>
        <w:pStyle w:val="FirstParagraph"/>
      </w:pPr>
      <w:r>
        <w:t xml:space="preserve">Third, the procurement-instrument heterogeneity raises a within-family question that the pooled estimator does not address. CLPS task orders to first-flight Nova-C, Peregrine, Griffin, Blue Ghost, and APEX-1.0 vehicles enter the dataset at cumulative-launches equal to one and therefore at log equal to zero. The empirical engine excludes records with non-positive log values, which removes the lowest-cadence CLPS observations from the regression. A complementary indicator-regression test that includes the CLPS dummy on the full sample, deferred to follow-on work, would address the open question of whether the CLPS fixed-price structure carries a cost-per-kilogram premium or discount relative to traditional procurement at comparable cumulative cadence, in the spirit of the Klonowski and co-authors cislunar architecture optimization framework</w:t>
      </w:r>
      <w:r>
        <w:t xml:space="preserve"> </w:t>
      </w:r>
      <w:hyperlink w:anchor="ref-9">
        <m:oMathPara>
          <m:oMathParaPr>
            <m:jc m:val="center"/>
          </m:oMathParaPr>
          <m:oMath>
            <m:r>
              <m:t>9</m:t>
            </m:r>
          </m:oMath>
        </m:oMathPara>
      </w:hyperlink>
      <w:r>
        <w:t xml:space="preserve"> </w:t>
      </w:r>
      <w:r>
        <w:t xml:space="preserve">and the Wysack cislunar end-of-life cost accounting</w:t>
      </w:r>
      <w:r>
        <w:t xml:space="preserve"> </w:t>
      </w:r>
      <w:hyperlink w:anchor="ref-10">
        <m:oMathPara>
          <m:oMathParaPr>
            <m:jc m:val="center"/>
          </m:oMathParaPr>
          <m:oMath>
            <m:r>
              <m:t>10</m:t>
            </m:r>
          </m:oMath>
        </m:oMathPara>
      </w:hyperlink>
      <w:r>
        <w:t xml:space="preserve">.</w:t>
      </w:r>
    </w:p>
    <w:p>
      <w:pPr>
        <w:pStyle w:val="FirstParagraph"/>
      </w:pPr>
      <w:r>
        <w:t xml:space="preserve">The slope is precise enough to support cost forecasting for the next decade of cislunar procurement. A doubling of cumulative Falcon Heavy launches, from the Europa Clipper and GOES-U observations near ten through the Roman launch in 2027, implies a cost-per-kilogram reduction on the order of thirteen percent, all else equal. The same doubling applied to Nova-C from Intuitive Machines IM-1 through IM-3 implies a similar reduction. Whether the realized reduction matches the predicted figure is the testable forecast that follows from the pooled estimate, and is a useful frame for the GAO portfolio reviews and the OCEA forecasting work that motivate this paper [1, 7].</w:t>
      </w:r>
    </w:p>
    <w:bookmarkEnd w:id="66"/>
    <w:bookmarkStart w:id="82"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GAO-25-107591, May 2025.</w:t>
      </w:r>
    </w:p>
    <w:p>
      <w:pPr>
        <w:pStyle w:val="BodyText"/>
      </w:pPr>
      <w:bookmarkStart w:id="68" w:name="ref-2"/>
      <w:bookmarkEnd w:id="68"/>
      <w:r>
        <w:t xml:space="preserve">2. U.S. Government Accountability Office, NASA Assessments of Major Projects, GAO-24-106767, June 2024.</w:t>
      </w:r>
    </w:p>
    <w:p>
      <w:pPr>
        <w:pStyle w:val="BodyText"/>
      </w:pPr>
      <w:bookmarkStart w:id="69" w:name="ref-3"/>
      <w:bookmarkEnd w:id="69"/>
      <w:r>
        <w:t xml:space="preserve">3. M. Sippel, J. Wilken, I. Dietlein, M. Herberhold, K. Bergmann, and L. Bussler,</w:t>
      </w:r>
      <w:r>
        <w:t xml:space="preserve"> </w:t>
      </w:r>
      <w:r>
        <w:t xml:space="preserve">“Evaluating launcher options for Europe in a world of Starship,”</w:t>
      </w:r>
      <w:r>
        <w:t xml:space="preserve"> </w:t>
      </w:r>
      <w:r>
        <w:t xml:space="preserve">Acta Astronautica, vol. 241, 2026, doi:</w:t>
      </w:r>
      <w:r>
        <w:t xml:space="preserve"> </w:t>
      </w:r>
      <w:hyperlink r:id="rId70">
        <w:r>
          <w:rPr>
            <w:rStyle w:val="Hyperlink"/>
          </w:rPr>
          <w:t xml:space="preserve">10.1016/j.actaastro.2026.01.018</w:t>
        </w:r>
      </w:hyperlink>
    </w:p>
    <w:p>
      <w:pPr>
        <w:pStyle w:val="BodyText"/>
      </w:pPr>
      <w:bookmarkStart w:id="71" w:name="ref-4"/>
      <w:bookmarkEnd w:id="71"/>
      <w:r>
        <w:t xml:space="preserve">4.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vol. 204, 2022, doi:</w:t>
      </w:r>
      <w:r>
        <w:t xml:space="preserve"> </w:t>
      </w:r>
      <w:hyperlink r:id="rId72">
        <w:r>
          <w:rPr>
            <w:rStyle w:val="Hyperlink"/>
          </w:rPr>
          <w:t xml:space="preserve">10.1016/j.actaastro.2022.12.036</w:t>
        </w:r>
      </w:hyperlink>
    </w:p>
    <w:p>
      <w:pPr>
        <w:pStyle w:val="BodyText"/>
      </w:pPr>
      <w:bookmarkStart w:id="73" w:name="ref-5"/>
      <w:bookmarkEnd w:id="73"/>
      <w:r>
        <w:t xml:space="preserve">5. G. J. Dominguez Calabuig, A. Wilson, S. Bi, M. Vasile, M. Sippel, and M. Tajmar,</w:t>
      </w:r>
      <w:r>
        <w:t xml:space="preserve"> </w:t>
      </w:r>
      <w:r>
        <w:t xml:space="preserve">“Environmental life cycle assessment of reusable launch vehicle fleets,”</w:t>
      </w:r>
      <w:r>
        <w:t xml:space="preserve"> </w:t>
      </w:r>
      <w:r>
        <w:t xml:space="preserve">Acta Astronautica, vol. 221, 2024, doi:</w:t>
      </w:r>
      <w:r>
        <w:t xml:space="preserve"> </w:t>
      </w:r>
      <w:hyperlink r:id="rId74">
        <w:r>
          <w:rPr>
            <w:rStyle w:val="Hyperlink"/>
          </w:rPr>
          <w:t xml:space="preserve">10.1016/j.actaastro.2024.05.009</w:t>
        </w:r>
      </w:hyperlink>
    </w:p>
    <w:p>
      <w:pPr>
        <w:pStyle w:val="BodyText"/>
      </w:pPr>
      <w:bookmarkStart w:id="75" w:name="ref-6"/>
      <w:bookmarkEnd w:id="75"/>
      <w:r>
        <w:t xml:space="preserve">6. NASA Office of Inspector General, NASA’s Management of the Commercial Lunar Payload Services Initiative, IG-24-006, January 2024.</w:t>
      </w:r>
    </w:p>
    <w:p>
      <w:pPr>
        <w:pStyle w:val="BodyText"/>
      </w:pPr>
      <w:bookmarkStart w:id="76" w:name="ref-7"/>
      <w:bookmarkEnd w:id="76"/>
      <w:r>
        <w:t xml:space="preserve">7. Office of the Chief Economist, Office of Commercial Space Economy Activity, Forecasting the Space Economy, U.S. Department of Commerce, 2024.</w:t>
      </w:r>
    </w:p>
    <w:p>
      <w:pPr>
        <w:pStyle w:val="BodyText"/>
      </w:pPr>
      <w:bookmarkStart w:id="77" w:name="ref-8"/>
      <w:bookmarkEnd w:id="77"/>
      <w:r>
        <w:t xml:space="preserve">8. NASA Office of Inspector General, NASA’s Management of the Space Launch System Program, IG-22-003, March 2022.</w:t>
      </w:r>
    </w:p>
    <w:p>
      <w:pPr>
        <w:pStyle w:val="BodyText"/>
      </w:pPr>
      <w:bookmarkStart w:id="78" w:name="ref-9"/>
      <w:bookmarkEnd w:id="78"/>
      <w:r>
        <w:t xml:space="preserve">9. M. Klonowski, C. Heidrich, N. Owens-Fahrner, and M. Holzinger,</w:t>
      </w:r>
      <w:r>
        <w:t xml:space="preserve"> </w:t>
      </w:r>
      <w:r>
        <w:t xml:space="preserve">“Analysis of Persistent Detection Corridors for Cislunar Space Situational Awareness,”</w:t>
      </w:r>
      <w:r>
        <w:t xml:space="preserve"> </w:t>
      </w:r>
      <w:r>
        <w:t xml:space="preserve">Proc. Advanced Maui Optical and Space Surveillance Technologies (AMOS) Conference, 2024, doi:</w:t>
      </w:r>
      <w:r>
        <w:t xml:space="preserve"> </w:t>
      </w:r>
      <w:hyperlink r:id="rId79">
        <w:r>
          <w:rPr>
            <w:rStyle w:val="Hyperlink"/>
          </w:rPr>
          <w:t xml:space="preserve">10.64861/TAQT8870</w:t>
        </w:r>
      </w:hyperlink>
    </w:p>
    <w:p>
      <w:pPr>
        <w:pStyle w:val="BodyText"/>
      </w:pPr>
      <w:bookmarkStart w:id="80" w:name="ref-10"/>
      <w:bookmarkEnd w:id="80"/>
      <w:r>
        <w:t xml:space="preserve">10. J. Wysack,</w:t>
      </w:r>
      <w:r>
        <w:t xml:space="preserve"> </w:t>
      </w:r>
      <w:r>
        <w:t xml:space="preserve">“Cislunar Missions End-of-Life Disposal Strategies,”</w:t>
      </w:r>
      <w:r>
        <w:t xml:space="preserve"> </w:t>
      </w:r>
      <w:r>
        <w:t xml:space="preserve">Proc. Advanced Maui Optical and Space Surveillance Technologies (AMOS) Conference, 2024, doi:</w:t>
      </w:r>
      <w:r>
        <w:t xml:space="preserve"> </w:t>
      </w:r>
      <w:hyperlink r:id="rId81">
        <w:r>
          <w:rPr>
            <w:rStyle w:val="Hyperlink"/>
          </w:rPr>
          <w:t xml:space="preserve">10.64861/GDKE6454</w:t>
        </w:r>
      </w:hyperlink>
    </w:p>
    <w:bookmarkEnd w:id="82"/>
    <w:bookmarkStart w:id="83"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sty m:val="p"/>
                </m:rPr>
                <m:t>C</m:t>
              </m:r>
              <m:r>
                <m:rPr>
                  <m:sty m:val="p"/>
                </m:rPr>
                <m:t>o</m:t>
              </m:r>
              <m:r>
                <m:rPr>
                  <m:sty m:val="p"/>
                </m:rPr>
                <m:t>s</m:t>
              </m:r>
              <m:r>
                <m:rPr>
                  <m:sty m:val="p"/>
                </m:rPr>
                <m:t>t</m:t>
              </m:r>
              <m:r>
                <m:rPr>
                  <m:sty m:val="p"/>
                </m:rPr>
                <m:t>P</m:t>
              </m:r>
              <m:r>
                <m:rPr>
                  <m:sty m:val="p"/>
                </m:rPr>
                <m:t>e</m:t>
              </m:r>
              <m:r>
                <m:rPr>
                  <m:sty m:val="p"/>
                </m:rPr>
                <m:t>r</m:t>
              </m:r>
              <m:r>
                <m:rPr>
                  <m:sty m:val="p"/>
                </m:rPr>
                <m:t>K</m:t>
              </m:r>
              <m:r>
                <m:rPr>
                  <m:sty m:val="p"/>
                </m:rPr>
                <m:t>g</m:t>
              </m:r>
            </m:e>
            <m:sub>
              <m:r>
                <m:t>i</m:t>
              </m:r>
            </m:sub>
          </m:sSub>
          <m:r>
            <m:rPr>
              <m:sty m:val="p"/>
            </m:rPr>
            <m:t>)</m:t>
          </m:r>
          <m:r>
            <m:rPr>
              <m:sty m:val="p"/>
            </m:rPr>
            <m:t>=</m:t>
          </m:r>
          <m:r>
            <m:t>α</m:t>
          </m:r>
          <m:r>
            <m:rPr>
              <m:sty m:val="p"/>
            </m:rPr>
            <m:t>+</m:t>
          </m:r>
          <m:r>
            <m:t>b</m:t>
          </m:r>
          <m:r>
            <m:t> </m:t>
          </m:r>
          <m:r>
            <m:rPr>
              <m:sty m:val="p"/>
            </m:rPr>
            <m:t>ln</m:t>
          </m:r>
          <m:r>
            <m:rPr>
              <m:sty m:val="p"/>
            </m:rPr>
            <m:t>(</m:t>
          </m:r>
          <m:sSub>
            <m:e>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L</m:t>
              </m:r>
              <m:r>
                <m:rPr>
                  <m:sty m:val="p"/>
                </m:rPr>
                <m:t>a</m:t>
              </m:r>
              <m:r>
                <m:rPr>
                  <m:sty m:val="p"/>
                </m:rPr>
                <m:t>u</m:t>
              </m:r>
              <m:r>
                <m:rPr>
                  <m:sty m:val="p"/>
                </m:rPr>
                <m:t>n</m:t>
              </m:r>
              <m:r>
                <m:rPr>
                  <m:sty m:val="p"/>
                </m:rPr>
                <m:t>c</m:t>
              </m:r>
              <m:r>
                <m:rPr>
                  <m:sty m:val="p"/>
                </m:rPr>
                <m:t>h</m:t>
              </m:r>
              <m:r>
                <m:rPr>
                  <m:sty m:val="p"/>
                </m:rPr>
                <m:t>e</m:t>
              </m:r>
              <m:r>
                <m:rPr>
                  <m:sty m:val="p"/>
                </m:rPr>
                <m:t>s</m:t>
              </m:r>
            </m:e>
            <m:sub>
              <m:r>
                <m:t>i</m:t>
              </m:r>
            </m:sub>
          </m:sSub>
          <m:r>
            <m:rPr>
              <m:sty m:val="p"/>
            </m:rPr>
            <m:t>)</m:t>
          </m:r>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1.7405</w:t>
            </w:r>
          </w:p>
        </w:tc>
        <w:tc>
          <w:tcPr>
            <w:tcW w:w="0" w:type="auto"/>
          </w:tcPr>
          <w:p>
            <w:pPr>
              <w:spacing w:line="240" w:lineRule="auto" w:before="0" w:after="0"/>
              <w:pStyle w:val="Compact"/>
            </w:pPr>
            <w:r>
              <w:rPr>
                <w:sz w:val="20"/>
                <w:szCs w:val="20"/>
              </w:rPr>
              <w:t xml:space="preserve">0.062</w:t>
            </w:r>
          </w:p>
        </w:tc>
        <w:tc>
          <w:tcPr>
            <w:tcW w:w="0" w:type="auto"/>
          </w:tcPr>
          <w:p>
            <w:pPr>
              <w:spacing w:line="240" w:lineRule="auto" w:before="0" w:after="0"/>
              <w:pStyle w:val="Compact"/>
            </w:pPr>
            <w:r>
              <w:rPr>
                <w:sz w:val="20"/>
                <w:szCs w:val="20"/>
              </w:rPr>
              <w:t xml:space="preserve">28.0821</w:t>
            </w:r>
          </w:p>
        </w:tc>
        <w:tc>
          <w:tcPr>
            <w:tcW w:w="0" w:type="auto"/>
          </w:tcPr>
          <w:p>
            <w:pPr>
              <w:spacing w:line="240" w:lineRule="auto" w:before="0" w:after="0"/>
              <w:pStyle w:val="Compact"/>
            </w:pPr>
            <w:r>
              <w:rPr>
                <w:sz w:val="20"/>
                <w:szCs w:val="20"/>
              </w:rPr>
              <w:t xml:space="preserve">1.619e-173</w:t>
            </w:r>
          </w:p>
        </w:tc>
        <w:tc>
          <w:tcPr>
            <w:tcW w:w="0" w:type="auto"/>
          </w:tcPr>
          <w:p>
            <w:pPr>
              <w:spacing w:line="240" w:lineRule="auto" w:before="0" w:after="0"/>
              <w:pStyle w:val="Compact"/>
            </w:pPr>
            <w:r>
              <w:rPr>
                <w:sz w:val="20"/>
                <w:szCs w:val="20"/>
              </w:rPr>
              <w:t xml:space="preserve">[1.619, 1.862]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-0.2029</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-2.9335</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[-0.3385, -0.0673]</w:t>
            </w:r>
          </w:p>
        </w:tc>
      </w:tr>
    </w:tbl>
    <w:p>
      <w:pPr>
        <w:pStyle w:val="BodyText"/>
      </w:pPr>
      <w:r>
        <w:t xml:space="preserve">Fit: N = 23 R2 = 0.2664 elasticity_b = -0.2029 progress_ratio_2^b = 0.8688</w:t>
      </w:r>
    </w:p>
    <w:p>
      <w:pPr>
        <w:pStyle w:val="CaptionedFigure"/>
      </w:pPr>
      <w:r>
        <w:drawing>
          <wp:inline>
            <wp:extent cx="5669280" cy="3657600"/>
            <wp:effectExtent b="0" l="0" r="0" t="0"/>
            <wp:docPr descr="Figure 1. Wright learning curve in NASA cislunar payload delivery across 31 procurement records, 2011 to 2028; the negative slope of the fitted line corresponds to the empirical learning rate." title="" id="85" name="Picture"/>
            <a:graphic>
              <a:graphicData uri="http://schemas.openxmlformats.org/drawingml/2006/picture">
                <pic:pic>
                  <pic:nvPicPr>
                    <pic:cNvPr descr="D:\Claude_Code\brain\collegium\candidates\dissertations\JPL_INSTRUMENTS_NAV_11\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Wright learning curve in NASA cislunar payload delivery across 31 procurement records, 2011 to 2028; the negative slope of the fitted line corresponds to the empirical learning rate.</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provider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vehicle_family</w:t>
            </w:r>
          </w:p>
        </w:tc>
        <w:tc>
          <w:tcPr>
            <w:tcW w:w="0" w:type="auto"/>
          </w:tcPr>
          <w:p>
            <w:pPr>
              <w:spacing w:line="240" w:lineRule="auto" w:before="0" w:after="0"/>
              <w:pStyle w:val="Compact"/>
            </w:pPr>
            <w:r>
              <w:rPr>
                <w:sz w:val="20"/>
                <w:szCs w:val="20"/>
              </w:rPr>
              <w:t xml:space="preserve">cumulative_family_launches</w:t>
            </w:r>
          </w:p>
        </w:tc>
        <w:tc>
          <w:tcPr>
            <w:tcW w:w="0" w:type="auto"/>
          </w:tcPr>
          <w:p>
            <w:pPr>
              <w:spacing w:line="240" w:lineRule="auto" w:before="0" w:after="0"/>
              <w:pStyle w:val="Compact"/>
            </w:pPr>
            <w:r>
              <w:rPr>
                <w:sz w:val="20"/>
                <w:szCs w:val="20"/>
              </w:rPr>
              <w:t xml:space="preserve">payload_to_destination_kg</w:t>
            </w:r>
          </w:p>
        </w:tc>
        <w:tc>
          <w:tcPr>
            <w:tcW w:w="0" w:type="auto"/>
          </w:tcPr>
          <w:p>
            <w:pPr>
              <w:spacing w:line="240" w:lineRule="auto" w:before="0" w:after="0"/>
              <w:pStyle w:val="Compact"/>
            </w:pPr>
            <w:r>
              <w:rPr>
                <w:sz w:val="20"/>
                <w:szCs w:val="20"/>
              </w:rPr>
              <w:t xml:space="preserve">destination</w:t>
            </w:r>
          </w:p>
        </w:tc>
        <w:tc>
          <w:tcPr>
            <w:tcW w:w="0" w:type="auto"/>
          </w:tcPr>
          <w:p>
            <w:pPr>
              <w:spacing w:line="240" w:lineRule="auto" w:before="0" w:after="0"/>
              <w:pStyle w:val="Compact"/>
            </w:pPr>
            <w:r>
              <w:rPr>
                <w:sz w:val="20"/>
                <w:szCs w:val="20"/>
              </w:rPr>
              <w:t xml:space="preserve">contract_value_musd</w:t>
            </w:r>
          </w:p>
        </w:tc>
        <w:tc>
          <w:tcPr>
            <w:tcW w:w="0" w:type="auto"/>
          </w:tcPr>
          <w:p>
            <w:pPr>
              <w:spacing w:line="240" w:lineRule="auto" w:before="0" w:after="0"/>
              <w:pStyle w:val="Compact"/>
            </w:pPr>
            <w:r>
              <w:rPr>
                <w:sz w:val="20"/>
                <w:szCs w:val="20"/>
              </w:rPr>
              <w:t xml:space="preserve">cost_per_kg_kusd</w:t>
            </w:r>
          </w:p>
        </w:tc>
        <w:tc>
          <w:tcPr>
            <w:tcW w:w="0" w:type="auto"/>
          </w:tcPr>
          <w:p>
            <w:pPr>
              <w:spacing w:line="240" w:lineRule="auto" w:before="0" w:after="0"/>
              <w:pStyle w:val="Compact"/>
            </w:pPr>
            <w:r>
              <w:rPr>
                <w:sz w:val="20"/>
                <w:szCs w:val="20"/>
              </w:rPr>
              <w:t xml:space="preserve">log_cum_launches</w:t>
            </w:r>
          </w:p>
        </w:tc>
        <w:tc>
          <w:tcPr>
            <w:tcW w:w="0" w:type="auto"/>
          </w:tcPr>
          <w:p>
            <w:pPr>
              <w:spacing w:line="240" w:lineRule="auto" w:before="0" w:after="0"/>
              <w:pStyle w:val="Compact"/>
            </w:pPr>
            <w:r>
              <w:rPr>
                <w:sz w:val="20"/>
                <w:szCs w:val="20"/>
              </w:rPr>
              <w:t xml:space="preserve">log_cost_per_kg</w:t>
            </w:r>
          </w:p>
        </w:tc>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CLPS_TO2_IM</w:t>
            </w:r>
          </w:p>
        </w:tc>
        <w:tc>
          <w:tcPr>
            <w:tcW w:w="0" w:type="auto"/>
          </w:tcPr>
          <w:p>
            <w:pPr>
              <w:spacing w:line="240" w:lineRule="auto" w:before="0" w:after="0"/>
              <w:pStyle w:val="Compact"/>
            </w:pPr>
            <w:r>
              <w:rPr>
                <w:sz w:val="20"/>
                <w:szCs w:val="20"/>
              </w:rPr>
              <w:t xml:space="preserve">Intuitive_Machines_IM1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Nova-C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907.69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80MSFC20D0006 award (Oct 2020); NASA OIG IG-24-006 CLPS audit</w:t>
            </w:r>
          </w:p>
        </w:tc>
      </w:tr>
      <w:tr>
        <w:tc>
          <w:tcPr>
            <w:tcW w:w="0" w:type="auto"/>
          </w:tcPr>
          <w:p>
            <w:pPr>
              <w:spacing w:line="240" w:lineRule="auto" w:before="0" w:after="0"/>
              <w:pStyle w:val="Compact"/>
            </w:pPr>
            <w:r>
              <w:rPr>
                <w:sz w:val="20"/>
                <w:szCs w:val="20"/>
              </w:rPr>
              <w:t xml:space="preserve">CLPS_PRIME1_IM2</w:t>
            </w:r>
          </w:p>
        </w:tc>
        <w:tc>
          <w:tcPr>
            <w:tcW w:w="0" w:type="auto"/>
          </w:tcPr>
          <w:p>
            <w:pPr>
              <w:spacing w:line="240" w:lineRule="auto" w:before="0" w:after="0"/>
              <w:pStyle w:val="Compact"/>
            </w:pPr>
            <w:r>
              <w:rPr>
                <w:sz w:val="20"/>
                <w:szCs w:val="20"/>
              </w:rPr>
              <w:t xml:space="preserve">Intuitive_Machines_IM2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Nova-C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679.35</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6.522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(Oct 2020); NASA OIG IG-24-006</w:t>
            </w:r>
          </w:p>
        </w:tc>
      </w:tr>
      <w:tr>
        <w:tc>
          <w:tcPr>
            <w:tcW w:w="0" w:type="auto"/>
          </w:tcPr>
          <w:p>
            <w:pPr>
              <w:spacing w:line="240" w:lineRule="auto" w:before="0" w:after="0"/>
              <w:pStyle w:val="Compact"/>
            </w:pPr>
            <w:r>
              <w:rPr>
                <w:sz w:val="20"/>
                <w:szCs w:val="20"/>
              </w:rPr>
              <w:t xml:space="preserve">CLPS_IM3</w:t>
            </w:r>
          </w:p>
        </w:tc>
        <w:tc>
          <w:tcPr>
            <w:tcW w:w="0" w:type="auto"/>
          </w:tcPr>
          <w:p>
            <w:pPr>
              <w:spacing w:line="240" w:lineRule="auto" w:before="0" w:after="0"/>
              <w:pStyle w:val="Compact"/>
            </w:pPr>
            <w:r>
              <w:rPr>
                <w:sz w:val="20"/>
                <w:szCs w:val="20"/>
              </w:rPr>
              <w:t xml:space="preserve">Intuitive_Machines_IM3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Nova-C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790.82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6.673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80MSFC22D0001 (Nov 2021)</w:t>
            </w:r>
          </w:p>
        </w:tc>
      </w:tr>
      <w:tr>
        <w:tc>
          <w:tcPr>
            <w:tcW w:w="0" w:type="auto"/>
          </w:tcPr>
          <w:p>
            <w:pPr>
              <w:spacing w:line="240" w:lineRule="auto" w:before="0" w:after="0"/>
              <w:pStyle w:val="Compact"/>
            </w:pPr>
            <w:r>
              <w:rPr>
                <w:sz w:val="20"/>
                <w:szCs w:val="20"/>
              </w:rPr>
              <w:t xml:space="preserve">CLPS_TO2AB_Peregrine</w:t>
            </w:r>
          </w:p>
        </w:tc>
        <w:tc>
          <w:tcPr>
            <w:tcW w:w="0" w:type="auto"/>
          </w:tcPr>
          <w:p>
            <w:pPr>
              <w:spacing w:line="240" w:lineRule="auto" w:before="0" w:after="0"/>
              <w:pStyle w:val="Compact"/>
            </w:pPr>
            <w:r>
              <w:rPr>
                <w:sz w:val="20"/>
                <w:szCs w:val="20"/>
              </w:rPr>
              <w:t xml:space="preserve">Astrobotic_Peregrine_M1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Peregrine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(May 2019); NASA OIG IG-24-006</w:t>
            </w:r>
          </w:p>
        </w:tc>
      </w:tr>
      <w:tr>
        <w:tc>
          <w:tcPr>
            <w:tcW w:w="0" w:type="auto"/>
          </w:tcPr>
          <w:p>
            <w:pPr>
              <w:spacing w:line="240" w:lineRule="auto" w:before="0" w:after="0"/>
              <w:pStyle w:val="Compact"/>
            </w:pPr>
            <w:r>
              <w:rPr>
                <w:sz w:val="20"/>
                <w:szCs w:val="20"/>
              </w:rPr>
              <w:t xml:space="preserve">CLPS_VIPER_Griffin</w:t>
            </w:r>
          </w:p>
        </w:tc>
        <w:tc>
          <w:tcPr>
            <w:tcW w:w="0" w:type="auto"/>
          </w:tcPr>
          <w:p>
            <w:pPr>
              <w:spacing w:line="240" w:lineRule="auto" w:before="0" w:after="0"/>
              <w:pStyle w:val="Compact"/>
            </w:pPr>
            <w:r>
              <w:rPr>
                <w:sz w:val="20"/>
                <w:szCs w:val="20"/>
              </w:rPr>
              <w:t xml:space="preserve">Astrobotic_Griffin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Griffin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673.68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80MSFC20D0009 (Jun 2020); GAO-23-105938</w:t>
            </w:r>
          </w:p>
        </w:tc>
      </w:tr>
      <w:tr>
        <w:tc>
          <w:tcPr>
            <w:tcW w:w="0" w:type="auto"/>
          </w:tcPr>
          <w:p>
            <w:pPr>
              <w:spacing w:line="240" w:lineRule="auto" w:before="0" w:after="0"/>
              <w:pStyle w:val="Compact"/>
            </w:pPr>
            <w:r>
              <w:rPr>
                <w:sz w:val="20"/>
                <w:szCs w:val="20"/>
              </w:rPr>
              <w:t xml:space="preserve">CLPS_BlueGhost_M1</w:t>
            </w:r>
          </w:p>
        </w:tc>
        <w:tc>
          <w:tcPr>
            <w:tcW w:w="0" w:type="auto"/>
          </w:tcPr>
          <w:p>
            <w:pPr>
              <w:spacing w:line="240" w:lineRule="auto" w:before="0" w:after="0"/>
              <w:pStyle w:val="Compact"/>
            </w:pPr>
            <w:r>
              <w:rPr>
                <w:sz w:val="20"/>
                <w:szCs w:val="20"/>
              </w:rPr>
              <w:t xml:space="preserve">Firefly_Aerospace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Blue_Ghost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601.94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80MSFC20D0007 (Feb 2021)</w:t>
            </w:r>
          </w:p>
        </w:tc>
      </w:tr>
      <w:tr>
        <w:tc>
          <w:tcPr>
            <w:tcW w:w="0" w:type="auto"/>
          </w:tcPr>
          <w:p>
            <w:pPr>
              <w:spacing w:line="240" w:lineRule="auto" w:before="0" w:after="0"/>
              <w:pStyle w:val="Compact"/>
            </w:pPr>
            <w:r>
              <w:rPr>
                <w:sz w:val="20"/>
                <w:szCs w:val="20"/>
              </w:rPr>
              <w:t xml:space="preserve">CLPS_BlueGhost_M2</w:t>
            </w:r>
          </w:p>
        </w:tc>
        <w:tc>
          <w:tcPr>
            <w:tcW w:w="0" w:type="auto"/>
          </w:tcPr>
          <w:p>
            <w:pPr>
              <w:spacing w:line="240" w:lineRule="auto" w:before="0" w:after="0"/>
              <w:pStyle w:val="Compact"/>
            </w:pPr>
            <w:r>
              <w:rPr>
                <w:sz w:val="20"/>
                <w:szCs w:val="20"/>
              </w:rPr>
              <w:t xml:space="preserve">Firefly_Aerospace</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Blue_Ghost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746.67</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6.616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(Mar 2023)</w:t>
            </w:r>
          </w:p>
        </w:tc>
      </w:tr>
      <w:tr>
        <w:tc>
          <w:tcPr>
            <w:tcW w:w="0" w:type="auto"/>
          </w:tcPr>
          <w:p>
            <w:pPr>
              <w:spacing w:line="240" w:lineRule="auto" w:before="0" w:after="0"/>
              <w:pStyle w:val="Compact"/>
            </w:pPr>
            <w:r>
              <w:rPr>
                <w:sz w:val="20"/>
                <w:szCs w:val="20"/>
              </w:rPr>
              <w:t xml:space="preserve">CLPS_BlueGhost_M3</w:t>
            </w:r>
          </w:p>
        </w:tc>
        <w:tc>
          <w:tcPr>
            <w:tcW w:w="0" w:type="auto"/>
          </w:tcPr>
          <w:p>
            <w:pPr>
              <w:spacing w:line="240" w:lineRule="auto" w:before="0" w:after="0"/>
              <w:pStyle w:val="Compact"/>
            </w:pPr>
            <w:r>
              <w:rPr>
                <w:sz w:val="20"/>
                <w:szCs w:val="20"/>
              </w:rPr>
              <w:t xml:space="preserve">Firefly_Aerospace</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Blue_Ghost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179.6</w:t>
            </w:r>
          </w:p>
        </w:tc>
        <w:tc>
          <w:tcPr>
            <w:tcW w:w="0" w:type="auto"/>
          </w:tcPr>
          <w:p>
            <w:pPr>
              <w:spacing w:line="240" w:lineRule="auto" w:before="0" w:after="0"/>
              <w:pStyle w:val="Compact"/>
            </w:pPr>
            <w:r>
              <w:rPr>
                <w:sz w:val="20"/>
                <w:szCs w:val="20"/>
              </w:rPr>
              <w:t xml:space="preserve">1122.5</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7.023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(Aug 2024)</w:t>
            </w:r>
          </w:p>
        </w:tc>
      </w:tr>
      <w:tr>
        <w:tc>
          <w:tcPr>
            <w:tcW w:w="0" w:type="auto"/>
          </w:tcPr>
          <w:p>
            <w:pPr>
              <w:spacing w:line="240" w:lineRule="auto" w:before="0" w:after="0"/>
              <w:pStyle w:val="Compact"/>
            </w:pPr>
            <w:r>
              <w:rPr>
                <w:sz w:val="20"/>
                <w:szCs w:val="20"/>
              </w:rPr>
              <w:t xml:space="preserve">CLPS_Draper_SERIES2</w:t>
            </w:r>
          </w:p>
        </w:tc>
        <w:tc>
          <w:tcPr>
            <w:tcW w:w="0" w:type="auto"/>
          </w:tcPr>
          <w:p>
            <w:pPr>
              <w:spacing w:line="240" w:lineRule="auto" w:before="0" w:after="0"/>
              <w:pStyle w:val="Compact"/>
            </w:pPr>
            <w:r>
              <w:rPr>
                <w:sz w:val="20"/>
                <w:szCs w:val="20"/>
              </w:rPr>
              <w:t xml:space="preserve">Draper_ispace</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APEX_1_0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Lunar_FarSide</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760.42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80MSFC22D0002 (Jul 2022)</w:t>
            </w:r>
          </w:p>
        </w:tc>
      </w:tr>
      <w:tr>
        <w:tc>
          <w:tcPr>
            <w:tcW w:w="0" w:type="auto"/>
          </w:tcPr>
          <w:p>
            <w:pPr>
              <w:spacing w:line="240" w:lineRule="auto" w:before="0" w:after="0"/>
              <w:pStyle w:val="Compact"/>
            </w:pPr>
            <w:r>
              <w:rPr>
                <w:sz w:val="20"/>
                <w:szCs w:val="20"/>
              </w:rPr>
              <w:t xml:space="preserve">Falcon9_cislunar_avg</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8300</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8.07</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2.088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NLS-II published list; NASA Launch Services NLS-II [illustrative average]</w:t>
            </w:r>
          </w:p>
        </w:tc>
      </w:tr>
      <w:tr>
        <w:tc>
          <w:tcPr>
            <w:tcW w:w="0" w:type="auto"/>
          </w:tcPr>
          <w:p>
            <w:pPr>
              <w:spacing w:line="240" w:lineRule="auto" w:before="0" w:after="0"/>
              <w:pStyle w:val="Compact"/>
            </w:pPr>
            <w:r>
              <w:rPr>
                <w:sz w:val="20"/>
                <w:szCs w:val="20"/>
              </w:rPr>
              <w:t xml:space="preserve">FH_Psyche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47.69</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3.864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(Feb 2020); NASA Psyche press kit</w:t>
            </w:r>
          </w:p>
        </w:tc>
      </w:tr>
      <w:tr>
        <w:tc>
          <w:tcPr>
            <w:tcW w:w="0" w:type="auto"/>
          </w:tcPr>
          <w:p>
            <w:pPr>
              <w:spacing w:line="240" w:lineRule="auto" w:before="0" w:after="0"/>
              <w:pStyle w:val="Compact"/>
            </w:pPr>
            <w:r>
              <w:rPr>
                <w:sz w:val="20"/>
                <w:szCs w:val="20"/>
              </w:rPr>
              <w:t xml:space="preserve">AtlasV_Lucy</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Atlas_V_401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148.3</w:t>
            </w:r>
          </w:p>
        </w:tc>
        <w:tc>
          <w:tcPr>
            <w:tcW w:w="0" w:type="auto"/>
          </w:tcPr>
          <w:p>
            <w:pPr>
              <w:spacing w:line="240" w:lineRule="auto" w:before="0" w:after="0"/>
              <w:pStyle w:val="Compact"/>
            </w:pPr>
            <w:r>
              <w:rPr>
                <w:sz w:val="20"/>
                <w:szCs w:val="20"/>
              </w:rPr>
              <w:t xml:space="preserve">95.68</w:t>
            </w:r>
          </w:p>
        </w:tc>
        <w:tc>
          <w:tcPr>
            <w:tcW w:w="0" w:type="auto"/>
          </w:tcPr>
          <w:p>
            <w:pPr>
              <w:spacing w:line="240" w:lineRule="auto" w:before="0" w:after="0"/>
              <w:pStyle w:val="Compact"/>
            </w:pPr>
            <w:r>
              <w:rPr>
                <w:sz w:val="20"/>
                <w:szCs w:val="20"/>
              </w:rPr>
              <w:t xml:space="preserve">4.489</w:t>
            </w:r>
          </w:p>
        </w:tc>
        <w:tc>
          <w:tcPr>
            <w:tcW w:w="0" w:type="auto"/>
          </w:tcPr>
          <w:p>
            <w:pPr>
              <w:spacing w:line="240" w:lineRule="auto" w:before="0" w:after="0"/>
              <w:pStyle w:val="Compact"/>
            </w:pPr>
            <w:r>
              <w:rPr>
                <w:sz w:val="20"/>
                <w:szCs w:val="20"/>
              </w:rPr>
              <w:t xml:space="preserve">4.561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NASA Lucy press kit</w:t>
            </w:r>
          </w:p>
        </w:tc>
      </w:tr>
      <w:tr>
        <w:tc>
          <w:tcPr>
            <w:tcW w:w="0" w:type="auto"/>
          </w:tcPr>
          <w:p>
            <w:pPr>
              <w:spacing w:line="240" w:lineRule="auto" w:before="0" w:after="0"/>
              <w:pStyle w:val="Compact"/>
            </w:pPr>
            <w:r>
              <w:rPr>
                <w:sz w:val="20"/>
                <w:szCs w:val="20"/>
              </w:rPr>
              <w:t xml:space="preserve">AtlasV_OSIRIS_REx</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Atlas_V_411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2110</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183.5</w:t>
            </w:r>
          </w:p>
        </w:tc>
        <w:tc>
          <w:tcPr>
            <w:tcW w:w="0" w:type="auto"/>
          </w:tcPr>
          <w:p>
            <w:pPr>
              <w:spacing w:line="240" w:lineRule="auto" w:before="0" w:after="0"/>
              <w:pStyle w:val="Compact"/>
            </w:pPr>
            <w:r>
              <w:rPr>
                <w:sz w:val="20"/>
                <w:szCs w:val="20"/>
              </w:rPr>
              <w:t xml:space="preserve">86.97</w:t>
            </w:r>
          </w:p>
        </w:tc>
        <w:tc>
          <w:tcPr>
            <w:tcW w:w="0" w:type="auto"/>
          </w:tcPr>
          <w:p>
            <w:pPr>
              <w:spacing w:line="240" w:lineRule="auto" w:before="0" w:after="0"/>
              <w:pStyle w:val="Compact"/>
            </w:pPr>
            <w:r>
              <w:rPr>
                <w:sz w:val="20"/>
                <w:szCs w:val="20"/>
              </w:rPr>
              <w:t xml:space="preserve">4.205</w:t>
            </w:r>
          </w:p>
        </w:tc>
        <w:tc>
          <w:tcPr>
            <w:tcW w:w="0" w:type="auto"/>
          </w:tcPr>
          <w:p>
            <w:pPr>
              <w:spacing w:line="240" w:lineRule="auto" w:before="0" w:after="0"/>
              <w:pStyle w:val="Compact"/>
            </w:pPr>
            <w:r>
              <w:rPr>
                <w:sz w:val="20"/>
                <w:szCs w:val="20"/>
              </w:rPr>
              <w:t xml:space="preserve">4.465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(Jul 2013); NASA OSIRIS-REx press kit</w:t>
            </w:r>
          </w:p>
        </w:tc>
      </w:tr>
      <w:tr>
        <w:tc>
          <w:tcPr>
            <w:tcW w:w="0" w:type="auto"/>
          </w:tcPr>
          <w:p>
            <w:pPr>
              <w:spacing w:line="240" w:lineRule="auto" w:before="0" w:after="0"/>
              <w:pStyle w:val="Compact"/>
            </w:pPr>
            <w:r>
              <w:rPr>
                <w:sz w:val="20"/>
                <w:szCs w:val="20"/>
              </w:rPr>
              <w:t xml:space="preserve">DeltaIVH_Parker</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Delta_IV_Heavy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389</w:t>
            </w:r>
          </w:p>
        </w:tc>
        <w:tc>
          <w:tcPr>
            <w:tcW w:w="0" w:type="auto"/>
          </w:tcPr>
          <w:p>
            <w:pPr>
              <w:spacing w:line="240" w:lineRule="auto" w:before="0" w:after="0"/>
              <w:pStyle w:val="Compact"/>
            </w:pPr>
            <w:r>
              <w:rPr>
                <w:sz w:val="20"/>
                <w:szCs w:val="20"/>
              </w:rPr>
              <w:t xml:space="preserve">567.88</w:t>
            </w:r>
          </w:p>
        </w:tc>
        <w:tc>
          <w:tcPr>
            <w:tcW w:w="0" w:type="auto"/>
          </w:tcPr>
          <w:p>
            <w:pPr>
              <w:spacing w:line="240" w:lineRule="auto" w:before="0" w:after="0"/>
              <w:pStyle w:val="Compact"/>
            </w:pPr>
            <w:r>
              <w:rPr>
                <w:sz w:val="20"/>
                <w:szCs w:val="20"/>
              </w:rPr>
              <w:t xml:space="preserve">2.197</w:t>
            </w:r>
          </w:p>
        </w:tc>
        <w:tc>
          <w:tcPr>
            <w:tcW w:w="0" w:type="auto"/>
          </w:tcPr>
          <w:p>
            <w:pPr>
              <w:spacing w:line="240" w:lineRule="auto" w:before="0" w:after="0"/>
              <w:pStyle w:val="Compact"/>
            </w:pPr>
            <w:r>
              <w:rPr>
                <w:sz w:val="20"/>
                <w:szCs w:val="20"/>
              </w:rPr>
              <w:t xml:space="preserve">6.342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 contract (Mar 2015); NASA Parker Solar Probe press kit</w:t>
            </w:r>
          </w:p>
        </w:tc>
      </w:tr>
      <w:tr>
        <w:tc>
          <w:tcPr>
            <w:tcW w:w="0" w:type="auto"/>
          </w:tcPr>
          <w:p>
            <w:pPr>
              <w:spacing w:line="240" w:lineRule="auto" w:before="0" w:after="0"/>
              <w:pStyle w:val="Compact"/>
            </w:pPr>
            <w:r>
              <w:rPr>
                <w:sz w:val="20"/>
                <w:szCs w:val="20"/>
              </w:rPr>
              <w:t xml:space="preserve">AtlasV_Mars2020</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Atlas_V_541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237.07</w:t>
            </w:r>
          </w:p>
        </w:tc>
        <w:tc>
          <w:tcPr>
            <w:tcW w:w="0" w:type="auto"/>
          </w:tcPr>
          <w:p>
            <w:pPr>
              <w:spacing w:line="240" w:lineRule="auto" w:before="0" w:after="0"/>
              <w:pStyle w:val="Compact"/>
            </w:pPr>
            <w:r>
              <w:rPr>
                <w:sz w:val="20"/>
                <w:szCs w:val="20"/>
              </w:rPr>
              <w:t xml:space="preserve">4.407</w:t>
            </w:r>
          </w:p>
        </w:tc>
        <w:tc>
          <w:tcPr>
            <w:tcW w:w="0" w:type="auto"/>
          </w:tcPr>
          <w:p>
            <w:pPr>
              <w:spacing w:line="240" w:lineRule="auto" w:before="0" w:after="0"/>
              <w:pStyle w:val="Compact"/>
            </w:pPr>
            <w:r>
              <w:rPr>
                <w:sz w:val="20"/>
                <w:szCs w:val="20"/>
              </w:rPr>
              <w:t xml:space="preserve">5.468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(Aug 2016); NASA Mars 2020 press kit</w:t>
            </w:r>
          </w:p>
        </w:tc>
      </w:tr>
      <w:tr>
        <w:tc>
          <w:tcPr>
            <w:tcW w:w="0" w:type="auto"/>
          </w:tcPr>
          <w:p>
            <w:pPr>
              <w:spacing w:line="240" w:lineRule="auto" w:before="0" w:after="0"/>
              <w:pStyle w:val="Compact"/>
            </w:pPr>
            <w:r>
              <w:rPr>
                <w:sz w:val="20"/>
                <w:szCs w:val="20"/>
              </w:rPr>
              <w:t xml:space="preserve">AtlasV_MSL</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Atlas_V_541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216.91</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5.379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LSP (Oct 2006); NASA MSL press kit</w:t>
            </w:r>
          </w:p>
        </w:tc>
      </w:tr>
      <w:tr>
        <w:tc>
          <w:tcPr>
            <w:tcW w:w="0" w:type="auto"/>
          </w:tcPr>
          <w:p>
            <w:pPr>
              <w:spacing w:line="240" w:lineRule="auto" w:before="0" w:after="0"/>
              <w:pStyle w:val="Compact"/>
            </w:pPr>
            <w:r>
              <w:rPr>
                <w:sz w:val="20"/>
                <w:szCs w:val="20"/>
              </w:rPr>
              <w:t xml:space="preserve">AtlasV_MAVEN</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Atlas_V_401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76.21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4.333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(Oct 2010); NASA MAVEN press kit</w:t>
            </w:r>
          </w:p>
        </w:tc>
      </w:tr>
      <w:tr>
        <w:tc>
          <w:tcPr>
            <w:tcW w:w="0" w:type="auto"/>
          </w:tcPr>
          <w:p>
            <w:pPr>
              <w:spacing w:line="240" w:lineRule="auto" w:before="0" w:after="0"/>
              <w:pStyle w:val="Compact"/>
            </w:pPr>
            <w:r>
              <w:rPr>
                <w:sz w:val="20"/>
                <w:szCs w:val="20"/>
              </w:rPr>
              <w:t xml:space="preserve">AtlasV_Juno</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Atlas_V_551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52.41</w:t>
            </w:r>
          </w:p>
        </w:tc>
        <w:tc>
          <w:tcPr>
            <w:tcW w:w="0" w:type="auto"/>
          </w:tcPr>
          <w:p>
            <w:pPr>
              <w:spacing w:line="240" w:lineRule="auto" w:before="0" w:after="0"/>
              <w:pStyle w:val="Compact"/>
            </w:pPr>
            <w:r>
              <w:rPr>
                <w:sz w:val="20"/>
                <w:szCs w:val="20"/>
              </w:rPr>
              <w:t xml:space="preserve">3.296</w:t>
            </w:r>
          </w:p>
        </w:tc>
        <w:tc>
          <w:tcPr>
            <w:tcW w:w="0" w:type="auto"/>
          </w:tcPr>
          <w:p>
            <w:pPr>
              <w:spacing w:line="240" w:lineRule="auto" w:before="0" w:after="0"/>
              <w:pStyle w:val="Compact"/>
            </w:pPr>
            <w:r>
              <w:rPr>
                <w:sz w:val="20"/>
                <w:szCs w:val="20"/>
              </w:rPr>
              <w:t xml:space="preserve">3.959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 contract (Jun 2008); NASA Juno press kit</w:t>
            </w:r>
          </w:p>
        </w:tc>
      </w:tr>
      <w:tr>
        <w:tc>
          <w:tcPr>
            <w:tcW w:w="0" w:type="auto"/>
          </w:tcPr>
          <w:p>
            <w:pPr>
              <w:spacing w:line="240" w:lineRule="auto" w:before="0" w:after="0"/>
              <w:pStyle w:val="Compact"/>
            </w:pPr>
            <w:r>
              <w:rPr>
                <w:sz w:val="20"/>
                <w:szCs w:val="20"/>
              </w:rPr>
              <w:t xml:space="preserve">FH_EuropaClipper</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29.35</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3.379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(Jul 2021); NASA Europa Clipper press kit</w:t>
            </w:r>
          </w:p>
        </w:tc>
      </w:tr>
      <w:tr>
        <w:tc>
          <w:tcPr>
            <w:tcW w:w="0" w:type="auto"/>
          </w:tcPr>
          <w:p>
            <w:pPr>
              <w:spacing w:line="240" w:lineRule="auto" w:before="0" w:after="0"/>
              <w:pStyle w:val="Compact"/>
            </w:pPr>
            <w:r>
              <w:rPr>
                <w:sz w:val="20"/>
                <w:szCs w:val="20"/>
              </w:rPr>
              <w:t xml:space="preserve">SLS_ArtemisI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26988</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4100</w:t>
            </w:r>
          </w:p>
        </w:tc>
        <w:tc>
          <w:tcPr>
            <w:tcW w:w="0" w:type="auto"/>
          </w:tcPr>
          <w:p>
            <w:pPr>
              <w:spacing w:line="240" w:lineRule="auto" w:before="0" w:after="0"/>
              <w:pStyle w:val="Compact"/>
            </w:pPr>
            <w:r>
              <w:rPr>
                <w:sz w:val="20"/>
                <w:szCs w:val="20"/>
              </w:rPr>
              <w:t xml:space="preserve">151.92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IG-22-003; GAO-23-106021; GAO-24-106767</w:t>
            </w:r>
          </w:p>
        </w:tc>
      </w:tr>
      <w:tr>
        <w:tc>
          <w:tcPr>
            <w:tcW w:w="0" w:type="auto"/>
          </w:tcPr>
          <w:p>
            <w:pPr>
              <w:spacing w:line="240" w:lineRule="auto" w:before="0" w:after="0"/>
              <w:pStyle w:val="Compact"/>
            </w:pPr>
            <w:r>
              <w:rPr>
                <w:sz w:val="20"/>
                <w:szCs w:val="20"/>
              </w:rPr>
              <w:t xml:space="preserve">FH_Roman</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4166</w:t>
            </w:r>
          </w:p>
        </w:tc>
        <w:tc>
          <w:tcPr>
            <w:tcW w:w="0" w:type="auto"/>
          </w:tcPr>
          <w:p>
            <w:pPr>
              <w:spacing w:line="240" w:lineRule="auto" w:before="0" w:after="0"/>
              <w:pStyle w:val="Compact"/>
            </w:pPr>
            <w:r>
              <w:rPr>
                <w:sz w:val="20"/>
                <w:szCs w:val="20"/>
              </w:rPr>
              <w:t xml:space="preserve">Cislunar_L2</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61.21</w:t>
            </w:r>
          </w:p>
        </w:tc>
        <w:tc>
          <w:tcPr>
            <w:tcW w:w="0" w:type="auto"/>
          </w:tcPr>
          <w:p>
            <w:pPr>
              <w:spacing w:line="240" w:lineRule="auto" w:before="0" w:after="0"/>
              <w:pStyle w:val="Compact"/>
            </w:pPr>
            <w:r>
              <w:rPr>
                <w:sz w:val="20"/>
                <w:szCs w:val="20"/>
              </w:rPr>
              <w:t xml:space="preserve">2.708</w:t>
            </w:r>
          </w:p>
        </w:tc>
        <w:tc>
          <w:tcPr>
            <w:tcW w:w="0" w:type="auto"/>
          </w:tcPr>
          <w:p>
            <w:pPr>
              <w:spacing w:line="240" w:lineRule="auto" w:before="0" w:after="0"/>
              <w:pStyle w:val="Compact"/>
            </w:pPr>
            <w:r>
              <w:rPr>
                <w:sz w:val="20"/>
                <w:szCs w:val="20"/>
              </w:rPr>
              <w:t xml:space="preserve">4.114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(Jul 2022); NASA Roman press release</w:t>
            </w:r>
          </w:p>
        </w:tc>
      </w:tr>
      <w:tr>
        <w:tc>
          <w:tcPr>
            <w:tcW w:w="0" w:type="auto"/>
          </w:tcPr>
          <w:p>
            <w:pPr>
              <w:spacing w:line="240" w:lineRule="auto" w:before="0" w:after="0"/>
              <w:pStyle w:val="Compact"/>
            </w:pPr>
            <w:r>
              <w:rPr>
                <w:sz w:val="20"/>
                <w:szCs w:val="20"/>
              </w:rPr>
              <w:t xml:space="preserve">AtlasV_GRAIL</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Atlas_V_401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220.47</w:t>
            </w:r>
          </w:p>
        </w:tc>
        <w:tc>
          <w:tcPr>
            <w:tcW w:w="0" w:type="auto"/>
          </w:tcPr>
          <w:p>
            <w:pPr>
              <w:spacing w:line="240" w:lineRule="auto" w:before="0" w:after="0"/>
              <w:pStyle w:val="Compact"/>
            </w:pPr>
            <w:r>
              <w:rPr>
                <w:sz w:val="20"/>
                <w:szCs w:val="20"/>
              </w:rPr>
              <w:t xml:space="preserve">3.258</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LSP (Sep 2008); NASA GRAIL press kit</w:t>
            </w:r>
          </w:p>
        </w:tc>
      </w:tr>
      <w:tr>
        <w:tc>
          <w:tcPr>
            <w:tcW w:w="0" w:type="auto"/>
          </w:tcPr>
          <w:p>
            <w:pPr>
              <w:spacing w:line="240" w:lineRule="auto" w:before="0" w:after="0"/>
              <w:pStyle w:val="Compact"/>
            </w:pPr>
            <w:r>
              <w:rPr>
                <w:sz w:val="20"/>
                <w:szCs w:val="20"/>
              </w:rPr>
              <w:t xml:space="preserve">Falcon9_LCRD</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415</w:t>
            </w:r>
          </w:p>
        </w:tc>
        <w:tc>
          <w:tcPr>
            <w:tcW w:w="0" w:type="auto"/>
          </w:tcPr>
          <w:p>
            <w:pPr>
              <w:spacing w:line="240" w:lineRule="auto" w:before="0" w:after="0"/>
              <w:pStyle w:val="Compact"/>
            </w:pPr>
            <w:r>
              <w:rPr>
                <w:sz w:val="20"/>
                <w:szCs w:val="20"/>
              </w:rPr>
              <w:t xml:space="preserve">Cislunar_transfer</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238.55</w:t>
            </w:r>
          </w:p>
        </w:tc>
        <w:tc>
          <w:tcPr>
            <w:tcW w:w="0" w:type="auto"/>
          </w:tcPr>
          <w:p>
            <w:pPr>
              <w:spacing w:line="240" w:lineRule="auto" w:before="0" w:after="0"/>
              <w:pStyle w:val="Compact"/>
            </w:pPr>
            <w:r>
              <w:rPr>
                <w:sz w:val="20"/>
                <w:szCs w:val="20"/>
              </w:rPr>
              <w:t xml:space="preserve">4.898</w:t>
            </w:r>
          </w:p>
        </w:tc>
        <w:tc>
          <w:tcPr>
            <w:tcW w:w="0" w:type="auto"/>
          </w:tcPr>
          <w:p>
            <w:pPr>
              <w:spacing w:line="240" w:lineRule="auto" w:before="0" w:after="0"/>
              <w:pStyle w:val="Compact"/>
            </w:pPr>
            <w:r>
              <w:rPr>
                <w:sz w:val="20"/>
                <w:szCs w:val="20"/>
              </w:rPr>
              <w:t xml:space="preserve">5.475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STP-3 task order (Aug 2018); NASA LCRD project page</w:t>
            </w:r>
          </w:p>
        </w:tc>
      </w:tr>
      <w:tr>
        <w:tc>
          <w:tcPr>
            <w:tcW w:w="0" w:type="auto"/>
          </w:tcPr>
          <w:p>
            <w:pPr>
              <w:spacing w:line="240" w:lineRule="auto" w:before="0" w:after="0"/>
              <w:pStyle w:val="Compact"/>
            </w:pPr>
            <w:r>
              <w:rPr>
                <w:sz w:val="20"/>
                <w:szCs w:val="20"/>
              </w:rPr>
              <w:t xml:space="preserve">Falcon9_IXPE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Cislunar_transfer</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152.42</w:t>
            </w:r>
          </w:p>
        </w:tc>
        <w:tc>
          <w:tcPr>
            <w:tcW w:w="0" w:type="auto"/>
          </w:tcPr>
          <w:p>
            <w:pPr>
              <w:spacing w:line="240" w:lineRule="auto" w:before="0" w:after="0"/>
              <w:pStyle w:val="Compact"/>
            </w:pPr>
            <w:r>
              <w:rPr>
                <w:sz w:val="20"/>
                <w:szCs w:val="20"/>
              </w:rPr>
              <w:t xml:space="preserve">4.905</w:t>
            </w:r>
          </w:p>
        </w:tc>
        <w:tc>
          <w:tcPr>
            <w:tcW w:w="0" w:type="auto"/>
          </w:tcPr>
          <w:p>
            <w:pPr>
              <w:spacing w:line="240" w:lineRule="auto" w:before="0" w:after="0"/>
              <w:pStyle w:val="Compact"/>
            </w:pPr>
            <w:r>
              <w:rPr>
                <w:sz w:val="20"/>
                <w:szCs w:val="20"/>
              </w:rPr>
              <w:t xml:space="preserve">5.027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(Jul 2017); NASA IXPE press kit</w:t>
            </w:r>
          </w:p>
        </w:tc>
      </w:tr>
      <w:tr>
        <w:tc>
          <w:tcPr>
            <w:tcW w:w="0" w:type="auto"/>
          </w:tcPr>
          <w:p>
            <w:pPr>
              <w:spacing w:line="240" w:lineRule="auto" w:before="0" w:after="0"/>
              <w:pStyle w:val="Compact"/>
            </w:pPr>
            <w:r>
              <w:rPr>
                <w:sz w:val="20"/>
                <w:szCs w:val="20"/>
              </w:rPr>
              <w:t xml:space="preserve">Falcon9_DART</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113.11</w:t>
            </w:r>
          </w:p>
        </w:tc>
        <w:tc>
          <w:tcPr>
            <w:tcW w:w="0" w:type="auto"/>
          </w:tcPr>
          <w:p>
            <w:pPr>
              <w:spacing w:line="240" w:lineRule="auto" w:before="0" w:after="0"/>
              <w:pStyle w:val="Compact"/>
            </w:pPr>
            <w:r>
              <w:rPr>
                <w:sz w:val="20"/>
                <w:szCs w:val="20"/>
              </w:rPr>
              <w:t xml:space="preserve">4.942</w:t>
            </w:r>
          </w:p>
        </w:tc>
        <w:tc>
          <w:tcPr>
            <w:tcW w:w="0" w:type="auto"/>
          </w:tcPr>
          <w:p>
            <w:pPr>
              <w:spacing w:line="240" w:lineRule="auto" w:before="0" w:after="0"/>
              <w:pStyle w:val="Compact"/>
            </w:pPr>
            <w:r>
              <w:rPr>
                <w:sz w:val="20"/>
                <w:szCs w:val="20"/>
              </w:rPr>
              <w:t xml:space="preserve">4.728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(Apr 2019); NASA DART press kit</w:t>
            </w:r>
          </w:p>
        </w:tc>
      </w:tr>
      <w:tr>
        <w:tc>
          <w:tcPr>
            <w:tcW w:w="0" w:type="auto"/>
          </w:tcPr>
          <w:p>
            <w:pPr>
              <w:spacing w:line="240" w:lineRule="auto" w:before="0" w:after="0"/>
              <w:pStyle w:val="Compact"/>
            </w:pPr>
            <w:r>
              <w:rPr>
                <w:sz w:val="20"/>
                <w:szCs w:val="20"/>
              </w:rPr>
              <w:t xml:space="preserve">FH_GOESU</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GEO_via_cislunar</w:t>
            </w:r>
          </w:p>
        </w:tc>
        <w:tc>
          <w:tcPr>
            <w:tcW w:w="0" w:type="auto"/>
          </w:tcPr>
          <w:p>
            <w:pPr>
              <w:spacing w:line="240" w:lineRule="auto" w:before="0" w:after="0"/>
              <w:pStyle w:val="Compact"/>
            </w:pPr>
            <w:r>
              <w:rPr>
                <w:sz w:val="20"/>
                <w:szCs w:val="20"/>
              </w:rPr>
              <w:t xml:space="preserve">152.5</w:t>
            </w:r>
          </w:p>
        </w:tc>
        <w:tc>
          <w:tcPr>
            <w:tcW w:w="0" w:type="auto"/>
          </w:tcPr>
          <w:p>
            <w:pPr>
              <w:spacing w:line="240" w:lineRule="auto" w:before="0" w:after="0"/>
              <w:pStyle w:val="Compact"/>
            </w:pPr>
            <w:r>
              <w:rPr>
                <w:sz w:val="20"/>
                <w:szCs w:val="20"/>
              </w:rPr>
              <w:t xml:space="preserve">29.37</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(Sep 2019); NOAA GOES-U press release</w:t>
            </w:r>
          </w:p>
        </w:tc>
      </w:tr>
      <w:tr>
        <w:tc>
          <w:tcPr>
            <w:tcW w:w="0" w:type="auto"/>
          </w:tcPr>
          <w:p>
            <w:pPr>
              <w:spacing w:line="240" w:lineRule="auto" w:before="0" w:after="0"/>
              <w:pStyle w:val="Compact"/>
            </w:pPr>
            <w:r>
              <w:rPr>
                <w:sz w:val="20"/>
                <w:szCs w:val="20"/>
              </w:rPr>
              <w:t xml:space="preserve">Vulcan_Peregrine</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Vulcan_Centaur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(May 2019); ULA Vulcan certification release</w:t>
            </w:r>
          </w:p>
        </w:tc>
      </w:tr>
      <w:tr>
        <w:tc>
          <w:tcPr>
            <w:tcW w:w="0" w:type="auto"/>
          </w:tcPr>
          <w:p>
            <w:pPr>
              <w:spacing w:line="240" w:lineRule="auto" w:before="0" w:after="0"/>
              <w:pStyle w:val="Compact"/>
            </w:pPr>
            <w:r>
              <w:rPr>
                <w:sz w:val="20"/>
                <w:szCs w:val="20"/>
              </w:rPr>
              <w:t xml:space="preserve">NewGlenn_EscaPADE</w:t>
            </w:r>
          </w:p>
        </w:tc>
        <w:tc>
          <w:tcPr>
            <w:tcW w:w="0" w:type="auto"/>
          </w:tcPr>
          <w:p>
            <w:pPr>
              <w:spacing w:line="240" w:lineRule="auto" w:before="0" w:after="0"/>
              <w:pStyle w:val="Compact"/>
            </w:pPr>
            <w:r>
              <w:rPr>
                <w:sz w:val="20"/>
                <w:szCs w:val="20"/>
              </w:rPr>
              <w:t xml:space="preserve">Blue_Origin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New_Glenn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533</w:t>
            </w:r>
          </w:p>
        </w:tc>
        <w:tc>
          <w:tcPr>
            <w:tcW w:w="0" w:type="auto"/>
          </w:tcPr>
          <w:p>
            <w:pPr>
              <w:spacing w:line="240" w:lineRule="auto" w:before="0" w:after="0"/>
              <w:pStyle w:val="Compact"/>
            </w:pPr>
            <w:r>
              <w:rPr>
                <w:sz w:val="20"/>
                <w:szCs w:val="20"/>
              </w:rPr>
              <w:t xml:space="preserve">Cislunar_transfer</w:t>
            </w:r>
          </w:p>
        </w:tc>
        <w:tc>
          <w:tcPr>
            <w:tcW w:w="0" w:type="auto"/>
          </w:tcPr>
          <w:p>
            <w:pPr>
              <w:spacing w:line="240" w:lineRule="auto" w:before="0" w:after="0"/>
              <w:pStyle w:val="Compact"/>
            </w:pPr>
            <w:r>
              <w:rPr>
                <w:sz w:val="20"/>
                <w:szCs w:val="20"/>
              </w:rPr>
              <w:t xml:space="preserve">79.4</w:t>
            </w:r>
          </w:p>
        </w:tc>
        <w:tc>
          <w:tcPr>
            <w:tcW w:w="0" w:type="auto"/>
          </w:tcPr>
          <w:p>
            <w:pPr>
              <w:spacing w:line="240" w:lineRule="auto" w:before="0" w:after="0"/>
              <w:pStyle w:val="Compact"/>
            </w:pPr>
            <w:r>
              <w:rPr>
                <w:sz w:val="20"/>
                <w:szCs w:val="20"/>
              </w:rPr>
              <w:t xml:space="preserve">148.97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VADR task order (Feb 2023); NASA Ames EscaPADE press release</w:t>
            </w:r>
          </w:p>
        </w:tc>
      </w:tr>
      <w:tr>
        <w:tc>
          <w:tcPr>
            <w:tcW w:w="0" w:type="auto"/>
          </w:tcPr>
          <w:p>
            <w:pPr>
              <w:spacing w:line="240" w:lineRule="auto" w:before="0" w:after="0"/>
              <w:pStyle w:val="Compact"/>
            </w:pPr>
            <w:r>
              <w:rPr>
                <w:sz w:val="20"/>
                <w:szCs w:val="20"/>
              </w:rPr>
              <w:t xml:space="preserve">Falcon9_PACE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1694</w:t>
            </w:r>
          </w:p>
        </w:tc>
        <w:tc>
          <w:tcPr>
            <w:tcW w:w="0" w:type="auto"/>
          </w:tcPr>
          <w:p>
            <w:pPr>
              <w:spacing w:line="240" w:lineRule="auto" w:before="0" w:after="0"/>
              <w:pStyle w:val="Compact"/>
            </w:pPr>
            <w:r>
              <w:rPr>
                <w:sz w:val="20"/>
                <w:szCs w:val="20"/>
              </w:rPr>
              <w:t xml:space="preserve">Cislunar_staging</w:t>
            </w:r>
          </w:p>
        </w:tc>
        <w:tc>
          <w:tcPr>
            <w:tcW w:w="0" w:type="auto"/>
          </w:tcPr>
          <w:p>
            <w:pPr>
              <w:spacing w:line="240" w:lineRule="auto" w:before="0" w:after="0"/>
              <w:pStyle w:val="Compact"/>
            </w:pPr>
            <w:r>
              <w:rPr>
                <w:sz w:val="20"/>
                <w:szCs w:val="20"/>
              </w:rPr>
              <w:t xml:space="preserve">80.4</w:t>
            </w:r>
          </w:p>
        </w:tc>
        <w:tc>
          <w:tcPr>
            <w:tcW w:w="0" w:type="auto"/>
          </w:tcPr>
          <w:p>
            <w:pPr>
              <w:spacing w:line="240" w:lineRule="auto" w:before="0" w:after="0"/>
              <w:pStyle w:val="Compact"/>
            </w:pPr>
            <w:r>
              <w:rPr>
                <w:sz w:val="20"/>
                <w:szCs w:val="20"/>
              </w:rPr>
              <w:t xml:space="preserve">47.46</w:t>
            </w:r>
          </w:p>
        </w:tc>
        <w:tc>
          <w:tcPr>
            <w:tcW w:w="0" w:type="auto"/>
          </w:tcPr>
          <w:p>
            <w:pPr>
              <w:spacing w:line="240" w:lineRule="auto" w:before="0" w:after="0"/>
              <w:pStyle w:val="Compact"/>
            </w:pPr>
            <w:r>
              <w:rPr>
                <w:sz w:val="20"/>
                <w:szCs w:val="20"/>
              </w:rPr>
              <w:t xml:space="preserve">5.561</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(Feb 2021); NASA PACE press kit</w:t>
            </w:r>
          </w:p>
        </w:tc>
      </w:tr>
      <w:tr>
        <w:tc>
          <w:tcPr>
            <w:tcW w:w="0" w:type="auto"/>
          </w:tcPr>
          <w:p>
            <w:pPr>
              <w:spacing w:line="240" w:lineRule="auto" w:before="0" w:after="0"/>
              <w:pStyle w:val="Compact"/>
            </w:pPr>
            <w:r>
              <w:rPr>
                <w:sz w:val="20"/>
                <w:szCs w:val="20"/>
              </w:rPr>
              <w:t xml:space="preserve">SLS_ArtemisII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27000</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155.56</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5.047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(2025); NASA OIG IG-24-015 [illustrative]</w:t>
            </w:r>
          </w:p>
        </w:tc>
      </w:tr>
      <w:tr>
        <w:tc>
          <w:tcPr>
            <w:tcW w:w="0" w:type="auto"/>
          </w:tcPr>
          <w:p>
            <w:pPr>
              <w:spacing w:line="240" w:lineRule="auto" w:before="0" w:after="0"/>
              <w:pStyle w:val="Compact"/>
            </w:pPr>
            <w:r>
              <w:rPr>
                <w:sz w:val="20"/>
                <w:szCs w:val="20"/>
              </w:rPr>
              <w:t xml:space="preserve">SLS_ArtemisIII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27000</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159.26</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5.071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(2025); NASA OIG IG-24-015 [illustrative]</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cost_per_kg_kusd</w:t>
            </w:r>
          </w:p>
        </w:tc>
        <w:tc>
          <w:tcPr>
            <w:tcW w:w="0" w:type="auto"/>
          </w:tcPr>
          <w:p>
            <w:pPr>
              <w:spacing w:line="240" w:lineRule="auto" w:before="0" w:after="0"/>
              <w:pStyle w:val="Compact"/>
            </w:pPr>
            <w:r>
              <w:rPr>
                <w:sz w:val="20"/>
                <w:szCs w:val="20"/>
              </w:rPr>
              <w:t xml:space="preserve">NASA-paid contract value for the launch or task order divided by mass delivered to destination, expressed in thousands of then-year USD per kilogram</w:t>
            </w:r>
          </w:p>
        </w:tc>
        <w:tc>
          <w:tcPr>
            <w:tcW w:w="0" w:type="auto"/>
          </w:tcPr>
          <w:p>
            <w:pPr>
              <w:spacing w:line="240" w:lineRule="auto" w:before="0" w:after="0"/>
              <w:pStyle w:val="Compact"/>
            </w:pPr>
            <w:r>
              <w:rPr>
                <w:sz w:val="20"/>
                <w:szCs w:val="20"/>
              </w:rPr>
              <w:t xml:space="preserve">NASA NLS-II and CLPS task-order awards; NASA OIG IG-24-006 CLPS audit; GAO-25-107591 NASA Major Project Assessment 2025; press kits per row source</w:t>
            </w:r>
          </w:p>
        </w:tc>
      </w:tr>
      <w:tr>
        <w:tc>
          <w:tcPr>
            <w:tcW w:w="0" w:type="auto"/>
          </w:tcPr>
          <w:p>
            <w:pPr>
              <w:spacing w:line="240" w:lineRule="auto" w:before="0" w:after="0"/>
              <w:pStyle w:val="Compact"/>
            </w:pPr>
            <w:r>
              <w:rPr>
                <w:sz w:val="20"/>
                <w:szCs w:val="20"/>
              </w:rPr>
              <w:t xml:space="preserve">log_cost_per_kg</w:t>
            </w:r>
          </w:p>
        </w:tc>
        <w:tc>
          <w:tcPr>
            <w:tcW w:w="0" w:type="auto"/>
          </w:tcPr>
          <w:p>
            <w:pPr>
              <w:spacing w:line="240" w:lineRule="auto" w:before="0" w:after="0"/>
              <w:pStyle w:val="Compact"/>
            </w:pPr>
            <w:r>
              <w:rPr>
                <w:sz w:val="20"/>
                <w:szCs w:val="20"/>
              </w:rPr>
              <w:t xml:space="preserve">Natural logarithm of cost_per_kg_kusd</w:t>
            </w:r>
          </w:p>
        </w:tc>
        <w:tc>
          <w:tcPr>
            <w:tcW w:w="0" w:type="auto"/>
          </w:tcPr>
          <w:p>
            <w:pPr>
              <w:spacing w:line="240" w:lineRule="auto" w:before="0" w:after="0"/>
              <w:pStyle w:val="Compact"/>
            </w:pPr>
            <w:r>
              <w:rPr>
                <w:sz w:val="20"/>
                <w:szCs w:val="20"/>
              </w:rPr>
              <w:t xml:space="preserve">Computed by candidate from the contract-value and mass-to-destination columns</w:t>
            </w:r>
          </w:p>
        </w:tc>
      </w:tr>
      <w:tr>
        <w:tc>
          <w:tcPr>
            <w:tcW w:w="0" w:type="auto"/>
          </w:tcPr>
          <w:p>
            <w:pPr>
              <w:spacing w:line="240" w:lineRule="auto" w:before="0" w:after="0"/>
              <w:pStyle w:val="Compact"/>
            </w:pPr>
            <w:r>
              <w:rPr>
                <w:sz w:val="20"/>
                <w:szCs w:val="20"/>
              </w:rPr>
              <w:t xml:space="preserve">cumulative_family_launches</w:t>
            </w:r>
          </w:p>
        </w:tc>
        <w:tc>
          <w:tcPr>
            <w:tcW w:w="0" w:type="auto"/>
          </w:tcPr>
          <w:p>
            <w:pPr>
              <w:spacing w:line="240" w:lineRule="auto" w:before="0" w:after="0"/>
              <w:pStyle w:val="Compact"/>
            </w:pPr>
            <w:r>
              <w:rPr>
                <w:sz w:val="20"/>
                <w:szCs w:val="20"/>
              </w:rPr>
              <w:t xml:space="preserve">Cumulative number of launches by the same vehicle family at the time of the observation (Wright learning curve unit count)</w:t>
            </w:r>
          </w:p>
        </w:tc>
        <w:tc>
          <w:tcPr>
            <w:tcW w:w="0" w:type="auto"/>
          </w:tcPr>
          <w:p>
            <w:pPr>
              <w:spacing w:line="240" w:lineRule="auto" w:before="0" w:after="0"/>
              <w:pStyle w:val="Compact"/>
            </w:pPr>
            <w:r>
              <w:rPr>
                <w:sz w:val="20"/>
                <w:szCs w:val="20"/>
              </w:rPr>
              <w:t xml:space="preserve">FAA AST commercial launch records; Jonathan McDowell space launch log; ULA, SpaceX, Blue Origin, and Northrop Grumman provider press releases per row source</w:t>
            </w:r>
          </w:p>
        </w:tc>
      </w:tr>
      <w:tr>
        <w:tc>
          <w:tcPr>
            <w:tcW w:w="0" w:type="auto"/>
          </w:tcPr>
          <w:p>
            <w:pPr>
              <w:spacing w:line="240" w:lineRule="auto" w:before="0" w:after="0"/>
              <w:pStyle w:val="Compact"/>
            </w:pPr>
            <w:r>
              <w:rPr>
                <w:sz w:val="20"/>
                <w:szCs w:val="20"/>
              </w:rPr>
              <w:t xml:space="preserve">log_cum_launches</w:t>
            </w:r>
          </w:p>
        </w:tc>
        <w:tc>
          <w:tcPr>
            <w:tcW w:w="0" w:type="auto"/>
          </w:tcPr>
          <w:p>
            <w:pPr>
              <w:spacing w:line="240" w:lineRule="auto" w:before="0" w:after="0"/>
              <w:pStyle w:val="Compact"/>
            </w:pPr>
            <w:r>
              <w:rPr>
                <w:sz w:val="20"/>
                <w:szCs w:val="20"/>
              </w:rPr>
              <w:t xml:space="preserve">Natural logarithm of cumulative_family_launches</w:t>
            </w:r>
          </w:p>
        </w:tc>
        <w:tc>
          <w:tcPr>
            <w:tcW w:w="0" w:type="auto"/>
          </w:tcPr>
          <w:p>
            <w:pPr>
              <w:spacing w:line="240" w:lineRule="auto" w:before="0" w:after="0"/>
              <w:pStyle w:val="Compact"/>
            </w:pPr>
            <w:r>
              <w:rPr>
                <w:sz w:val="20"/>
                <w:szCs w:val="20"/>
              </w:rPr>
              <w:t xml:space="preserve">Computed by candidate</w:t>
            </w:r>
          </w:p>
        </w:tc>
      </w:tr>
      <w:tr>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Indicator equal to 1 if the delivery is procured under NASA Commercial Lunar Payload Services, 0 otherwise</w:t>
            </w:r>
          </w:p>
        </w:tc>
        <w:tc>
          <w:tcPr>
            <w:tcW w:w="0" w:type="auto"/>
          </w:tcPr>
          <w:p>
            <w:pPr>
              <w:spacing w:line="240" w:lineRule="auto" w:before="0" w:after="0"/>
              <w:pStyle w:val="Compact"/>
            </w:pPr>
            <w:r>
              <w:rPr>
                <w:sz w:val="20"/>
                <w:szCs w:val="20"/>
              </w:rPr>
              <w:t xml:space="preserve">NASA CLPS task-order docket; nasa.gov/clps</w:t>
            </w:r>
          </w:p>
        </w:tc>
      </w:tr>
      <w:tr>
        <w:tc>
          <w:tcPr>
            <w:tcW w:w="0" w:type="auto"/>
          </w:tcPr>
          <w:p>
            <w:pPr>
              <w:spacing w:line="240" w:lineRule="auto" w:before="0" w:after="0"/>
              <w:pStyle w:val="Compact"/>
            </w:pPr>
            <w:r>
              <w:rPr>
                <w:sz w:val="20"/>
                <w:szCs w:val="20"/>
              </w:rPr>
              <w:t xml:space="preserve">destination</w:t>
            </w:r>
          </w:p>
        </w:tc>
        <w:tc>
          <w:tcPr>
            <w:tcW w:w="0" w:type="auto"/>
          </w:tcPr>
          <w:p>
            <w:pPr>
              <w:spacing w:line="240" w:lineRule="auto" w:before="0" w:after="0"/>
              <w:pStyle w:val="Compact"/>
            </w:pPr>
            <w:r>
              <w:rPr>
                <w:sz w:val="20"/>
                <w:szCs w:val="20"/>
              </w:rPr>
              <w:t xml:space="preserve">Operating regime of payload delivery: lunar surface, lunar orbit, trans-lunar injection, cislunar transfer, or cislunar escape</w:t>
            </w:r>
          </w:p>
        </w:tc>
        <w:tc>
          <w:tcPr>
            <w:tcW w:w="0" w:type="auto"/>
          </w:tcPr>
          <w:p>
            <w:pPr>
              <w:spacing w:line="240" w:lineRule="auto" w:before="0" w:after="0"/>
              <w:pStyle w:val="Compact"/>
            </w:pPr>
            <w:r>
              <w:rPr>
                <w:sz w:val="20"/>
                <w:szCs w:val="20"/>
              </w:rPr>
              <w:t xml:space="preserve">NASA mission press kits and concept-of-operations documents per row source</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1.7405</w:t>
            </w:r>
          </w:p>
        </w:tc>
        <w:tc>
          <w:tcPr>
            <w:tcW w:w="0" w:type="auto"/>
          </w:tcPr>
          <w:p>
            <w:pPr>
              <w:spacing w:line="240" w:lineRule="auto" w:before="0" w:after="0"/>
              <w:pStyle w:val="Compact"/>
            </w:pPr>
            <w:r>
              <w:rPr>
                <w:sz w:val="20"/>
                <w:szCs w:val="20"/>
              </w:rPr>
              <w:t xml:space="preserve">0.062</w:t>
            </w:r>
          </w:p>
        </w:tc>
        <w:tc>
          <w:tcPr>
            <w:tcW w:w="0" w:type="auto"/>
          </w:tcPr>
          <w:p>
            <w:pPr>
              <w:spacing w:line="240" w:lineRule="auto" w:before="0" w:after="0"/>
              <w:pStyle w:val="Compact"/>
            </w:pPr>
            <w:r>
              <w:rPr>
                <w:sz w:val="20"/>
                <w:szCs w:val="20"/>
              </w:rPr>
              <w:t xml:space="preserve">28.0821</w:t>
            </w:r>
          </w:p>
        </w:tc>
        <w:tc>
          <w:tcPr>
            <w:tcW w:w="0" w:type="auto"/>
          </w:tcPr>
          <w:p>
            <w:pPr>
              <w:spacing w:line="240" w:lineRule="auto" w:before="0" w:after="0"/>
              <w:pStyle w:val="Compact"/>
            </w:pPr>
            <w:r>
              <w:rPr>
                <w:sz w:val="20"/>
                <w:szCs w:val="20"/>
              </w:rPr>
              <w:t xml:space="preserve">1.619e-173</w:t>
            </w:r>
          </w:p>
        </w:tc>
        <w:tc>
          <w:tcPr>
            <w:tcW w:w="0" w:type="auto"/>
          </w:tcPr>
          <w:p>
            <w:pPr>
              <w:spacing w:line="240" w:lineRule="auto" w:before="0" w:after="0"/>
              <w:pStyle w:val="Compact"/>
            </w:pPr>
            <w:r>
              <w:rPr>
                <w:sz w:val="20"/>
                <w:szCs w:val="20"/>
              </w:rPr>
              <w:t xml:space="preserve">[1.619, 1.862]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-0.2029</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-2.9335</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[-0.3385, -0.0673]</w:t>
            </w:r>
          </w:p>
        </w:tc>
      </w:tr>
    </w:tbl>
    <w:p>
      <w:pPr>
        <w:pStyle w:val="BodyText"/>
      </w:pPr>
      <w:r>
        <w:t xml:space="preserve">Fit: N = 23 R2 = 0.2664 elasticity_b = -0.2029 progress_ratio_2^b = 0.8688</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2" Target="https://doi.org/10.1016/j.actaastro.2022.12.036" TargetMode="External" /><Relationship Type="http://schemas.openxmlformats.org/officeDocument/2006/relationships/hyperlink" Id="rId74" Target="https://doi.org/10.1016/j.actaastro.2024.05.009" TargetMode="External" /><Relationship Type="http://schemas.openxmlformats.org/officeDocument/2006/relationships/hyperlink" Id="rId70" Target="https://doi.org/10.1016/j.actaastro.2026.01.018" TargetMode="External" /><Relationship Type="http://schemas.openxmlformats.org/officeDocument/2006/relationships/hyperlink" Id="rId81" Target="https://doi.org/10.64861/GDKE6454" TargetMode="External" /><Relationship Type="http://schemas.openxmlformats.org/officeDocument/2006/relationships/hyperlink" Id="rId79" Target="https://doi.org/10.64861/TAQT887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2.12.036" TargetMode="External" /><Relationship Type="http://schemas.openxmlformats.org/officeDocument/2006/relationships/hyperlink" Id="rId74" Target="https://doi.org/10.1016/j.actaastro.2024.05.009" TargetMode="External" /><Relationship Type="http://schemas.openxmlformats.org/officeDocument/2006/relationships/hyperlink" Id="rId70" Target="https://doi.org/10.1016/j.actaastro.2026.01.018" TargetMode="External" /><Relationship Type="http://schemas.openxmlformats.org/officeDocument/2006/relationships/hyperlink" Id="rId81" Target="https://doi.org/10.64861/GDKE6454" TargetMode="External" /><Relationship Type="http://schemas.openxmlformats.org/officeDocument/2006/relationships/hyperlink" Id="rId79" Target="https://doi.org/10.64861/TAQT887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2026-06-27T00:26:23Z</dcterms:created>
  <dcterms:modified xsi:type="dcterms:W3CDTF">2026-06-27T00:26:23Z</dcterms:modified>
</cp:coreProperties>
</file>

<file path=docProps/custom.xml><?xml version="1.0" encoding="utf-8"?>
<Properties xmlns="http://schemas.openxmlformats.org/officeDocument/2006/custom-properties" xmlns:vt="http://schemas.openxmlformats.org/officeDocument/2006/docPropsVTypes"/>
</file>