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6" w:name="X468a3c5c456e237dcea1515463269a8267a8356"/>
    <w:p>
      <w:pPr>
        <w:pStyle w:val="Heading1"/>
      </w:pPr>
      <w:r>
        <w:t xml:space="preserve">Predicting Major Cost Growth in Cislunar and Comparable NASA Major Projects: A Logit Cliometric Analysis of 30 Demonstrators, 2005-2024</w:t>
      </w:r>
    </w:p>
    <w:p>
      <w:pPr>
        <w:pStyle w:val="FirstParagraph"/>
      </w:pPr>
      <w:r>
        <w:t xml:space="preserve">Keiko Feld (1B-SDA-097)</w:t>
      </w:r>
      <w:r>
        <w:t xml:space="preserve"> </w:t>
      </w:r>
      <w:r>
        <w:t xml:space="preserve">COLLEGIUM 1st Battalion, Category JPL Instruments and Navigation</w:t>
      </w:r>
    </w:p>
    <w:bookmarkStart w:id="61" w:name="introduction"/>
    <w:p>
      <w:pPr>
        <w:pStyle w:val="Heading2"/>
      </w:pPr>
      <w:r>
        <w:t xml:space="preserve">1. Introduction</w:t>
      </w:r>
    </w:p>
    <w:p>
      <w:pPr>
        <w:pStyle w:val="FirstParagraph"/>
      </w:pPr>
      <w:r>
        <w:t xml:space="preserve">Whether the cislunar regime carries a distinctive cost-growth pathology, beyond what scope and schedule baselines would predict, is now an operational question for NASA portfolio managers and for the Office of Commercial and Economic Analysis projections that depend on cislunar buildout</w:t>
      </w:r>
      <w:r>
        <w:t xml:space="preserve"> </w:t>
      </w:r>
      <w:hyperlink w:anchor="ref-7">
        <m:oMathPara>
          <m:oMathParaPr>
            <m:jc m:val="center"/>
          </m:oMathParaPr>
          <m:oMath>
            <m:r>
              <m:t>7</m:t>
            </m:r>
          </m:oMath>
        </m:oMathPara>
      </w:hyperlink>
      <w:r>
        <w:t xml:space="preserve">. The Government Accountability Office annual assessments of NASA major projects document repeated cost-growth events, and the NASA Office of Inspector General has reported on individual cases including the Volatiles Investigating Polar Exploration Rover, the On orbit Servicing Assembly and Manufacturing project, and several Commercial Lunar Payload Services task orders. The architectural literature on cislunar demonstrators establishes feasibility for sensor and observer concepts but treats cost as a parametric input rather than an outcome variable [1, 2, 3, 5]. This paper places cislunar demonstrators on actuarial footing by estimating the probability of major cost growth, defined here as exceeding 25 percent over the Agency Baseline Commitment, conditional on scope and schedule.</w:t>
      </w:r>
    </w:p>
    <w:p>
      <w:pPr>
        <w:pStyle w:val="FirstParagraph"/>
      </w:pPr>
      <w:r>
        <w:t xml:space="preserve">The cliometric design uses a logit specification on 30 NASA major projects with announced and current life-cycle estimates documented in the GAO assessments and OIG audits. The cislunar set includes Orion, the Space Launch System Block 1B, the Gateway initial capability, the Human Landing System initial capability, Lunar Reconnaissance Orbiter, Lunar Atmosphere and Dust Environment Explorer, Gravity Recovery and Interior Laboratory, Cislunar Autonomous Positioning System Technology Operations and Navigation Experiment, Lunar Trailblazer, three CLPS task orders, and the Volatiles Investigating Polar Exploration Rover. The non cislunar comparators are drawn from Science Mission Directorate and adjacent portfolios in the same window. The outcome variable is binary by design because the 25 percent threshold corresponds to the NASA Space Flight Program and Project Management Requirements rebaselining trigger.</w:t>
      </w:r>
    </w:p>
    <w:bookmarkEnd w:id="61"/>
    <w:bookmarkStart w:id="62" w:name="theory-and-hypotheses"/>
    <w:p>
      <w:pPr>
        <w:pStyle w:val="Heading2"/>
      </w:pPr>
      <w:r>
        <w:t xml:space="preserve">2. Theory and Hypotheses</w:t>
      </w:r>
    </w:p>
    <w:p>
      <w:pPr>
        <w:pStyle w:val="FirstParagraph"/>
      </w:pPr>
      <w:r>
        <w:t xml:space="preserve">Three hypotheses are tested. The first is regime exposure. Cislunar operations require trajectory complexity, lunar surface or lunar orbit environment qualification, and trans Earth communications. Each adds margin requirements that announced baselines may underprovision, particularly in the first generation of commercial services contracts cited in the cislunar architectural literature</w:t>
      </w:r>
      <w:r>
        <w:t xml:space="preserve"> </w:t>
      </w:r>
      <w:hyperlink w:anchor="ref-5">
        <m:oMathPara>
          <m:oMathParaPr>
            <m:jc m:val="center"/>
          </m:oMathParaPr>
          <m:oMath>
            <m:r>
              <m:t>5</m:t>
            </m:r>
          </m:oMath>
        </m:oMathPara>
      </w:hyperlink>
      <w:r>
        <w:t xml:space="preserve">. The behavioral theory of public procurement and the cliometric tradition on space program cost growth both predict that novel regimes carry higher rebaselining probability conditional on announced scope [7, 13].</w:t>
      </w:r>
    </w:p>
    <w:p>
      <w:pPr>
        <w:pStyle w:val="FirstParagraph"/>
      </w:pPr>
      <w:r>
        <w:t xml:space="preserve">The second is scope sensitivity. Larger announced baselines may reflect better cost engineering and therefore predict lower rebaselining probability, or they may reflect more interfaces and more subsystems and therefore predict higher rebaselining probability. The OCEA macro forecasting work suggests the latter dominates at the sectoral level, but the project level evidence is mixed across the GAO record</w:t>
      </w:r>
      <w:r>
        <w:t xml:space="preserve"> </w:t>
      </w:r>
      <w:hyperlink w:anchor="ref-7">
        <m:oMathPara>
          <m:oMathParaPr>
            <m:jc m:val="center"/>
          </m:oMathParaPr>
          <m:oMath>
            <m:r>
              <m:t>7</m:t>
            </m:r>
          </m:oMath>
        </m:oMathPara>
      </w:hyperlink>
      <w:r>
        <w:t xml:space="preserve">. The third is schedule sensitivity. Longer announced schedules may absorb planned slip and therefore predict lower rebaselining probability, or they may extend exposure to supply chain and workforce shocks and therefore predict higher probability. The mission concept generation literature treats both directions as plausible priors [8, 9].</w:t>
      </w:r>
    </w:p>
    <w:p>
      <w:pPr>
        <w:pStyle w:val="FirstParagraph"/>
      </w:pPr>
      <w:r>
        <w:t xml:space="preserve">The composite hypothesis is that, after conditioning on announced cost and announced schedule, cislunar operation raises the probability of major cost growth above the comparable non cislunar baseline [12, 13]. This is the testable empirical decision the paper makes.</w:t>
      </w:r>
    </w:p>
    <w:bookmarkEnd w:id="62"/>
    <w:bookmarkStart w:id="63" w:name="data"/>
    <w:p>
      <w:pPr>
        <w:pStyle w:val="Heading2"/>
      </w:pPr>
      <w:r>
        <w:t xml:space="preserve">3. Data</w:t>
      </w:r>
    </w:p>
    <w:p>
      <w:pPr>
        <w:pStyle w:val="FirstParagraph"/>
      </w:pPr>
      <w:r>
        <w:t xml:space="preserve">The panel covers 30 NASA major projects with approval baselines between calendar year 2005 and calendar year 2023 and current estimates documented through calendar year 2025. Thirteen are cislunar by primary operating regime and seventeen are non cislunar comparators. Baselines and current estimates are drawn from named GAO Major Project Assessment reports (gao-25-107591, gao-24-106767, gao-24-106878, gao-22-105212, gao-12-207SP, gao-09-326SP) and from NASA OIG audits (IG-20-018, IG-24-002, IG-24-015, IG-25-011) where the GAO record is incomplete. CLPS task order values are taken from the NASA CLPS task order docket and supplemented by published mission records. Each row in the dataset names the specific source document or documents. Two non cislunar small spacecraft entries are marked as illustrative because public cost reporting at the per program level is partial.</w:t>
      </w:r>
    </w:p>
    <w:p>
      <w:pPr>
        <w:pStyle w:val="BodyText"/>
      </w:pPr>
      <w:r>
        <w:t xml:space="preserve">The dependent variable is a binary indicator equal to one if the current life cycle estimate exceeds the approval baseline by more than 25 percent and zero otherwise. Of the 30 observations, 14 (47 percent) cross the major growth threshold, 6 of 13 cislunar and 8 of 17 non cislunar. The unconditional cislunar share of major growth is therefore 46 percent and the non cislunar share is 47 percent, which is the starting point against which the conditional logit must be read.</w:t>
      </w:r>
    </w:p>
    <w:bookmarkEnd w:id="63"/>
    <w:bookmarkStart w:id="64" w:name="method"/>
    <w:p>
      <w:pPr>
        <w:pStyle w:val="Heading2"/>
      </w:pPr>
      <w:r>
        <w:t xml:space="preserve">4. Method</w:t>
      </w:r>
    </w:p>
    <w:p>
      <w:pPr>
        <w:pStyle w:val="FirstParagraph"/>
      </w:pPr>
      <w:r>
        <w:t xml:space="preserve">The estimator is a binary logit with the major growth indicator as the dependent variable and three regressors: a cislunar indicator, the natural log of the approval baseline cost in millions of constant year dollars, and the natural log of the approval baseline duration in months. The intercept absorbs the population average log odds at the mean of the log baselines. Standard errors are the maximum likelihood asymptotic standard errors reported by the candidate runner. The paper reports the McFadden pseudo R squared and the maximized log likelihood.</w:t>
      </w:r>
    </w:p>
    <w:p>
      <w:pPr>
        <w:pStyle w:val="BodyText"/>
      </w:pPr>
      <w:r>
        <w:t xml:space="preserve">The specification deliberately excludes contracting instrument and sponsoring directorate from the primary model because their distribution is collinear with the cislunar indicator in this window. The CLPS firm fixed price task orders, the Human Landing System firm fixed price contract, and the Cislunar Autonomous Positioning System firm fixed price contract together account for most firm fixed price observations and all of them sit on the cislunar side of the panel. A robustness specification would add directorate fixed effects on a larger sample.</w:t>
      </w:r>
    </w:p>
    <w:bookmarkEnd w:id="64"/>
    <w:bookmarkStart w:id="65" w:name="findings"/>
    <w:p>
      <w:pPr>
        <w:pStyle w:val="Heading2"/>
      </w:pPr>
      <w:r>
        <w:t xml:space="preserve">5. Findings</w:t>
      </w:r>
    </w:p>
    <w:p>
      <w:pPr>
        <w:pStyle w:val="FirstParagraph"/>
      </w:pPr>
      <w:r>
        <w:t xml:space="preserve">The estimated logit yields the following coefficients on the 30 observation sample. The intercept is minus 2.11 with a p value of 0.69. The cislunar coefficient is 0.10 with a p value of 0.90. The log baseline cost coefficient is minus 0.29 with a p value of 0.51. The log baseline duration coefficient is 0.97 with a p value of 0.61. The maximized log likelihood is minus 20.50 and the McFadden pseudo R squared is 0.011.</w:t>
      </w:r>
    </w:p>
    <w:p>
      <w:pPr>
        <w:pStyle w:val="BodyText"/>
      </w:pPr>
      <w:r>
        <w:t xml:space="preserve">The substantive reading is that the conditional cislunar premium in major cost growth probability is essentially zero in this sample. The point estimate corresponds to an odds ratio of exp(0.10), or 1.11, with a confidence interval that straddles one. The H1 hypothesis of a positive and statistically distinguishable cislunar premium is not supported. The log baseline cost coefficient is negative and statistically indistinguishable from zero, which means there is no measurable cost size effect on rebaselining probability in this window. The log baseline duration coefficient is positive and statistically indistinguishable from zero, which is consistent with the prior that longer announced schedules are associated with weakly higher exposure to subsequent rebaselining, but the standard error is too wide to support inference.</w:t>
      </w:r>
    </w:p>
    <w:p>
      <w:pPr>
        <w:pStyle w:val="BodyText"/>
      </w:pPr>
      <w:r>
        <w:t xml:space="preserve">The low pseudo R squared, 0.011, is informative. With 30 observations and three regressors, the design has limited power against effect sizes in the band of policy relevance. Reading the null literally would be a mistake. The correct reading is that, on the publicly documented record assembled here, the cislunar regime indicator does not separately distinguish projects that cross the NPR 7120.5F rebaselining trigger from those that do not, once announced cost and announced schedule are held fixed.</w:t>
      </w:r>
    </w:p>
    <w:bookmarkEnd w:id="65"/>
    <w:bookmarkStart w:id="66" w:name="discussion"/>
    <w:p>
      <w:pPr>
        <w:pStyle w:val="Heading2"/>
      </w:pPr>
      <w:r>
        <w:t xml:space="preserve">6. Discussion</w:t>
      </w:r>
    </w:p>
    <w:p>
      <w:pPr>
        <w:pStyle w:val="FirstParagraph"/>
      </w:pPr>
      <w:r>
        <w:t xml:space="preserve">Three implications follow. First, the macroeconomic forecasting literature that treats cislunar buildout at face value [7, 12] receives weak empirical reassurance from this sample. The conditional probability that a given cislunar demonstrator will rebaseline is not measurably worse than the comparable non cislunar baseline. Second, the architectural literature that assumes a cislunar premium for demonstration class missions, including the cislunar SDA papers [1, 2, 3, 4, 5, 6], should treat the premium as not yet empirically established at the major project level. Demonstrator level performance may still differ from the major project sample tested here, and the small panel cannot resolve it. Third, the contracting instrument analysis deferred from the primary specification is a clear next step. The clustering of firm fixed price instruments on the cislunar side of the panel means that any cislunar premium that does exist is likely confounded with the procurement vehicle. A panel that crosses regime and instrument is the next data construction priority.</w:t>
      </w:r>
    </w:p>
    <w:p>
      <w:pPr>
        <w:pStyle w:val="BodyText"/>
      </w:pPr>
      <w:r>
        <w:t xml:space="preserve">The single falsifiable result reported here is the unconditional and conditional cislunar coefficient on the major cost growth indicator. That coefficient is small, positive, and not statistically distinguishable from zero. The cliometric record on cislunar major projects, as it exists in the publicly accessible GAO and OIG corpus, does not yet support the architectural claim of a regime specific cost pathology. It also does not refute it. The next paper in this dissertation extends the test to a continuous cost growth outcome with the larger comparator pool, which is the matched panel design described in the prospectus.</w:t>
      </w:r>
    </w:p>
    <w:bookmarkEnd w:id="66"/>
    <w:bookmarkStart w:id="86" w:name="references"/>
    <w:p>
      <w:pPr>
        <w:pStyle w:val="Heading2"/>
      </w:pPr>
      <w:r>
        <w:t xml:space="preserve">References</w:t>
      </w:r>
    </w:p>
    <w:p>
      <w:pPr>
        <w:pStyle w:val="FirstParagraph"/>
      </w:pPr>
      <w:bookmarkStart w:id="67" w:name="ref-1"/>
      <w:bookmarkEnd w:id="67"/>
      <w:r>
        <w:t xml:space="preserve">1. C. Segal and K. Schroeder, Enhancing Ground Based Cislunar SDA Reducing Search Area for Monitoring Small Maneuver Earth Return Trajectories Using Poincare Maps, Proc. AMOS Conference, 2025. doi:</w:t>
      </w:r>
      <w:r>
        <w:t xml:space="preserve"> </w:t>
      </w:r>
      <w:hyperlink r:id="rId68">
        <w:r>
          <w:rPr>
            <w:rStyle w:val="Hyperlink"/>
          </w:rPr>
          <w:t xml:space="preserve">10.64861/ACKU6440</w:t>
        </w:r>
      </w:hyperlink>
    </w:p>
    <w:p>
      <w:pPr>
        <w:pStyle w:val="BodyText"/>
      </w:pPr>
      <w:bookmarkStart w:id="69" w:name="ref-2"/>
      <w:bookmarkEnd w:id="69"/>
      <w:r>
        <w:t xml:space="preserve">2. J. Kim and N. Owens Fahrner, A Comprehensive Approach to Optimized Cislunar Architecture Design Utilizing Capacity, Proc. AMOS Conference, 2024. doi:</w:t>
      </w:r>
      <w:r>
        <w:t xml:space="preserve"> </w:t>
      </w:r>
      <w:hyperlink r:id="rId70">
        <w:r>
          <w:rPr>
            <w:rStyle w:val="Hyperlink"/>
          </w:rPr>
          <w:t xml:space="preserve">10.64861/ESVN6806</w:t>
        </w:r>
      </w:hyperlink>
    </w:p>
    <w:p>
      <w:pPr>
        <w:pStyle w:val="BodyText"/>
      </w:pPr>
      <w:bookmarkStart w:id="71" w:name="ref-3"/>
      <w:bookmarkEnd w:id="71"/>
      <w:r>
        <w:t xml:space="preserve">3. P. Zimmer, J. T. McGraw, and M. R. Ackermann, Cislunar SSA SDA from the Lunar Surface COTS Imagers on Commercial Landers, Proc. AMOS Conference, 2021.</w:t>
      </w:r>
    </w:p>
    <w:p>
      <w:pPr>
        <w:pStyle w:val="BodyText"/>
      </w:pPr>
      <w:bookmarkStart w:id="72" w:name="ref-4"/>
      <w:bookmarkEnd w:id="72"/>
      <w:r>
        <w:t xml:space="preserve">4. J. M. Block, D. H. Curtis, R. A. Bettinger, and A. P. Wilmer, Cislunar SDA with Low Fidelity Sensors and Observer Uncertainty, Proc. AMOS Conference, 2022.</w:t>
      </w:r>
    </w:p>
    <w:p>
      <w:pPr>
        <w:pStyle w:val="BodyText"/>
      </w:pPr>
      <w:bookmarkStart w:id="73" w:name="ref-5"/>
      <w:bookmarkEnd w:id="73"/>
      <w:r>
        <w:t xml:space="preserve">5. R. Wright, N. Owens Fahrner, L. Tafur, and J. Wysack, Applications of Poincare Search Maps for Space Based Cislunar SDA Detection, Proc. AMOS Conference, 2024. doi:</w:t>
      </w:r>
      <w:r>
        <w:t xml:space="preserve"> </w:t>
      </w:r>
      <w:hyperlink r:id="rId74">
        <w:r>
          <w:rPr>
            <w:rStyle w:val="Hyperlink"/>
          </w:rPr>
          <w:t xml:space="preserve">10.64861/UAMB9924</w:t>
        </w:r>
      </w:hyperlink>
    </w:p>
    <w:p>
      <w:pPr>
        <w:pStyle w:val="BodyText"/>
      </w:pPr>
      <w:bookmarkStart w:id="75" w:name="ref-6"/>
      <w:bookmarkEnd w:id="75"/>
      <w:r>
        <w:t xml:space="preserve">6. J. Boh, Z. Funke, and M. Akella, A Game Theoretical Exploration of L1 L2 Cislunar Space Situational Awareness Using Bayesian Games, Proc. AMOS Conference, 2025. doi:</w:t>
      </w:r>
      <w:r>
        <w:t xml:space="preserve"> </w:t>
      </w:r>
      <w:hyperlink r:id="rId76">
        <w:r>
          <w:rPr>
            <w:rStyle w:val="Hyperlink"/>
          </w:rPr>
          <w:t xml:space="preserve">10.64861/SIJX9169</w:t>
        </w:r>
      </w:hyperlink>
    </w:p>
    <w:p>
      <w:pPr>
        <w:pStyle w:val="BodyText"/>
      </w:pPr>
      <w:bookmarkStart w:id="77" w:name="ref-7"/>
      <w:bookmarkEnd w:id="77"/>
      <w:r>
        <w:t xml:space="preserve">7. Office of Commercial and Economic Analysis, Forecasting the Space Economy, OCEA source document SD08, Space Economy Papers brain, accessed 2026-06-26.</w:t>
      </w:r>
    </w:p>
    <w:p>
      <w:pPr>
        <w:pStyle w:val="BodyText"/>
      </w:pPr>
      <w:bookmarkStart w:id="78" w:name="ref-8"/>
      <w:bookmarkEnd w:id="78"/>
      <w:r>
        <w:t xml:space="preserve">8. A. M. Ruede, M. A. Chavy Macdonald, J. P. Kneib, and J. Huang, Towards a pattern language for complex mode mission concept generation, Acta Astronautica, vol. 203, 2022. doi:</w:t>
      </w:r>
      <w:r>
        <w:t xml:space="preserve"> </w:t>
      </w:r>
      <w:hyperlink r:id="rId79">
        <w:r>
          <w:rPr>
            <w:rStyle w:val="Hyperlink"/>
          </w:rPr>
          <w:t xml:space="preserve">10.1016/j.actaastro.2022.11.005</w:t>
        </w:r>
      </w:hyperlink>
    </w:p>
    <w:p>
      <w:pPr>
        <w:pStyle w:val="BodyText"/>
      </w:pPr>
      <w:bookmarkStart w:id="80" w:name="ref-9"/>
      <w:bookmarkEnd w:id="80"/>
      <w:r>
        <w:t xml:space="preserve">9. B. McKeown, A. G. Dempster, S. Saydam, and J. Coulton, Placing lunar resources research in the context of mining feasibility studies, Acta Astronautica, vol. 233, 2025. doi:</w:t>
      </w:r>
      <w:r>
        <w:t xml:space="preserve"> </w:t>
      </w:r>
      <w:hyperlink r:id="rId81">
        <w:r>
          <w:rPr>
            <w:rStyle w:val="Hyperlink"/>
          </w:rPr>
          <w:t xml:space="preserve">10.1016/j.actaastro.2025.04.041</w:t>
        </w:r>
      </w:hyperlink>
    </w:p>
    <w:p>
      <w:pPr>
        <w:pStyle w:val="BodyText"/>
      </w:pPr>
      <w:bookmarkStart w:id="82" w:name="ref-10"/>
      <w:bookmarkEnd w:id="82"/>
      <w:r>
        <w:t xml:space="preserve">10. U.S. Government Accountability Office, NASA Assessments of Selected Large Scale Projects, GAO-25-107591, 2025.</w:t>
      </w:r>
    </w:p>
    <w:p>
      <w:pPr>
        <w:pStyle w:val="BodyText"/>
      </w:pPr>
      <w:bookmarkStart w:id="83" w:name="ref-11"/>
      <w:bookmarkEnd w:id="83"/>
      <w:r>
        <w:t xml:space="preserve">11. U.S. Government Accountability Office, NASA Assessments of Major Projects, GAO-24-106767, 2024.</w:t>
      </w:r>
    </w:p>
    <w:p>
      <w:pPr>
        <w:pStyle w:val="BodyText"/>
      </w:pPr>
      <w:bookmarkStart w:id="84" w:name="ref-12"/>
      <w:bookmarkEnd w:id="84"/>
      <w:r>
        <w:t xml:space="preserve">12. The Space Imperative Whole of Nation, source document SD14, Space Economy Papers brain, accessed 2026-06-26.</w:t>
      </w:r>
    </w:p>
    <w:p>
      <w:pPr>
        <w:pStyle w:val="BodyText"/>
      </w:pPr>
      <w:bookmarkStart w:id="85" w:name="ref-13"/>
      <w:bookmarkEnd w:id="85"/>
      <w:r>
        <w:t xml:space="preserve">13. N. Dailey et al., Leveraging Circular Economy for Space Sustainability, MITRE CisLunar source document SD15, Space Economy Papers brain, accessed 2026-06-26.</w:t>
      </w:r>
    </w:p>
    <w:bookmarkEnd w:id="86"/>
    <w:bookmarkStart w:id="87" w:name="specification"/>
    <w:p>
      <w:pPr>
        <w:pStyle w:val="Heading2"/>
      </w:pPr>
      <w:r>
        <w:t xml:space="preserve">Specification</w:t>
      </w:r>
    </w:p>
    <w:p>
      <w:pPr>
        <w:pStyle w:val="FirstParagraph"/>
      </w:pPr>
      <m:oMathPara>
        <m:oMathParaPr>
          <m:jc m:val="center"/>
        </m:oMathParaPr>
        <m:oMath>
          <m:r>
            <m:rPr>
              <m:sty m:val="p"/>
            </m:rPr>
            <m:t>Pr</m:t>
          </m:r>
          <m:r>
            <m:rPr>
              <m:sty m:val="p"/>
            </m:rPr>
            <m:t>(</m:t>
          </m:r>
          <m:sSub>
            <m:e>
              <m:r>
                <m:rPr>
                  <m:sty m:val="p"/>
                </m:rPr>
                <m:t>M</m:t>
              </m:r>
              <m:r>
                <m:rPr>
                  <m:sty m:val="p"/>
                </m:rPr>
                <m:t>a</m:t>
              </m:r>
              <m:r>
                <m:rPr>
                  <m:sty m:val="p"/>
                </m:rPr>
                <m:t>j</m:t>
              </m:r>
              <m:r>
                <m:rPr>
                  <m:sty m:val="p"/>
                </m:rPr>
                <m:t>o</m:t>
              </m:r>
              <m:r>
                <m:rPr>
                  <m:sty m:val="p"/>
                </m:rPr>
                <m:t>r</m:t>
              </m:r>
              <m:r>
                <m:rPr>
                  <m:sty m:val="p"/>
                </m:rPr>
                <m:t>G</m:t>
              </m:r>
              <m:r>
                <m:rPr>
                  <m:sty m:val="p"/>
                </m:rPr>
                <m:t>r</m:t>
              </m:r>
              <m:r>
                <m:rPr>
                  <m:sty m:val="p"/>
                </m:rPr>
                <m:t>o</m:t>
              </m:r>
              <m:r>
                <m:rPr>
                  <m:sty m:val="p"/>
                </m:rPr>
                <m:t>w</m:t>
              </m:r>
              <m:r>
                <m:rPr>
                  <m:sty m:val="p"/>
                </m:rPr>
                <m:t>t</m:t>
              </m:r>
              <m:r>
                <m:rPr>
                  <m:sty m:val="p"/>
                </m:rPr>
                <m:t>h</m:t>
              </m:r>
            </m:e>
            <m:sub>
              <m:r>
                <m:t>i</m:t>
              </m:r>
            </m:sub>
          </m:sSub>
          <m:r>
            <m:rPr>
              <m:sty m:val="p"/>
            </m:rPr>
            <m:t>=</m:t>
          </m:r>
          <m:r>
            <m:t>1</m:t>
          </m:r>
          <m:r>
            <m:rPr>
              <m:sty m:val="p"/>
            </m:rPr>
            <m:t>)</m:t>
          </m:r>
          <m:r>
            <m:rPr>
              <m:sty m:val="p"/>
            </m:rPr>
            <m:t>=</m:t>
          </m:r>
          <m:r>
            <m:rPr>
              <m:sty m:val="p"/>
            </m:rPr>
            <m:t>Λ</m:t>
          </m:r>
          <m:d>
            <m:dPr>
              <m:begChr m:val="("/>
              <m:sepChr m:val=""/>
              <m:endChr m:val=")"/>
              <m:grow/>
            </m:dPr>
            <m:e>
              <m:sSub>
                <m:e>
                  <m:r>
                    <m:t>β</m:t>
                  </m:r>
                </m:e>
                <m:sub>
                  <m:r>
                    <m:t>0</m:t>
                  </m:r>
                </m:sub>
              </m:sSub>
              <m:r>
                <m:rPr>
                  <m:sty m:val="p"/>
                </m:rPr>
                <m:t>+</m:t>
              </m:r>
              <m:sSub>
                <m:e>
                  <m:r>
                    <m:t>β</m:t>
                  </m:r>
                </m:e>
                <m:sub>
                  <m:r>
                    <m:t>1</m:t>
                  </m:r>
                </m:sub>
              </m:sSub>
              <m:r>
                <m:t> </m:t>
              </m:r>
              <m:sSub>
                <m:e>
                  <m:r>
                    <m:rPr>
                      <m:sty m:val="p"/>
                    </m:rPr>
                    <m:t>C</m:t>
                  </m:r>
                  <m:r>
                    <m:rPr>
                      <m:sty m:val="p"/>
                    </m:rPr>
                    <m:t>i</m:t>
                  </m:r>
                  <m:r>
                    <m:rPr>
                      <m:sty m:val="p"/>
                    </m:rPr>
                    <m:t>s</m:t>
                  </m:r>
                  <m:r>
                    <m:rPr>
                      <m:sty m:val="p"/>
                    </m:rPr>
                    <m:t>l</m:t>
                  </m:r>
                  <m:r>
                    <m:rPr>
                      <m:sty m:val="p"/>
                    </m:rPr>
                    <m:t>u</m:t>
                  </m:r>
                  <m:r>
                    <m:rPr>
                      <m:sty m:val="p"/>
                    </m:rPr>
                    <m:t>n</m:t>
                  </m:r>
                  <m:r>
                    <m:rPr>
                      <m:sty m:val="p"/>
                    </m:rPr>
                    <m:t>a</m:t>
                  </m:r>
                  <m:r>
                    <m:rPr>
                      <m:sty m:val="p"/>
                    </m:rPr>
                    <m:t>r</m:t>
                  </m:r>
                </m:e>
                <m:sub>
                  <m:r>
                    <m:t>i</m:t>
                  </m:r>
                </m:sub>
              </m:sSub>
              <m:r>
                <m:rPr>
                  <m:sty m:val="p"/>
                </m:rPr>
                <m:t>+</m:t>
              </m:r>
              <m:sSub>
                <m:e>
                  <m:r>
                    <m:t>β</m:t>
                  </m:r>
                </m:e>
                <m:sub>
                  <m:r>
                    <m:t>2</m:t>
                  </m:r>
                </m:sub>
              </m:sSub>
              <m:r>
                <m:rPr>
                  <m:sty m:val="p"/>
                </m:rPr>
                <m:t>ln</m:t>
              </m:r>
              <m:r>
                <m:rPr>
                  <m:sty m:val="p"/>
                </m:rPr>
                <m:t>(</m:t>
              </m:r>
              <m:sSub>
                <m:e>
                  <m:r>
                    <m:rPr>
                      <m:sty m:val="p"/>
                    </m:rPr>
                    <m:t>B</m:t>
                  </m:r>
                  <m:r>
                    <m:rPr>
                      <m:sty m:val="p"/>
                    </m:rPr>
                    <m:t>a</m:t>
                  </m:r>
                  <m:r>
                    <m:rPr>
                      <m:sty m:val="p"/>
                    </m:rPr>
                    <m:t>s</m:t>
                  </m:r>
                  <m:r>
                    <m:rPr>
                      <m:sty m:val="p"/>
                    </m:rPr>
                    <m:t>e</m:t>
                  </m:r>
                  <m:r>
                    <m:rPr>
                      <m:sty m:val="p"/>
                    </m:rPr>
                    <m:t>l</m:t>
                  </m:r>
                  <m:r>
                    <m:rPr>
                      <m:sty m:val="p"/>
                    </m:rPr>
                    <m:t>i</m:t>
                  </m:r>
                  <m:r>
                    <m:rPr>
                      <m:sty m:val="p"/>
                    </m:rPr>
                    <m:t>n</m:t>
                  </m:r>
                  <m:r>
                    <m:rPr>
                      <m:sty m:val="p"/>
                    </m:rPr>
                    <m:t>e</m:t>
                  </m:r>
                  <m:r>
                    <m:rPr>
                      <m:sty m:val="p"/>
                    </m:rPr>
                    <m:t>C</m:t>
                  </m:r>
                  <m:r>
                    <m:rPr>
                      <m:sty m:val="p"/>
                    </m:rPr>
                    <m:t>o</m:t>
                  </m:r>
                  <m:r>
                    <m:rPr>
                      <m:sty m:val="p"/>
                    </m:rPr>
                    <m:t>s</m:t>
                  </m:r>
                  <m:r>
                    <m:rPr>
                      <m:sty m:val="p"/>
                    </m:rPr>
                    <m:t>t</m:t>
                  </m:r>
                </m:e>
                <m:sub>
                  <m:r>
                    <m:t>i</m:t>
                  </m:r>
                </m:sub>
              </m:sSub>
              <m:r>
                <m:rPr>
                  <m:sty m:val="p"/>
                </m:rPr>
                <m:t>)</m:t>
              </m:r>
              <m:r>
                <m:rPr>
                  <m:sty m:val="p"/>
                </m:rPr>
                <m:t>+</m:t>
              </m:r>
              <m:sSub>
                <m:e>
                  <m:r>
                    <m:t>β</m:t>
                  </m:r>
                </m:e>
                <m:sub>
                  <m:r>
                    <m:t>3</m:t>
                  </m:r>
                </m:sub>
              </m:sSub>
              <m:r>
                <m:rPr>
                  <m:sty m:val="p"/>
                </m:rPr>
                <m:t>ln</m:t>
              </m:r>
              <m:r>
                <m:rPr>
                  <m:sty m:val="p"/>
                </m:rPr>
                <m:t>(</m:t>
              </m:r>
              <m:sSub>
                <m:e>
                  <m:r>
                    <m:rPr>
                      <m:sty m:val="p"/>
                    </m:rPr>
                    <m:t>B</m:t>
                  </m:r>
                  <m:r>
                    <m:rPr>
                      <m:sty m:val="p"/>
                    </m:rPr>
                    <m:t>a</m:t>
                  </m:r>
                  <m:r>
                    <m:rPr>
                      <m:sty m:val="p"/>
                    </m:rPr>
                    <m:t>s</m:t>
                  </m:r>
                  <m:r>
                    <m:rPr>
                      <m:sty m:val="p"/>
                    </m:rPr>
                    <m:t>e</m:t>
                  </m:r>
                  <m:r>
                    <m:rPr>
                      <m:sty m:val="p"/>
                    </m:rPr>
                    <m:t>l</m:t>
                  </m:r>
                  <m:r>
                    <m:rPr>
                      <m:sty m:val="p"/>
                    </m:rPr>
                    <m:t>i</m:t>
                  </m:r>
                  <m:r>
                    <m:rPr>
                      <m:sty m:val="p"/>
                    </m:rPr>
                    <m:t>n</m:t>
                  </m:r>
                  <m:r>
                    <m:rPr>
                      <m:sty m:val="p"/>
                    </m:rPr>
                    <m:t>e</m:t>
                  </m:r>
                  <m:r>
                    <m:rPr>
                      <m:sty m:val="p"/>
                    </m:rPr>
                    <m:t>L</m:t>
                  </m:r>
                  <m:r>
                    <m:rPr>
                      <m:sty m:val="p"/>
                    </m:rPr>
                    <m:t>R</m:t>
                  </m:r>
                  <m:r>
                    <m:rPr>
                      <m:sty m:val="p"/>
                    </m:rPr>
                    <m:t>D</m:t>
                  </m:r>
                </m:e>
                <m:sub>
                  <m:r>
                    <m:t>i</m:t>
                  </m:r>
                </m:sub>
              </m:sSub>
              <m:r>
                <m:rPr>
                  <m:sty m:val="p"/>
                </m:rPr>
                <m:t>)</m:t>
              </m:r>
            </m:e>
          </m:d>
        </m:oMath>
      </m:oMathPara>
    </w:p>
    <w:bookmarkEnd w:id="87"/>
    <w:bookmarkStart w:id="91"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-2.1106</w:t>
            </w:r>
          </w:p>
        </w:tc>
        <w:tc>
          <w:tcPr>
            <w:tcW w:w="0" w:type="auto"/>
          </w:tcPr>
          <w:p>
            <w:pPr>
              <w:spacing w:line="240" w:lineRule="auto" w:before="0" w:after="0"/>
              <w:pStyle w:val="Compact"/>
            </w:pPr>
            <w:r>
              <w:rPr>
                <w:sz w:val="20"/>
                <w:szCs w:val="20"/>
              </w:rPr>
              <w:t xml:space="preserve">5.368</w:t>
            </w:r>
          </w:p>
        </w:tc>
        <w:tc>
          <w:tcPr>
            <w:tcW w:w="0" w:type="auto"/>
          </w:tcPr>
          <w:p>
            <w:pPr>
              <w:spacing w:line="240" w:lineRule="auto" w:before="0" w:after="0"/>
              <w:pStyle w:val="Compact"/>
            </w:pPr>
            <w:r>
              <w:rPr>
                <w:sz w:val="20"/>
                <w:szCs w:val="20"/>
              </w:rPr>
              <w:t xml:space="preserve">-0.3932</w:t>
            </w:r>
          </w:p>
        </w:tc>
        <w:tc>
          <w:tcPr>
            <w:tcW w:w="0" w:type="auto"/>
          </w:tcPr>
          <w:p>
            <w:pPr>
              <w:spacing w:line="240" w:lineRule="auto" w:before="0" w:after="0"/>
              <w:pStyle w:val="Compact"/>
            </w:pPr>
            <w:r>
              <w:rPr>
                <w:sz w:val="20"/>
                <w:szCs w:val="20"/>
              </w:rPr>
              <w:t xml:space="preserve">0.6942</w:t>
            </w:r>
          </w:p>
        </w:tc>
        <w:tc>
          <w:tcPr>
            <w:tcW w:w="0" w:type="auto"/>
          </w:tcPr>
          <w:p>
            <w:pPr>
              <w:spacing w:line="240" w:lineRule="auto" w:before="0" w:after="0"/>
              <w:pStyle w:val="Compact"/>
            </w:pPr>
            <w:r>
              <w:rPr>
                <w:sz w:val="20"/>
                <w:szCs w:val="20"/>
              </w:rPr>
              <w:t xml:space="preserve">[-12.6317, 8.4105]</w:t>
            </w:r>
          </w:p>
        </w:tc>
      </w:tr>
      <w:tr>
        <w:tc>
          <w:tcPr>
            <w:tcW w:w="0" w:type="auto"/>
          </w:tcPr>
          <w:p>
            <w:pPr>
              <w:spacing w:line="240" w:lineRule="auto" w:before="0" w:after="0"/>
              <w:pStyle w:val="Compact"/>
            </w:pPr>
            <w:r>
              <w:rPr>
                <w:sz w:val="20"/>
                <w:szCs w:val="20"/>
              </w:rPr>
              <w:t xml:space="preserve">cislunar</w:t>
            </w:r>
          </w:p>
        </w:tc>
        <w:tc>
          <w:tcPr>
            <w:tcW w:w="0" w:type="auto"/>
          </w:tcPr>
          <w:p>
            <w:pPr>
              <w:spacing w:line="240" w:lineRule="auto" w:before="0" w:after="0"/>
              <w:pStyle w:val="Compact"/>
            </w:pPr>
            <w:r>
              <w:rPr>
                <w:sz w:val="20"/>
                <w:szCs w:val="20"/>
              </w:rPr>
              <w:t xml:space="preserve">0.1028</w:t>
            </w:r>
          </w:p>
        </w:tc>
        <w:tc>
          <w:tcPr>
            <w:tcW w:w="0" w:type="auto"/>
          </w:tcPr>
          <w:p>
            <w:pPr>
              <w:spacing w:line="240" w:lineRule="auto" w:before="0" w:after="0"/>
              <w:pStyle w:val="Compact"/>
            </w:pPr>
            <w:r>
              <w:rPr>
                <w:sz w:val="20"/>
                <w:szCs w:val="20"/>
              </w:rPr>
              <w:t xml:space="preserve">0.8603</w:t>
            </w:r>
          </w:p>
        </w:tc>
        <w:tc>
          <w:tcPr>
            <w:tcW w:w="0" w:type="auto"/>
          </w:tcPr>
          <w:p>
            <w:pPr>
              <w:spacing w:line="240" w:lineRule="auto" w:before="0" w:after="0"/>
              <w:pStyle w:val="Compact"/>
            </w:pPr>
            <w:r>
              <w:rPr>
                <w:sz w:val="20"/>
                <w:szCs w:val="20"/>
              </w:rPr>
              <w:t xml:space="preserve">0.1195</w:t>
            </w:r>
          </w:p>
        </w:tc>
        <w:tc>
          <w:tcPr>
            <w:tcW w:w="0" w:type="auto"/>
          </w:tcPr>
          <w:p>
            <w:pPr>
              <w:spacing w:line="240" w:lineRule="auto" w:before="0" w:after="0"/>
              <w:pStyle w:val="Compact"/>
            </w:pPr>
            <w:r>
              <w:rPr>
                <w:sz w:val="20"/>
                <w:szCs w:val="20"/>
              </w:rPr>
              <w:t xml:space="preserve">0.9049</w:t>
            </w:r>
          </w:p>
        </w:tc>
        <w:tc>
          <w:tcPr>
            <w:tcW w:w="0" w:type="auto"/>
          </w:tcPr>
          <w:p>
            <w:pPr>
              <w:spacing w:line="240" w:lineRule="auto" w:before="0" w:after="0"/>
              <w:pStyle w:val="Compact"/>
            </w:pPr>
            <w:r>
              <w:rPr>
                <w:sz w:val="20"/>
                <w:szCs w:val="20"/>
              </w:rPr>
              <w:t xml:space="preserve">[-1.5834, 1.789]</w:t>
            </w:r>
          </w:p>
        </w:tc>
      </w:tr>
      <w:tr>
        <w:tc>
          <w:tcPr>
            <w:tcW w:w="0" w:type="auto"/>
          </w:tcPr>
          <w:p>
            <w:pPr>
              <w:spacing w:line="240" w:lineRule="auto" w:before="0" w:after="0"/>
              <w:pStyle w:val="Compact"/>
            </w:pPr>
            <w:r>
              <w:rPr>
                <w:sz w:val="20"/>
                <w:szCs w:val="20"/>
              </w:rPr>
              <w:t xml:space="preserve">log_baseline_cost</w:t>
            </w:r>
          </w:p>
        </w:tc>
        <w:tc>
          <w:tcPr>
            <w:tcW w:w="0" w:type="auto"/>
          </w:tcPr>
          <w:p>
            <w:pPr>
              <w:spacing w:line="240" w:lineRule="auto" w:before="0" w:after="0"/>
              <w:pStyle w:val="Compact"/>
            </w:pPr>
            <w:r>
              <w:rPr>
                <w:sz w:val="20"/>
                <w:szCs w:val="20"/>
              </w:rPr>
              <w:t xml:space="preserve">-0.2881</w:t>
            </w:r>
          </w:p>
        </w:tc>
        <w:tc>
          <w:tcPr>
            <w:tcW w:w="0" w:type="auto"/>
          </w:tcPr>
          <w:p>
            <w:pPr>
              <w:spacing w:line="240" w:lineRule="auto" w:before="0" w:after="0"/>
              <w:pStyle w:val="Compact"/>
            </w:pPr>
            <w:r>
              <w:rPr>
                <w:sz w:val="20"/>
                <w:szCs w:val="20"/>
              </w:rPr>
              <w:t xml:space="preserve">0.4399</w:t>
            </w:r>
          </w:p>
        </w:tc>
        <w:tc>
          <w:tcPr>
            <w:tcW w:w="0" w:type="auto"/>
          </w:tcPr>
          <w:p>
            <w:pPr>
              <w:spacing w:line="240" w:lineRule="auto" w:before="0" w:after="0"/>
              <w:pStyle w:val="Compact"/>
            </w:pPr>
            <w:r>
              <w:rPr>
                <w:sz w:val="20"/>
                <w:szCs w:val="20"/>
              </w:rPr>
              <w:t xml:space="preserve">-0.655</w:t>
            </w:r>
          </w:p>
        </w:tc>
        <w:tc>
          <w:tcPr>
            <w:tcW w:w="0" w:type="auto"/>
          </w:tcPr>
          <w:p>
            <w:pPr>
              <w:spacing w:line="240" w:lineRule="auto" w:before="0" w:after="0"/>
              <w:pStyle w:val="Compact"/>
            </w:pPr>
            <w:r>
              <w:rPr>
                <w:sz w:val="20"/>
                <w:szCs w:val="20"/>
              </w:rPr>
              <w:t xml:space="preserve">0.5125</w:t>
            </w:r>
          </w:p>
        </w:tc>
        <w:tc>
          <w:tcPr>
            <w:tcW w:w="0" w:type="auto"/>
          </w:tcPr>
          <w:p>
            <w:pPr>
              <w:spacing w:line="240" w:lineRule="auto" w:before="0" w:after="0"/>
              <w:pStyle w:val="Compact"/>
            </w:pPr>
            <w:r>
              <w:rPr>
                <w:sz w:val="20"/>
                <w:szCs w:val="20"/>
              </w:rPr>
              <w:t xml:space="preserve">[-1.1502, 0.574]</w:t>
            </w:r>
          </w:p>
        </w:tc>
      </w:tr>
      <w:tr>
        <w:tc>
          <w:tcPr>
            <w:tcW w:w="0" w:type="auto"/>
          </w:tcPr>
          <w:p>
            <w:pPr>
              <w:spacing w:line="240" w:lineRule="auto" w:before="0" w:after="0"/>
              <w:pStyle w:val="Compact"/>
            </w:pPr>
            <w:r>
              <w:rPr>
                <w:sz w:val="20"/>
                <w:szCs w:val="20"/>
              </w:rPr>
              <w:t xml:space="preserve">log_baseline_lrd</w:t>
            </w:r>
          </w:p>
        </w:tc>
        <w:tc>
          <w:tcPr>
            <w:tcW w:w="0" w:type="auto"/>
          </w:tcPr>
          <w:p>
            <w:pPr>
              <w:spacing w:line="240" w:lineRule="auto" w:before="0" w:after="0"/>
              <w:pStyle w:val="Compact"/>
            </w:pPr>
            <w:r>
              <w:rPr>
                <w:sz w:val="20"/>
                <w:szCs w:val="20"/>
              </w:rPr>
              <w:t xml:space="preserve">0.9697</w:t>
            </w:r>
          </w:p>
        </w:tc>
        <w:tc>
          <w:tcPr>
            <w:tcW w:w="0" w:type="auto"/>
          </w:tcPr>
          <w:p>
            <w:pPr>
              <w:spacing w:line="240" w:lineRule="auto" w:before="0" w:after="0"/>
              <w:pStyle w:val="Compact"/>
            </w:pPr>
            <w:r>
              <w:rPr>
                <w:sz w:val="20"/>
                <w:szCs w:val="20"/>
              </w:rPr>
              <w:t xml:space="preserve">1.9119</w:t>
            </w:r>
          </w:p>
        </w:tc>
        <w:tc>
          <w:tcPr>
            <w:tcW w:w="0" w:type="auto"/>
          </w:tcPr>
          <w:p>
            <w:pPr>
              <w:spacing w:line="240" w:lineRule="auto" w:before="0" w:after="0"/>
              <w:pStyle w:val="Compact"/>
            </w:pPr>
            <w:r>
              <w:rPr>
                <w:sz w:val="20"/>
                <w:szCs w:val="20"/>
              </w:rPr>
              <w:t xml:space="preserve">0.5072</w:t>
            </w:r>
          </w:p>
        </w:tc>
        <w:tc>
          <w:tcPr>
            <w:tcW w:w="0" w:type="auto"/>
          </w:tcPr>
          <w:p>
            <w:pPr>
              <w:spacing w:line="240" w:lineRule="auto" w:before="0" w:after="0"/>
              <w:pStyle w:val="Compact"/>
            </w:pPr>
            <w:r>
              <w:rPr>
                <w:sz w:val="20"/>
                <w:szCs w:val="20"/>
              </w:rPr>
              <w:t xml:space="preserve">0.612</w:t>
            </w:r>
          </w:p>
        </w:tc>
        <w:tc>
          <w:tcPr>
            <w:tcW w:w="0" w:type="auto"/>
          </w:tcPr>
          <w:p>
            <w:pPr>
              <w:spacing w:line="240" w:lineRule="auto" w:before="0" w:after="0"/>
              <w:pStyle w:val="Compact"/>
            </w:pPr>
            <w:r>
              <w:rPr>
                <w:sz w:val="20"/>
                <w:szCs w:val="20"/>
              </w:rPr>
              <w:t xml:space="preserve">[-2.7776, 4.7169]</w:t>
            </w:r>
          </w:p>
        </w:tc>
      </w:tr>
    </w:tbl>
    <w:p>
      <w:pPr>
        <w:pStyle w:val="BodyText"/>
      </w:pPr>
      <w:r>
        <w:t xml:space="preserve">Fit: N = 30 pseudo_R2 = 0.011 LL = -20.4992</w:t>
      </w:r>
    </w:p>
    <w:p>
      <w:pPr>
        <w:pStyle w:val="CaptionedFigure"/>
      </w:pPr>
      <w:r>
        <w:drawing>
          <wp:inline>
            <wp:extent cx="5669280" cy="3657600"/>
            <wp:effectExtent b="0" l="0" r="0" t="0"/>
            <wp:docPr descr="Figure 1. Cost growth versus baseline cost across 30 NASA major projects, with cislunar missions (squares) distinguished from non-cislunar comparators (circles); horizontal reference line marks the 25 percent major-growth threshold used as the logit outcome." title="" id="89" name="Picture"/>
            <a:graphic>
              <a:graphicData uri="http://schemas.openxmlformats.org/drawingml/2006/picture">
                <pic:pic>
                  <pic:nvPicPr>
                    <pic:cNvPr descr="D:\Claude_Code\brain\collegium\candidates\dissertations\JPL_INSTRUMENTS_NAV_11\research_papers\p1\paper_fig1.png" id="90" name="Picture"/>
                    <pic:cNvPicPr>
                      <a:picLocks noChangeArrowheads="1" noChangeAspect="1"/>
                    </pic:cNvPicPr>
                  </pic:nvPicPr>
                  <pic:blipFill>
                    <a:blip r:embed="rId8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Cost growth versus baseline cost across 30 NASA major projects, with cislunar missions (squares) distinguished from non-cislunar comparators (circles); horizontal reference line marks the 25 percent major-growth threshold used as the logit outcome.</w:t>
      </w:r>
    </w:p>
    <w:bookmarkEnd w:id="91"/>
    <w:bookmarkStart w:id="9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9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528"/>
        <w:gridCol w:w="528"/>
        <w:gridCol w:w="528"/>
        <w:gridCol w:w="528"/>
        <w:gridCol w:w="528"/>
        <w:gridCol w:w="528"/>
        <w:gridCol w:w="528"/>
        <w:gridCol w:w="528"/>
        <w:gridCol w:w="528"/>
        <w:gridCol w:w="528"/>
        <w:gridCol w:w="528"/>
        <w:gridCol w:w="528"/>
        <w:gridCol w:w="528"/>
        <w:gridCol w:w="528"/>
        <w:gridCol w:w="528"/>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abp_year</w:t>
            </w:r>
          </w:p>
        </w:tc>
        <w:tc>
          <w:tcPr>
            <w:tcW w:w="0" w:type="auto"/>
          </w:tcPr>
          <w:p>
            <w:pPr>
              <w:spacing w:line="240" w:lineRule="auto" w:before="0" w:after="0"/>
              <w:pStyle w:val="Compact"/>
            </w:pPr>
            <w:r>
              <w:rPr>
                <w:sz w:val="20"/>
                <w:szCs w:val="20"/>
              </w:rPr>
              <w:t xml:space="preserve">baseline_cost_musd</w:t>
            </w:r>
          </w:p>
        </w:tc>
        <w:tc>
          <w:tcPr>
            <w:tcW w:w="0" w:type="auto"/>
          </w:tcPr>
          <w:p>
            <w:pPr>
              <w:spacing w:line="240" w:lineRule="auto" w:before="0" w:after="0"/>
              <w:pStyle w:val="Compact"/>
            </w:pPr>
            <w:r>
              <w:rPr>
                <w:sz w:val="20"/>
                <w:szCs w:val="20"/>
              </w:rPr>
              <w:t xml:space="preserve">current_cost_musd</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baseline_lrd_months</w:t>
            </w:r>
          </w:p>
        </w:tc>
        <w:tc>
          <w:tcPr>
            <w:tcW w:w="0" w:type="auto"/>
          </w:tcPr>
          <w:p>
            <w:pPr>
              <w:spacing w:line="240" w:lineRule="auto" w:before="0" w:after="0"/>
              <w:pStyle w:val="Compact"/>
            </w:pPr>
            <w:r>
              <w:rPr>
                <w:sz w:val="20"/>
                <w:szCs w:val="20"/>
              </w:rPr>
              <w:t xml:space="preserve">current_lrd_months</w:t>
            </w:r>
          </w:p>
        </w:tc>
        <w:tc>
          <w:tcPr>
            <w:tcW w:w="0" w:type="auto"/>
          </w:tcPr>
          <w:p>
            <w:pPr>
              <w:spacing w:line="240" w:lineRule="auto" w:before="0" w:after="0"/>
              <w:pStyle w:val="Compact"/>
            </w:pPr>
            <w:r>
              <w:rPr>
                <w:sz w:val="20"/>
                <w:szCs w:val="20"/>
              </w:rPr>
              <w:t xml:space="preserve">schedule_slip_months</w:t>
            </w:r>
          </w:p>
        </w:tc>
        <w:tc>
          <w:tcPr>
            <w:tcW w:w="0" w:type="auto"/>
          </w:tcPr>
          <w:p>
            <w:pPr>
              <w:spacing w:line="240" w:lineRule="auto" w:before="0" w:after="0"/>
              <w:pStyle w:val="Compact"/>
            </w:pPr>
            <w:r>
              <w:rPr>
                <w:sz w:val="20"/>
                <w:szCs w:val="20"/>
              </w:rPr>
              <w:t xml:space="preserve">cislunar</w:t>
            </w:r>
          </w:p>
        </w:tc>
        <w:tc>
          <w:tcPr>
            <w:tcW w:w="0" w:type="auto"/>
          </w:tcPr>
          <w:p>
            <w:pPr>
              <w:spacing w:line="240" w:lineRule="auto" w:before="0" w:after="0"/>
              <w:pStyle w:val="Compact"/>
            </w:pPr>
            <w:r>
              <w:rPr>
                <w:sz w:val="20"/>
                <w:szCs w:val="20"/>
              </w:rPr>
              <w:t xml:space="preserve">sponsor_directorate</w:t>
            </w:r>
          </w:p>
        </w:tc>
        <w:tc>
          <w:tcPr>
            <w:tcW w:w="0" w:type="auto"/>
          </w:tcPr>
          <w:p>
            <w:pPr>
              <w:spacing w:line="240" w:lineRule="auto" w:before="0" w:after="0"/>
              <w:pStyle w:val="Compact"/>
            </w:pPr>
            <w:r>
              <w:rPr>
                <w:sz w:val="20"/>
                <w:szCs w:val="20"/>
              </w:rPr>
              <w:t xml:space="preserve">contracting_instrument</w:t>
            </w:r>
          </w:p>
        </w:tc>
        <w:tc>
          <w:tcPr>
            <w:tcW w:w="0" w:type="auto"/>
          </w:tcPr>
          <w:p>
            <w:pPr>
              <w:spacing w:line="240" w:lineRule="auto" w:before="0" w:after="0"/>
              <w:pStyle w:val="Compact"/>
            </w:pPr>
            <w:r>
              <w:rPr>
                <w:sz w:val="20"/>
                <w:szCs w:val="20"/>
              </w:rPr>
              <w:t xml:space="preserve">log_baseline_cost</w:t>
            </w:r>
          </w:p>
        </w:tc>
        <w:tc>
          <w:tcPr>
            <w:tcW w:w="0" w:type="auto"/>
          </w:tcPr>
          <w:p>
            <w:pPr>
              <w:spacing w:line="240" w:lineRule="auto" w:before="0" w:after="0"/>
              <w:pStyle w:val="Compact"/>
            </w:pPr>
            <w:r>
              <w:rPr>
                <w:sz w:val="20"/>
                <w:szCs w:val="20"/>
              </w:rPr>
              <w:t xml:space="preserve">log_baseline_lrd</w:t>
            </w:r>
          </w:p>
        </w:tc>
        <w:tc>
          <w:tcPr>
            <w:tcW w:w="0" w:type="auto"/>
          </w:tcPr>
          <w:p>
            <w:pPr>
              <w:spacing w:line="240" w:lineRule="auto" w:before="0" w:after="0"/>
              <w:pStyle w:val="Compact"/>
            </w:pPr>
            <w:r>
              <w:rPr>
                <w:sz w:val="20"/>
                <w:szCs w:val="20"/>
              </w:rPr>
              <w:t xml:space="preserve">major_growth</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Orion MPCV</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11300</w:t>
            </w:r>
          </w:p>
        </w:tc>
        <w:tc>
          <w:tcPr>
            <w:tcW w:w="0" w:type="auto"/>
          </w:tcPr>
          <w:p>
            <w:pPr>
              <w:spacing w:line="240" w:lineRule="auto" w:before="0" w:after="0"/>
              <w:pStyle w:val="Compact"/>
            </w:pPr>
            <w:r>
              <w:rPr>
                <w:sz w:val="20"/>
                <w:szCs w:val="20"/>
              </w:rPr>
              <w:t xml:space="preserve">14500</w:t>
            </w:r>
          </w:p>
        </w:tc>
        <w:tc>
          <w:tcPr>
            <w:tcW w:w="0" w:type="auto"/>
          </w:tcPr>
          <w:p>
            <w:pPr>
              <w:spacing w:line="240" w:lineRule="auto" w:before="0" w:after="0"/>
              <w:pStyle w:val="Compact"/>
            </w:pPr>
            <w:r>
              <w:rPr>
                <w:sz w:val="20"/>
                <w:szCs w:val="20"/>
              </w:rPr>
              <w:t xml:space="preserve">28.32</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ESDMD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9.3326</w:t>
            </w:r>
          </w:p>
        </w:tc>
        <w:tc>
          <w:tcPr>
            <w:tcW w:w="0" w:type="auto"/>
          </w:tcPr>
          <w:p>
            <w:pPr>
              <w:spacing w:line="240" w:lineRule="auto" w:before="0" w:after="0"/>
              <w:pStyle w:val="Compact"/>
            </w:pPr>
            <w:r>
              <w:rPr>
                <w:sz w:val="20"/>
                <w:szCs w:val="20"/>
              </w:rPr>
              <w:t xml:space="preserve">4.5326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(2025); GAO-24-106767 (2024); NASA OIG IG-20-018</w:t>
            </w:r>
          </w:p>
        </w:tc>
      </w:tr>
      <w:tr>
        <w:tc>
          <w:tcPr>
            <w:tcW w:w="0" w:type="auto"/>
          </w:tcPr>
          <w:p>
            <w:pPr>
              <w:spacing w:line="240" w:lineRule="auto" w:before="0" w:after="0"/>
              <w:pStyle w:val="Compact"/>
            </w:pPr>
            <w:r>
              <w:rPr>
                <w:sz w:val="20"/>
                <w:szCs w:val="20"/>
              </w:rPr>
              <w:t xml:space="preserve">SLS Block 1B</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4995</w:t>
            </w:r>
          </w:p>
        </w:tc>
        <w:tc>
          <w:tcPr>
            <w:tcW w:w="0" w:type="auto"/>
          </w:tcPr>
          <w:p>
            <w:pPr>
              <w:spacing w:line="240" w:lineRule="auto" w:before="0" w:after="0"/>
              <w:pStyle w:val="Compact"/>
            </w:pPr>
            <w:r>
              <w:rPr>
                <w:sz w:val="20"/>
                <w:szCs w:val="20"/>
              </w:rPr>
              <w:t xml:space="preserve">5700</w:t>
            </w:r>
          </w:p>
        </w:tc>
        <w:tc>
          <w:tcPr>
            <w:tcW w:w="0" w:type="auto"/>
          </w:tcPr>
          <w:p>
            <w:pPr>
              <w:spacing w:line="240" w:lineRule="auto" w:before="0" w:after="0"/>
              <w:pStyle w:val="Compact"/>
            </w:pPr>
            <w:r>
              <w:rPr>
                <w:sz w:val="20"/>
                <w:szCs w:val="20"/>
              </w:rPr>
              <w:t xml:space="preserve">14.11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ESDMD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8.5162</w:t>
            </w:r>
          </w:p>
        </w:tc>
        <w:tc>
          <w:tcPr>
            <w:tcW w:w="0" w:type="auto"/>
          </w:tcPr>
          <w:p>
            <w:pPr>
              <w:spacing w:line="240" w:lineRule="auto" w:before="0" w:after="0"/>
              <w:pStyle w:val="Compact"/>
            </w:pPr>
            <w:r>
              <w:rPr>
                <w:sz w:val="20"/>
                <w:szCs w:val="20"/>
              </w:rPr>
              <w:t xml:space="preserve">4.0943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OIG IG-24-015 (Aug 2024); GAO-24-106767 (2024)</w:t>
            </w:r>
          </w:p>
        </w:tc>
      </w:tr>
      <w:tr>
        <w:tc>
          <w:tcPr>
            <w:tcW w:w="0" w:type="auto"/>
          </w:tcPr>
          <w:p>
            <w:pPr>
              <w:spacing w:line="240" w:lineRule="auto" w:before="0" w:after="0"/>
              <w:pStyle w:val="Compact"/>
            </w:pPr>
            <w:r>
              <w:rPr>
                <w:sz w:val="20"/>
                <w:szCs w:val="20"/>
              </w:rPr>
              <w:t xml:space="preserve">Gateway Initial Capability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3562</w:t>
            </w:r>
          </w:p>
        </w:tc>
        <w:tc>
          <w:tcPr>
            <w:tcW w:w="0" w:type="auto"/>
          </w:tcPr>
          <w:p>
            <w:pPr>
              <w:spacing w:line="240" w:lineRule="auto" w:before="0" w:after="0"/>
              <w:pStyle w:val="Compact"/>
            </w:pPr>
            <w:r>
              <w:rPr>
                <w:sz w:val="20"/>
                <w:szCs w:val="20"/>
              </w:rPr>
              <w:t xml:space="preserve">5300</w:t>
            </w:r>
          </w:p>
        </w:tc>
        <w:tc>
          <w:tcPr>
            <w:tcW w:w="0" w:type="auto"/>
          </w:tcPr>
          <w:p>
            <w:pPr>
              <w:spacing w:line="240" w:lineRule="auto" w:before="0" w:after="0"/>
              <w:pStyle w:val="Compact"/>
            </w:pPr>
            <w:r>
              <w:rPr>
                <w:sz w:val="20"/>
                <w:szCs w:val="20"/>
              </w:rPr>
              <w:t xml:space="preserve">48.79</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ESDMD</w:t>
            </w:r>
          </w:p>
        </w:tc>
        <w:tc>
          <w:tcPr>
            <w:tcW w:w="0" w:type="auto"/>
          </w:tcPr>
          <w:p>
            <w:pPr>
              <w:spacing w:line="240" w:lineRule="auto" w:before="0" w:after="0"/>
              <w:pStyle w:val="Compact"/>
            </w:pPr>
            <w:r>
              <w:rPr>
                <w:sz w:val="20"/>
                <w:szCs w:val="20"/>
              </w:rPr>
              <w:t xml:space="preserve">mixed</w:t>
            </w:r>
          </w:p>
        </w:tc>
        <w:tc>
          <w:tcPr>
            <w:tcW w:w="0" w:type="auto"/>
          </w:tcPr>
          <w:p>
            <w:pPr>
              <w:spacing w:line="240" w:lineRule="auto" w:before="0" w:after="0"/>
              <w:pStyle w:val="Compact"/>
            </w:pPr>
            <w:r>
              <w:rPr>
                <w:sz w:val="20"/>
                <w:szCs w:val="20"/>
              </w:rPr>
              <w:t xml:space="preserve">8.1781</w:t>
            </w:r>
          </w:p>
        </w:tc>
        <w:tc>
          <w:tcPr>
            <w:tcW w:w="0" w:type="auto"/>
          </w:tcPr>
          <w:p>
            <w:pPr>
              <w:spacing w:line="240" w:lineRule="auto" w:before="0" w:after="0"/>
              <w:pStyle w:val="Compact"/>
            </w:pPr>
            <w:r>
              <w:rPr>
                <w:sz w:val="20"/>
                <w:szCs w:val="20"/>
              </w:rPr>
              <w:t xml:space="preserve">3.8712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GAO-24-106878 (2024); GAO-24-106767 (2024)</w:t>
            </w:r>
          </w:p>
        </w:tc>
      </w:tr>
      <w:tr>
        <w:tc>
          <w:tcPr>
            <w:tcW w:w="0" w:type="auto"/>
          </w:tcPr>
          <w:p>
            <w:pPr>
              <w:spacing w:line="240" w:lineRule="auto" w:before="0" w:after="0"/>
              <w:pStyle w:val="Compact"/>
            </w:pPr>
            <w:r>
              <w:rPr>
                <w:sz w:val="20"/>
                <w:szCs w:val="20"/>
              </w:rPr>
              <w:t xml:space="preserve">HLS Initial Capability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2890</w:t>
            </w:r>
          </w:p>
        </w:tc>
        <w:tc>
          <w:tcPr>
            <w:tcW w:w="0" w:type="auto"/>
          </w:tcPr>
          <w:p>
            <w:pPr>
              <w:spacing w:line="240" w:lineRule="auto" w:before="0" w:after="0"/>
              <w:pStyle w:val="Compact"/>
            </w:pPr>
            <w:r>
              <w:rPr>
                <w:sz w:val="20"/>
                <w:szCs w:val="20"/>
              </w:rPr>
              <w:t xml:space="preserve">2890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ESDMD</w:t>
            </w:r>
          </w:p>
        </w:tc>
        <w:tc>
          <w:tcPr>
            <w:tcW w:w="0" w:type="auto"/>
          </w:tcPr>
          <w:p>
            <w:pPr>
              <w:spacing w:line="240" w:lineRule="auto" w:before="0" w:after="0"/>
              <w:pStyle w:val="Compact"/>
            </w:pPr>
            <w:r>
              <w:rPr>
                <w:sz w:val="20"/>
                <w:szCs w:val="20"/>
              </w:rPr>
              <w:t xml:space="preserve">firm_fixed_price</w:t>
            </w:r>
          </w:p>
        </w:tc>
        <w:tc>
          <w:tcPr>
            <w:tcW w:w="0" w:type="auto"/>
          </w:tcPr>
          <w:p>
            <w:pPr>
              <w:spacing w:line="240" w:lineRule="auto" w:before="0" w:after="0"/>
              <w:pStyle w:val="Compact"/>
            </w:pPr>
            <w:r>
              <w:rPr>
                <w:sz w:val="20"/>
                <w:szCs w:val="20"/>
              </w:rPr>
              <w:t xml:space="preserve">7.969</w:t>
            </w:r>
          </w:p>
        </w:tc>
        <w:tc>
          <w:tcPr>
            <w:tcW w:w="0" w:type="auto"/>
          </w:tcPr>
          <w:p>
            <w:pPr>
              <w:spacing w:line="240" w:lineRule="auto" w:before="0" w:after="0"/>
              <w:pStyle w:val="Compact"/>
            </w:pPr>
            <w:r>
              <w:rPr>
                <w:sz w:val="20"/>
                <w:szCs w:val="20"/>
              </w:rPr>
              <w:t xml:space="preserve">3.9703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(2025); NASA HLS contract Apr 2021</w:t>
            </w:r>
          </w:p>
        </w:tc>
      </w:tr>
      <w:tr>
        <w:tc>
          <w:tcPr>
            <w:tcW w:w="0" w:type="auto"/>
          </w:tcPr>
          <w:p>
            <w:pPr>
              <w:spacing w:line="240" w:lineRule="auto" w:before="0" w:after="0"/>
              <w:pStyle w:val="Compact"/>
            </w:pPr>
            <w:r>
              <w:rPr>
                <w:sz w:val="20"/>
                <w:szCs w:val="20"/>
              </w:rPr>
              <w:t xml:space="preserve">VIPER</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433.5</w:t>
            </w:r>
          </w:p>
        </w:tc>
        <w:tc>
          <w:tcPr>
            <w:tcW w:w="0" w:type="auto"/>
          </w:tcPr>
          <w:p>
            <w:pPr>
              <w:spacing w:line="240" w:lineRule="auto" w:before="0" w:after="0"/>
              <w:pStyle w:val="Compact"/>
            </w:pPr>
            <w:r>
              <w:rPr>
                <w:sz w:val="20"/>
                <w:szCs w:val="20"/>
              </w:rPr>
              <w:t xml:space="preserve">609.6</w:t>
            </w:r>
          </w:p>
        </w:tc>
        <w:tc>
          <w:tcPr>
            <w:tcW w:w="0" w:type="auto"/>
          </w:tcPr>
          <w:p>
            <w:pPr>
              <w:spacing w:line="240" w:lineRule="auto" w:before="0" w:after="0"/>
              <w:pStyle w:val="Compact"/>
            </w:pPr>
            <w:r>
              <w:rPr>
                <w:sz w:val="20"/>
                <w:szCs w:val="20"/>
              </w:rPr>
              <w:t xml:space="preserve">40.62</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6.0719</w:t>
            </w:r>
          </w:p>
        </w:tc>
        <w:tc>
          <w:tcPr>
            <w:tcW w:w="0" w:type="auto"/>
          </w:tcPr>
          <w:p>
            <w:pPr>
              <w:spacing w:line="240" w:lineRule="auto" w:before="0" w:after="0"/>
              <w:pStyle w:val="Compact"/>
            </w:pPr>
            <w:r>
              <w:rPr>
                <w:sz w:val="20"/>
                <w:szCs w:val="20"/>
              </w:rPr>
              <w:t xml:space="preserve">3.5835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news release 2024-07; SpacePolicyOnline 2024-07; cancelled 2024</w:t>
            </w:r>
          </w:p>
        </w:tc>
      </w:tr>
      <w:tr>
        <w:tc>
          <w:tcPr>
            <w:tcW w:w="0" w:type="auto"/>
          </w:tcPr>
          <w:p>
            <w:pPr>
              <w:spacing w:line="240" w:lineRule="auto" w:before="0" w:after="0"/>
              <w:pStyle w:val="Compact"/>
            </w:pPr>
            <w:r>
              <w:rPr>
                <w:sz w:val="20"/>
                <w:szCs w:val="20"/>
              </w:rPr>
              <w:t xml:space="preserve">Lunar Trailblazer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14.55</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firm_fixed_price</w:t>
            </w:r>
          </w:p>
        </w:tc>
        <w:tc>
          <w:tcPr>
            <w:tcW w:w="0" w:type="auto"/>
          </w:tcPr>
          <w:p>
            <w:pPr>
              <w:spacing w:line="240" w:lineRule="auto" w:before="0" w:after="0"/>
              <w:pStyle w:val="Compact"/>
            </w:pPr>
            <w:r>
              <w:rPr>
                <w:sz w:val="20"/>
                <w:szCs w:val="20"/>
              </w:rPr>
              <w:t xml:space="preserve">4.0073</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Caltech Trailblazer cost review page; Wikipedia Lunar Trailblazer</w:t>
            </w:r>
          </w:p>
        </w:tc>
      </w:tr>
      <w:tr>
        <w:tc>
          <w:tcPr>
            <w:tcW w:w="0" w:type="auto"/>
          </w:tcPr>
          <w:p>
            <w:pPr>
              <w:spacing w:line="240" w:lineRule="auto" w:before="0" w:after="0"/>
              <w:pStyle w:val="Compact"/>
            </w:pPr>
            <w:r>
              <w:rPr>
                <w:sz w:val="20"/>
                <w:szCs w:val="20"/>
              </w:rPr>
              <w:t xml:space="preserve">CLPS IM-1 Nova-C</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53.25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firm_fixed_price</w:t>
            </w:r>
          </w:p>
        </w:tc>
        <w:tc>
          <w:tcPr>
            <w:tcW w:w="0" w:type="auto"/>
          </w:tcPr>
          <w:p>
            <w:pPr>
              <w:spacing w:line="240" w:lineRule="auto" w:before="0" w:after="0"/>
              <w:pStyle w:val="Compact"/>
            </w:pPr>
            <w:r>
              <w:rPr>
                <w:sz w:val="20"/>
                <w:szCs w:val="20"/>
              </w:rPr>
              <w:t xml:space="preserve">4.3438</w:t>
            </w:r>
          </w:p>
        </w:tc>
        <w:tc>
          <w:tcPr>
            <w:tcW w:w="0" w:type="auto"/>
          </w:tcPr>
          <w:p>
            <w:pPr>
              <w:spacing w:line="240" w:lineRule="auto" w:before="0" w:after="0"/>
              <w:pStyle w:val="Compact"/>
            </w:pPr>
            <w:r>
              <w:rPr>
                <w:sz w:val="20"/>
                <w:szCs w:val="20"/>
              </w:rPr>
              <w:t xml:space="preserve">3.5835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Task Order awards; Intuitive Machines IM-1 mission record</w:t>
            </w:r>
          </w:p>
        </w:tc>
      </w:tr>
      <w:tr>
        <w:tc>
          <w:tcPr>
            <w:tcW w:w="0" w:type="auto"/>
          </w:tcPr>
          <w:p>
            <w:pPr>
              <w:spacing w:line="240" w:lineRule="auto" w:before="0" w:after="0"/>
              <w:pStyle w:val="Compact"/>
            </w:pPr>
            <w:r>
              <w:rPr>
                <w:sz w:val="20"/>
                <w:szCs w:val="20"/>
              </w:rPr>
              <w:t xml:space="preserve">CLPS Peregrine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79.5</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35.85</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firm_fixed_price</w:t>
            </w:r>
          </w:p>
        </w:tc>
        <w:tc>
          <w:tcPr>
            <w:tcW w:w="0" w:type="auto"/>
          </w:tcPr>
          <w:p>
            <w:pPr>
              <w:spacing w:line="240" w:lineRule="auto" w:before="0" w:after="0"/>
              <w:pStyle w:val="Compact"/>
            </w:pPr>
            <w:r>
              <w:rPr>
                <w:sz w:val="20"/>
                <w:szCs w:val="20"/>
              </w:rPr>
              <w:t xml:space="preserve">4.3758</w:t>
            </w:r>
          </w:p>
        </w:tc>
        <w:tc>
          <w:tcPr>
            <w:tcW w:w="0" w:type="auto"/>
          </w:tcPr>
          <w:p>
            <w:pPr>
              <w:spacing w:line="240" w:lineRule="auto" w:before="0" w:after="0"/>
              <w:pStyle w:val="Compact"/>
            </w:pPr>
            <w:r>
              <w:rPr>
                <w:sz w:val="20"/>
                <w:szCs w:val="20"/>
              </w:rPr>
              <w:t xml:space="preserve">3.3322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Task Order awards 2019; Astrobotic Peregrine M1 record</w:t>
            </w:r>
          </w:p>
        </w:tc>
      </w:tr>
      <w:tr>
        <w:tc>
          <w:tcPr>
            <w:tcW w:w="0" w:type="auto"/>
          </w:tcPr>
          <w:p>
            <w:pPr>
              <w:spacing w:line="240" w:lineRule="auto" w:before="0" w:after="0"/>
              <w:pStyle w:val="Compact"/>
            </w:pPr>
            <w:r>
              <w:rPr>
                <w:sz w:val="20"/>
                <w:szCs w:val="20"/>
              </w:rPr>
              <w:t xml:space="preserve">CLPS Blue Ghost M1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93.3</w:t>
            </w:r>
          </w:p>
        </w:tc>
        <w:tc>
          <w:tcPr>
            <w:tcW w:w="0" w:type="auto"/>
          </w:tcPr>
          <w:p>
            <w:pPr>
              <w:spacing w:line="240" w:lineRule="auto" w:before="0" w:after="0"/>
              <w:pStyle w:val="Compact"/>
            </w:pPr>
            <w:r>
              <w:rPr>
                <w:sz w:val="20"/>
                <w:szCs w:val="20"/>
              </w:rPr>
              <w:t xml:space="preserve">101</w:t>
            </w:r>
          </w:p>
        </w:tc>
        <w:tc>
          <w:tcPr>
            <w:tcW w:w="0" w:type="auto"/>
          </w:tcPr>
          <w:p>
            <w:pPr>
              <w:spacing w:line="240" w:lineRule="auto" w:before="0" w:after="0"/>
              <w:pStyle w:val="Compact"/>
            </w:pPr>
            <w:r>
              <w:rPr>
                <w:sz w:val="20"/>
                <w:szCs w:val="20"/>
              </w:rPr>
              <w:t xml:space="preserve">8.25</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firm_fixed_price</w:t>
            </w:r>
          </w:p>
        </w:tc>
        <w:tc>
          <w:tcPr>
            <w:tcW w:w="0" w:type="auto"/>
          </w:tcPr>
          <w:p>
            <w:pPr>
              <w:spacing w:line="240" w:lineRule="auto" w:before="0" w:after="0"/>
              <w:pStyle w:val="Compact"/>
            </w:pPr>
            <w:r>
              <w:rPr>
                <w:sz w:val="20"/>
                <w:szCs w:val="20"/>
              </w:rPr>
              <w:t xml:space="preserve">4.5358</w:t>
            </w:r>
          </w:p>
        </w:tc>
        <w:tc>
          <w:tcPr>
            <w:tcW w:w="0" w:type="auto"/>
          </w:tcPr>
          <w:p>
            <w:pPr>
              <w:spacing w:line="240" w:lineRule="auto" w:before="0" w:after="0"/>
              <w:pStyle w:val="Compact"/>
            </w:pPr>
            <w:r>
              <w:rPr>
                <w:sz w:val="20"/>
                <w:szCs w:val="20"/>
              </w:rPr>
              <w:t xml:space="preserve">3.6889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CLPS Task Order to Firefly 2021; mission flown Mar 2025</w:t>
            </w:r>
          </w:p>
        </w:tc>
      </w:tr>
      <w:tr>
        <w:tc>
          <w:tcPr>
            <w:tcW w:w="0" w:type="auto"/>
          </w:tcPr>
          <w:p>
            <w:pPr>
              <w:spacing w:line="240" w:lineRule="auto" w:before="0" w:after="0"/>
              <w:pStyle w:val="Compact"/>
            </w:pPr>
            <w:r>
              <w:rPr>
                <w:sz w:val="20"/>
                <w:szCs w:val="20"/>
              </w:rPr>
              <w:t xml:space="preserve">CAPSTONE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13.7</w:t>
            </w:r>
          </w:p>
        </w:tc>
        <w:tc>
          <w:tcPr>
            <w:tcW w:w="0" w:type="auto"/>
          </w:tcPr>
          <w:p>
            <w:pPr>
              <w:spacing w:line="240" w:lineRule="auto" w:before="0" w:after="0"/>
              <w:pStyle w:val="Compact"/>
            </w:pPr>
            <w:r>
              <w:rPr>
                <w:sz w:val="20"/>
                <w:szCs w:val="20"/>
              </w:rPr>
              <w:t xml:space="preserve">32.7</w:t>
            </w:r>
          </w:p>
        </w:tc>
        <w:tc>
          <w:tcPr>
            <w:tcW w:w="0" w:type="auto"/>
          </w:tcPr>
          <w:p>
            <w:pPr>
              <w:spacing w:line="240" w:lineRule="auto" w:before="0" w:after="0"/>
              <w:pStyle w:val="Compact"/>
            </w:pPr>
            <w:r>
              <w:rPr>
                <w:sz w:val="20"/>
                <w:szCs w:val="20"/>
              </w:rPr>
              <w:t xml:space="preserve">138.69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STMD</w:t>
            </w:r>
          </w:p>
        </w:tc>
        <w:tc>
          <w:tcPr>
            <w:tcW w:w="0" w:type="auto"/>
          </w:tcPr>
          <w:p>
            <w:pPr>
              <w:spacing w:line="240" w:lineRule="auto" w:before="0" w:after="0"/>
              <w:pStyle w:val="Compact"/>
            </w:pPr>
            <w:r>
              <w:rPr>
                <w:sz w:val="20"/>
                <w:szCs w:val="20"/>
              </w:rPr>
              <w:t xml:space="preserve">firm_fixed_price</w:t>
            </w:r>
          </w:p>
        </w:tc>
        <w:tc>
          <w:tcPr>
            <w:tcW w:w="0" w:type="auto"/>
          </w:tcPr>
          <w:p>
            <w:pPr>
              <w:spacing w:line="240" w:lineRule="auto" w:before="0" w:after="0"/>
              <w:pStyle w:val="Compact"/>
            </w:pPr>
            <w:r>
              <w:rPr>
                <w:sz w:val="20"/>
                <w:szCs w:val="20"/>
              </w:rPr>
              <w:t xml:space="preserve">2.6174</w:t>
            </w:r>
          </w:p>
        </w:tc>
        <w:tc>
          <w:tcPr>
            <w:tcW w:w="0" w:type="auto"/>
          </w:tcPr>
          <w:p>
            <w:pPr>
              <w:spacing w:line="240" w:lineRule="auto" w:before="0" w:after="0"/>
              <w:pStyle w:val="Compact"/>
            </w:pPr>
            <w:r>
              <w:rPr>
                <w:sz w:val="20"/>
                <w:szCs w:val="20"/>
              </w:rPr>
              <w:t xml:space="preserve">2.8904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Advanced Space CAPSTONE program; NASA press kit; launched Jun 2022</w:t>
            </w:r>
          </w:p>
        </w:tc>
      </w:tr>
      <w:tr>
        <w:tc>
          <w:tcPr>
            <w:tcW w:w="0" w:type="auto"/>
          </w:tcPr>
          <w:p>
            <w:pPr>
              <w:spacing w:line="240" w:lineRule="auto" w:before="0" w:after="0"/>
              <w:pStyle w:val="Compact"/>
            </w:pPr>
            <w:r>
              <w:rPr>
                <w:sz w:val="20"/>
                <w:szCs w:val="20"/>
              </w:rPr>
              <w:t xml:space="preserve">LRO</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504</w:t>
            </w:r>
          </w:p>
        </w:tc>
        <w:tc>
          <w:tcPr>
            <w:tcW w:w="0" w:type="auto"/>
          </w:tcPr>
          <w:p>
            <w:pPr>
              <w:spacing w:line="240" w:lineRule="auto" w:before="0" w:after="0"/>
              <w:pStyle w:val="Compact"/>
            </w:pPr>
            <w:r>
              <w:rPr>
                <w:sz w:val="20"/>
                <w:szCs w:val="20"/>
              </w:rPr>
              <w:t xml:space="preserve">504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6.2226</w:t>
            </w:r>
          </w:p>
        </w:tc>
        <w:tc>
          <w:tcPr>
            <w:tcW w:w="0" w:type="auto"/>
          </w:tcPr>
          <w:p>
            <w:pPr>
              <w:spacing w:line="240" w:lineRule="auto" w:before="0" w:after="0"/>
              <w:pStyle w:val="Compact"/>
            </w:pPr>
            <w:r>
              <w:rPr>
                <w:sz w:val="20"/>
                <w:szCs w:val="20"/>
              </w:rPr>
              <w:t xml:space="preserve">3.7377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NSSDCA LRO record; GAO-09-326SP</w:t>
            </w:r>
          </w:p>
        </w:tc>
      </w:tr>
      <w:tr>
        <w:tc>
          <w:tcPr>
            <w:tcW w:w="0" w:type="auto"/>
          </w:tcPr>
          <w:p>
            <w:pPr>
              <w:spacing w:line="240" w:lineRule="auto" w:before="0" w:after="0"/>
              <w:pStyle w:val="Compact"/>
            </w:pPr>
            <w:r>
              <w:rPr>
                <w:sz w:val="20"/>
                <w:szCs w:val="20"/>
              </w:rPr>
              <w:t xml:space="preserve">LADEE</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263</w:t>
            </w:r>
          </w:p>
        </w:tc>
        <w:tc>
          <w:tcPr>
            <w:tcW w:w="0" w:type="auto"/>
          </w:tcPr>
          <w:p>
            <w:pPr>
              <w:spacing w:line="240" w:lineRule="auto" w:before="0" w:after="0"/>
              <w:pStyle w:val="Compact"/>
            </w:pPr>
            <w:r>
              <w:rPr>
                <w:sz w:val="20"/>
                <w:szCs w:val="20"/>
              </w:rPr>
              <w:t xml:space="preserve">280</w:t>
            </w:r>
          </w:p>
        </w:tc>
        <w:tc>
          <w:tcPr>
            <w:tcW w:w="0" w:type="auto"/>
          </w:tcPr>
          <w:p>
            <w:pPr>
              <w:spacing w:line="240" w:lineRule="auto" w:before="0" w:after="0"/>
              <w:pStyle w:val="Compact"/>
            </w:pPr>
            <w:r>
              <w:rPr>
                <w:sz w:val="20"/>
                <w:szCs w:val="20"/>
              </w:rPr>
              <w:t xml:space="preserve">6.46</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5.5722</w:t>
            </w:r>
          </w:p>
        </w:tc>
        <w:tc>
          <w:tcPr>
            <w:tcW w:w="0" w:type="auto"/>
          </w:tcPr>
          <w:p>
            <w:pPr>
              <w:spacing w:line="240" w:lineRule="auto" w:before="0" w:after="0"/>
              <w:pStyle w:val="Compact"/>
            </w:pPr>
            <w:r>
              <w:rPr>
                <w:sz w:val="20"/>
                <w:szCs w:val="20"/>
              </w:rPr>
              <w:t xml:space="preserve">3.6889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Ames LADEE press kit; NASA mission summary</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470</w:t>
            </w:r>
          </w:p>
        </w:tc>
        <w:tc>
          <w:tcPr>
            <w:tcW w:w="0" w:type="auto"/>
          </w:tcPr>
          <w:p>
            <w:pPr>
              <w:spacing w:line="240" w:lineRule="auto" w:before="0" w:after="0"/>
              <w:pStyle w:val="Compact"/>
            </w:pPr>
            <w:r>
              <w:rPr>
                <w:sz w:val="20"/>
                <w:szCs w:val="20"/>
              </w:rPr>
              <w:t xml:space="preserve">496</w:t>
            </w:r>
          </w:p>
        </w:tc>
        <w:tc>
          <w:tcPr>
            <w:tcW w:w="0" w:type="auto"/>
          </w:tcPr>
          <w:p>
            <w:pPr>
              <w:spacing w:line="240" w:lineRule="auto" w:before="0" w:after="0"/>
              <w:pStyle w:val="Compact"/>
            </w:pPr>
            <w:r>
              <w:rPr>
                <w:sz w:val="20"/>
                <w:szCs w:val="20"/>
              </w:rPr>
              <w:t xml:space="preserve">5.53</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6.1527</w:t>
            </w:r>
          </w:p>
        </w:tc>
        <w:tc>
          <w:tcPr>
            <w:tcW w:w="0" w:type="auto"/>
          </w:tcPr>
          <w:p>
            <w:pPr>
              <w:spacing w:line="240" w:lineRule="auto" w:before="0" w:after="0"/>
              <w:pStyle w:val="Compact"/>
            </w:pPr>
            <w:r>
              <w:rPr>
                <w:sz w:val="20"/>
                <w:szCs w:val="20"/>
              </w:rPr>
              <w:t xml:space="preserve">3.5835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JPL GRAIL press kit; NASA mission summary</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996.4</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20.43</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6.9041</w:t>
            </w:r>
          </w:p>
        </w:tc>
        <w:tc>
          <w:tcPr>
            <w:tcW w:w="0" w:type="auto"/>
          </w:tcPr>
          <w:p>
            <w:pPr>
              <w:spacing w:line="240" w:lineRule="auto" w:before="0" w:after="0"/>
              <w:pStyle w:val="Compact"/>
            </w:pPr>
            <w:r>
              <w:rPr>
                <w:sz w:val="20"/>
                <w:szCs w:val="20"/>
              </w:rPr>
              <w:t xml:space="preserve">4.0943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news release Jun 2022; GAO-22-105212; planetary.org Psyche</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4250</w:t>
            </w:r>
          </w:p>
        </w:tc>
        <w:tc>
          <w:tcPr>
            <w:tcW w:w="0" w:type="auto"/>
          </w:tcPr>
          <w:p>
            <w:pPr>
              <w:spacing w:line="240" w:lineRule="auto" w:before="0" w:after="0"/>
              <w:pStyle w:val="Compact"/>
            </w:pPr>
            <w:r>
              <w:rPr>
                <w:sz w:val="20"/>
                <w:szCs w:val="20"/>
              </w:rPr>
              <w:t xml:space="preserve">5200</w:t>
            </w:r>
          </w:p>
        </w:tc>
        <w:tc>
          <w:tcPr>
            <w:tcW w:w="0" w:type="auto"/>
          </w:tcPr>
          <w:p>
            <w:pPr>
              <w:spacing w:line="240" w:lineRule="auto" w:before="0" w:after="0"/>
              <w:pStyle w:val="Compact"/>
            </w:pPr>
            <w:r>
              <w:rPr>
                <w:sz w:val="20"/>
                <w:szCs w:val="20"/>
              </w:rPr>
              <w:t xml:space="preserve">22.35</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8.3547</w:t>
            </w:r>
          </w:p>
        </w:tc>
        <w:tc>
          <w:tcPr>
            <w:tcW w:w="0" w:type="auto"/>
          </w:tcPr>
          <w:p>
            <w:pPr>
              <w:spacing w:line="240" w:lineRule="auto" w:before="0" w:after="0"/>
              <w:pStyle w:val="Compact"/>
            </w:pPr>
            <w:r>
              <w:rPr>
                <w:sz w:val="20"/>
                <w:szCs w:val="20"/>
              </w:rPr>
              <w:t xml:space="preserve">4.2767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(2024); SpacePolicyOnline cost growth article 2024</w:t>
            </w:r>
          </w:p>
        </w:tc>
      </w:tr>
      <w:tr>
        <w:tc>
          <w:tcPr>
            <w:tcW w:w="0" w:type="auto"/>
          </w:tcPr>
          <w:p>
            <w:pPr>
              <w:spacing w:line="240" w:lineRule="auto" w:before="0" w:after="0"/>
              <w:pStyle w:val="Compact"/>
            </w:pPr>
            <w:r>
              <w:rPr>
                <w:sz w:val="20"/>
                <w:szCs w:val="20"/>
              </w:rPr>
              <w:t xml:space="preserve">Mars Sample Return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7000</w:t>
            </w:r>
          </w:p>
        </w:tc>
        <w:tc>
          <w:tcPr>
            <w:tcW w:w="0" w:type="auto"/>
          </w:tcPr>
          <w:p>
            <w:pPr>
              <w:spacing w:line="240" w:lineRule="auto" w:before="0" w:after="0"/>
              <w:pStyle w:val="Compact"/>
            </w:pPr>
            <w:r>
              <w:rPr>
                <w:sz w:val="20"/>
                <w:szCs w:val="20"/>
              </w:rPr>
              <w:t xml:space="preserve">11000</w:t>
            </w:r>
          </w:p>
        </w:tc>
        <w:tc>
          <w:tcPr>
            <w:tcW w:w="0" w:type="auto"/>
          </w:tcPr>
          <w:p>
            <w:pPr>
              <w:spacing w:line="240" w:lineRule="auto" w:before="0" w:after="0"/>
              <w:pStyle w:val="Compact"/>
            </w:pPr>
            <w:r>
              <w:rPr>
                <w:sz w:val="20"/>
                <w:szCs w:val="20"/>
              </w:rPr>
              <w:t xml:space="preserve">57.14</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240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8.8537</w:t>
            </w:r>
          </w:p>
        </w:tc>
        <w:tc>
          <w:tcPr>
            <w:tcW w:w="0" w:type="auto"/>
          </w:tcPr>
          <w:p>
            <w:pPr>
              <w:spacing w:line="240" w:lineRule="auto" w:before="0" w:after="0"/>
              <w:pStyle w:val="Compact"/>
            </w:pPr>
            <w:r>
              <w:rPr>
                <w:sz w:val="20"/>
                <w:szCs w:val="20"/>
              </w:rPr>
              <w:t xml:space="preserve">5.0499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Administrator press 2024-04-15; MSR IRB-2 report; SpaceNews 2023-09</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2400</w:t>
            </w:r>
          </w:p>
        </w:tc>
        <w:tc>
          <w:tcPr>
            <w:tcW w:w="0" w:type="auto"/>
          </w:tcPr>
          <w:p>
            <w:pPr>
              <w:spacing w:line="240" w:lineRule="auto" w:before="0" w:after="0"/>
              <w:pStyle w:val="Compact"/>
            </w:pPr>
            <w:r>
              <w:rPr>
                <w:sz w:val="20"/>
                <w:szCs w:val="20"/>
              </w:rPr>
              <w:t xml:space="preserve">3350</w:t>
            </w:r>
          </w:p>
        </w:tc>
        <w:tc>
          <w:tcPr>
            <w:tcW w:w="0" w:type="auto"/>
          </w:tcPr>
          <w:p>
            <w:pPr>
              <w:spacing w:line="240" w:lineRule="auto" w:before="0" w:after="0"/>
              <w:pStyle w:val="Compact"/>
            </w:pPr>
            <w:r>
              <w:rPr>
                <w:sz w:val="20"/>
                <w:szCs w:val="20"/>
              </w:rPr>
              <w:t xml:space="preserve">39.58</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7.7832</w:t>
            </w:r>
          </w:p>
        </w:tc>
        <w:tc>
          <w:tcPr>
            <w:tcW w:w="0" w:type="auto"/>
          </w:tcPr>
          <w:p>
            <w:pPr>
              <w:spacing w:line="240" w:lineRule="auto" w:before="0" w:after="0"/>
              <w:pStyle w:val="Compact"/>
            </w:pPr>
            <w:r>
              <w:rPr>
                <w:sz w:val="20"/>
                <w:szCs w:val="20"/>
              </w:rPr>
              <w:t xml:space="preserve">4.4308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OIG IG-25-011 (Sep 2025); SpaceNews 2024-04; NASA confirms cost 2024</w:t>
            </w:r>
          </w:p>
        </w:tc>
      </w:tr>
      <w:tr>
        <w:tc>
          <w:tcPr>
            <w:tcW w:w="0" w:type="auto"/>
          </w:tcPr>
          <w:p>
            <w:pPr>
              <w:spacing w:line="240" w:lineRule="auto" w:before="0" w:after="0"/>
              <w:pStyle w:val="Compact"/>
            </w:pPr>
            <w:r>
              <w:rPr>
                <w:sz w:val="20"/>
                <w:szCs w:val="20"/>
              </w:rPr>
              <w:t xml:space="preserve">Roman Space Telescope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3934</w:t>
            </w:r>
          </w:p>
        </w:tc>
        <w:tc>
          <w:tcPr>
            <w:tcW w:w="0" w:type="auto"/>
          </w:tcPr>
          <w:p>
            <w:pPr>
              <w:spacing w:line="240" w:lineRule="auto" w:before="0" w:after="0"/>
              <w:pStyle w:val="Compact"/>
            </w:pPr>
            <w:r>
              <w:rPr>
                <w:sz w:val="20"/>
                <w:szCs w:val="20"/>
              </w:rPr>
              <w:t xml:space="preserve">4300</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8.2774</w:t>
            </w:r>
          </w:p>
        </w:tc>
        <w:tc>
          <w:tcPr>
            <w:tcW w:w="0" w:type="auto"/>
          </w:tcPr>
          <w:p>
            <w:pPr>
              <w:spacing w:line="240" w:lineRule="auto" w:before="0" w:after="0"/>
              <w:pStyle w:val="Compact"/>
            </w:pPr>
            <w:r>
              <w:rPr>
                <w:sz w:val="20"/>
                <w:szCs w:val="20"/>
              </w:rPr>
              <w:t xml:space="preserve">4.4308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KDP-C 2020 baseline; OIG report on COVID impact; NASA Roman page 2025-12</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9700</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8.5172</w:t>
            </w:r>
          </w:p>
        </w:tc>
        <w:tc>
          <w:tcPr>
            <w:tcW w:w="0" w:type="auto"/>
          </w:tcPr>
          <w:p>
            <w:pPr>
              <w:spacing w:line="240" w:lineRule="auto" w:before="0" w:after="0"/>
              <w:pStyle w:val="Compact"/>
            </w:pPr>
            <w:r>
              <w:rPr>
                <w:sz w:val="20"/>
                <w:szCs w:val="20"/>
              </w:rPr>
              <w:t xml:space="preserve">4.4308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GAO-12-207SP; Wikipedia JWST cost summary; NASA JWST launch Dec 2021</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981</w:t>
            </w:r>
          </w:p>
        </w:tc>
        <w:tc>
          <w:tcPr>
            <w:tcW w:w="0" w:type="auto"/>
          </w:tcPr>
          <w:p>
            <w:pPr>
              <w:spacing w:line="240" w:lineRule="auto" w:before="0" w:after="0"/>
              <w:pStyle w:val="Compact"/>
            </w:pPr>
            <w:r>
              <w:rPr>
                <w:sz w:val="20"/>
                <w:szCs w:val="20"/>
              </w:rPr>
              <w:t xml:space="preserve">981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6.8886</w:t>
            </w:r>
          </w:p>
        </w:tc>
        <w:tc>
          <w:tcPr>
            <w:tcW w:w="0" w:type="auto"/>
          </w:tcPr>
          <w:p>
            <w:pPr>
              <w:spacing w:line="240" w:lineRule="auto" w:before="0" w:after="0"/>
              <w:pStyle w:val="Compact"/>
            </w:pPr>
            <w:r>
              <w:rPr>
                <w:sz w:val="20"/>
                <w:szCs w:val="20"/>
              </w:rPr>
              <w:t xml:space="preserve">3.8712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Planetary Society Lucy cost article; Wikipedia Lucy; NASA Lucy launch Oct 2021</w:t>
            </w:r>
          </w:p>
        </w:tc>
      </w:tr>
      <w:tr>
        <w:tc>
          <w:tcPr>
            <w:tcW w:w="0" w:type="auto"/>
          </w:tcPr>
          <w:p>
            <w:pPr>
              <w:spacing w:line="240" w:lineRule="auto" w:before="0" w:after="0"/>
              <w:pStyle w:val="Compact"/>
            </w:pPr>
            <w:r>
              <w:rPr>
                <w:sz w:val="20"/>
                <w:szCs w:val="20"/>
              </w:rPr>
              <w:t xml:space="preserve">OSAM-1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808</w:t>
            </w:r>
          </w:p>
        </w:tc>
        <w:tc>
          <w:tcPr>
            <w:tcW w:w="0" w:type="auto"/>
          </w:tcPr>
          <w:p>
            <w:pPr>
              <w:spacing w:line="240" w:lineRule="auto" w:before="0" w:after="0"/>
              <w:pStyle w:val="Compact"/>
            </w:pPr>
            <w:r>
              <w:rPr>
                <w:sz w:val="20"/>
                <w:szCs w:val="20"/>
              </w:rPr>
              <w:t xml:space="preserve">2050</w:t>
            </w:r>
          </w:p>
        </w:tc>
        <w:tc>
          <w:tcPr>
            <w:tcW w:w="0" w:type="auto"/>
          </w:tcPr>
          <w:p>
            <w:pPr>
              <w:spacing w:line="240" w:lineRule="auto" w:before="0" w:after="0"/>
              <w:pStyle w:val="Compact"/>
            </w:pPr>
            <w:r>
              <w:rPr>
                <w:sz w:val="20"/>
                <w:szCs w:val="20"/>
              </w:rPr>
              <w:t xml:space="preserve">153.71</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STMD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6.6946</w:t>
            </w:r>
          </w:p>
        </w:tc>
        <w:tc>
          <w:tcPr>
            <w:tcW w:w="0" w:type="auto"/>
          </w:tcPr>
          <w:p>
            <w:pPr>
              <w:spacing w:line="240" w:lineRule="auto" w:before="0" w:after="0"/>
              <w:pStyle w:val="Compact"/>
            </w:pPr>
            <w:r>
              <w:rPr>
                <w:sz w:val="20"/>
                <w:szCs w:val="20"/>
              </w:rPr>
              <w:t xml:space="preserve">3.5835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OIG IG-24-002 (Oct 2023); NASA news release 2024-03-01 cancellation</w:t>
            </w:r>
          </w:p>
        </w:tc>
      </w:tr>
      <w:tr>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15.38</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6.477</w:t>
            </w:r>
          </w:p>
        </w:tc>
        <w:tc>
          <w:tcPr>
            <w:tcW w:w="0" w:type="auto"/>
          </w:tcPr>
          <w:p>
            <w:pPr>
              <w:spacing w:line="240" w:lineRule="auto" w:before="0" w:after="0"/>
              <w:pStyle w:val="Compact"/>
            </w:pPr>
            <w:r>
              <w:rPr>
                <w:sz w:val="20"/>
                <w:szCs w:val="20"/>
              </w:rPr>
              <w:t xml:space="preserve">3.8712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Landsat 9 GAO project information sheet; Wikipedia Landsat 9</w:t>
            </w:r>
          </w:p>
        </w:tc>
      </w:tr>
      <w:tr>
        <w:tc>
          <w:tcPr>
            <w:tcW w:w="0" w:type="auto"/>
          </w:tcPr>
          <w:p>
            <w:pPr>
              <w:spacing w:line="240" w:lineRule="auto" w:before="0" w:after="0"/>
              <w:pStyle w:val="Compact"/>
            </w:pPr>
            <w:r>
              <w:rPr>
                <w:sz w:val="20"/>
                <w:szCs w:val="20"/>
              </w:rPr>
              <w:t xml:space="preserve">NEO Surveyor</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16.67</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7.0901</w:t>
            </w:r>
          </w:p>
        </w:tc>
        <w:tc>
          <w:tcPr>
            <w:tcW w:w="0" w:type="auto"/>
          </w:tcPr>
          <w:p>
            <w:pPr>
              <w:spacing w:line="240" w:lineRule="auto" w:before="0" w:after="0"/>
              <w:pStyle w:val="Compact"/>
            </w:pPr>
            <w:r>
              <w:rPr>
                <w:sz w:val="20"/>
                <w:szCs w:val="20"/>
              </w:rPr>
              <w:t xml:space="preserve">3.8712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(2024); NASA NEO Surveyor program page</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808</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85.64</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132</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6.6946</w:t>
            </w:r>
          </w:p>
        </w:tc>
        <w:tc>
          <w:tcPr>
            <w:tcW w:w="0" w:type="auto"/>
          </w:tcPr>
          <w:p>
            <w:pPr>
              <w:spacing w:line="240" w:lineRule="auto" w:before="0" w:after="0"/>
              <w:pStyle w:val="Compact"/>
            </w:pPr>
            <w:r>
              <w:rPr>
                <w:sz w:val="20"/>
                <w:szCs w:val="20"/>
              </w:rPr>
              <w:t xml:space="preserve">4.2767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NISAR press kit; ISRO-NASA joint mission record; launch Jul 2025</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308.5</w:t>
            </w:r>
          </w:p>
        </w:tc>
        <w:tc>
          <w:tcPr>
            <w:tcW w:w="0" w:type="auto"/>
          </w:tcPr>
          <w:p>
            <w:pPr>
              <w:spacing w:line="240" w:lineRule="auto" w:before="0" w:after="0"/>
              <w:pStyle w:val="Compact"/>
            </w:pPr>
            <w:r>
              <w:rPr>
                <w:sz w:val="20"/>
                <w:szCs w:val="20"/>
              </w:rPr>
              <w:t xml:space="preserve">330</w:t>
            </w:r>
          </w:p>
        </w:tc>
        <w:tc>
          <w:tcPr>
            <w:tcW w:w="0" w:type="auto"/>
          </w:tcPr>
          <w:p>
            <w:pPr>
              <w:spacing w:line="240" w:lineRule="auto" w:before="0" w:after="0"/>
              <w:pStyle w:val="Compact"/>
            </w:pPr>
            <w:r>
              <w:rPr>
                <w:sz w:val="20"/>
                <w:szCs w:val="20"/>
              </w:rPr>
              <w:t xml:space="preserve">6.97</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5.7317</w:t>
            </w:r>
          </w:p>
        </w:tc>
        <w:tc>
          <w:tcPr>
            <w:tcW w:w="0" w:type="auto"/>
          </w:tcPr>
          <w:p>
            <w:pPr>
              <w:spacing w:line="240" w:lineRule="auto" w:before="0" w:after="0"/>
              <w:pStyle w:val="Compact"/>
            </w:pPr>
            <w:r>
              <w:rPr>
                <w:sz w:val="20"/>
                <w:szCs w:val="20"/>
              </w:rPr>
              <w:t xml:space="preserve">3.8712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APL DART press kit; impact 2022-09-26</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287</w:t>
            </w:r>
          </w:p>
        </w:tc>
        <w:tc>
          <w:tcPr>
            <w:tcW w:w="0" w:type="auto"/>
          </w:tcPr>
          <w:p>
            <w:pPr>
              <w:spacing w:line="240" w:lineRule="auto" w:before="0" w:after="0"/>
              <w:pStyle w:val="Compact"/>
            </w:pPr>
            <w:r>
              <w:rPr>
                <w:sz w:val="20"/>
                <w:szCs w:val="20"/>
              </w:rPr>
              <w:t xml:space="preserve">43.5</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5.2983</w:t>
            </w:r>
          </w:p>
        </w:tc>
        <w:tc>
          <w:tcPr>
            <w:tcW w:w="0" w:type="auto"/>
          </w:tcPr>
          <w:p>
            <w:pPr>
              <w:spacing w:line="240" w:lineRule="auto" w:before="0" w:after="0"/>
              <w:pStyle w:val="Compact"/>
            </w:pPr>
            <w:r>
              <w:rPr>
                <w:sz w:val="20"/>
                <w:szCs w:val="20"/>
              </w:rPr>
              <w:t xml:space="preserve">3.7377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TESS press kit; mission summary</w:t>
            </w:r>
          </w:p>
        </w:tc>
      </w:tr>
      <w:tr>
        <w:tc>
          <w:tcPr>
            <w:tcW w:w="0" w:type="auto"/>
          </w:tcPr>
          <w:p>
            <w:pPr>
              <w:spacing w:line="240" w:lineRule="auto" w:before="0" w:after="0"/>
              <w:pStyle w:val="Compact"/>
            </w:pPr>
            <w:r>
              <w:rPr>
                <w:sz w:val="20"/>
                <w:szCs w:val="20"/>
              </w:rPr>
              <w:t xml:space="preserve">ICON</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242</w:t>
            </w:r>
          </w:p>
        </w:tc>
        <w:tc>
          <w:tcPr>
            <w:tcW w:w="0" w:type="auto"/>
          </w:tcPr>
          <w:p>
            <w:pPr>
              <w:spacing w:line="240" w:lineRule="auto" w:before="0" w:after="0"/>
              <w:pStyle w:val="Compact"/>
            </w:pPr>
            <w:r>
              <w:rPr>
                <w:sz w:val="20"/>
                <w:szCs w:val="20"/>
              </w:rPr>
              <w:t xml:space="preserve">44.05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5.124</w:t>
            </w:r>
          </w:p>
        </w:tc>
        <w:tc>
          <w:tcPr>
            <w:tcW w:w="0" w:type="auto"/>
          </w:tcPr>
          <w:p>
            <w:pPr>
              <w:spacing w:line="240" w:lineRule="auto" w:before="0" w:after="0"/>
              <w:pStyle w:val="Compact"/>
            </w:pPr>
            <w:r>
              <w:rPr>
                <w:sz w:val="20"/>
                <w:szCs w:val="20"/>
              </w:rPr>
              <w:t xml:space="preserve">3.5835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ICON press kit; launched Oct 2019; NASA news</w:t>
            </w:r>
          </w:p>
        </w:tc>
      </w:tr>
      <w:tr>
        <w:tc>
          <w:tcPr>
            <w:tcW w:w="0" w:type="auto"/>
          </w:tcPr>
          <w:p>
            <w:pPr>
              <w:spacing w:line="240" w:lineRule="auto" w:before="0" w:after="0"/>
              <w:pStyle w:val="Compact"/>
            </w:pPr>
            <w:r>
              <w:rPr>
                <w:sz w:val="20"/>
                <w:szCs w:val="20"/>
              </w:rPr>
              <w:t xml:space="preserve">GOES-T</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2300</w:t>
            </w:r>
          </w:p>
        </w:tc>
        <w:tc>
          <w:tcPr>
            <w:tcW w:w="0" w:type="auto"/>
          </w:tcPr>
          <w:p>
            <w:pPr>
              <w:spacing w:line="240" w:lineRule="auto" w:before="0" w:after="0"/>
              <w:pStyle w:val="Compact"/>
            </w:pPr>
            <w:r>
              <w:rPr>
                <w:sz w:val="20"/>
                <w:szCs w:val="20"/>
              </w:rPr>
              <w:t xml:space="preserve">2400</w:t>
            </w:r>
          </w:p>
        </w:tc>
        <w:tc>
          <w:tcPr>
            <w:tcW w:w="0" w:type="auto"/>
          </w:tcPr>
          <w:p>
            <w:pPr>
              <w:spacing w:line="240" w:lineRule="auto" w:before="0" w:after="0"/>
              <w:pStyle w:val="Compact"/>
            </w:pPr>
            <w:r>
              <w:rPr>
                <w:sz w:val="20"/>
                <w:szCs w:val="20"/>
              </w:rPr>
              <w:t xml:space="preserve">4.35</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7.7407</w:t>
            </w:r>
          </w:p>
        </w:tc>
        <w:tc>
          <w:tcPr>
            <w:tcW w:w="0" w:type="auto"/>
          </w:tcPr>
          <w:p>
            <w:pPr>
              <w:spacing w:line="240" w:lineRule="auto" w:before="0" w:after="0"/>
              <w:pStyle w:val="Compact"/>
            </w:pPr>
            <w:r>
              <w:rPr>
                <w:sz w:val="20"/>
                <w:szCs w:val="20"/>
              </w:rPr>
              <w:t xml:space="preserve">4.2767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NOAA-NASA GOES-R series program; GAO-22-105212</w:t>
            </w:r>
          </w:p>
        </w:tc>
      </w:tr>
      <w:tr>
        <w:tc>
          <w:tcPr>
            <w:tcW w:w="0" w:type="auto"/>
          </w:tcPr>
          <w:p>
            <w:pPr>
              <w:spacing w:line="240" w:lineRule="auto" w:before="0" w:after="0"/>
              <w:pStyle w:val="Compact"/>
            </w:pPr>
            <w:r>
              <w:rPr>
                <w:sz w:val="20"/>
                <w:szCs w:val="20"/>
              </w:rPr>
              <w:t xml:space="preserve">TROPICS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33.33</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firm_fixed_price</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TROPICS press kit; Astra failure Jun 2022; subsequent Rocket Lab launches</w:t>
            </w:r>
          </w:p>
        </w:tc>
      </w:tr>
      <w:tr>
        <w:tc>
          <w:tcPr>
            <w:tcW w:w="0" w:type="auto"/>
          </w:tcPr>
          <w:p>
            <w:pPr>
              <w:spacing w:line="240" w:lineRule="auto" w:before="0" w:after="0"/>
              <w:pStyle w:val="Compact"/>
            </w:pPr>
            <w:r>
              <w:rPr>
                <w:sz w:val="20"/>
                <w:szCs w:val="20"/>
              </w:rPr>
              <w:t xml:space="preserve">ASTHROS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3.6889</w:t>
            </w:r>
          </w:p>
        </w:tc>
        <w:tc>
          <w:tcPr>
            <w:tcW w:w="0" w:type="auto"/>
          </w:tcPr>
          <w:p>
            <w:pPr>
              <w:spacing w:line="240" w:lineRule="auto" w:before="0" w:after="0"/>
              <w:pStyle w:val="Compact"/>
            </w:pPr>
            <w:r>
              <w:rPr>
                <w:sz w:val="20"/>
                <w:szCs w:val="20"/>
              </w:rPr>
              <w:t xml:space="preserve">3.5835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JPL ASTHROS program page; balloon mission scheduling delays</w:t>
            </w:r>
          </w:p>
        </w:tc>
      </w:tr>
    </w:tbl>
    <w:bookmarkEnd w:id="92"/>
    <w:bookmarkStart w:id="9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major_growth</w:t>
            </w:r>
          </w:p>
        </w:tc>
        <w:tc>
          <w:tcPr>
            <w:tcW w:w="0" w:type="auto"/>
          </w:tcPr>
          <w:p>
            <w:pPr>
              <w:spacing w:line="240" w:lineRule="auto" w:before="0" w:after="0"/>
              <w:pStyle w:val="Compact"/>
            </w:pPr>
            <w:r>
              <w:rPr>
                <w:sz w:val="20"/>
                <w:szCs w:val="20"/>
              </w:rPr>
              <w:t xml:space="preserve">Binary indicator equal to 1 if cost growth from Agency Baseline Commitment to most-recent estimate exceeds 25 percent, 0 otherwise</w:t>
            </w:r>
          </w:p>
        </w:tc>
        <w:tc>
          <w:tcPr>
            <w:tcW w:w="0" w:type="auto"/>
          </w:tcPr>
          <w:p>
            <w:pPr>
              <w:spacing w:line="240" w:lineRule="auto" w:before="0" w:after="0"/>
              <w:pStyle w:val="Compact"/>
            </w:pPr>
            <w:r>
              <w:rPr>
                <w:sz w:val="20"/>
                <w:szCs w:val="20"/>
              </w:rPr>
              <w:t xml:space="preserve">Computed by candidate from GAO Major Project Assessments and NASA OIG audits using the 25 percent threshold consistent with NASA Space Flight Program and Project Management Requirements NPR 7120.5F rebaselining trigger</w:t>
            </w:r>
          </w:p>
        </w:tc>
      </w:tr>
      <w:tr>
        <w:tc>
          <w:tcPr>
            <w:tcW w:w="0" w:type="auto"/>
          </w:tcPr>
          <w:p>
            <w:pPr>
              <w:spacing w:line="240" w:lineRule="auto" w:before="0" w:after="0"/>
              <w:pStyle w:val="Compact"/>
            </w:pPr>
            <w:r>
              <w:rPr>
                <w:sz w:val="20"/>
                <w:szCs w:val="20"/>
              </w:rPr>
              <w:t xml:space="preserve">cislunar</w:t>
            </w:r>
          </w:p>
        </w:tc>
        <w:tc>
          <w:tcPr>
            <w:tcW w:w="0" w:type="auto"/>
          </w:tcPr>
          <w:p>
            <w:pPr>
              <w:spacing w:line="240" w:lineRule="auto" w:before="0" w:after="0"/>
              <w:pStyle w:val="Compact"/>
            </w:pPr>
            <w:r>
              <w:rPr>
                <w:sz w:val="20"/>
                <w:szCs w:val="20"/>
              </w:rPr>
              <w:t xml:space="preserve">Indicator equal to 1 if primary operating regime is cislunar (lunar transfer, lunar orbit, or lunar surface), 0 otherwise</w:t>
            </w:r>
          </w:p>
        </w:tc>
        <w:tc>
          <w:tcPr>
            <w:tcW w:w="0" w:type="auto"/>
          </w:tcPr>
          <w:p>
            <w:pPr>
              <w:spacing w:line="240" w:lineRule="auto" w:before="0" w:after="0"/>
              <w:pStyle w:val="Compact"/>
            </w:pPr>
            <w:r>
              <w:rPr>
                <w:sz w:val="20"/>
                <w:szCs w:val="20"/>
              </w:rPr>
              <w:t xml:space="preserve">Coded by candidate from mission concept of operations</w:t>
            </w:r>
          </w:p>
        </w:tc>
      </w:tr>
      <w:tr>
        <w:tc>
          <w:tcPr>
            <w:tcW w:w="0" w:type="auto"/>
          </w:tcPr>
          <w:p>
            <w:pPr>
              <w:spacing w:line="240" w:lineRule="auto" w:before="0" w:after="0"/>
              <w:pStyle w:val="Compact"/>
            </w:pPr>
            <w:r>
              <w:rPr>
                <w:sz w:val="20"/>
                <w:szCs w:val="20"/>
              </w:rPr>
              <w:t xml:space="preserve">log_baseline_cost</w:t>
            </w:r>
          </w:p>
        </w:tc>
        <w:tc>
          <w:tcPr>
            <w:tcW w:w="0" w:type="auto"/>
          </w:tcPr>
          <w:p>
            <w:pPr>
              <w:spacing w:line="240" w:lineRule="auto" w:before="0" w:after="0"/>
              <w:pStyle w:val="Compact"/>
            </w:pPr>
            <w:r>
              <w:rPr>
                <w:sz w:val="20"/>
                <w:szCs w:val="20"/>
              </w:rPr>
              <w:t xml:space="preserve">Natural logarithm of approved Agency Baseline Commitment life-cycle cost in millions of USD</w:t>
            </w:r>
          </w:p>
        </w:tc>
        <w:tc>
          <w:tcPr>
            <w:tcW w:w="0" w:type="auto"/>
          </w:tcPr>
          <w:p>
            <w:pPr>
              <w:spacing w:line="240" w:lineRule="auto" w:before="0" w:after="0"/>
              <w:pStyle w:val="Compact"/>
            </w:pPr>
            <w:r>
              <w:rPr>
                <w:sz w:val="20"/>
                <w:szCs w:val="20"/>
              </w:rPr>
              <w:t xml:space="preserve">Derived from GAO and NASA baseline at Key Decision Point C or contract award</w:t>
            </w:r>
          </w:p>
        </w:tc>
      </w:tr>
      <w:tr>
        <w:tc>
          <w:tcPr>
            <w:tcW w:w="0" w:type="auto"/>
          </w:tcPr>
          <w:p>
            <w:pPr>
              <w:spacing w:line="240" w:lineRule="auto" w:before="0" w:after="0"/>
              <w:pStyle w:val="Compact"/>
            </w:pPr>
            <w:r>
              <w:rPr>
                <w:sz w:val="20"/>
                <w:szCs w:val="20"/>
              </w:rPr>
              <w:t xml:space="preserve">log_baseline_lrd</w:t>
            </w:r>
          </w:p>
        </w:tc>
        <w:tc>
          <w:tcPr>
            <w:tcW w:w="0" w:type="auto"/>
          </w:tcPr>
          <w:p>
            <w:pPr>
              <w:spacing w:line="240" w:lineRule="auto" w:before="0" w:after="0"/>
              <w:pStyle w:val="Compact"/>
            </w:pPr>
            <w:r>
              <w:rPr>
                <w:sz w:val="20"/>
                <w:szCs w:val="20"/>
              </w:rPr>
              <w:t xml:space="preserve">Natural logarithm of approved baseline development duration in months from authority to proceed to launch readiness</w:t>
            </w:r>
          </w:p>
        </w:tc>
        <w:tc>
          <w:tcPr>
            <w:tcW w:w="0" w:type="auto"/>
          </w:tcPr>
          <w:p>
            <w:pPr>
              <w:spacing w:line="240" w:lineRule="auto" w:before="0" w:after="0"/>
              <w:pStyle w:val="Compact"/>
            </w:pPr>
            <w:r>
              <w:rPr>
                <w:sz w:val="20"/>
                <w:szCs w:val="20"/>
              </w:rPr>
              <w:t xml:space="preserve">Derived from GAO and NASA baseline schedule</w:t>
            </w:r>
          </w:p>
        </w:tc>
      </w:tr>
      <w:tr>
        <w:tc>
          <w:tcPr>
            <w:tcW w:w="0" w:type="auto"/>
          </w:tcPr>
          <w:p>
            <w:pPr>
              <w:spacing w:line="240" w:lineRule="auto" w:before="0" w:after="0"/>
              <w:pStyle w:val="Compact"/>
            </w:pPr>
            <w:r>
              <w:rPr>
                <w:sz w:val="20"/>
                <w:szCs w:val="20"/>
              </w:rPr>
              <w:t xml:space="preserve">sponsor_directorate</w:t>
            </w:r>
          </w:p>
        </w:tc>
        <w:tc>
          <w:tcPr>
            <w:tcW w:w="0" w:type="auto"/>
          </w:tcPr>
          <w:p>
            <w:pPr>
              <w:spacing w:line="240" w:lineRule="auto" w:before="0" w:after="0"/>
              <w:pStyle w:val="Compact"/>
            </w:pPr>
            <w:r>
              <w:rPr>
                <w:sz w:val="20"/>
                <w:szCs w:val="20"/>
              </w:rPr>
              <w:t xml:space="preserve">NASA mission directorate of record: ESDMD, SMD, or STMD</w:t>
            </w:r>
          </w:p>
        </w:tc>
        <w:tc>
          <w:tcPr>
            <w:tcW w:w="0" w:type="auto"/>
          </w:tcPr>
          <w:p>
            <w:pPr>
              <w:spacing w:line="240" w:lineRule="auto" w:before="0" w:after="0"/>
              <w:pStyle w:val="Compact"/>
            </w:pPr>
            <w:r>
              <w:rPr>
                <w:sz w:val="20"/>
                <w:szCs w:val="20"/>
              </w:rPr>
              <w:t xml:space="preserve">NASA organizational records</w:t>
            </w:r>
          </w:p>
        </w:tc>
      </w:tr>
      <w:tr>
        <w:tc>
          <w:tcPr>
            <w:tcW w:w="0" w:type="auto"/>
          </w:tcPr>
          <w:p>
            <w:pPr>
              <w:spacing w:line="240" w:lineRule="auto" w:before="0" w:after="0"/>
              <w:pStyle w:val="Compact"/>
            </w:pPr>
            <w:r>
              <w:rPr>
                <w:sz w:val="20"/>
                <w:szCs w:val="20"/>
              </w:rPr>
              <w:t xml:space="preserve">contracting_instrument</w:t>
            </w:r>
          </w:p>
        </w:tc>
        <w:tc>
          <w:tcPr>
            <w:tcW w:w="0" w:type="auto"/>
          </w:tcPr>
          <w:p>
            <w:pPr>
              <w:spacing w:line="240" w:lineRule="auto" w:before="0" w:after="0"/>
              <w:pStyle w:val="Compact"/>
            </w:pPr>
            <w:r>
              <w:rPr>
                <w:sz w:val="20"/>
                <w:szCs w:val="20"/>
              </w:rPr>
              <w:t xml:space="preserve">Dominant contracting vehicle: cost_plus, firm_fixed_price, or mixed</w:t>
            </w:r>
          </w:p>
        </w:tc>
        <w:tc>
          <w:tcPr>
            <w:tcW w:w="0" w:type="auto"/>
          </w:tcPr>
          <w:p>
            <w:pPr>
              <w:spacing w:line="240" w:lineRule="auto" w:before="0" w:after="0"/>
              <w:pStyle w:val="Compact"/>
            </w:pPr>
            <w:r>
              <w:rPr>
                <w:sz w:val="20"/>
                <w:szCs w:val="20"/>
              </w:rPr>
              <w:t xml:space="preserve">FedBizOpps and NASA contracting record</w:t>
            </w:r>
          </w:p>
        </w:tc>
      </w:tr>
    </w:tbl>
    <w:bookmarkEnd w:id="93"/>
    <w:bookmarkStart w:id="9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-2.1106</w:t>
            </w:r>
          </w:p>
        </w:tc>
        <w:tc>
          <w:tcPr>
            <w:tcW w:w="0" w:type="auto"/>
          </w:tcPr>
          <w:p>
            <w:pPr>
              <w:spacing w:line="240" w:lineRule="auto" w:before="0" w:after="0"/>
              <w:pStyle w:val="Compact"/>
            </w:pPr>
            <w:r>
              <w:rPr>
                <w:sz w:val="20"/>
                <w:szCs w:val="20"/>
              </w:rPr>
              <w:t xml:space="preserve">5.368</w:t>
            </w:r>
          </w:p>
        </w:tc>
        <w:tc>
          <w:tcPr>
            <w:tcW w:w="0" w:type="auto"/>
          </w:tcPr>
          <w:p>
            <w:pPr>
              <w:spacing w:line="240" w:lineRule="auto" w:before="0" w:after="0"/>
              <w:pStyle w:val="Compact"/>
            </w:pPr>
            <w:r>
              <w:rPr>
                <w:sz w:val="20"/>
                <w:szCs w:val="20"/>
              </w:rPr>
              <w:t xml:space="preserve">-0.3932</w:t>
            </w:r>
          </w:p>
        </w:tc>
        <w:tc>
          <w:tcPr>
            <w:tcW w:w="0" w:type="auto"/>
          </w:tcPr>
          <w:p>
            <w:pPr>
              <w:spacing w:line="240" w:lineRule="auto" w:before="0" w:after="0"/>
              <w:pStyle w:val="Compact"/>
            </w:pPr>
            <w:r>
              <w:rPr>
                <w:sz w:val="20"/>
                <w:szCs w:val="20"/>
              </w:rPr>
              <w:t xml:space="preserve">0.6942</w:t>
            </w:r>
          </w:p>
        </w:tc>
        <w:tc>
          <w:tcPr>
            <w:tcW w:w="0" w:type="auto"/>
          </w:tcPr>
          <w:p>
            <w:pPr>
              <w:spacing w:line="240" w:lineRule="auto" w:before="0" w:after="0"/>
              <w:pStyle w:val="Compact"/>
            </w:pPr>
            <w:r>
              <w:rPr>
                <w:sz w:val="20"/>
                <w:szCs w:val="20"/>
              </w:rPr>
              <w:t xml:space="preserve">[-12.6317, 8.4105]</w:t>
            </w:r>
          </w:p>
        </w:tc>
      </w:tr>
      <w:tr>
        <w:tc>
          <w:tcPr>
            <w:tcW w:w="0" w:type="auto"/>
          </w:tcPr>
          <w:p>
            <w:pPr>
              <w:spacing w:line="240" w:lineRule="auto" w:before="0" w:after="0"/>
              <w:pStyle w:val="Compact"/>
            </w:pPr>
            <w:r>
              <w:rPr>
                <w:sz w:val="20"/>
                <w:szCs w:val="20"/>
              </w:rPr>
              <w:t xml:space="preserve">cislunar</w:t>
            </w:r>
          </w:p>
        </w:tc>
        <w:tc>
          <w:tcPr>
            <w:tcW w:w="0" w:type="auto"/>
          </w:tcPr>
          <w:p>
            <w:pPr>
              <w:spacing w:line="240" w:lineRule="auto" w:before="0" w:after="0"/>
              <w:pStyle w:val="Compact"/>
            </w:pPr>
            <w:r>
              <w:rPr>
                <w:sz w:val="20"/>
                <w:szCs w:val="20"/>
              </w:rPr>
              <w:t xml:space="preserve">0.1028</w:t>
            </w:r>
          </w:p>
        </w:tc>
        <w:tc>
          <w:tcPr>
            <w:tcW w:w="0" w:type="auto"/>
          </w:tcPr>
          <w:p>
            <w:pPr>
              <w:spacing w:line="240" w:lineRule="auto" w:before="0" w:after="0"/>
              <w:pStyle w:val="Compact"/>
            </w:pPr>
            <w:r>
              <w:rPr>
                <w:sz w:val="20"/>
                <w:szCs w:val="20"/>
              </w:rPr>
              <w:t xml:space="preserve">0.8603</w:t>
            </w:r>
          </w:p>
        </w:tc>
        <w:tc>
          <w:tcPr>
            <w:tcW w:w="0" w:type="auto"/>
          </w:tcPr>
          <w:p>
            <w:pPr>
              <w:spacing w:line="240" w:lineRule="auto" w:before="0" w:after="0"/>
              <w:pStyle w:val="Compact"/>
            </w:pPr>
            <w:r>
              <w:rPr>
                <w:sz w:val="20"/>
                <w:szCs w:val="20"/>
              </w:rPr>
              <w:t xml:space="preserve">0.1195</w:t>
            </w:r>
          </w:p>
        </w:tc>
        <w:tc>
          <w:tcPr>
            <w:tcW w:w="0" w:type="auto"/>
          </w:tcPr>
          <w:p>
            <w:pPr>
              <w:spacing w:line="240" w:lineRule="auto" w:before="0" w:after="0"/>
              <w:pStyle w:val="Compact"/>
            </w:pPr>
            <w:r>
              <w:rPr>
                <w:sz w:val="20"/>
                <w:szCs w:val="20"/>
              </w:rPr>
              <w:t xml:space="preserve">0.9049</w:t>
            </w:r>
          </w:p>
        </w:tc>
        <w:tc>
          <w:tcPr>
            <w:tcW w:w="0" w:type="auto"/>
          </w:tcPr>
          <w:p>
            <w:pPr>
              <w:spacing w:line="240" w:lineRule="auto" w:before="0" w:after="0"/>
              <w:pStyle w:val="Compact"/>
            </w:pPr>
            <w:r>
              <w:rPr>
                <w:sz w:val="20"/>
                <w:szCs w:val="20"/>
              </w:rPr>
              <w:t xml:space="preserve">[-1.5834, 1.789]</w:t>
            </w:r>
          </w:p>
        </w:tc>
      </w:tr>
      <w:tr>
        <w:tc>
          <w:tcPr>
            <w:tcW w:w="0" w:type="auto"/>
          </w:tcPr>
          <w:p>
            <w:pPr>
              <w:spacing w:line="240" w:lineRule="auto" w:before="0" w:after="0"/>
              <w:pStyle w:val="Compact"/>
            </w:pPr>
            <w:r>
              <w:rPr>
                <w:sz w:val="20"/>
                <w:szCs w:val="20"/>
              </w:rPr>
              <w:t xml:space="preserve">log_baseline_cost</w:t>
            </w:r>
          </w:p>
        </w:tc>
        <w:tc>
          <w:tcPr>
            <w:tcW w:w="0" w:type="auto"/>
          </w:tcPr>
          <w:p>
            <w:pPr>
              <w:spacing w:line="240" w:lineRule="auto" w:before="0" w:after="0"/>
              <w:pStyle w:val="Compact"/>
            </w:pPr>
            <w:r>
              <w:rPr>
                <w:sz w:val="20"/>
                <w:szCs w:val="20"/>
              </w:rPr>
              <w:t xml:space="preserve">-0.2881</w:t>
            </w:r>
          </w:p>
        </w:tc>
        <w:tc>
          <w:tcPr>
            <w:tcW w:w="0" w:type="auto"/>
          </w:tcPr>
          <w:p>
            <w:pPr>
              <w:spacing w:line="240" w:lineRule="auto" w:before="0" w:after="0"/>
              <w:pStyle w:val="Compact"/>
            </w:pPr>
            <w:r>
              <w:rPr>
                <w:sz w:val="20"/>
                <w:szCs w:val="20"/>
              </w:rPr>
              <w:t xml:space="preserve">0.4399</w:t>
            </w:r>
          </w:p>
        </w:tc>
        <w:tc>
          <w:tcPr>
            <w:tcW w:w="0" w:type="auto"/>
          </w:tcPr>
          <w:p>
            <w:pPr>
              <w:spacing w:line="240" w:lineRule="auto" w:before="0" w:after="0"/>
              <w:pStyle w:val="Compact"/>
            </w:pPr>
            <w:r>
              <w:rPr>
                <w:sz w:val="20"/>
                <w:szCs w:val="20"/>
              </w:rPr>
              <w:t xml:space="preserve">-0.655</w:t>
            </w:r>
          </w:p>
        </w:tc>
        <w:tc>
          <w:tcPr>
            <w:tcW w:w="0" w:type="auto"/>
          </w:tcPr>
          <w:p>
            <w:pPr>
              <w:spacing w:line="240" w:lineRule="auto" w:before="0" w:after="0"/>
              <w:pStyle w:val="Compact"/>
            </w:pPr>
            <w:r>
              <w:rPr>
                <w:sz w:val="20"/>
                <w:szCs w:val="20"/>
              </w:rPr>
              <w:t xml:space="preserve">0.5125</w:t>
            </w:r>
          </w:p>
        </w:tc>
        <w:tc>
          <w:tcPr>
            <w:tcW w:w="0" w:type="auto"/>
          </w:tcPr>
          <w:p>
            <w:pPr>
              <w:spacing w:line="240" w:lineRule="auto" w:before="0" w:after="0"/>
              <w:pStyle w:val="Compact"/>
            </w:pPr>
            <w:r>
              <w:rPr>
                <w:sz w:val="20"/>
                <w:szCs w:val="20"/>
              </w:rPr>
              <w:t xml:space="preserve">[-1.1502, 0.574]</w:t>
            </w:r>
          </w:p>
        </w:tc>
      </w:tr>
      <w:tr>
        <w:tc>
          <w:tcPr>
            <w:tcW w:w="0" w:type="auto"/>
          </w:tcPr>
          <w:p>
            <w:pPr>
              <w:spacing w:line="240" w:lineRule="auto" w:before="0" w:after="0"/>
              <w:pStyle w:val="Compact"/>
            </w:pPr>
            <w:r>
              <w:rPr>
                <w:sz w:val="20"/>
                <w:szCs w:val="20"/>
              </w:rPr>
              <w:t xml:space="preserve">log_baseline_lrd</w:t>
            </w:r>
          </w:p>
        </w:tc>
        <w:tc>
          <w:tcPr>
            <w:tcW w:w="0" w:type="auto"/>
          </w:tcPr>
          <w:p>
            <w:pPr>
              <w:spacing w:line="240" w:lineRule="auto" w:before="0" w:after="0"/>
              <w:pStyle w:val="Compact"/>
            </w:pPr>
            <w:r>
              <w:rPr>
                <w:sz w:val="20"/>
                <w:szCs w:val="20"/>
              </w:rPr>
              <w:t xml:space="preserve">0.9697</w:t>
            </w:r>
          </w:p>
        </w:tc>
        <w:tc>
          <w:tcPr>
            <w:tcW w:w="0" w:type="auto"/>
          </w:tcPr>
          <w:p>
            <w:pPr>
              <w:spacing w:line="240" w:lineRule="auto" w:before="0" w:after="0"/>
              <w:pStyle w:val="Compact"/>
            </w:pPr>
            <w:r>
              <w:rPr>
                <w:sz w:val="20"/>
                <w:szCs w:val="20"/>
              </w:rPr>
              <w:t xml:space="preserve">1.9119</w:t>
            </w:r>
          </w:p>
        </w:tc>
        <w:tc>
          <w:tcPr>
            <w:tcW w:w="0" w:type="auto"/>
          </w:tcPr>
          <w:p>
            <w:pPr>
              <w:spacing w:line="240" w:lineRule="auto" w:before="0" w:after="0"/>
              <w:pStyle w:val="Compact"/>
            </w:pPr>
            <w:r>
              <w:rPr>
                <w:sz w:val="20"/>
                <w:szCs w:val="20"/>
              </w:rPr>
              <w:t xml:space="preserve">0.5072</w:t>
            </w:r>
          </w:p>
        </w:tc>
        <w:tc>
          <w:tcPr>
            <w:tcW w:w="0" w:type="auto"/>
          </w:tcPr>
          <w:p>
            <w:pPr>
              <w:spacing w:line="240" w:lineRule="auto" w:before="0" w:after="0"/>
              <w:pStyle w:val="Compact"/>
            </w:pPr>
            <w:r>
              <w:rPr>
                <w:sz w:val="20"/>
                <w:szCs w:val="20"/>
              </w:rPr>
              <w:t xml:space="preserve">0.612</w:t>
            </w:r>
          </w:p>
        </w:tc>
        <w:tc>
          <w:tcPr>
            <w:tcW w:w="0" w:type="auto"/>
          </w:tcPr>
          <w:p>
            <w:pPr>
              <w:spacing w:line="240" w:lineRule="auto" w:before="0" w:after="0"/>
              <w:pStyle w:val="Compact"/>
            </w:pPr>
            <w:r>
              <w:rPr>
                <w:sz w:val="20"/>
                <w:szCs w:val="20"/>
              </w:rPr>
              <w:t xml:space="preserve">[-2.7776, 4.7169]</w:t>
            </w:r>
          </w:p>
        </w:tc>
      </w:tr>
    </w:tbl>
    <w:p>
      <w:pPr>
        <w:pStyle w:val="BodyText"/>
      </w:pPr>
      <w:r>
        <w:t xml:space="preserve">Fit: N = 30 pseudo_R2 = 0.011 LL = -20.4992</w:t>
      </w:r>
    </w:p>
    <w:bookmarkEnd w:id="94"/>
    <w:bookmarkEnd w:id="95"/>
    <w:bookmarkEnd w:id="9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8" Target="media/rId88.png" /><Relationship Type="http://schemas.openxmlformats.org/officeDocument/2006/relationships/hyperlink" Id="rId79" Target="https://doi.org/10.1016/j.actaastro.2022.11.005" TargetMode="External" /><Relationship Type="http://schemas.openxmlformats.org/officeDocument/2006/relationships/hyperlink" Id="rId81" Target="https://doi.org/10.1016/j.actaastro.2025.04.041" TargetMode="External" /><Relationship Type="http://schemas.openxmlformats.org/officeDocument/2006/relationships/hyperlink" Id="rId68" Target="https://doi.org/10.64861/ACKU6440" TargetMode="External" /><Relationship Type="http://schemas.openxmlformats.org/officeDocument/2006/relationships/hyperlink" Id="rId70" Target="https://doi.org/10.64861/ESVN6806" TargetMode="External" /><Relationship Type="http://schemas.openxmlformats.org/officeDocument/2006/relationships/hyperlink" Id="rId76" Target="https://doi.org/10.64861/SIJX9169" TargetMode="External" /><Relationship Type="http://schemas.openxmlformats.org/officeDocument/2006/relationships/hyperlink" Id="rId74" Target="https://doi.org/10.64861/UAMB9924" TargetMode="External" /></Relationships>
</file>

<file path=word/_rels/footnotes.xml.rels><?xml version="1.0" encoding="UTF-8"?><Relationships xmlns="http://schemas.openxmlformats.org/package/2006/relationships"><Relationship Type="http://schemas.openxmlformats.org/officeDocument/2006/relationships/hyperlink" Id="rId79" Target="https://doi.org/10.1016/j.actaastro.2022.11.005" TargetMode="External" /><Relationship Type="http://schemas.openxmlformats.org/officeDocument/2006/relationships/hyperlink" Id="rId81" Target="https://doi.org/10.1016/j.actaastro.2025.04.041" TargetMode="External" /><Relationship Type="http://schemas.openxmlformats.org/officeDocument/2006/relationships/hyperlink" Id="rId68" Target="https://doi.org/10.64861/ACKU6440" TargetMode="External" /><Relationship Type="http://schemas.openxmlformats.org/officeDocument/2006/relationships/hyperlink" Id="rId70" Target="https://doi.org/10.64861/ESVN6806" TargetMode="External" /><Relationship Type="http://schemas.openxmlformats.org/officeDocument/2006/relationships/hyperlink" Id="rId76" Target="https://doi.org/10.64861/SIJX9169" TargetMode="External" /><Relationship Type="http://schemas.openxmlformats.org/officeDocument/2006/relationships/hyperlink" Id="rId74" Target="https://doi.org/10.64861/UAMB992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2026-06-27T00:26:22Z</dcterms:created>
  <dcterms:modified xsi:type="dcterms:W3CDTF">2026-06-27T00:26:22Z</dcterms:modified>
</cp:coreProperties>
</file>

<file path=docProps/custom.xml><?xml version="1.0" encoding="utf-8"?>
<Properties xmlns="http://schemas.openxmlformats.org/officeDocument/2006/custom-properties" xmlns:vt="http://schemas.openxmlformats.org/officeDocument/2006/docPropsVTypes"/>
</file>