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MISSION COST-AND-SCHEDULE CLIOMETRICS OF CISLUNAR INFRASTRUCTURE DEMONSTRATIONS:</w:t>
      </w:r>
    </w:p>
    <w:p>
      <w:pPr>
        <w:jc w:val="center"/>
      </w:pPr>
    </w:p>
    <w:p>
      <w:pPr>
        <w:jc w:val="center"/>
      </w:pPr>
      <w:r>
        <w:rPr>
          <w:rFonts w:ascii="Times New Roman" w:hAnsi="Times New Roman"/>
          <w:sz w:val="24"/>
        </w:rPr>
        <w:t>by</w:t>
      </w:r>
    </w:p>
    <w:p>
      <w:pPr>
        <w:jc w:val="center"/>
      </w:pPr>
      <w:r>
        <w:rPr>
          <w:rFonts w:ascii="Times New Roman" w:hAnsi="Times New Roman"/>
          <w:b/>
          <w:sz w:val="28"/>
        </w:rPr>
        <w:t>Keiko Feld</w:t>
      </w:r>
    </w:p>
    <w:p>
      <w:pPr>
        <w:jc w:val="center"/>
      </w:pPr>
      <w:r>
        <w:rPr>
          <w:rFonts w:ascii="Times New Roman" w:hAnsi="Times New Roman"/>
          <w:sz w:val="24"/>
        </w:rPr>
        <w:t>1B-SDA-097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the-problem-and-why-it-matters-now"/>
    <w:p>
      <w:pPr>
        <w:pStyle w:val="Heading2"/>
        <w:spacing w:line="480" w:lineRule="auto"/>
      </w:pPr>
      <w:r>
        <w:t xml:space="preserve">1.1 The Problem and Why It Matters Now</w:t>
      </w:r>
    </w:p>
    <w:p>
      <w:pPr>
        <w:pStyle w:val="FirstParagraph"/>
        <w:spacing w:line="480" w:lineRule="auto"/>
      </w:pPr>
      <w:r>
        <w:t xml:space="preserve">The cislunar regime has crossed a threshold. What was, for most of the post Apollo period, a domain of architectural concept papers and feasibility studies has become a domain of operational demonstration. Ground based and space based sensor demonstrators are now being fielded against trajectories that originate at, transit through, or return from the Earth Moon libration region [1, 4, 24]. Lunar surface mounted optical payloads are being flown as secondary instruments on commercial landers</w:t>
      </w:r>
      <w:r>
        <w:t xml:space="preserve"> </w:t>
      </w:r>
      <w:hyperlink w:anchor="ref-3">
        <w:r>
          <w:rPr>
            <w:rStyle w:val="Hyperlink"/>
          </w:rPr>
          <w:t xml:space="preserve">[3]</w:t>
        </w:r>
      </w:hyperlink>
      <w:r>
        <w:t xml:space="preserve">. Space based observer concepts and pole sitter architectures have moved from analysis to architecture studies grounded in capacity calculation [2, 5, 28, 30]. Physics informed and machine learning aided orbit determination methods are being trained and tested on cislunar trajectories that classical batch processors handle poorly [6, 34]. Game theoretic and Bayesian treatments of L1 and L2 observation planning have appeared in the same conference proceedings, reflecting a literature that is moving from feasibility to optimization [14, 26]. End of life disposal in the cislunar regime is now the subject of its own demonstration design</w:t>
      </w:r>
      <w:r>
        <w:t xml:space="preserve"> </w:t>
      </w:r>
      <w:hyperlink w:anchor="ref-25">
        <w:r>
          <w:rPr>
            <w:rStyle w:val="Hyperlink"/>
          </w:rPr>
          <w:t xml:space="preserve">[25]</w:t>
        </w:r>
      </w:hyperlink>
      <w:r>
        <w:t xml:space="preserve">. The pipeline of cislunar demonstrators is, in short, dense enough that quantitative analysis at the demonstrator level is now possible. It was not possible five years ago.</w:t>
      </w:r>
    </w:p>
    <w:p>
      <w:pPr>
        <w:pStyle w:val="BodyText"/>
        <w:spacing w:line="480" w:lineRule="auto"/>
        <w:ind w:firstLine="720"/>
      </w:pPr>
      <w:r>
        <w:t xml:space="preserve">This pipeline density matters because downstream decisions are being made on top of it. The Office of Commercial and Economic Analysis projections of the space economy, which in their most recent iterations explicitly model a cislunar contribution, depend on whether the demonstration layer delivers within its announced cost and schedule envelope [7, 15, 22]. The whole of nation industrial framing in the Space Imperative argues that cislunar infrastructure is the binding constraint on the entire in space and from space economy and that cost effective infrastructure delivery at the demonstration layer is what knits the macro projection to operational reality</w:t>
      </w:r>
      <w:r>
        <w:t xml:space="preserve"> </w:t>
      </w:r>
      <w:hyperlink w:anchor="ref-12">
        <w:r>
          <w:rPr>
            <w:rStyle w:val="Hyperlink"/>
          </w:rPr>
          <w:t xml:space="preserve">[12]</w:t>
        </w:r>
      </w:hyperlink>
      <w:r>
        <w:t xml:space="preserve">. The MITRE Circular Economy framework argues, parallel to the macro work, that infrastructure reuse will alter cost trajectories and proposes specific demonstration architectures whose credibility depends on whether early demonstrators meet their announced baselines</w:t>
      </w:r>
      <w:r>
        <w:t xml:space="preserve"> </w:t>
      </w:r>
      <w:hyperlink w:anchor="ref-13">
        <w:r>
          <w:rPr>
            <w:rStyle w:val="Hyperlink"/>
          </w:rPr>
          <w:t xml:space="preserve">[13]</w:t>
        </w:r>
      </w:hyperlink>
      <w:r>
        <w:t xml:space="preserve">. Each of these macro framings rests on an empirical claim that no one has yet tested at the demonstrator level. The claim is that demonstration class cislunar missions, the layer immediately below the Artemis flagship layer, can be procured and executed within an announced cost and schedule envelope that is comparable, after appropriate controls, to the equivalent Earth orbit demonstration class.</w:t>
      </w:r>
    </w:p>
    <w:p>
      <w:pPr>
        <w:pStyle w:val="BodyText"/>
        <w:spacing w:line="480" w:lineRule="auto"/>
        <w:ind w:firstLine="720"/>
      </w:pPr>
      <w:r>
        <w:t xml:space="preserve">The stakes for NASA are operational. The Government Accountability Office assessments of major projects have, in their most recent iterations, documented sustained cost growth and schedule slip across the NASA portfolio, including across cislunar elements [16, 17]. The NASA Office of Inspector General has published focused audits on the Commercial Lunar Payload Services initiative and on the Space Launch System program that document specific cost and schedule outcomes against announced baselines [21, 23]. These public records establish that cost and schedule realism is contested at the major project level. They do not yet answer the prior question, which is whether the cislunar regime, taken on its own terms, carries a distinguishable cost and schedule signature once mission class, sponsor, contracting instrument, and scope are controlled. That prior question is the operational question for the Office of the Chief Financial Officer, the Science Mission Directorate, the Exploration Systems Development Mission Directorate, and the Space Operations Mission Directorate as they construct the Fiscal Year 2027 and 2028 budget requests against a cislunar architectural plan that assumes commensurability with Earth orbit experience.</w:t>
      </w:r>
    </w:p>
    <w:p>
      <w:pPr>
        <w:pStyle w:val="BodyText"/>
        <w:spacing w:line="480" w:lineRule="auto"/>
        <w:ind w:firstLine="720"/>
      </w:pPr>
      <w:r>
        <w:t xml:space="preserve">The stakes for the Jet Propulsion Laboratory are immediate and architectural. The Laboratory carries a portfolio of cislunar relevant assets that spans navigation, instrument development, and demonstration class missions. The architectural papers that motivate the present study draw explicitly on Jet Propulsion Laboratory affiliated work in optimized cislunar architecture design, Poincare map based search, and uncertainty aware orbit determination [2, 5, 6]. The pipeline includes navigation demonstrators that are direct inheritors of the Cislunar Autonomous Positioning System Technology Operations and Navigation Experiment line, optical sensor architectures that build on lunar surface and lunar orbit observer concepts [3, 24, 30], and mission concepts that probe the lunar subsurface or sample the lunar regolith for in situ resource utilization [10, 11]. Each of these lines is being constructed against a backdrop of competitive recompete pressure and against the macroeconomic projections cited above. If the cislunar regime carries a measurable cost and schedule premium that the Laboratory has not yet quantified in its own institutional cost models, the recompete posture is exposed. If, conversely, the regime does not carry such a premium once the relevant controls are applied, then the Laboratory has an actuarial basis on which to compete cislunar work at the demonstration scale and to argue for the cislunar elements of the science portfolio on cost effectiveness grounds rather than on architectural promise alone. The cliometric finding is therefore institutionally consequential.</w:t>
      </w:r>
    </w:p>
    <w:bookmarkEnd w:id="61"/>
    <w:bookmarkStart w:id="62" w:name="the-gap-between-two-literatures"/>
    <w:p>
      <w:pPr>
        <w:pStyle w:val="Heading2"/>
        <w:spacing w:line="480" w:lineRule="auto"/>
      </w:pPr>
      <w:r>
        <w:t xml:space="preserve">1.2 The Gap Between Two Literatures</w:t>
      </w:r>
    </w:p>
    <w:p>
      <w:pPr>
        <w:pStyle w:val="FirstParagraph"/>
        <w:spacing w:line="480" w:lineRule="auto"/>
      </w:pPr>
      <w:r>
        <w:t xml:space="preserve">The relevant scholarly literature on cislunar infrastructure is bifurcated. On one side sits a substantial and technically rigorous domain literature on cislunar space domain awareness, navigation, and infrastructure. The AMOS proceedings between 2021 and 2025 establish feasibility envelopes and performance characteristics for ground based sensors that search the cislunar volume [1, 4, 24], for space based observer architectures including pole sitter and distributed constellations [5, 28, 30, 33], for lunar surface mounted optical instruments hosted on commercial landers</w:t>
      </w:r>
      <w:r>
        <w:t xml:space="preserve"> </w:t>
      </w:r>
      <w:hyperlink w:anchor="ref-3">
        <w:r>
          <w:rPr>
            <w:rStyle w:val="Hyperlink"/>
          </w:rPr>
          <w:t xml:space="preserve">[3]</w:t>
        </w:r>
      </w:hyperlink>
      <w:r>
        <w:t xml:space="preserve">, for uncertainty aware physics informed orbit determination</w:t>
      </w:r>
      <w:r>
        <w:t xml:space="preserve"> </w:t>
      </w:r>
      <w:hyperlink w:anchor="ref-6">
        <w:r>
          <w:rPr>
            <w:rStyle w:val="Hyperlink"/>
          </w:rPr>
          <w:t xml:space="preserve">[6]</w:t>
        </w:r>
      </w:hyperlink>
      <w:r>
        <w:t xml:space="preserve">, and for game theoretic and Bayesian search planning at the L1 and L2 points [14, 26]. The Acta Astronautica literature in the same window establishes mission concept generation methods for complex mode missions including cislunar exploration architectures</w:t>
      </w:r>
      <w:r>
        <w:t xml:space="preserve"> </w:t>
      </w:r>
      <w:hyperlink w:anchor="ref-9">
        <w:r>
          <w:rPr>
            <w:rStyle w:val="Hyperlink"/>
          </w:rPr>
          <w:t xml:space="preserve">[9]</w:t>
        </w:r>
      </w:hyperlink>
      <w:r>
        <w:t xml:space="preserve">, specific cislunar transfer trajectory designs including reusable orbit transfer vehicles staged at the Near Rectilinear Halo Orbit</w:t>
      </w:r>
      <w:r>
        <w:t xml:space="preserve"> </w:t>
      </w:r>
      <w:hyperlink w:anchor="ref-36">
        <w:r>
          <w:rPr>
            <w:rStyle w:val="Hyperlink"/>
          </w:rPr>
          <w:t xml:space="preserve">[36]</w:t>
        </w:r>
      </w:hyperlink>
      <w:r>
        <w:t xml:space="preserve">, time optimal trajectory design for distributed space systems in cislunar transportation</w:t>
      </w:r>
      <w:r>
        <w:t xml:space="preserve"> </w:t>
      </w:r>
      <w:hyperlink w:anchor="ref-35">
        <w:r>
          <w:rPr>
            <w:rStyle w:val="Hyperlink"/>
          </w:rPr>
          <w:t xml:space="preserve">[35]</w:t>
        </w:r>
      </w:hyperlink>
      <w:r>
        <w:t xml:space="preserve">, lunar subsurface exploration concepts including the LunarLeaper</w:t>
      </w:r>
      <w:r>
        <w:t xml:space="preserve"> </w:t>
      </w:r>
      <w:hyperlink w:anchor="ref-10">
        <w:r>
          <w:rPr>
            <w:rStyle w:val="Hyperlink"/>
          </w:rPr>
          <w:t xml:space="preserve">[10]</w:t>
        </w:r>
      </w:hyperlink>
      <w:r>
        <w:t xml:space="preserve">, comparative analyses of hybrid lunar in situ resource utilization plants</w:t>
      </w:r>
      <w:r>
        <w:t xml:space="preserve"> </w:t>
      </w:r>
      <w:hyperlink w:anchor="ref-11">
        <w:r>
          <w:rPr>
            <w:rStyle w:val="Hyperlink"/>
          </w:rPr>
          <w:t xml:space="preserve">[11]</w:t>
        </w:r>
      </w:hyperlink>
      <w:r>
        <w:t xml:space="preserve">, and contextual placement of lunar resources research within terrestrial mining feasibility study practice</w:t>
      </w:r>
      <w:r>
        <w:t xml:space="preserve"> </w:t>
      </w:r>
      <w:hyperlink w:anchor="ref-8">
        <w:r>
          <w:rPr>
            <w:rStyle w:val="Hyperlink"/>
          </w:rPr>
          <w:t xml:space="preserve">[8]</w:t>
        </w:r>
      </w:hyperlink>
      <w:r>
        <w:t xml:space="preserve">. Adjacent papers extend the architectural literature to in orbit infrastructure built on resonant cycler orbits</w:t>
      </w:r>
      <w:r>
        <w:t xml:space="preserve"> </w:t>
      </w:r>
      <w:hyperlink w:anchor="ref-39">
        <w:r>
          <w:rPr>
            <w:rStyle w:val="Hyperlink"/>
          </w:rPr>
          <w:t xml:space="preserve">[39]</w:t>
        </w:r>
      </w:hyperlink>
      <w:r>
        <w:t xml:space="preserve">, to factory in space material and manufacturing technologies</w:t>
      </w:r>
      <w:r>
        <w:t xml:space="preserve"> </w:t>
      </w:r>
      <w:hyperlink w:anchor="ref-38">
        <w:r>
          <w:rPr>
            <w:rStyle w:val="Hyperlink"/>
          </w:rPr>
          <w:t xml:space="preserve">[38]</w:t>
        </w:r>
      </w:hyperlink>
      <w:r>
        <w:t xml:space="preserve">, to cislunar and cismartian space traffic management frameworks</w:t>
      </w:r>
      <w:r>
        <w:t xml:space="preserve"> </w:t>
      </w:r>
      <w:hyperlink w:anchor="ref-37">
        <w:r>
          <w:rPr>
            <w:rStyle w:val="Hyperlink"/>
          </w:rPr>
          <w:t xml:space="preserve">[37]</w:t>
        </w:r>
      </w:hyperlink>
      <w:r>
        <w:t xml:space="preserve">, and to additive manufacturing for next generation space propulsion</w:t>
      </w:r>
      <w:r>
        <w:t xml:space="preserve"> </w:t>
      </w:r>
      <w:hyperlink w:anchor="ref-41">
        <w:r>
          <w:rPr>
            <w:rStyle w:val="Hyperlink"/>
          </w:rPr>
          <w:t xml:space="preserve">[41]</w:t>
        </w:r>
      </w:hyperlink>
      <w:r>
        <w:t xml:space="preserve">. This domain literature is rich. It treats cost as a parametric input. It does not treat cost as an outcome variable.</w:t>
      </w:r>
    </w:p>
    <w:p>
      <w:pPr>
        <w:pStyle w:val="BodyText"/>
        <w:spacing w:line="480" w:lineRule="auto"/>
        <w:ind w:firstLine="720"/>
      </w:pPr>
      <w:r>
        <w:t xml:space="preserve">On the other side sits a much thinner econometric and cliometric literature on space program cost and schedule. The OCEA Forecasting the Space Economy series aggregates projections at the sectoral level and is beginning to evaluate the methodological credibility of those projections [7, 15, 22]. The Space Imperative articulates a whole of nation framing that depends on demonstration layer realism but does not estimate it</w:t>
      </w:r>
      <w:r>
        <w:t xml:space="preserve"> </w:t>
      </w:r>
      <w:hyperlink w:anchor="ref-12">
        <w:r>
          <w:rPr>
            <w:rStyle w:val="Hyperlink"/>
          </w:rPr>
          <w:t xml:space="preserve">[12]</w:t>
        </w:r>
      </w:hyperlink>
      <w:r>
        <w:t xml:space="preserve">. The Circular Economy treatment proposes specific demonstration architectures and articulates the policy theory of infrastructure reuse but does not test whether early demonstrators meet their announced baselines</w:t>
      </w:r>
      <w:r>
        <w:t xml:space="preserve"> </w:t>
      </w:r>
      <w:hyperlink w:anchor="ref-13">
        <w:r>
          <w:rPr>
            <w:rStyle w:val="Hyperlink"/>
          </w:rPr>
          <w:t xml:space="preserve">[13]</w:t>
        </w:r>
      </w:hyperlink>
      <w:r>
        <w:t xml:space="preserve">. Parametric cost modeling work exists in the launcher and hypersonic aircraft domains, including evaluations of European launcher options in a Starship regime</w:t>
      </w:r>
      <w:r>
        <w:t xml:space="preserve"> </w:t>
      </w:r>
      <w:hyperlink w:anchor="ref-18">
        <w:r>
          <w:rPr>
            <w:rStyle w:val="Hyperlink"/>
          </w:rPr>
          <w:t xml:space="preserve">[18]</w:t>
        </w:r>
      </w:hyperlink>
      <w:r>
        <w:t xml:space="preserve">, parametric cost prediction for civil hypersonic aircraft</w:t>
      </w:r>
      <w:r>
        <w:t xml:space="preserve"> </w:t>
      </w:r>
      <w:hyperlink w:anchor="ref-19">
        <w:r>
          <w:rPr>
            <w:rStyle w:val="Hyperlink"/>
          </w:rPr>
          <w:t xml:space="preserve">[19]</w:t>
        </w:r>
      </w:hyperlink>
      <w:r>
        <w:t xml:space="preserve">, and environmental life cycle assessment of reusable launch vehicle fleets</w:t>
      </w:r>
      <w:r>
        <w:t xml:space="preserve"> </w:t>
      </w:r>
      <w:hyperlink w:anchor="ref-20">
        <w:r>
          <w:rPr>
            <w:rStyle w:val="Hyperlink"/>
          </w:rPr>
          <w:t xml:space="preserve">[20]</w:t>
        </w:r>
      </w:hyperlink>
      <w:r>
        <w:t xml:space="preserve">. These are valuable as method exemplars. None of them is directly about cislunar demonstrators.</w:t>
      </w:r>
    </w:p>
    <w:p>
      <w:pPr>
        <w:pStyle w:val="BodyText"/>
        <w:spacing w:line="480" w:lineRule="auto"/>
        <w:ind w:firstLine="720"/>
      </w:pPr>
      <w:r>
        <w:t xml:space="preserve">The cliometric tradition of program cost and schedule analysis has, for two generations, been applied to Earth orbit and planetary science missions. It has not been extended to the cislunar demonstrator class. The gap is therefore neither theoretical nor methodological in the abstract. The matched panel logit and proportional hazards estimators required to do the work are well established in the program management literature. The constructed dataset that anchors those estimators on the cislunar regime does not exist. Neither, consequently, does the empirical result. The architectural literature assumes a cislunar premium without testing for it. The macroeconomic literature treats demonstration cost and schedule realism as a binding parameter without ever measuring it at the demonstrator level. The cliometric literature has not yet entered the cislunar domain at all. The gap that this dissertation enters is the rectangular region defined by all three boundaries.</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The contribution of the dissertation is one structured empirical decision, stated as falsifiable in the strict sense.</w:t>
      </w:r>
    </w:p>
    <w:p>
      <w:pPr>
        <w:pStyle w:val="BodyText"/>
        <w:spacing w:line="480" w:lineRule="auto"/>
        <w:ind w:firstLine="720"/>
      </w:pPr>
      <w:r>
        <w:rPr>
          <w:b/>
          <w:bCs/>
        </w:rPr>
        <w:t xml:space="preserve">Hypothesis H0.</w:t>
      </w:r>
      <w:r>
        <w:t xml:space="preserve"> </w:t>
      </w:r>
      <w:r>
        <w:t xml:space="preserve">Conditional on mission class, sponsor type, contracting instrument, announced cost baseline, and announced schedule baseline, cislunar infrastructure demonstration missions executed in the window from approximately 2005 through 2025 exhibit cost growth and schedule slip distributions that are statistically indistinguishable from a matched comparison set of Earth orbit demonstration class missions in the same window.</w:t>
      </w:r>
    </w:p>
    <w:p>
      <w:pPr>
        <w:pStyle w:val="BodyText"/>
        <w:spacing w:line="480" w:lineRule="auto"/>
        <w:ind w:firstLine="720"/>
      </w:pPr>
      <w:r>
        <w:rPr>
          <w:b/>
          <w:bCs/>
        </w:rPr>
        <w:t xml:space="preserve">Hypothesis H1.</w:t>
      </w:r>
      <w:r>
        <w:t xml:space="preserve"> </w:t>
      </w:r>
      <w:r>
        <w:t xml:space="preserve">Conditional on the same covariates and over the same window, cislunar infrastructure demonstration missions exhibit a positive and statistically significant premium in cost growth, in schedule slip, or in both, attributable to the cislunar regime indicator.</w:t>
      </w:r>
    </w:p>
    <w:p>
      <w:pPr>
        <w:pStyle w:val="BodyText"/>
        <w:spacing w:line="480" w:lineRule="auto"/>
        <w:ind w:firstLine="720"/>
      </w:pPr>
      <w:r>
        <w:t xml:space="preserve">The contribution is the first structured empirical decision between H0 and H1 for the cislunar demonstrator class. The decision is falsifiable. If the matched panel yields a regime coefficient whose confidence interval brackets zero on both outcomes, the dissertation reports a null and the architectural literature that assumes a cislunar premium must revise its priors. If the regime coefficient is positive and bounded away from zero on either outcome, the macroeconomic forecasting literature that treats cislunar contributions at face value receives an empirically calibrated discount factor and the Laboratory and the agency have a quantitative basis on which to revise the cislunar elements of forward budget submissions. Either outcome is a substantive contribution because either outcome rests, for the first time, on a constructed panel that places cislunar demonstrators on the same actuarial footing as their Earth orbit comparators.</w:t>
      </w:r>
    </w:p>
    <w:p>
      <w:pPr>
        <w:pStyle w:val="BodyText"/>
        <w:spacing w:line="480" w:lineRule="auto"/>
        <w:ind w:firstLine="720"/>
      </w:pPr>
      <w:r>
        <w:t xml:space="preserve">The contribution is single rather than multiple by design. The temptation in a domain as architecturally rich as cislunar infrastructure is to test many propositions at once. The dissertation refuses that temptation. It tests one proposition. The motivation for the single hypothesis structure is methodological. With a treatment set whose size is bounded by the small number of cislunar demonstration class missions in the public record, the power available for inference is limited. Spreading that power across multiple primary hypotheses would yield uninterpretable results on each. Concentrating that power on a single regime indicator yields a result that is interpretable as either positive, null with informative bounds, or null with uninformative bounds, and that distinction is itself a contribution to a literature that has not previously made the test.</w:t>
      </w:r>
    </w:p>
    <w:p>
      <w:pPr>
        <w:pStyle w:val="BodyText"/>
        <w:spacing w:line="480" w:lineRule="auto"/>
        <w:ind w:firstLine="720"/>
      </w:pPr>
      <w:r>
        <w:t xml:space="preserve">The first paper of the dissertation, on the binary major cost growth outcome estimated by logit on a thirty observation panel of NASA major projects, has already executed one version of this test. It reports a cislunar coefficient that is small, positive, and not statistically distinguishable from zero on the publicly documented record. The second paper extends the test to a continuous cost growth outcome with an enlarged comparator pool. The remaining chapters embed the test in the matched panel design described in the prospectus and report parallel results for cost growth and schedule slip, together with the Cox proportional hazards estimator on time to operational readiness as a survival outcome. The dissertation reports a single coefficient of interest for each outcome and explicit confidence bounds, sensitivity analyses, and minimum detectable effects. The reader is given the information necessary to falsify the result on the same constructed panel.</w:t>
      </w:r>
    </w:p>
    <w:bookmarkEnd w:id="63"/>
    <w:bookmarkStart w:id="64" w:name="roadmap"/>
    <w:p>
      <w:pPr>
        <w:pStyle w:val="Heading2"/>
        <w:spacing w:line="480" w:lineRule="auto"/>
      </w:pPr>
      <w:r>
        <w:t xml:space="preserve">1.4 Roadmap</w:t>
      </w:r>
    </w:p>
    <w:p>
      <w:pPr>
        <w:pStyle w:val="FirstParagraph"/>
        <w:spacing w:line="480" w:lineRule="auto"/>
      </w:pPr>
      <w:r>
        <w:t xml:space="preserve">The dissertation proceeds in seven chapters.</w:t>
      </w:r>
    </w:p>
    <w:p>
      <w:pPr>
        <w:pStyle w:val="BodyText"/>
        <w:spacing w:line="480" w:lineRule="auto"/>
        <w:ind w:firstLine="720"/>
      </w:pPr>
      <w:r>
        <w:rPr>
          <w:b/>
          <w:bCs/>
        </w:rPr>
        <w:t xml:space="preserve">Chapter 2</w:t>
      </w:r>
      <w:r>
        <w:t xml:space="preserve"> </w:t>
      </w:r>
      <w:r>
        <w:t xml:space="preserve">reviews the bifurcated literature in detail. It establishes the technical envelope of the cislunar domain literature on space domain awareness, navigation, and infrastructure as represented in the AMOS and Acta Astronautica corpora [1, 2, 3, 4, 5, 6, 9, 10, 11, 14, 24, 25, 26, 28, 30, 33, 34, 35, 36, 37, 38, 39, 41]. It then surveys the cliometric and econometric literature on space program cost and schedule, including the parametric exemplars [18, 19, 20] and the macroeconomic projection literature [7, 12, 13, 15, 22]. It closes by stating the gap in the form in which the dissertation enters it.</w:t>
      </w:r>
    </w:p>
    <w:p>
      <w:pPr>
        <w:pStyle w:val="BodyText"/>
        <w:spacing w:line="480" w:lineRule="auto"/>
        <w:ind w:firstLine="720"/>
      </w:pPr>
      <w:r>
        <w:rPr>
          <w:b/>
          <w:bCs/>
        </w:rPr>
        <w:t xml:space="preserve">Chapter 3</w:t>
      </w:r>
      <w:r>
        <w:t xml:space="preserve"> </w:t>
      </w:r>
      <w:r>
        <w:t xml:space="preserve">specifies the data construction. The cislunar treatment set draws from the NASA Commercial Lunar Payload Services task order docket, the GAO assessments of NASA major projects [16, 17], the NASA Office of Inspector General audits of the Commercial Lunar Payload Services initiative and the Space Launch System program [21, 23], and supplementary records published in the cislunar domain literature [1, 3, 5]. The Earth orbit comparison set draws from NASA Class D and small spacecraft demonstration missions documented in the same GAO and OIG record over the same window. Provenance for every record is traceable to a public source document.</w:t>
      </w:r>
    </w:p>
    <w:p>
      <w:pPr>
        <w:pStyle w:val="BodyText"/>
        <w:spacing w:line="480" w:lineRule="auto"/>
        <w:ind w:firstLine="720"/>
      </w:pPr>
      <w:r>
        <w:rPr>
          <w:b/>
          <w:bCs/>
        </w:rPr>
        <w:t xml:space="preserve">Chapter 4</w:t>
      </w:r>
      <w:r>
        <w:t xml:space="preserve"> </w:t>
      </w:r>
      <w:r>
        <w:t xml:space="preserve">specifies the identification strategy and the estimators. The matched panel design holds mission class fixed by restricting both arms to demonstration class missions of comparable announced scope and announced cost band. Sponsor type, contracting instrument, and year of authority to proceed enter as covariates and fixed effects. The primary estimator is a generalized linear model with cost growth and schedule slip as outcomes and an indicator for cislunar regime as the parameter of interest. The complementary estimator is a Cox proportional hazards model on time to operational readiness with right censoring. Propensity score weighting on covariates measured at authority to proceed augments the matched design.</w:t>
      </w:r>
    </w:p>
    <w:p>
      <w:pPr>
        <w:pStyle w:val="BodyText"/>
        <w:spacing w:line="480" w:lineRule="auto"/>
        <w:ind w:firstLine="720"/>
      </w:pPr>
      <w:r>
        <w:rPr>
          <w:b/>
          <w:bCs/>
        </w:rPr>
        <w:t xml:space="preserve">Chapter 5</w:t>
      </w:r>
      <w:r>
        <w:t xml:space="preserve"> </w:t>
      </w:r>
      <w:r>
        <w:t xml:space="preserve">reports the binary major cost growth result on the thirty observation logit panel and situates it within the broader matched panel. The chapter draws explicitly on the first paper of the dissertation and extends it with directorate and contracting instrument robustness specifications.</w:t>
      </w:r>
    </w:p>
    <w:p>
      <w:pPr>
        <w:pStyle w:val="BodyText"/>
        <w:spacing w:line="480" w:lineRule="auto"/>
        <w:ind w:firstLine="720"/>
      </w:pPr>
      <w:r>
        <w:rPr>
          <w:b/>
          <w:bCs/>
        </w:rPr>
        <w:t xml:space="preserve">Chapter 6</w:t>
      </w:r>
      <w:r>
        <w:t xml:space="preserve"> </w:t>
      </w:r>
      <w:r>
        <w:t xml:space="preserve">reports the continuous cost growth and schedule slip results on the matched panel, including sponsor sub samples, contracting instrument sub samples, and the placebo specification that replaces the cislunar indicator with a high inclination Earth orbit indicator. The chapter reports minimum detectable effects and treats absence of statistical significance as informative only when the minimum detectable effect lies within the policy relevant band.</w:t>
      </w:r>
    </w:p>
    <w:p>
      <w:pPr>
        <w:pStyle w:val="BodyText"/>
        <w:spacing w:line="480" w:lineRule="auto"/>
        <w:ind w:firstLine="720"/>
      </w:pPr>
      <w:r>
        <w:rPr>
          <w:b/>
          <w:bCs/>
        </w:rPr>
        <w:t xml:space="preserve">Chapter 7</w:t>
      </w:r>
      <w:r>
        <w:t xml:space="preserve"> </w:t>
      </w:r>
      <w:r>
        <w:t xml:space="preserve">reports the Cox proportional hazards result on time to operational readiness, with right censoring for missions still in development as of the cutoff date.</w:t>
      </w:r>
    </w:p>
    <w:p>
      <w:pPr>
        <w:pStyle w:val="BodyText"/>
        <w:spacing w:line="480" w:lineRule="auto"/>
        <w:ind w:firstLine="720"/>
      </w:pPr>
      <w:r>
        <w:rPr>
          <w:b/>
          <w:bCs/>
        </w:rPr>
        <w:t xml:space="preserve">Chapter 8</w:t>
      </w:r>
      <w:r>
        <w:t xml:space="preserve"> </w:t>
      </w:r>
      <w:r>
        <w:t xml:space="preserve">discusses implications for NASA portfolio management, for Jet Propulsion Laboratory cislunar capture posture, for the Office of Commercial and Economic Analysis projection methodology, and for the architectural literature on cislunar infrastructure. It closes with explicit threats to validity, with the bounds on the regime coefficient under sensitivity analysis on unobserved confounders, and with the next data construction priority, which is a panel that crosses regime and contracting instrument with enough power to identify the interaction.</w:t>
      </w:r>
    </w:p>
    <w:p>
      <w:pPr>
        <w:pStyle w:val="BodyText"/>
        <w:spacing w:line="480" w:lineRule="auto"/>
        <w:ind w:firstLine="720"/>
      </w:pPr>
      <w:r>
        <w:t xml:space="preserve">The dissertation does not propose a new architecture, a new sensor, a new orbit determination method, or a new contracting instrument. Each of those would be a separate work and several have already been ably executed in the literature cited above. The dissertation proposes a single test, executes it on a constructed dataset, reports the result with explicit bounds, and lets the architectural and macroeconomic literatures revise as the result warrants. The contribution is cliometric, it is quantitative, and it is falsifiable. The chapters that follow execute it.</w:t>
      </w:r>
    </w:p>
    <w:bookmarkEnd w:id="64"/>
    <w:bookmarkEnd w:id="65"/>
    <w:bookmarkStart w:id="74" w:name="chapter-2.-literature-review"/>
    <w:p>
      <w:pPr>
        <w:pStyle w:val="Heading1"/>
        <w:spacing w:line="480" w:lineRule="auto"/>
      </w:pPr>
      <w:r>
        <w:t xml:space="preserve">Chapter 2. Literature Review</w:t>
      </w:r>
    </w:p>
    <w:bookmarkStart w:id="66" w:name="purpose-and-organization-of-the-review"/>
    <w:p>
      <w:pPr>
        <w:pStyle w:val="Heading2"/>
        <w:spacing w:line="480" w:lineRule="auto"/>
      </w:pPr>
      <w:r>
        <w:t xml:space="preserve">2.1 Purpose and Organization of the Review</w:t>
      </w:r>
    </w:p>
    <w:p>
      <w:pPr>
        <w:pStyle w:val="FirstParagraph"/>
        <w:spacing w:line="480" w:lineRule="auto"/>
      </w:pPr>
      <w:r>
        <w:t xml:space="preserve">The dissertation sits at the intersection of two literatures that have developed in mutual isolation. The first is the technical literature on cislunar infrastructure, which encompasses space domain awareness sensor architectures, orbit determination methodologies, mission concept generation, and lunar in situ resource utilization. The second is the cliometric and econometric literature on aerospace cost growth, schedule slip, and learning, which has matured around terrestrial launch systems, Earth orbit satellite programs, and large planetary science missions. The two literatures invoke one another only superficially. The cislunar technical literature treats cost as a parametric input borrowed from generic parametric models, and the cliometric literature treats the cislunar regime as a generic future extension of established Earth orbit programs. Neither has produced a structured empirical accounting of cislunar demonstrator cost and schedule outcomes on actuarial terms.</w:t>
      </w:r>
    </w:p>
    <w:p>
      <w:pPr>
        <w:pStyle w:val="BodyText"/>
        <w:spacing w:line="480" w:lineRule="auto"/>
        <w:ind w:firstLine="720"/>
      </w:pPr>
      <w:r>
        <w:t xml:space="preserve">This chapter reviews each literature in depth, identifies the points at which they presuppose each other without speaking to each other, and articulates the gap that the dissertation closes. Section 2.2 surveys the cislunar SDA, navigation, and architecture literature. Section 2.3 surveys the cislunar mission concept, ISRU, and infrastructure literature. Section 2.4 surveys the macro forecasting and sectoral economic literature on the space economy with specific attention to the role assigned to cislunar buildout. Section 2.5 surveys the cliometric and parametric cost estimation literature, including the Wright learning curve tradition and the TransCost family of parametric models. Section 2.6 surveys the public oversight literature, principally the Government Accountability Office assessments and the NASA Office of Inspector General audits, which constitute the empirical record on which cliometric work must be built. Section 2.7 synthesizes the two literatures and identifies the structural gap. Section 2.8 states the contribution of the dissertation in relation to that gap.</w:t>
      </w:r>
    </w:p>
    <w:bookmarkEnd w:id="66"/>
    <w:bookmarkStart w:id="67" w:name="Xd6e859cbf4e623ce9fc19277b4455e7f599d908"/>
    <w:p>
      <w:pPr>
        <w:pStyle w:val="Heading2"/>
        <w:spacing w:line="480" w:lineRule="auto"/>
      </w:pPr>
      <w:r>
        <w:t xml:space="preserve">2.2 Cislunar Space Domain Awareness, Navigation, and Architecture</w:t>
      </w:r>
    </w:p>
    <w:p>
      <w:pPr>
        <w:pStyle w:val="FirstParagraph"/>
        <w:spacing w:line="480" w:lineRule="auto"/>
      </w:pPr>
      <w:r>
        <w:t xml:space="preserve">The cislunar SDA literature has developed rapidly across the 2021 to 2025 window, principally in the proceedings of the Advanced Maui Optical and Space Surveillance Technologies conference. The corpus is structured by sensor placement and by the mathematical formulation of search. Segal and Schroeder develop a ground based search reduction methodology using Poincare maps to monitor small maneuver Earth return trajectories, demonstrating that the ground based observer class can sustain meaningful cislunar coverage when search geometry is exploited</w:t>
      </w:r>
      <w:r>
        <w:t xml:space="preserve"> </w:t>
      </w:r>
      <w:hyperlink w:anchor="ref-1">
        <w:r>
          <w:rPr>
            <w:rStyle w:val="Hyperlink"/>
          </w:rPr>
          <w:t xml:space="preserve">[1]</w:t>
        </w:r>
      </w:hyperlink>
      <w:r>
        <w:t xml:space="preserve">. Wright, Owens Fahrner, Tafur, and Wysack extend the Poincare search apparatus to space based observer architectures, providing the formal connection between sensor placement and operational coverage that the architectural sizing studies later draw upon</w:t>
      </w:r>
      <w:r>
        <w:t xml:space="preserve"> </w:t>
      </w:r>
      <w:hyperlink w:anchor="ref-5">
        <w:r>
          <w:rPr>
            <w:rStyle w:val="Hyperlink"/>
          </w:rPr>
          <w:t xml:space="preserve">[5]</w:t>
        </w:r>
      </w:hyperlink>
      <w:r>
        <w:t xml:space="preserve">. Zimmer, McGraw, and Ackermann advance the lunar surface mounted sensor concept using commercial off the shelf imagers riding on commercial landers, which establishes a credible payload manifest for the Commercial Lunar Payload Services pipeline</w:t>
      </w:r>
      <w:r>
        <w:t xml:space="preserve"> </w:t>
      </w:r>
      <w:hyperlink w:anchor="ref-3">
        <w:r>
          <w:rPr>
            <w:rStyle w:val="Hyperlink"/>
          </w:rPr>
          <w:t xml:space="preserve">[3]</w:t>
        </w:r>
      </w:hyperlink>
      <w:r>
        <w:t xml:space="preserve">. Block, Curtis, Bettinger, and Wilmer develop the low fidelity sensor and observer uncertainty framework that underwrites the realism of the surface and space based observer classes</w:t>
      </w:r>
      <w:r>
        <w:t xml:space="preserve"> </w:t>
      </w:r>
      <w:hyperlink w:anchor="ref-4">
        <w:r>
          <w:rPr>
            <w:rStyle w:val="Hyperlink"/>
          </w:rPr>
          <w:t xml:space="preserve">[4]</w:t>
        </w:r>
      </w:hyperlink>
      <w:r>
        <w:t xml:space="preserve">.</w:t>
      </w:r>
    </w:p>
    <w:p>
      <w:pPr>
        <w:pStyle w:val="BodyText"/>
        <w:spacing w:line="480" w:lineRule="auto"/>
        <w:ind w:firstLine="720"/>
      </w:pPr>
      <w:r>
        <w:t xml:space="preserve">Kim and Owens Fahrner provide the comprehensive architectural framework that knits these sensor classes into an optimized constellation, with capacity as the binding design variable</w:t>
      </w:r>
      <w:r>
        <w:t xml:space="preserve"> </w:t>
      </w:r>
      <w:hyperlink w:anchor="ref-2">
        <w:r>
          <w:rPr>
            <w:rStyle w:val="Hyperlink"/>
          </w:rPr>
          <w:t xml:space="preserve">[2]</w:t>
        </w:r>
      </w:hyperlink>
      <w:r>
        <w:t xml:space="preserve">. The Klonowski, Heidrich, Owens Fahrner, and Holzinger persistent detection corridor analysis extends the capacity framework to the time domain, characterizing where and when persistent coverage is realizable across the L1 and L2 manifolds</w:t>
      </w:r>
      <w:r>
        <w:t xml:space="preserve"> </w:t>
      </w:r>
      <w:hyperlink w:anchor="ref-24">
        <w:r>
          <w:rPr>
            <w:rStyle w:val="Hyperlink"/>
          </w:rPr>
          <w:t xml:space="preserve">[24]</w:t>
        </w:r>
      </w:hyperlink>
      <w:r>
        <w:t xml:space="preserve">. Boh, Funke, and Akella formulate a Bayesian game theoretic exploration of L1 and L2 cislunar SDA that situates the sensor architecture problem in a strategic context with adversarial maneuver [14, 26]. Badura, Arunkumar, Velez Reyes, Gunter, and Ho contribute an uncertainty aware physics informed machine learning approach to cislunar orbit determination that addresses the navigation problem co dependent with the SDA problem</w:t>
      </w:r>
      <w:r>
        <w:t xml:space="preserve"> </w:t>
      </w:r>
      <w:hyperlink w:anchor="ref-6">
        <w:r>
          <w:rPr>
            <w:rStyle w:val="Hyperlink"/>
          </w:rPr>
          <w:t xml:space="preserve">[6]</w:t>
        </w:r>
      </w:hyperlink>
      <w:r>
        <w:t xml:space="preserve">. Badura and colleagues extend the architectural analysis to distributed space based networks for cislunar SDA in the context of operational cost metrics, which is one of the few entries in this corpus that connects sensor architecture explicitly to a cost metric</w:t>
      </w:r>
      <w:r>
        <w:t xml:space="preserve"> </w:t>
      </w:r>
      <w:hyperlink w:anchor="ref-33">
        <w:r>
          <w:rPr>
            <w:rStyle w:val="Hyperlink"/>
          </w:rPr>
          <w:t xml:space="preserve">[33]</w:t>
        </w:r>
      </w:hyperlink>
      <w:r>
        <w:t xml:space="preserve">. Kilduff, Machuca, and Rosengren contribute a YOLO based crater detection apparatus for cislunar autonomous optical navigation, characterizing angular and area measurement errors at a level of detail that supports navigation budgeting</w:t>
      </w:r>
      <w:r>
        <w:t xml:space="preserve"> </w:t>
      </w:r>
      <w:hyperlink w:anchor="ref-34">
        <w:r>
          <w:rPr>
            <w:rStyle w:val="Hyperlink"/>
          </w:rPr>
          <w:t xml:space="preserve">[34]</w:t>
        </w:r>
      </w:hyperlink>
      <w:r>
        <w:t xml:space="preserve">.</w:t>
      </w:r>
    </w:p>
    <w:p>
      <w:pPr>
        <w:pStyle w:val="BodyText"/>
        <w:spacing w:line="480" w:lineRule="auto"/>
        <w:ind w:firstLine="720"/>
      </w:pPr>
      <w:r>
        <w:t xml:space="preserve">Adjacent contributions situate the cislunar SDA problem in broader operational frames. Ewart, Plotke, and Lai develop a pole sitter based architecture for cislunar regions that broadens the orbital geometry under consideration</w:t>
      </w:r>
      <w:r>
        <w:t xml:space="preserve"> </w:t>
      </w:r>
      <w:hyperlink w:anchor="ref-28">
        <w:r>
          <w:rPr>
            <w:rStyle w:val="Hyperlink"/>
          </w:rPr>
          <w:t xml:space="preserve">[28]</w:t>
        </w:r>
      </w:hyperlink>
      <w:r>
        <w:t xml:space="preserve">. Kirshner and Pearce develop an optical sensor constellation architecture for SDA through model based trade studies, extending the architectural sizing tradition into a formal trade space framework</w:t>
      </w:r>
      <w:r>
        <w:t xml:space="preserve"> </w:t>
      </w:r>
      <w:hyperlink w:anchor="ref-30">
        <w:r>
          <w:rPr>
            <w:rStyle w:val="Hyperlink"/>
          </w:rPr>
          <w:t xml:space="preserve">[30]</w:t>
        </w:r>
      </w:hyperlink>
      <w:r>
        <w:t xml:space="preserve">. Wysack examines cislunar end of life disposal strategies, foregrounding the lifecycle cost dimension that the architectural studies tend to suppress</w:t>
      </w:r>
      <w:r>
        <w:t xml:space="preserve"> </w:t>
      </w:r>
      <w:hyperlink w:anchor="ref-25">
        <w:r>
          <w:rPr>
            <w:rStyle w:val="Hyperlink"/>
          </w:rPr>
          <w:t xml:space="preserve">[25]</w:t>
        </w:r>
      </w:hyperlink>
      <w:r>
        <w:t xml:space="preserve">. Anilkumar and colleagues extend the regulatory and operational framing to the Moon to Mars envelope, addressing challenges and strategic frameworks for space traffic management in cislunar and cismartian environments</w:t>
      </w:r>
      <w:r>
        <w:t xml:space="preserve"> </w:t>
      </w:r>
      <w:hyperlink w:anchor="ref-37">
        <w:r>
          <w:rPr>
            <w:rStyle w:val="Hyperlink"/>
          </w:rPr>
          <w:t xml:space="preserve">[37]</w:t>
        </w:r>
      </w:hyperlink>
      <w:r>
        <w:t xml:space="preserve">. Selvamurgan, Lightsey, and Ho contribute time optimal trajectory design for distributed space systems for in space transportation in Earth orbit, providing a methodological bridge between the cislunar and the LEO transportation literatures</w:t>
      </w:r>
      <w:r>
        <w:t xml:space="preserve"> </w:t>
      </w:r>
      <w:hyperlink w:anchor="ref-35">
        <w:r>
          <w:rPr>
            <w:rStyle w:val="Hyperlink"/>
          </w:rPr>
          <w:t xml:space="preserve">[35]</w:t>
        </w:r>
      </w:hyperlink>
      <w:r>
        <w:t xml:space="preserve">. Kikuchi and Ueda develop the cislunar transfer trajectory for a reusable orbital transfer vehicle via near rectilinear halo orbit between propellant infrastructure and Gateway, which is one of the explicit infrastructure mission concepts available for cost analysis</w:t>
      </w:r>
      <w:r>
        <w:t xml:space="preserve"> </w:t>
      </w:r>
      <w:hyperlink w:anchor="ref-36">
        <w:r>
          <w:rPr>
            <w:rStyle w:val="Hyperlink"/>
          </w:rPr>
          <w:t xml:space="preserve">[36]</w:t>
        </w:r>
      </w:hyperlink>
      <w:r>
        <w:t xml:space="preserve">. Liang, Xu, Peng, and Xu propose a cislunar in orbit infrastructure based on p:q resonant cycler orbits, providing the analogous architectural concept on the persistent traffic side</w:t>
      </w:r>
      <w:r>
        <w:t xml:space="preserve"> </w:t>
      </w:r>
      <w:hyperlink w:anchor="ref-39">
        <w:r>
          <w:rPr>
            <w:rStyle w:val="Hyperlink"/>
          </w:rPr>
          <w:t xml:space="preserve">[39]</w:t>
        </w:r>
      </w:hyperlink>
      <w:r>
        <w:t xml:space="preserve">.</w:t>
      </w:r>
    </w:p>
    <w:p>
      <w:pPr>
        <w:pStyle w:val="BodyText"/>
        <w:spacing w:line="480" w:lineRule="auto"/>
        <w:ind w:firstLine="720"/>
      </w:pPr>
      <w:r>
        <w:t xml:space="preserve">Two further contributions sit on the periphery of the cislunar corpus but are useful for framing. Tholl and colleagues describe a holistic control center for the operation of PUS based optical communication CubeSat technology demonstration missions at the German Aerospace Center, which is one of the few entries in the demonstration mission literature that documents control center operating practice in detail</w:t>
      </w:r>
      <w:r>
        <w:t xml:space="preserve"> </w:t>
      </w:r>
      <w:hyperlink w:anchor="ref-27">
        <w:r>
          <w:rPr>
            <w:rStyle w:val="Hyperlink"/>
          </w:rPr>
          <w:t xml:space="preserve">[27]</w:t>
        </w:r>
      </w:hyperlink>
      <w:r>
        <w:t xml:space="preserve">. Morton and Roberts describe the Joint Space Operations Center Mission System, which is the closest analog in the historical record to a future cislunar operations center and which establishes a precedent for assessing operational cost trajectories of integrated SDA systems</w:t>
      </w:r>
      <w:r>
        <w:t xml:space="preserve"> </w:t>
      </w:r>
      <w:hyperlink w:anchor="ref-29">
        <w:r>
          <w:rPr>
            <w:rStyle w:val="Hyperlink"/>
          </w:rPr>
          <w:t xml:space="preserve">[29]</w:t>
        </w:r>
      </w:hyperlink>
      <w:r>
        <w:t xml:space="preserve">. Turner, Springford, and Grimaldi describe the BMDS and SSA Integrated Sensing Demonstration, a heritage point that connects the cislunar SDA program of record to the missile defense sensing investment that preceded it</w:t>
      </w:r>
      <w:r>
        <w:t xml:space="preserve"> </w:t>
      </w:r>
      <w:hyperlink w:anchor="ref-31">
        <w:r>
          <w:rPr>
            <w:rStyle w:val="Hyperlink"/>
          </w:rPr>
          <w:t xml:space="preserve">[31]</w:t>
        </w:r>
      </w:hyperlink>
      <w:r>
        <w:t xml:space="preserve">. Griesbach describes the Proximity Operations Nano Satellite Flight Demonstration rendezvous and proximity operations design and trade studies, which extends the demonstration class corpus to the proximity operations envelope adjacent to cislunar SDA</w:t>
      </w:r>
      <w:r>
        <w:t xml:space="preserve"> </w:t>
      </w:r>
      <w:hyperlink w:anchor="ref-32">
        <w:r>
          <w:rPr>
            <w:rStyle w:val="Hyperlink"/>
          </w:rPr>
          <w:t xml:space="preserve">[32]</w:t>
        </w:r>
      </w:hyperlink>
      <w:r>
        <w:t xml:space="preserve">. Zhibo, Shi, Gan, Baoyin, and Li develop multi satellite imaging scheduling using an individual reconfiguration based integer coding genetic algorithm, which is a methodological referent for the scheduling problem implicit in distributed cislunar observer architectures</w:t>
      </w:r>
      <w:r>
        <w:t xml:space="preserve"> </w:t>
      </w:r>
      <w:hyperlink w:anchor="ref-40">
        <w:r>
          <w:rPr>
            <w:rStyle w:val="Hyperlink"/>
          </w:rPr>
          <w:t xml:space="preserve">[40]</w:t>
        </w:r>
      </w:hyperlink>
      <w:r>
        <w:t xml:space="preserve">.</w:t>
      </w:r>
    </w:p>
    <w:p>
      <w:pPr>
        <w:pStyle w:val="BodyText"/>
        <w:spacing w:line="480" w:lineRule="auto"/>
        <w:ind w:firstLine="720"/>
      </w:pPr>
      <w:r>
        <w:t xml:space="preserve">Two observations follow from this survey. First, the cislunar SDA, navigation, and architecture literature is now sufficient to define the demonstration mission class, to specify the sensor and observer architectures of interest, and to derive operational capacity envelopes. Second, none of these contributions specify cost as an empirically realized outcome. Where cost appears, it appears as a parametric input or as a normative target, drawn either from generic parametric handbooks or from notional contract values. The cost engineering for the cislunar SDA demonstration class is therefore present in form but absent in empirical content.</w:t>
      </w:r>
    </w:p>
    <w:bookmarkEnd w:id="67"/>
    <w:bookmarkStart w:id="68" w:name="Xd01fd640ccd19377dd0f3ff302df695685032a1"/>
    <w:p>
      <w:pPr>
        <w:pStyle w:val="Heading2"/>
        <w:spacing w:line="480" w:lineRule="auto"/>
      </w:pPr>
      <w:r>
        <w:t xml:space="preserve">2.3 Cislunar Mission Concept, ISRU, and Infrastructure</w:t>
      </w:r>
    </w:p>
    <w:p>
      <w:pPr>
        <w:pStyle w:val="FirstParagraph"/>
        <w:spacing w:line="480" w:lineRule="auto"/>
      </w:pPr>
      <w:r>
        <w:t xml:space="preserve">The mission concept and infrastructure literature parallels the SDA literature in its technical depth and in its empirical underspecification of cost outcomes. Ruede, Chavy Macdonald, Kneib, and Huang develop a pattern language for complex mode mission concept generation, providing a formal template for the construction of cislunar and adjacent mission concepts that is methodologically congruent with the architectural sizing tradition in the SDA literature</w:t>
      </w:r>
      <w:r>
        <w:t xml:space="preserve"> </w:t>
      </w:r>
      <w:hyperlink w:anchor="ref-9">
        <w:r>
          <w:rPr>
            <w:rStyle w:val="Hyperlink"/>
          </w:rPr>
          <w:t xml:space="preserve">[9]</w:t>
        </w:r>
      </w:hyperlink>
      <w:r>
        <w:t xml:space="preserve">. Kolvenbach and colleagues describe the LunarLeaper mission concept to explore the lunar subsurface with a small scale legged robot, supplying a concrete demonstration class concept that exists at the interface between mission design and procurement</w:t>
      </w:r>
      <w:r>
        <w:t xml:space="preserve"> </w:t>
      </w:r>
      <w:hyperlink w:anchor="ref-10">
        <w:r>
          <w:rPr>
            <w:rStyle w:val="Hyperlink"/>
          </w:rPr>
          <w:t xml:space="preserve">[10]</w:t>
        </w:r>
      </w:hyperlink>
      <w:r>
        <w:t xml:space="preserve">. Ikeya, Guerrero Gonzalez, Kiewiet, Cardin, Cilliers, Starr, and Hadler present a comparative analysis of a hybrid lunar ISRU plant against carbothermal reduction and water extraction concepts, anchoring the ISRU literature at the system tradeoff level</w:t>
      </w:r>
      <w:r>
        <w:t xml:space="preserve"> </w:t>
      </w:r>
      <w:hyperlink w:anchor="ref-11">
        <w:r>
          <w:rPr>
            <w:rStyle w:val="Hyperlink"/>
          </w:rPr>
          <w:t xml:space="preserve">[11]</w:t>
        </w:r>
      </w:hyperlink>
      <w:r>
        <w:t xml:space="preserve">. McKeown, Dempster, Saydam, and Coulton situate lunar resources research in the context of mining feasibility studies, importing the terrestrial extractive industries cost engineering framework into the lunar regime, which is one of the few literatures that addresses cost realism explicitly though at a feasibility study rather than a cliometric register</w:t>
      </w:r>
      <w:r>
        <w:t xml:space="preserve"> </w:t>
      </w:r>
      <w:hyperlink w:anchor="ref-8">
        <w:r>
          <w:rPr>
            <w:rStyle w:val="Hyperlink"/>
          </w:rPr>
          <w:t xml:space="preserve">[8]</w:t>
        </w:r>
      </w:hyperlink>
      <w:r>
        <w:t xml:space="preserve">.</w:t>
      </w:r>
    </w:p>
    <w:p>
      <w:pPr>
        <w:pStyle w:val="BodyText"/>
        <w:spacing w:line="480" w:lineRule="auto"/>
        <w:ind w:firstLine="720"/>
      </w:pPr>
      <w:r>
        <w:t xml:space="preserve">Abdulhamid, Sullivan, and Terzi review material and manufacturing technologies for in space factories, which provides the upstream technology readiness baseline against which any cislunar infrastructure demonstration cost must be assessed</w:t>
      </w:r>
      <w:r>
        <w:t xml:space="preserve"> </w:t>
      </w:r>
      <w:hyperlink w:anchor="ref-38">
        <w:r>
          <w:rPr>
            <w:rStyle w:val="Hyperlink"/>
          </w:rPr>
          <w:t xml:space="preserve">[38]</w:t>
        </w:r>
      </w:hyperlink>
      <w:r>
        <w:t xml:space="preserve">. Gradl and colleagues document the advancement of extreme environment additively manufactured alloys for next generation space propulsion applications, which is the most detailed available specification of the technology base on which much of the cislunar infrastructure concept literature depends for its cost assumptions</w:t>
      </w:r>
      <w:r>
        <w:t xml:space="preserve"> </w:t>
      </w:r>
      <w:hyperlink w:anchor="ref-41">
        <w:r>
          <w:rPr>
            <w:rStyle w:val="Hyperlink"/>
          </w:rPr>
          <w:t xml:space="preserve">[41]</w:t>
        </w:r>
      </w:hyperlink>
      <w:r>
        <w:t xml:space="preserve">. The mission concept and ISRU literature therefore establishes the technical envelope and the readiness baseline for cislunar infrastructure demonstrations. It does not provide an empirical cost record for executed demonstrators, because the feasibility study format on which it relies is constructed prior to authority to proceed and therefore prior to the realization of cost and schedule outcomes.</w:t>
      </w:r>
    </w:p>
    <w:bookmarkEnd w:id="68"/>
    <w:bookmarkStart w:id="69" w:name="macro-forecasting-and-the-space-economy"/>
    <w:p>
      <w:pPr>
        <w:pStyle w:val="Heading2"/>
        <w:spacing w:line="480" w:lineRule="auto"/>
      </w:pPr>
      <w:r>
        <w:t xml:space="preserve">2.4 Macro Forecasting and the Space Economy</w:t>
      </w:r>
    </w:p>
    <w:p>
      <w:pPr>
        <w:pStyle w:val="FirstParagraph"/>
        <w:spacing w:line="480" w:lineRule="auto"/>
      </w:pPr>
      <w:r>
        <w:t xml:space="preserve">The macro forecasting literature on the space economy has begun to interrogate the empirical credibility of its cislunar contributions. The Office of Commercial and Economic Analysis Forecasting the Space Economy series develops time series projections for the sector and is explicit about the dependence of those projections on cislunar buildout assumptions [7, 15]. The Office of the Chief Economist contribution from the Office of Commercial Space Economy Activity at the Department of Commerce extends the forecasting apparatus to commercial cislunar markets and is the source document for the demand side parameter inputs that the architectural literature draws upon</w:t>
      </w:r>
      <w:r>
        <w:t xml:space="preserve"> </w:t>
      </w:r>
      <w:hyperlink w:anchor="ref-22">
        <w:r>
          <w:rPr>
            <w:rStyle w:val="Hyperlink"/>
          </w:rPr>
          <w:t xml:space="preserve">[22]</w:t>
        </w:r>
      </w:hyperlink>
      <w:r>
        <w:t xml:space="preserve">. The whole of nation framing in the Space Imperative document situates cislunar industry as the connective tissue between the in space and the from space economy, and frames the absence of cost effective infrastructure as the binding constraint on sectoral realization</w:t>
      </w:r>
      <w:r>
        <w:t xml:space="preserve"> </w:t>
      </w:r>
      <w:hyperlink w:anchor="ref-12">
        <w:r>
          <w:rPr>
            <w:rStyle w:val="Hyperlink"/>
          </w:rPr>
          <w:t xml:space="preserve">[12]</w:t>
        </w:r>
      </w:hyperlink>
      <w:r>
        <w:t xml:space="preserve">. Dailey and colleagues advance the circular space economy framing for cislunar infrastructure, arguing that reuse and orbital cycler architectures will alter the cost trajectory of the regime and proposing the metal propellant ecosystem as a concrete demonstrator concept</w:t>
      </w:r>
      <w:r>
        <w:t xml:space="preserve"> </w:t>
      </w:r>
      <w:hyperlink w:anchor="ref-13">
        <w:r>
          <w:rPr>
            <w:rStyle w:val="Hyperlink"/>
          </w:rPr>
          <w:t xml:space="preserve">[13]</w:t>
        </w:r>
      </w:hyperlink>
      <w:r>
        <w:t xml:space="preserve">.</w:t>
      </w:r>
    </w:p>
    <w:p>
      <w:pPr>
        <w:pStyle w:val="BodyText"/>
        <w:spacing w:line="480" w:lineRule="auto"/>
        <w:ind w:firstLine="720"/>
      </w:pPr>
      <w:r>
        <w:t xml:space="preserve">Each of these contributions depends on assumptions about demonstrator cost and schedule outcomes that are not themselves empirically grounded in a structured dataset. The OCEA work is candid about this dependence and treats the empirical underspecification at the demonstrator layer as a limitation that the forecasting series will need to address through dataset construction at the mission level [7, 15]. The Space Imperative framing makes the converse normative case that infrastructure cost performance must be empirically realizable in order for the sectoral projections to be defensible</w:t>
      </w:r>
      <w:r>
        <w:t xml:space="preserve"> </w:t>
      </w:r>
      <w:hyperlink w:anchor="ref-12">
        <w:r>
          <w:rPr>
            <w:rStyle w:val="Hyperlink"/>
          </w:rPr>
          <w:t xml:space="preserve">[12]</w:t>
        </w:r>
      </w:hyperlink>
      <w:r>
        <w:t xml:space="preserve">. The circular economy framing pushes the demonstrator selection into specific architectures whose cost realism is itself the empirical question</w:t>
      </w:r>
      <w:r>
        <w:t xml:space="preserve"> </w:t>
      </w:r>
      <w:hyperlink w:anchor="ref-13">
        <w:r>
          <w:rPr>
            <w:rStyle w:val="Hyperlink"/>
          </w:rPr>
          <w:t xml:space="preserve">[13]</w:t>
        </w:r>
      </w:hyperlink>
      <w:r>
        <w:t xml:space="preserve">. The macro forecasting literature has therefore arrived at the threshold of a cliometric program for the cislunar regime without yet having executed it.</w:t>
      </w:r>
    </w:p>
    <w:bookmarkEnd w:id="69"/>
    <w:bookmarkStart w:id="70" w:name="Xf6d5f15dd84d1445117950b3bfdd7da8989eba0"/>
    <w:p>
      <w:pPr>
        <w:pStyle w:val="Heading2"/>
        <w:spacing w:line="480" w:lineRule="auto"/>
      </w:pPr>
      <w:r>
        <w:t xml:space="preserve">2.5 Cliometric and Parametric Cost Estimation in Aerospace</w:t>
      </w:r>
    </w:p>
    <w:p>
      <w:pPr>
        <w:pStyle w:val="FirstParagraph"/>
        <w:spacing w:line="480" w:lineRule="auto"/>
      </w:pPr>
      <w:r>
        <w:t xml:space="preserve">The cliometric tradition of aerospace cost estimation supplies the methodological apparatus for the program proposed in this dissertation. The Wright learning curve specification, in its log log form, maps the slope coefficient on cumulative production directly to a progress ratio that has been extensively estimated for aerospace systems. Sippel, Wilken, Dietlein, Herberhold, Bergmann, and Bussler apply the Wright family to fully reusable launch architectures in the context of European launcher options in a world of Starship, and report progress ratios broadly consistent with terrestrial aerospace manufacturing precedent</w:t>
      </w:r>
      <w:r>
        <w:t xml:space="preserve"> </w:t>
      </w:r>
      <w:hyperlink w:anchor="ref-18">
        <w:r>
          <w:rPr>
            <w:rStyle w:val="Hyperlink"/>
          </w:rPr>
          <w:t xml:space="preserve">[18]</w:t>
        </w:r>
      </w:hyperlink>
      <w:r>
        <w:t xml:space="preserve">. Viola, Fusaro, Ferretto, and Vercella develop a parametric model for research, development, and production cost prediction for future civil hypersonic aircraft, extending the TransCost lineage of launch vehicle cost estimation and demonstrating the durability of log linear cost scaling across adjacent aerospace classes</w:t>
      </w:r>
      <w:r>
        <w:t xml:space="preserve"> </w:t>
      </w:r>
      <w:hyperlink w:anchor="ref-19">
        <w:r>
          <w:rPr>
            <w:rStyle w:val="Hyperlink"/>
          </w:rPr>
          <w:t xml:space="preserve">[19]</w:t>
        </w:r>
      </w:hyperlink>
      <w:r>
        <w:t xml:space="preserve">. Dominguez Calabuig, Wilson, Bi, Vasile, Sippel, and Tajmar apply environmental life cycle assessment to reusable launch vehicle fleets and document the central role of cumulative flight rate in driving per kilogram cost trajectories, which is the structural assumption embedded in any Wright learning curve estimation</w:t>
      </w:r>
      <w:r>
        <w:t xml:space="preserve"> </w:t>
      </w:r>
      <w:hyperlink w:anchor="ref-20">
        <w:r>
          <w:rPr>
            <w:rStyle w:val="Hyperlink"/>
          </w:rPr>
          <w:t xml:space="preserve">[20]</w:t>
        </w:r>
      </w:hyperlink>
      <w:r>
        <w:t xml:space="preserve">.</w:t>
      </w:r>
    </w:p>
    <w:p>
      <w:pPr>
        <w:pStyle w:val="BodyText"/>
        <w:spacing w:line="480" w:lineRule="auto"/>
        <w:ind w:firstLine="720"/>
      </w:pPr>
      <w:r>
        <w:t xml:space="preserve">These three contributions establish three results that the cliometric program for cislunar demonstrators must inherit. First, the log log form of the learning curve is empirically supported for launch transportation and for adjacent civil aerospace classes, with progress ratios that cluster in a recognizable band. Second, the parametric apparatus for cost prediction in launch and adjacent aerospace systems is sufficiently mature to be applied to cislunar demonstrators, conditional on the construction of a dataset that records the relevant predictors. Third, the disaggregation of cost into research and development, production, and operations buckets is necessary in order to read the parametric and learning curve estimates correctly, because the buckets respond to different drivers at different rates. The first paper of the dissertation explicitly inherits the Wright framework from this lineage and applies it to a cislunar payload delivery dataset, with the result that the pooled cislunar Wright slope is precisely estimated at minus 0.20 with a corresponding progress ratio of 0.87, sitting at the slow learning end of the band reported for reusable launch concept studies [18, 19, 20].</w:t>
      </w:r>
    </w:p>
    <w:p>
      <w:pPr>
        <w:pStyle w:val="BodyText"/>
        <w:spacing w:line="480" w:lineRule="auto"/>
        <w:ind w:firstLine="720"/>
      </w:pPr>
      <w:r>
        <w:t xml:space="preserve">The cliometric and parametric apparatus has been applied principally to launch transportation. Its extension to cislunar demonstrators of the SDA, navigation, and infrastructure class requires three further methodological imports. The first is the binary cost growth specification, in which the probability of crossing a rebaselining threshold is modeled as a function of regime, sponsor, scope, and schedule. The NASA Space Flight Program and Project Management Requirements identify a 25 percent threshold over the Agency Baseline Commitment as the trigger for rebaselining, which supplies a natural specification of the binary outcome. The second is the matched panel design with regression and survival components, in which cost growth and schedule slip are modeled jointly on a matched comparison of cislunar and Earth orbit demonstrators. The third is the propensity score weighting and sensitivity analysis apparatus that allows the regime coefficient to be interpreted in the presence of non random selection into the cislunar regime. The literature has supplied each of these methodological imports separately but has not assembled them for the cislunar regime.</w:t>
      </w:r>
    </w:p>
    <w:bookmarkEnd w:id="70"/>
    <w:bookmarkStart w:id="71" w:name="X8e058c7e0a53d70d7bc7dc5187a83c2292a6132"/>
    <w:p>
      <w:pPr>
        <w:pStyle w:val="Heading2"/>
        <w:spacing w:line="480" w:lineRule="auto"/>
      </w:pPr>
      <w:r>
        <w:t xml:space="preserve">2.6 Public Oversight Record as Cliometric Substrate</w:t>
      </w:r>
    </w:p>
    <w:p>
      <w:pPr>
        <w:pStyle w:val="FirstParagraph"/>
        <w:spacing w:line="480" w:lineRule="auto"/>
      </w:pPr>
      <w:r>
        <w:t xml:space="preserve">The public oversight literature, principally the Government Accountability Office annual assessments of NASA major projects and the NASA Office of Inspector General audits, supplies the empirical substrate on which the cliometric program rests. The GAO Major Project Assessments document approval baselines and current life cycle estimates for the major project portfolio, including the cislunar and lunar program elements relevant to the dissertation [16, 17]. The 2025 GAO assessment provides the most recent record of cost growth and schedule slip across the major project portfolio and is the principal source for the Artemis program elements that anchor the cislunar treatment set</w:t>
      </w:r>
      <w:r>
        <w:t xml:space="preserve"> </w:t>
      </w:r>
      <w:hyperlink w:anchor="ref-16">
        <w:r>
          <w:rPr>
            <w:rStyle w:val="Hyperlink"/>
          </w:rPr>
          <w:t xml:space="preserve">[16]</w:t>
        </w:r>
      </w:hyperlink>
      <w:r>
        <w:t xml:space="preserve">. The 2024 GAO assessment provides the parallel record for the preceding year and supplies the lookback dataset for the first paper of the dissertation</w:t>
      </w:r>
      <w:r>
        <w:t xml:space="preserve"> </w:t>
      </w:r>
      <w:hyperlink w:anchor="ref-17">
        <w:r>
          <w:rPr>
            <w:rStyle w:val="Hyperlink"/>
          </w:rPr>
          <w:t xml:space="preserve">[17]</w:t>
        </w:r>
      </w:hyperlink>
      <w:r>
        <w:t xml:space="preserve">.</w:t>
      </w:r>
    </w:p>
    <w:p>
      <w:pPr>
        <w:pStyle w:val="BodyText"/>
        <w:spacing w:line="480" w:lineRule="auto"/>
        <w:ind w:firstLine="720"/>
      </w:pPr>
      <w:r>
        <w:t xml:space="preserve">The NASA Office of Inspector General audits supplement the GAO record at the program level. The IG-24-006 audit of NASA management of the Commercial Lunar Payload Services initiative documents the procurement, task order, and delivery record for the CLPS pipeline, and is the principal source for the lunar surface task orders that anchor the cislunar payload delivery dataset constructed in the first paper of the dissertation</w:t>
      </w:r>
      <w:r>
        <w:t xml:space="preserve"> </w:t>
      </w:r>
      <w:hyperlink w:anchor="ref-21">
        <w:r>
          <w:rPr>
            <w:rStyle w:val="Hyperlink"/>
          </w:rPr>
          <w:t xml:space="preserve">[21]</w:t>
        </w:r>
      </w:hyperlink>
      <w:r>
        <w:t xml:space="preserve">. The IG-22-003 audit of NASA management of the Space Launch System program documents the cost growth record for the Artemis transportation backbone and supplies the cost allocation for the Artemis I, Artemis II, and Artemis III observations in the learning curve dataset</w:t>
      </w:r>
      <w:r>
        <w:t xml:space="preserve"> </w:t>
      </w:r>
      <w:hyperlink w:anchor="ref-23">
        <w:r>
          <w:rPr>
            <w:rStyle w:val="Hyperlink"/>
          </w:rPr>
          <w:t xml:space="preserve">[23]</w:t>
        </w:r>
      </w:hyperlink>
      <w:r>
        <w:t xml:space="preserve">. The OCEA Forecasting the Space Economy series provides the demand side parameter inputs that the dataset uses to scale the cislunar treatment set and to interpret the regime coefficient against the macro forecasting baseline</w:t>
      </w:r>
      <w:r>
        <w:t xml:space="preserve"> </w:t>
      </w:r>
      <w:hyperlink w:anchor="ref-22">
        <w:r>
          <w:rPr>
            <w:rStyle w:val="Hyperlink"/>
          </w:rPr>
          <w:t xml:space="preserve">[22]</w:t>
        </w:r>
      </w:hyperlink>
      <w:r>
        <w:t xml:space="preserve">.</w:t>
      </w:r>
    </w:p>
    <w:p>
      <w:pPr>
        <w:pStyle w:val="BodyText"/>
        <w:spacing w:line="480" w:lineRule="auto"/>
        <w:ind w:firstLine="720"/>
      </w:pPr>
      <w:r>
        <w:t xml:space="preserve">The oversight record is structured but incomplete. The GAO threshold for inclusion in the Major Project Assessment series is a life cycle cost above 250 million dollars, which excludes a substantial portion of the demonstration class missions that constitute the cislunar treatment set of interest to this dissertation. The NASA Office of the Chief Financial Officer monthly status reports and the NASA Cost Estimating Handbook supply the supplementary record for Class D and small spacecraft demonstration missions that fall below the GAO threshold. The CLPS task order docket supplies the contract level record for the lunar surface delivery pipeline. The oversight record is therefore sufficient to construct the cislunar treatment set and the Earth orbit comparison set at the demonstrator level, conditional on careful attention to the inclusion thresholds and to the differential coverage of cost and schedule reporting across the sources.</w:t>
      </w:r>
    </w:p>
    <w:bookmarkEnd w:id="71"/>
    <w:bookmarkStart w:id="72" w:name="synthesis-and-identification-of-the-gap"/>
    <w:p>
      <w:pPr>
        <w:pStyle w:val="Heading2"/>
        <w:spacing w:line="480" w:lineRule="auto"/>
      </w:pPr>
      <w:r>
        <w:t xml:space="preserve">2.7 Synthesis and Identification of the Gap</w:t>
      </w:r>
    </w:p>
    <w:p>
      <w:pPr>
        <w:pStyle w:val="FirstParagraph"/>
        <w:spacing w:line="480" w:lineRule="auto"/>
      </w:pPr>
      <w:r>
        <w:t xml:space="preserve">The two literatures are now sufficiently developed to be joined. The cislunar technical literature has produced a structured taxonomy of sensor architectures, observer concepts, navigation methods, mission concepts, and infrastructure architectures, with sufficient specification of the demonstration class to support the construction of a treatment set [1, 2, 3, 4, 5, 6, 24, 25, 33, 34, 36, 39]. The mission concept and ISRU literature has supplied the cost engineering register at the feasibility study level, which is the appropriate prior for parametric and learning curve estimation [8, 9, 10, 11, 38, 41]. The macro forecasting literature has identified the empirical underspecification at the demonstrator layer as the binding constraint on the credibility of its sectoral projections and has framed the closure of that constraint as the next step in its program [7, 12, 13, 15, 22]. The cliometric and parametric tradition has supplied the methodological apparatus for closing the constraint, principally through the Wright learning curve, the parametric cost prediction model, and the matched panel design with regression and survival components [18, 19, 20].</w:t>
      </w:r>
    </w:p>
    <w:p>
      <w:pPr>
        <w:pStyle w:val="BodyText"/>
        <w:spacing w:line="480" w:lineRule="auto"/>
        <w:ind w:firstLine="720"/>
      </w:pPr>
      <w:r>
        <w:t xml:space="preserve">The gap is therefore not theoretical. The cislunar regime is sufficiently specified to admit cliometric treatment, and the cliometric apparatus is sufficiently mature to be applied to it. The gap is empirical and structural. There is no structured dataset that places cislunar demonstrators on the same actuarial footing as their Earth orbit comparators. There is no estimator that has separated the regime effect on cost growth and schedule slip from the confounds of mission class, sponsor type, contracting instrument, and announced scope. There is no published Wright learning curve specification that has been estimated on a cislunar payload delivery dataset with attention to vehicle family heterogeneity and procurement instrument heterogeneity. There is no published binary cost growth specification that has tested the cislunar regime indicator against the NASA rebaselining threshold conditional on announced cost and announced schedule.</w:t>
      </w:r>
    </w:p>
    <w:p>
      <w:pPr>
        <w:pStyle w:val="BodyText"/>
        <w:spacing w:line="480" w:lineRule="auto"/>
        <w:ind w:firstLine="720"/>
      </w:pPr>
      <w:r>
        <w:t xml:space="preserve">The first paper of the dissertation closes part of the gap by estimating the Wright learning curve on a 31 record dataset of cislunar relevant NASA procurement, returning a pooled slope of minus 0.20 and an implied progress ratio of 0.87, statistically distinguishable from zero at the one percent level and broadly consistent with the band reported in the reusable launch and civil aerospace cost prediction literatures [18, 19, 20, 21, 23]. The second paper closes a further part of the gap by estimating a binary logit on the 30 NASA major project sample with the major cost growth indicator as the dependent variable and a cislunar indicator, log baseline cost, and log baseline duration as regressors, returning a cislunar coefficient of 0.10 that is not statistically distinguishable from zero in the available sample [16, 17, 21, 23]. The two papers together establish the cliometric foundation. The dissertation extends the apparatus to the matched panel design with regression and survival components, with the cost growth and schedule slip outcomes estimated on the joined cislunar treatment and Earth orbit comparison sets, and with the regime coefficient interpreted in the presence of propensity score weighting and sensitivity analysis on unobserved confounders.</w:t>
      </w:r>
    </w:p>
    <w:p>
      <w:pPr>
        <w:pStyle w:val="BodyText"/>
        <w:spacing w:line="480" w:lineRule="auto"/>
        <w:ind w:firstLine="720"/>
      </w:pPr>
      <w:r>
        <w:t xml:space="preserve">The gap that the dissertation closes is therefore a structural one. It joins the two unjoined literatures by importing the cliometric and parametric apparatus into the cislunar regime and by constructing the empirical dataset on which the apparatus can be applied. It returns to the macro forecasting literature a calibrated discount factor for cislunar contributions, or a calibrated null, as the data direct [7, 12, 13, 15, 22]. It returns to the cislunar technical literature an empirical record against which the parametric cost inputs in the architectural sizing studies can be tested [1, 2, 5, 24, 33]. It returns to the public oversight record a structured cliometric reading of the data that the GAO and the NASA Office of Inspector General have assembled at the program level [16, 17, 21, 23].</w:t>
      </w:r>
    </w:p>
    <w:bookmarkEnd w:id="72"/>
    <w:bookmarkStart w:id="73" w:name="Xd0c636af4ea6d98ac9e1cbe056f7e9c2c369186"/>
    <w:p>
      <w:pPr>
        <w:pStyle w:val="Heading2"/>
        <w:spacing w:line="480" w:lineRule="auto"/>
      </w:pPr>
      <w:r>
        <w:t xml:space="preserve">2.8 Contribution of the Dissertation in Relation to the Reviewed Literatures</w:t>
      </w:r>
    </w:p>
    <w:p>
      <w:pPr>
        <w:pStyle w:val="FirstParagraph"/>
        <w:spacing w:line="480" w:lineRule="auto"/>
      </w:pPr>
      <w:r>
        <w:t xml:space="preserve">The contribution of the dissertation is the first structured empirical decision between the null hypothesis of no cislunar premium and the alternative of a positive premium in cost growth, schedule slip, or both, for the demonstration mission class, conditional on mission class, sponsor type, contracting instrument, and announced scope. The contribution is doctoral in three respects. First, it constructs the dataset on which the decision can be made, drawing on the GAO Major Project Assessment series [16, 17], the NASA Office of Inspector General audits [21, 23], the CLPS task order docket, and the cislunar SDA, navigation, and infrastructure technical literature [1, 2, 3, 4, 5, 6, 24, 25, 33, 34, 36, 39] to specify the treatment and comparison sets at the mission level. Second, it imports the cliometric and parametric apparatus from the launch transportation and civil aerospace cost prediction tradition [18, 19, 20] and adapts it to the cislunar demonstrator class through the Wright learning curve specification, the binary cost growth specification, and the matched panel design with regression and survival components. Third, it returns the result to the macro forecasting literature [7, 12, 13, 15, 22] in a form that calibrates the cislunar contribution to the sectoral projections, either by quantifying the regime premium or by reporting a bounded null.</w:t>
      </w:r>
    </w:p>
    <w:p>
      <w:pPr>
        <w:pStyle w:val="BodyText"/>
        <w:spacing w:line="480" w:lineRule="auto"/>
        <w:ind w:firstLine="720"/>
      </w:pPr>
      <w:r>
        <w:t xml:space="preserve">The contribution is falsifiable in the strict sense. The Wright slope estimated in the first paper is a precise point estimate with an analytic standard error, and it admits the conventional test against the null of zero learning [18, 19, 20]. The binary cost growth coefficient estimated in the second paper is a point estimate with an asymptotic standard error and admits the conventional test against the null of zero regime effect [16, 17]. The matched panel coefficient estimated in the dissertation will be a point estimate with a sensitivity bound and will admit the conventional test against the null of zero regime effect in the presence of non random selection. The contribution is empirical and not normative. It does not recommend a procurement vehicle for cislunar demonstrators, it does not recommend a sensor architecture, and it does not recommend a macro projection for the sector. It returns the empirical record on which those recommendations can be made by the relevant decision authorities.</w:t>
      </w:r>
    </w:p>
    <w:p>
      <w:pPr>
        <w:pStyle w:val="BodyText"/>
        <w:spacing w:line="480" w:lineRule="auto"/>
        <w:ind w:firstLine="720"/>
      </w:pPr>
      <w:r>
        <w:t xml:space="preserve">The literature reviewed in this chapter has prepared the ground for the contribution but has not made it. The cislunar technical literature has specified the demonstration class but has not measured its cost and schedule outcomes [1, 2, 3, 4, 5, 6, 24, 25, 33, 34, 36, 39]. The mission concept and ISRU literature has supplied the feasibility study cost register but has not extended it to a realized cliometric record [8, 9, 10, 11, 38, 41]. The macro forecasting literature has framed the empirical underspecification at the demonstrator layer as the binding constraint on its program but has not closed it [7, 12, 13, 15, 22]. The cliometric and parametric tradition has supplied the methodological apparatus but has not applied it to the cislunar regime [18, 19, 20]. The public oversight record has assembled the empirical substrate but has not been read cliometrically for the cislunar regime [16, 17, 21, 23]. The dissertation joins these five contributions into a single empirical program. Chapter 3 specifies the methodology by which the joining is executed.</w:t>
      </w:r>
    </w:p>
    <w:bookmarkEnd w:id="73"/>
    <w:bookmarkEnd w:id="74"/>
    <w:bookmarkStart w:id="84" w:name="Xcfcc00a3ded59aed0c781c16bfc121f2a509603"/>
    <w:p>
      <w:pPr>
        <w:pStyle w:val="Heading1"/>
        <w:spacing w:line="480" w:lineRule="auto"/>
      </w:pPr>
      <w:r>
        <w:t xml:space="preserve">Chapter 3. Theoretical Framework and Hypotheses</w:t>
      </w:r>
    </w:p>
    <w:bookmarkStart w:id="75" w:name="purpose-of-the-chapter"/>
    <w:p>
      <w:pPr>
        <w:pStyle w:val="Heading2"/>
        <w:spacing w:line="480" w:lineRule="auto"/>
      </w:pPr>
      <w:r>
        <w:t xml:space="preserve">3.1 Purpose of the Chapter</w:t>
      </w:r>
    </w:p>
    <w:p>
      <w:pPr>
        <w:pStyle w:val="FirstParagraph"/>
        <w:spacing w:line="480" w:lineRule="auto"/>
      </w:pPr>
      <w:r>
        <w:t xml:space="preserve">The empirical work of this dissertation rests on a single conditional comparison between cislunar infrastructure demonstration missions and a matched set of Earth orbit demonstration missions. That comparison is meaningful only if the theoretical apparatus that motivates it is specified with sufficient precision to license a falsifiable inference. The purpose of this chapter is to perform that specification. It sets out the unit of analysis, the latent construct under test, the causal mechanism that connects regime exposure to cost growth and schedule slip, the auxiliary assumptions required for identification, and the formal hypotheses H0 and H1 that the panel estimation in Chapter 5 and the matched comparison in Chapter 6 are designed to adjudicate. The chapter draws on the technical cislunar literature that establishes the engineering content of the regime [1, 2, 3, 4, 5, 6, 14, 24, 25, 34], on the architectural and mission concept literature that frames demonstrators as instruments of programmatic learning [9, 10, 11, 30, 33, 37, 39], on the cliometric and parametric cost literature that provides the estimator family adopted here [16, 17, 18, 19, 21, 23], and on the macroeconomic forecasting literature that motivates the policy stakes of the test [7, 12, 13, 15, 22].</w:t>
      </w:r>
    </w:p>
    <w:p>
      <w:pPr>
        <w:pStyle w:val="BodyText"/>
        <w:spacing w:line="480" w:lineRule="auto"/>
        <w:ind w:firstLine="720"/>
      </w:pPr>
      <w:r>
        <w:t xml:space="preserve">The chapter is organized in five sections after this purpose statement. Section 3.2 fixes the unit of analysis and the construct of regime exposure. Section 3.3 develops the causal mechanism in three stages: a margin underprovisioning argument, an interface complexity argument, and a contracting instrument argument. Section 3.4 states the auxiliary assumptions required for the matched panel design to support a regime coefficient that can be read as conditional rather than merely associational. Section 3.5 states the formal hypotheses H0 and H1 and derives the operational decision rules that the estimator outputs will satisfy. Section 3.6 closes by relating the framework to the null result reported in the first paper of the dissertation, which estimated a logit cliometric specification on thirty NASA major projects and produced a small, positive, and statistically indistinguishable cislunar coefficient on the major cost growth indicator.</w:t>
      </w:r>
    </w:p>
    <w:bookmarkEnd w:id="75"/>
    <w:bookmarkStart w:id="76" w:name="X040cd9f2c575e4ec491bca1d48f33070e07eb60"/>
    <w:p>
      <w:pPr>
        <w:pStyle w:val="Heading2"/>
        <w:spacing w:line="480" w:lineRule="auto"/>
      </w:pPr>
      <w:r>
        <w:t xml:space="preserve">3.2 Unit of Analysis and the Construct of Regime Exposure</w:t>
      </w:r>
    </w:p>
    <w:p>
      <w:pPr>
        <w:pStyle w:val="FirstParagraph"/>
        <w:spacing w:line="480" w:lineRule="auto"/>
      </w:pPr>
      <w:r>
        <w:t xml:space="preserve">The unit of analysis is the demonstration mission. A demonstration mission is defined here as a flight project whose announced primary purpose is to retire a programmatically specified technical risk for a downstream operational capability rather than to deliver an operational capability directly. This definition follows the use of the term in the cislunar architectural and mission concept literature, where demonstrators are explicitly positioned as priors on the feasibility and cost of follow on architectures [2, 5, 9, 33]. It also tracks the procurement framing in the Commercial Lunar Payload Services initiative, where individual task orders deliver instrument and technology payloads against a programmatic risk reduction objective for the Artemis architecture</w:t>
      </w:r>
      <w:r>
        <w:t xml:space="preserve"> </w:t>
      </w:r>
      <w:hyperlink w:anchor="ref-21">
        <w:r>
          <w:rPr>
            <w:rStyle w:val="Hyperlink"/>
          </w:rPr>
          <w:t xml:space="preserve">[21]</w:t>
        </w:r>
      </w:hyperlink>
      <w:r>
        <w:t xml:space="preserve">.</w:t>
      </w:r>
    </w:p>
    <w:p>
      <w:pPr>
        <w:pStyle w:val="BodyText"/>
        <w:spacing w:line="480" w:lineRule="auto"/>
        <w:ind w:firstLine="720"/>
      </w:pPr>
      <w:r>
        <w:t xml:space="preserve">The construct under test is regime exposure. Regime exposure is the property of having a primary mission operating region in cislunar space, as opposed to Earth orbit. The boundary between the two regimes is operationalized in this dissertation by primary mission operating region rather than by launch trajectory or by transit corridor. A mission whose primary science or capability objective is executed in lunar orbit, on the lunar surface, in the libration point neighborhoods, or along the near rectilinear halo orbit family is coded as cislunar. A mission whose primary objective is executed in low Earth orbit, medium Earth orbit, geosynchronous Earth orbit, or highly elliptical Earth orbit is coded as Earth orbit. This boundary is defensible on engineering grounds because the technical content of the regime, including trajectory complexity, station keeping in three body dynamics, lunar surface or lunar environment qualification, and trans Earth communications, accrues to the operating region rather than to the trajectory of transit [2, 4, 5, 24, 34, 36, 39].</w:t>
      </w:r>
    </w:p>
    <w:p>
      <w:pPr>
        <w:pStyle w:val="BodyText"/>
        <w:spacing w:line="480" w:lineRule="auto"/>
        <w:ind w:firstLine="720"/>
      </w:pPr>
      <w:r>
        <w:t xml:space="preserve">Regime exposure is a latent construct in the sense that no single measured covariate captures it directly. What is measured at the project level is a regime indicator that takes the value one for cislunar and zero for Earth orbit. The theoretical content of the construct is supplied by the cislunar SDA and orbit determination literature, which documents the specific engineering demands the regime imposes on sensor architectures, observer concepts, navigation chains, and disposal planning [1, 3, 4, 5, 6, 14, 24, 25, 34]. These demands are not strictly disjoint from those imposed by Earth orbit demonstration missions, but the cislunar literature documents them as the binding constraint on demonstrator design choices in the regime, and the architectural literature documents them as the priors that downstream constellation sizing and capacity estimation draw on [2, 30, 33]. The regime indicator is therefore best understood as a stand in for a bundle of engineering and programmatic demands that the cislunar regime concentrates, rather than as a discrete physical phenomenon.</w:t>
      </w:r>
    </w:p>
    <w:p>
      <w:pPr>
        <w:pStyle w:val="BodyText"/>
        <w:spacing w:line="480" w:lineRule="auto"/>
        <w:ind w:firstLine="720"/>
      </w:pPr>
      <w:r>
        <w:t xml:space="preserve">The outcomes of interest are cost growth and schedule slip. Cost growth is the ratio of realized obligated cost to announced baseline cost at authority to proceed, expressed as a continuous variable. Schedule slip is the difference between realized operational readiness date and announced operational readiness date at authority to proceed, expressed in months. Both outcomes follow the cliometric tradition established for Earth orbit and planetary science programs and adopted by the parametric cost prediction literature for advanced launch and hypersonic systems [18, 19], which the dissertation extends to the cislunar demonstration class. The cliometric tradition has not been applied at the demonstrator level in the cislunar regime, and the empirical accounting of cost growth and schedule slip at that level is exactly the structural gap that motivates the dissertation. The first paper in the dissertation pursued a binary version of the cost outcome, defined by the twenty five percent rebaselining trigger codified in NASA Procedural Requirements 7120.5F, and produced a null finding on the cislunar indicator. The present chapter formalizes the move from that binary outcome to the continuous outcomes that the matched panel estimator and the survival estimator will use in Chapters 5 and 6.</w:t>
      </w:r>
    </w:p>
    <w:bookmarkEnd w:id="76"/>
    <w:bookmarkStart w:id="80" w:name="the-causal-mechanism"/>
    <w:p>
      <w:pPr>
        <w:pStyle w:val="Heading2"/>
        <w:spacing w:line="480" w:lineRule="auto"/>
      </w:pPr>
      <w:r>
        <w:t xml:space="preserve">3.3 The Causal Mechanism</w:t>
      </w:r>
    </w:p>
    <w:p>
      <w:pPr>
        <w:pStyle w:val="FirstParagraph"/>
        <w:spacing w:line="480" w:lineRule="auto"/>
      </w:pPr>
      <w:r>
        <w:t xml:space="preserve">The mechanism that connects regime exposure to cost growth and schedule slip is decomposed into three stages. Each stage is supported by the technical and programmatic literature on cislunar demonstrators and by the parametric and cliometric cost literature on novel space systems.</w:t>
      </w:r>
    </w:p>
    <w:bookmarkStart w:id="77" w:name="X153175866ed60a6becc6b027e1779d52cb9de58"/>
    <w:p>
      <w:pPr>
        <w:pStyle w:val="Heading3"/>
        <w:spacing w:line="480" w:lineRule="auto"/>
      </w:pPr>
      <w:r>
        <w:t xml:space="preserve">3.3.1 Margin Underprovisioning at Authority to Proceed</w:t>
      </w:r>
    </w:p>
    <w:p>
      <w:pPr>
        <w:pStyle w:val="FirstParagraph"/>
        <w:spacing w:line="480" w:lineRule="auto"/>
      </w:pPr>
      <w:r>
        <w:t xml:space="preserve">The first stage of the mechanism is margin underprovisioning. At authority to proceed, sponsors and prime contractors announce baseline cost and baseline schedule against a scope that is specified in terms of payload capability, trajectory, and mission profile. For Earth orbit demonstration missions, the parametric base for margin estimation is broad. Decades of low Earth orbit and geosynchronous Earth orbit demonstrator outcomes are documented in NASA and Government Accountability Office records, and parametric cost estimation models are calibrated against that documented record [16, 17, 19]. For cislunar demonstration missions, the parametric base is narrow. The technical demands the regime imposes, including station keeping in three body dynamics, trajectory design across resonant cycler or near rectilinear halo orbit families, observer geometry against the lunar background, lunar surface qualification, and trans Earth communications, are documented in the recent technical literature as active research subjects rather than as retired engineering risks [2, 3, 4, 5, 6, 24, 34, 36, 39]. The Bayesian game theoretic treatment of cislunar space situational awareness at the L1 and L2 libration points illustrates the point. The strategic interaction between an observer and a maneuvering target in the libration regime is modeled as a problem with substantial residual uncertainty about adversary type and policy [14, 26]. That residual uncertainty is the kind of programmatic content that announced baselines have limited capacity to absorb.</w:t>
      </w:r>
    </w:p>
    <w:p>
      <w:pPr>
        <w:pStyle w:val="BodyText"/>
        <w:spacing w:line="480" w:lineRule="auto"/>
        <w:ind w:firstLine="720"/>
      </w:pPr>
      <w:r>
        <w:t xml:space="preserve">The margin underprovisioning argument predicts that, conditional on announced scope, cislunar demonstrators will exhibit positive cost growth and positive schedule slip relative to Earth orbit demonstrators. The prediction is not that cislunar demonstrators are technically infeasible, the architectural and mission concept literature establishes that they are feasible [2, 9, 10, 11, 33]. The prediction is that the margins announced at authority to proceed will systematically underprovision against the realized engineering demands of the regime, because the parametric base against which margins are set is thinner for cislunar than for Earth orbit demonstrators. The NASA Office of Inspector General audit of the Commercial Lunar Payload Services initiative documents specific instances of this underprovisioning in the form of task order schedule slips and cost increases against announced baselines</w:t>
      </w:r>
      <w:r>
        <w:t xml:space="preserve"> </w:t>
      </w:r>
      <w:hyperlink w:anchor="ref-21">
        <w:r>
          <w:rPr>
            <w:rStyle w:val="Hyperlink"/>
          </w:rPr>
          <w:t xml:space="preserve">[21]</w:t>
        </w:r>
      </w:hyperlink>
      <w:r>
        <w:t xml:space="preserve">. The first paper in the dissertation found that the unconditional rebaselining rate for the cislunar major project sample is 46 percent and for the non cislunar sample is 47 percent, which is a near identical share of major growth events but does not yet resolve whether the conditional probability differs once announced scope is held fixed.</w:t>
      </w:r>
    </w:p>
    <w:bookmarkEnd w:id="77"/>
    <w:bookmarkStart w:id="78" w:name="X18dd489b3a094a973fd5548bf50f1c4982205a9"/>
    <w:p>
      <w:pPr>
        <w:pStyle w:val="Heading3"/>
        <w:spacing w:line="480" w:lineRule="auto"/>
      </w:pPr>
      <w:r>
        <w:t xml:space="preserve">3.3.2 Interface Complexity in Demonstration Architectures</w:t>
      </w:r>
    </w:p>
    <w:p>
      <w:pPr>
        <w:pStyle w:val="FirstParagraph"/>
        <w:spacing w:line="480" w:lineRule="auto"/>
      </w:pPr>
      <w:r>
        <w:t xml:space="preserve">The second stage of the mechanism is interface complexity. Cislunar demonstration architectures are documented in the technical literature as multi node systems with substantive interface content. Ground based sensor demonstrations involve site selection, atmospheric correction, and search area reduction against Poincare map dynamics</w:t>
      </w:r>
      <w:r>
        <w:t xml:space="preserve"> </w:t>
      </w:r>
      <w:hyperlink w:anchor="ref-1">
        <w:r>
          <w:rPr>
            <w:rStyle w:val="Hyperlink"/>
          </w:rPr>
          <w:t xml:space="preserve">[1]</w:t>
        </w:r>
      </w:hyperlink>
      <w:r>
        <w:t xml:space="preserve">. Lunar surface mounted optical demonstrations involve commercial lander integration, thermal and dust environment qualification, and downlink chain coordination</w:t>
      </w:r>
      <w:r>
        <w:t xml:space="preserve"> </w:t>
      </w:r>
      <w:hyperlink w:anchor="ref-3">
        <w:r>
          <w:rPr>
            <w:rStyle w:val="Hyperlink"/>
          </w:rPr>
          <w:t xml:space="preserve">[3]</w:t>
        </w:r>
      </w:hyperlink>
      <w:r>
        <w:t xml:space="preserve">. Space based observer demonstrations involve trajectory design, observer scheduling, and persistent detection corridor analysis [5, 24]. Distributed network demonstrations involve multi platform coordination and operational cost optimization</w:t>
      </w:r>
      <w:r>
        <w:t xml:space="preserve"> </w:t>
      </w:r>
      <w:hyperlink w:anchor="ref-33">
        <w:r>
          <w:rPr>
            <w:rStyle w:val="Hyperlink"/>
          </w:rPr>
          <w:t xml:space="preserve">[33]</w:t>
        </w:r>
      </w:hyperlink>
      <w:r>
        <w:t xml:space="preserve">. Optical navigation demonstrations involve crater detection algorithms and parametric error characterization</w:t>
      </w:r>
      <w:r>
        <w:t xml:space="preserve"> </w:t>
      </w:r>
      <w:hyperlink w:anchor="ref-34">
        <w:r>
          <w:rPr>
            <w:rStyle w:val="Hyperlink"/>
          </w:rPr>
          <w:t xml:space="preserve">[34]</w:t>
        </w:r>
      </w:hyperlink>
      <w:r>
        <w:t xml:space="preserve">. Each of these architectural patterns multiplies the count of interfaces relative to a comparably scoped Earth orbit demonstrator, where the parametric base for interface count is broader and the integration patterns are better characterized in the cliometric record [16, 17].</w:t>
      </w:r>
    </w:p>
    <w:p>
      <w:pPr>
        <w:pStyle w:val="BodyText"/>
        <w:spacing w:line="480" w:lineRule="auto"/>
        <w:ind w:firstLine="720"/>
      </w:pPr>
      <w:r>
        <w:t xml:space="preserve">The interface complexity argument predicts that, conditional on announced cost band and announced schedule, cislunar demonstrators will incur cost growth and schedule slip at the integration phase rather than at the component phase. The prediction has an observable implication for the survival specification adopted in Chapter 6. Schedule slip will concentrate near the integration and test milestones rather than near the design or component qualification milestones, because the engineering content of the regime concentrates at interfaces between the observer, the platform, the trajectory, and the ground segment [2, 24, 33]. The pattern language for complex mode mission concept generation supports this prediction by characterizing demonstrator architectures as patterns that compose at interfaces and accumulate complexity at integration</w:t>
      </w:r>
      <w:r>
        <w:t xml:space="preserve"> </w:t>
      </w:r>
      <w:hyperlink w:anchor="ref-9">
        <w:r>
          <w:rPr>
            <w:rStyle w:val="Hyperlink"/>
          </w:rPr>
          <w:t xml:space="preserve">[9]</w:t>
        </w:r>
      </w:hyperlink>
      <w:r>
        <w:t xml:space="preserve">.</w:t>
      </w:r>
    </w:p>
    <w:bookmarkEnd w:id="78"/>
    <w:bookmarkStart w:id="79" w:name="contracting-instrument-interaction"/>
    <w:p>
      <w:pPr>
        <w:pStyle w:val="Heading3"/>
        <w:spacing w:line="480" w:lineRule="auto"/>
      </w:pPr>
      <w:r>
        <w:t xml:space="preserve">3.3.3 Contracting Instrument Interaction</w:t>
      </w:r>
    </w:p>
    <w:p>
      <w:pPr>
        <w:pStyle w:val="FirstParagraph"/>
        <w:spacing w:line="480" w:lineRule="auto"/>
      </w:pPr>
      <w:r>
        <w:t xml:space="preserve">The third stage of the mechanism is the interaction of regime exposure with the contracting instrument. The Commercial Lunar Payload Services initiative procures cislunar demonstrators predominantly through firm fixed price task orders</w:t>
      </w:r>
      <w:r>
        <w:t xml:space="preserve"> </w:t>
      </w:r>
      <w:hyperlink w:anchor="ref-21">
        <w:r>
          <w:rPr>
            <w:rStyle w:val="Hyperlink"/>
          </w:rPr>
          <w:t xml:space="preserve">[21]</w:t>
        </w:r>
      </w:hyperlink>
      <w:r>
        <w:t xml:space="preserve">. The Human Landing System initial capability and the Cislunar Autonomous Positioning System Technology Operations and Navigation Experiment likewise sit on firm fixed price instruments. This clustering of firm fixed price instruments on the cislunar side of the panel was identified in the first paper of this dissertation as a source of collinearity that the small sample logit could not resolve. The theoretical content of the clustering is that firm fixed price instruments transfer cost risk to the contractor and create incentives for contractors to internalize cost growth in the form of schedule slip or scope reduction rather than in the form of announced cost growth that flows into the cliometric record. The literature on launcher option evaluation in a world of dominant commercial providers documents a similar logic for the launch services market, where the structure of the procurement instrument shapes the observed cost and schedule profile of the demonstrator</w:t>
      </w:r>
      <w:r>
        <w:t xml:space="preserve"> </w:t>
      </w:r>
      <w:hyperlink w:anchor="ref-18">
        <w:r>
          <w:rPr>
            <w:rStyle w:val="Hyperlink"/>
          </w:rPr>
          <w:t xml:space="preserve">[18]</w:t>
        </w:r>
      </w:hyperlink>
      <w:r>
        <w:t xml:space="preserve">.</w:t>
      </w:r>
    </w:p>
    <w:p>
      <w:pPr>
        <w:pStyle w:val="BodyText"/>
        <w:spacing w:line="480" w:lineRule="auto"/>
        <w:ind w:firstLine="720"/>
      </w:pPr>
      <w:r>
        <w:t xml:space="preserve">The contracting instrument argument predicts a non separable interaction between regime exposure and contracting instrument. The matched panel design in Chapter 6 addresses this prediction by stratifying the matched comparison on contracting instrument and by reporting parallel estimates for firm fixed price and cost reimbursable strata. The expected pattern is a larger regime coefficient in the cost reimbursable stratum, where the cliometric record captures the regime exposure directly, and a smaller regime coefficient in the firm fixed price stratum, where regime exposure flows into the schedule slip and scope reduction outcomes rather than into the announced cost growth outcome.</w:t>
      </w:r>
    </w:p>
    <w:bookmarkEnd w:id="79"/>
    <w:bookmarkEnd w:id="80"/>
    <w:bookmarkStart w:id="81" w:name="auxiliary-assumptions-for-identification"/>
    <w:p>
      <w:pPr>
        <w:pStyle w:val="Heading2"/>
        <w:spacing w:line="480" w:lineRule="auto"/>
      </w:pPr>
      <w:r>
        <w:t xml:space="preserve">3.4 Auxiliary Assumptions for Identification</w:t>
      </w:r>
    </w:p>
    <w:p>
      <w:pPr>
        <w:pStyle w:val="FirstParagraph"/>
        <w:spacing w:line="480" w:lineRule="auto"/>
      </w:pPr>
      <w:r>
        <w:t xml:space="preserve">Four auxiliary assumptions are required for the regime coefficient estimated by the matched panel design to admit a conditional rather than associational reading.</w:t>
      </w:r>
    </w:p>
    <w:p>
      <w:pPr>
        <w:pStyle w:val="BodyText"/>
        <w:spacing w:line="480" w:lineRule="auto"/>
        <w:ind w:firstLine="720"/>
      </w:pPr>
      <w:r>
        <w:t xml:space="preserve">The first assumption is that mission class is held fixed across the cislunar treatment set and the Earth orbit comparison set. The dissertation enforces this assumption by restricting both sets to demonstration class missions of comparable announced scope and announced cost band, drawing the Earth orbit comparison set from NASA Class D and small spacecraft demonstration missions in the same authority to proceed window. The restriction is operationalized by the matching protocol described in Chapter 4 and inherits the documented record of Earth orbit demonstration missions assembled by the Government Accountability Office and the NASA Office of Inspector General [16, 17, 23].</w:t>
      </w:r>
    </w:p>
    <w:p>
      <w:pPr>
        <w:pStyle w:val="BodyText"/>
        <w:spacing w:line="480" w:lineRule="auto"/>
        <w:ind w:firstLine="720"/>
      </w:pPr>
      <w:r>
        <w:t xml:space="preserve">The second assumption is that sponsor type and contracting instrument are conditionally exogenous given the covariate set. The dissertation enters sponsor type and contracting instrument as covariates and reports stratified results by both. The assumption is supported by the parametric cost literature for advanced launch and hypersonic systems, which finds that sponsor type and contracting instrument are mediators rather than confounders of regime exposure for novel mission classes [18, 19]. The assumption is acknowledged as defeasible and is subjected to the sensitivity analysis on the unobserved confounder described in Chapter 4.</w:t>
      </w:r>
    </w:p>
    <w:p>
      <w:pPr>
        <w:pStyle w:val="BodyText"/>
        <w:spacing w:line="480" w:lineRule="auto"/>
        <w:ind w:firstLine="720"/>
      </w:pPr>
      <w:r>
        <w:t xml:space="preserve">The third assumption is that year of authority to proceed absorbs macro shocks common to both sets, including supply chain disruption, launch market capacity constraints, and macroeconomic conditions. The dissertation enforces this assumption by a fixed effect for year of authority to proceed and inherits the macroeconomic context characterized by the Office of Commercial and Economic Analysis time series work [7, 15, 22]. The assumption is supported by the alignment of authority to proceed dates between the cislunar treatment set and the Earth orbit comparison set in the window covered by the panel.</w:t>
      </w:r>
    </w:p>
    <w:p>
      <w:pPr>
        <w:pStyle w:val="BodyText"/>
        <w:spacing w:line="480" w:lineRule="auto"/>
        <w:ind w:firstLine="720"/>
      </w:pPr>
      <w:r>
        <w:t xml:space="preserve">The fourth assumption is that the announced cost baseline is reported by the same procedure for cislunar and Earth orbit demonstrators. The dissertation enforces this assumption by drawing announced cost baselines for both sets from the same Government Accountability Office and NASA Office of Inspector General source documents [16, 17, 21, 23] and by reporting parallel results for two cost baselines, the original announced value and the first independent cost estimate published in the Government Accountability Office assessment. Divergence between the two baselines is treated as a substantive finding rather than as a measurement error to be averaged out.</w:t>
      </w:r>
    </w:p>
    <w:p>
      <w:pPr>
        <w:pStyle w:val="BodyText"/>
        <w:spacing w:line="480" w:lineRule="auto"/>
        <w:ind w:firstLine="720"/>
      </w:pPr>
      <w:r>
        <w:t xml:space="preserve">The four assumptions together support the conditional reading of the regime coefficient. None of the four is unconditional, and each is open to challenge on the basis of a competing characterization of the cislunar demonstrator population. The dissertation does not claim that the matched panel estimator identifies a structural causal effect in the sense of a policy invariant parameter. The dissertation claims that, conditional on the four assumptions, the regime coefficient admits a conditional reading that places cislunar demonstrators on the same actuarial footing as their Earth orbit comparators. That is the empirical contribution the cislunar architectural and macroeconomic forecasting literatures require [2, 7, 12, 13, 15, 22, 37].</w:t>
      </w:r>
    </w:p>
    <w:bookmarkEnd w:id="81"/>
    <w:bookmarkStart w:id="82" w:name="formal-hypotheses"/>
    <w:p>
      <w:pPr>
        <w:pStyle w:val="Heading2"/>
        <w:spacing w:line="480" w:lineRule="auto"/>
      </w:pPr>
      <w:r>
        <w:t xml:space="preserve">3.5 Formal Hypotheses</w:t>
      </w:r>
    </w:p>
    <w:p>
      <w:pPr>
        <w:pStyle w:val="FirstParagraph"/>
        <w:spacing w:line="480" w:lineRule="auto"/>
      </w:pPr>
      <w:r>
        <w:t xml:space="preserve">The dissertation tests one composite hypothesis on the matched panel of demonstration missions. The composite hypothesis is decomposed into a null statement and an alternative statement.</w:t>
      </w:r>
    </w:p>
    <w:p>
      <w:pPr>
        <w:pStyle w:val="BodyText"/>
        <w:spacing w:line="480" w:lineRule="auto"/>
        <w:ind w:firstLine="720"/>
      </w:pPr>
      <w:r>
        <w:rPr>
          <w:b/>
          <w:bCs/>
        </w:rPr>
        <w:t xml:space="preserve">H0.</w:t>
      </w:r>
      <w:r>
        <w:t xml:space="preserve"> </w:t>
      </w:r>
      <w:r>
        <w:t xml:space="preserve">Conditional on mission class, sponsor type, contracting instrument, and announced scope, cislunar infrastructure demonstration missions exhibit cost growth and schedule slip distributions that are statistically indistinguishable from matched Earth orbit demonstration missions in the same period. Formally, the regime coefficient on the cislunar indicator in the matched panel estimator is statistically indistinguishable from zero for both the cost growth outcome and the schedule slip outcome, and the regime coefficient in the Cox proportional hazards specification on time to operational readiness is statistically indistinguishable from zero.</w:t>
      </w:r>
    </w:p>
    <w:p>
      <w:pPr>
        <w:pStyle w:val="BodyText"/>
        <w:spacing w:line="480" w:lineRule="auto"/>
        <w:ind w:firstLine="720"/>
      </w:pPr>
      <w:r>
        <w:rPr>
          <w:b/>
          <w:bCs/>
        </w:rPr>
        <w:t xml:space="preserve">H1.</w:t>
      </w:r>
      <w:r>
        <w:t xml:space="preserve"> </w:t>
      </w:r>
      <w:r>
        <w:t xml:space="preserve">Conditional on the same covariate set, cislunar infrastructure demonstration missions exhibit a positive and statistically significant premium in cost growth, schedule slip, or both, attributable to the cislunar regime. Formally, the regime coefficient on the cislunar indicator in the matched panel estimator is positive and statistically distinguishable from zero for at least one of the cost growth outcome and the schedule slip outcome, or the regime coefficient in the Cox proportional hazards specification on time to operational readiness is positive and statistically distinguishable from zero, after correction for multiple testing across the three outcome specifications.</w:t>
      </w:r>
    </w:p>
    <w:p>
      <w:pPr>
        <w:pStyle w:val="BodyText"/>
        <w:spacing w:line="480" w:lineRule="auto"/>
        <w:ind w:firstLine="720"/>
      </w:pPr>
      <w:r>
        <w:t xml:space="preserve">The decision rule for adjudicating between H0 and H1 is the joint behavior of three test statistics, the regression coefficient on the cislunar indicator in the generalized linear model for cost growth, the regression coefficient on the cislunar indicator in the generalized linear model for schedule slip, and the hazard ratio on the cislunar indicator in the Cox proportional hazards model for time to operational readiness. The decision rule treats H0 as not rejected if all three test statistics produce confidence intervals that bracket zero (or that bracket one, in the case of the hazard ratio) at the conventional confidence level after multiple testing correction. The decision rule treats H1 as supported if at least one of the three test statistics produces a confidence interval bounded above zero (or above one) at the same corrected confidence level and if the substantive magnitude of the estimate lies within the band of policy relevance defined ex ante in Chapter 4. The decision rule treats the result as inconclusive if at least one test statistic is statistically distinguishable from zero but the substantive magnitude does not satisfy the policy relevance band.</w:t>
      </w:r>
    </w:p>
    <w:p>
      <w:pPr>
        <w:pStyle w:val="BodyText"/>
        <w:spacing w:line="480" w:lineRule="auto"/>
        <w:ind w:firstLine="720"/>
      </w:pPr>
      <w:r>
        <w:t xml:space="preserve">The decision is falsifiable in the strict sense. If the matched comparison yields regime coefficients whose confidence intervals bracket zero, the dissertation reports a null result, and the architectural literature that assumes a cislunar premium is required to revise its priors [2, 5, 33, 37]. If the regime coefficients are positive and bounded away from zero, the macroeconomic forecasting literature that treats cislunar contributions at face value is required to attach an empirically calibrated discount factor to its near term cislunar buildout projections [7, 12, 15, 22]. Either outcome is informative for the architectural and economic literatures that the dissertation engages.</w:t>
      </w:r>
    </w:p>
    <w:p>
      <w:pPr>
        <w:pStyle w:val="BodyText"/>
        <w:spacing w:line="480" w:lineRule="auto"/>
        <w:ind w:firstLine="720"/>
      </w:pPr>
      <w:r>
        <w:t xml:space="preserve">The hypothesis structure is also operationally aligned with the survival framing. The Cox proportional hazards specification treats time to operational readiness as a survival outcome with right censoring for missions still in development. The proportional hazards assumption is tested against the schedule slip distribution. A hazard ratio greater than one on the cislunar indicator corresponds to a lower probability of achieving operational readiness in any given month, conditional on covariates. The Cox specification supplements the generalized linear model specification by handling censoring directly and by exploiting the within mission timing information that the cross sectional regression averages out.</w:t>
      </w:r>
    </w:p>
    <w:bookmarkEnd w:id="82"/>
    <w:bookmarkStart w:id="83" w:name="Xc41d69fd57a148149126fdd27aa1b0329f7e51d"/>
    <w:p>
      <w:pPr>
        <w:pStyle w:val="Heading2"/>
        <w:spacing w:line="480" w:lineRule="auto"/>
      </w:pPr>
      <w:r>
        <w:t xml:space="preserve">3.6 Relation to the Null Result of the First Paper</w:t>
      </w:r>
    </w:p>
    <w:p>
      <w:pPr>
        <w:pStyle w:val="FirstParagraph"/>
        <w:spacing w:line="480" w:lineRule="auto"/>
      </w:pPr>
      <w:r>
        <w:t xml:space="preserve">The first paper in this dissertation estimated a binary logit cliometric specification on thirty NASA major projects with approval baselines between calendar year 2005 and calendar year 2023 and current estimates documented through calendar year 2025. Thirteen of the projects were cislunar by primary operating regime and seventeen were non cislunar comparators. The dependent variable was a binary indicator equal to one if the current life cycle estimate exceeded the approval baseline by more than twenty five percent, which corresponds to the rebaselining trigger codified in the NASA Space Flight Program and Project Management Requirements. The regressors were the cislunar indicator, the natural log of the approval baseline cost in millions of constant year dollars, and the natural log of the approval baseline duration in months. The estimated cislunar coefficient was 0.10 with a p value of 0.90 and the maximized log likelihood was minus 20.50 with a McFadden pseudo R squared of 0.011.</w:t>
      </w:r>
    </w:p>
    <w:p>
      <w:pPr>
        <w:pStyle w:val="BodyText"/>
        <w:spacing w:line="480" w:lineRule="auto"/>
        <w:ind w:firstLine="720"/>
      </w:pPr>
      <w:r>
        <w:t xml:space="preserve">The substantive reading of the first paper was that the conditional cislunar premium in major cost growth probability is essentially zero in the major project sample, and the H1 hypothesis of a positive and statistically distinguishable cislunar premium was not supported on that sample. The substantive reading was qualified by the small sample size and the limited power against effect sizes in the band of policy relevance, and the paper explicitly identified the clustering of firm fixed price instruments on the cislunar side of the panel as a source of collinearity that the thirty observation specification could not resolve.</w:t>
      </w:r>
    </w:p>
    <w:p>
      <w:pPr>
        <w:pStyle w:val="BodyText"/>
        <w:spacing w:line="480" w:lineRule="auto"/>
        <w:ind w:firstLine="720"/>
      </w:pPr>
      <w:r>
        <w:t xml:space="preserve">The theoretical framework developed in this chapter is consistent with the null result of the first paper and identifies three reasons to expect the matched panel design of Chapters 4 through 6 to extract more information from the same underlying record. First, the binary outcome variable of the first paper discards information about the magnitude of cost growth and schedule slip that the continuous outcomes of the matched panel design retain. The margin underprovisioning argument predicts a regime premium in the magnitude of cost growth even if the probability of crossing the twenty five percent rebaselining trigger is not measurably different. Second, the interface complexity argument predicts a regime premium concentrated at the integration and test milestones, which the Cox proportional hazards specification on time to operational readiness can detect and the binary cost outcome of the first paper cannot. Third, the contracting instrument argument predicts a non separable interaction between regime exposure and contracting instrument, which the stratified matched panel design addresses directly and which the first paper deferred to a future specification on a larger sample.</w:t>
      </w:r>
    </w:p>
    <w:p>
      <w:pPr>
        <w:pStyle w:val="BodyText"/>
        <w:spacing w:line="480" w:lineRule="auto"/>
        <w:ind w:firstLine="720"/>
      </w:pPr>
      <w:r>
        <w:t xml:space="preserve">The dissertation therefore reads the null result of the first paper as informative about the major project sample and as motivating the move to the matched demonstrator panel. The matched panel design is not a search for a positive result. The matched panel design is a search for the conditional regime coefficient on the continuous cost growth and schedule slip outcomes and on the survival outcome, with explicit handling of the contracting instrument interaction and explicit reporting of two announced cost baselines. The decision rule of Section 3.5 is committed in advance and is not adjusted to the matched panel sample. The empirical decision between H0 and H1, conditional on the four auxiliary assumptions of Section 3.4 and the three stage causal mechanism of Section 3.3, is the contribution that the matched panel chapters are designed to deliver.</w:t>
      </w:r>
    </w:p>
    <w:bookmarkEnd w:id="83"/>
    <w:bookmarkEnd w:id="84"/>
    <w:bookmarkStart w:id="89" w:name="chapter-4.-data-and-measurement"/>
    <w:p>
      <w:pPr>
        <w:pStyle w:val="Heading1"/>
        <w:spacing w:line="480" w:lineRule="auto"/>
      </w:pPr>
      <w:r>
        <w:t xml:space="preserve">Chapter 4. Data and Measurement</w:t>
      </w:r>
    </w:p>
    <w:p>
      <w:pPr>
        <w:pStyle w:val="FirstParagraph"/>
        <w:spacing w:line="480" w:lineRule="auto"/>
      </w:pPr>
      <w:r>
        <w:t xml:space="preserve">This chapter documents the empirical material that supports the two cliometric studies reported in this dissertation. The objective is to make the data and measurement procedure transparent enough that a reader can audit every observation against a public primary record. The chapter is organized in four parts. The first part identifies the two analytic datasets and the boundary conditions that delimit them. The second part names the authoritative source systems from which the records are drawn and characterizes the documentary form of each source. The third part defines the unit of analysis for each study and explains why the chosen unit is the smallest unit at which the cliometric question can be posed without confounding. The fourth part walks through variable construction, explaining how each variable is computed from primary records, what transformations are applied, and what conventions handle missing, censored, or partially documented values.</w:t>
      </w:r>
    </w:p>
    <w:bookmarkStart w:id="85" w:name="the-two-analytic-datasets"/>
    <w:p>
      <w:pPr>
        <w:pStyle w:val="Heading2"/>
        <w:spacing w:line="480" w:lineRule="auto"/>
      </w:pPr>
      <w:r>
        <w:t xml:space="preserve">4.1 The Two Analytic Datasets</w:t>
      </w:r>
    </w:p>
    <w:p>
      <w:pPr>
        <w:pStyle w:val="FirstParagraph"/>
        <w:spacing w:line="480" w:lineRule="auto"/>
      </w:pPr>
      <w:r>
        <w:t xml:space="preserve">Two datasets are constructed and analyzed. The first dataset, used in the logit cliometric study of major cost growth, is a panel of thirty NASA major projects with approval baselines between calendar year 2005 and calendar year 2023 and current cost and schedule estimates documented through calendar year 2025. Thirteen of the thirty observations are cislunar by primary operating regime and seventeen are non cislunar comparators drawn from the Science Mission Directorate and adjacent portfolios within the same authority to proceed window. The cislunar set includes Orion, the Space Launch System Block 1B, the Gateway initial capability, the Human Landing System initial capability, the Lunar Reconnaissance Orbiter, the Lunar Atmosphere and Dust Environment Explorer, Gravity Recovery and Interior Laboratory, the Cislunar Autonomous Positioning System Technology Operations and Navigation Experiment, Lunar Trailblazer, three Commercial Lunar Payload Services task orders, and the Volatiles Investigating Polar Exploration Rover. The non cislunar comparators are selected to match the cislunar set in announced cost band and announced duration band, conditional on the availability of public baselines.</w:t>
      </w:r>
    </w:p>
    <w:p>
      <w:pPr>
        <w:pStyle w:val="BodyText"/>
        <w:spacing w:line="480" w:lineRule="auto"/>
        <w:ind w:firstLine="720"/>
      </w:pPr>
      <w:r>
        <w:t xml:space="preserve">The second dataset, used in the Wright learning curve study of cislunar payload delivery, is a sample of thirty one NASA procurement records for cislunar relevant payload delivery between calendar year 2011 and calendar year 2028. The records span three procurement families: cost reimbursable Launch Services Program contracts, firm fixed price Commercial Lunar Payload Services task orders, and the Space Launch System program of record. The empirical engine reduces the regression sample to twenty three records by restricting the log log estimator to observations with strictly positive cumulative vehicle family launches at the time of the flight. The eight records dropped from the regression are retained in the descriptive frame for the procurement instrument discussion in Section 6 of the second paper.</w:t>
      </w:r>
    </w:p>
    <w:p>
      <w:pPr>
        <w:pStyle w:val="BodyText"/>
        <w:spacing w:line="480" w:lineRule="auto"/>
        <w:ind w:firstLine="720"/>
      </w:pPr>
      <w:r>
        <w:t xml:space="preserve">The two datasets are deliberately constructed as separate panels rather than as a single integrated panel. The reason is structural. The logit study asks whether the cislunar regime indicator distinguishes projects that cross the agency rebaselining trigger from those that do not, and therefore requires major project records for which an Agency Baseline Commitment and a current life cycle estimate are both published. The Wright study asks whether cost per kilogram delivered declines log linearly with cumulative vehicle family launches, and therefore requires per launch contract values and per launch delivered mass. These two informational requirements rarely coexist in the same primary record. The Government Accountability Office major project assessments report Agency Baseline Commitments and current estimates at the project level but do not allocate delivered mass per launch. The Launch Services Program task order awards report contract value and delivered mass per launch but are typically below the major project reporting threshold. The decision to maintain two panels preserves the integrity of each cliometric estimator and avoids forcing one source into the schema of the other.</w:t>
      </w:r>
    </w:p>
    <w:bookmarkEnd w:id="85"/>
    <w:bookmarkStart w:id="86" w:name="authoritative-source-systems"/>
    <w:p>
      <w:pPr>
        <w:pStyle w:val="Heading2"/>
        <w:spacing w:line="480" w:lineRule="auto"/>
      </w:pPr>
      <w:r>
        <w:t xml:space="preserve">4.2 Authoritative Source Systems</w:t>
      </w:r>
    </w:p>
    <w:p>
      <w:pPr>
        <w:pStyle w:val="FirstParagraph"/>
        <w:spacing w:line="480" w:lineRule="auto"/>
      </w:pPr>
      <w:r>
        <w:t xml:space="preserve">The two datasets draw on five families of public primary record. Each family is named, scoped, and documented below.</w:t>
      </w:r>
    </w:p>
    <w:p>
      <w:pPr>
        <w:pStyle w:val="BodyText"/>
        <w:spacing w:line="480" w:lineRule="auto"/>
        <w:ind w:firstLine="720"/>
      </w:pPr>
      <w:r>
        <w:t xml:space="preserve">The first source family is the Government Accountability Office major project assessment series. The annual assessments report Agency Baseline Commitments and current life cycle cost and schedule estimates for NASA major projects above the agency reporting threshold. The logit study cites the most recent two volumes, GAO-25-107591 and GAO-24-106767, as the proximate evidence for current life cycle estimates as of the analysis window [16, 17]. The Wright study cites the same two volumes for the Space Launch System and Orion entries [1, 2]. Earlier volumes in the same series are used to recover Agency Baseline Commitments at the original authority to proceed for projects that have rebaselined since the initial commitment. The GAO assessments are the authoritative public record for major project cost and schedule because they are independently produced and because the methodology is documented in the assessment volumes themselves.</w:t>
      </w:r>
    </w:p>
    <w:p>
      <w:pPr>
        <w:pStyle w:val="BodyText"/>
        <w:spacing w:line="480" w:lineRule="auto"/>
        <w:ind w:firstLine="720"/>
      </w:pPr>
      <w:r>
        <w:t xml:space="preserve">The second source family is the NASA Office of Inspector General audit corpus. The audit corpus is drawn on for two purposes. First, it supplies cost and schedule evidence for individual major projects where the Government Accountability Office record is incomplete. Chief among these are the Volatiles Investigating Polar Exploration Rover, the On orbit Servicing Assembly and Manufacturing project, and individual Commercial Lunar Payload Services task orders. Second, it supplies the program level treatment of the Commercial Lunar Payload Services initiative as a whole, in the form of the dedicated audit IG-24-006, and the parallel treatment of the Space Launch System program, in the form of IG-22-003 [21, 23]. The audit reports are public, are produced under inspector general authority, and document the methodology by which the cost and schedule judgments are reached.</w:t>
      </w:r>
    </w:p>
    <w:p>
      <w:pPr>
        <w:pStyle w:val="BodyText"/>
        <w:spacing w:line="480" w:lineRule="auto"/>
        <w:ind w:firstLine="720"/>
      </w:pPr>
      <w:r>
        <w:t xml:space="preserve">The third source family is the NASA Commercial Lunar Payload Services task order docket. Each task order has a published award value, an announced delivery date to the primary contractor, and a public delivery or attempted delivery date. The docket is the proximate source for the firm fixed price observations in the Wright dataset and for the three Commercial Lunar Payload Services entries in the logit dataset. Task order records are cross checked against the Inspector General audit of the program</w:t>
      </w:r>
      <w:r>
        <w:t xml:space="preserve"> </w:t>
      </w:r>
      <w:hyperlink w:anchor="ref-21">
        <w:r>
          <w:rPr>
            <w:rStyle w:val="Hyperlink"/>
          </w:rPr>
          <w:t xml:space="preserve">[21]</w:t>
        </w:r>
      </w:hyperlink>
      <w:r>
        <w:t xml:space="preserve"> </w:t>
      </w:r>
      <w:r>
        <w:t xml:space="preserve">and against the mission level press kits issued by the prime providers, which include Intuitive Machines, Astrobotic, Firefly Aerospace, and Draper.</w:t>
      </w:r>
    </w:p>
    <w:p>
      <w:pPr>
        <w:pStyle w:val="BodyText"/>
        <w:spacing w:line="480" w:lineRule="auto"/>
        <w:ind w:firstLine="720"/>
      </w:pPr>
      <w:r>
        <w:t xml:space="preserve">The fourth source family is the NASA Launch Services Program documentation, which records cost reimbursable launch procurements by NASA from commercial providers. The Launch Services Program task orders supply the cislunar escape, trans lunar injection, and cislunar transfer observations in the Wright dataset, including the Lunar Reconnaissance Orbiter, Gravity Recovery and Interior Laboratory, Lunar Atmosphere and Dust Environment Explorer, Lunar Trailblazer, the Lunar Crater Observation and Sensing Satellite, and adjacent missions. Records include the prime provider, the vehicle family, the year of the flight, the contract value, and the delivered mass to the operating destination.</w:t>
      </w:r>
    </w:p>
    <w:p>
      <w:pPr>
        <w:pStyle w:val="BodyText"/>
        <w:spacing w:line="480" w:lineRule="auto"/>
        <w:ind w:firstLine="720"/>
      </w:pPr>
      <w:r>
        <w:t xml:space="preserve">The fifth source family supplements the four agency sources with sector level context. The Office of Commercial and Economic Analysis source document on forecasting the space economy, retained as source document SD08 within the Space Economy Papers brain, supplies the macro forecasting frame against which the cliometric estimates are read [7, 15, 22]. The whole of nation industrial framing in SD14 supplies the policy frame for the discussion section</w:t>
      </w:r>
      <w:r>
        <w:t xml:space="preserve"> </w:t>
      </w:r>
      <w:hyperlink w:anchor="ref-12">
        <w:r>
          <w:rPr>
            <w:rStyle w:val="Hyperlink"/>
          </w:rPr>
          <w:t xml:space="preserve">[12]</w:t>
        </w:r>
      </w:hyperlink>
      <w:r>
        <w:t xml:space="preserve">. The Acta Astronautica corpus supplies parametric cost evidence from comparable transportation families and life cycle assessment. Three entries anchor this frame: the Sippel reusable launch concept evaluation</w:t>
      </w:r>
      <w:r>
        <w:t xml:space="preserve"> </w:t>
      </w:r>
      <w:hyperlink w:anchor="ref-18">
        <w:r>
          <w:rPr>
            <w:rStyle w:val="Hyperlink"/>
          </w:rPr>
          <w:t xml:space="preserve">[18]</w:t>
        </w:r>
      </w:hyperlink>
      <w:r>
        <w:t xml:space="preserve">, the Viola hypersonic transcost parametric model</w:t>
      </w:r>
      <w:r>
        <w:t xml:space="preserve"> </w:t>
      </w:r>
      <w:hyperlink w:anchor="ref-19">
        <w:r>
          <w:rPr>
            <w:rStyle w:val="Hyperlink"/>
          </w:rPr>
          <w:t xml:space="preserve">[19]</w:t>
        </w:r>
      </w:hyperlink>
      <w:r>
        <w:t xml:space="preserve">, and the Dominguez Calabuig life cycle assessment of reusable launch vehicle fleets</w:t>
      </w:r>
      <w:r>
        <w:t xml:space="preserve"> </w:t>
      </w:r>
      <w:hyperlink w:anchor="ref-20">
        <w:r>
          <w:rPr>
            <w:rStyle w:val="Hyperlink"/>
          </w:rPr>
          <w:t xml:space="preserve">[20]</w:t>
        </w:r>
      </w:hyperlink>
      <w:r>
        <w:t xml:space="preserve">. The Acta Astronautica entries are used in the Wright study as parametric envelopes against which the estimated progress ratio is compared, not as primary cost observations.</w:t>
      </w:r>
    </w:p>
    <w:p>
      <w:pPr>
        <w:pStyle w:val="BodyText"/>
        <w:spacing w:line="480" w:lineRule="auto"/>
        <w:ind w:firstLine="720"/>
      </w:pPr>
      <w:r>
        <w:t xml:space="preserve">A documentary protocol governs provenance. Every record in both datasets is traceable to a source document with a public uniform resource locator or a public document number. Where commercial sponsorship is involved, the data are restricted to publicly disclosed announced values reported in agency procurement notices or in Securities and Exchange Commission filings. Missions for which only press releases are available are excluded from the regression panels and are retained in the descriptive frame only when corroborated by a second public source. This protocol is the same protocol announced in the prospectus and is enforced uniformly across both datasets.</w:t>
      </w:r>
    </w:p>
    <w:bookmarkEnd w:id="86"/>
    <w:bookmarkStart w:id="87" w:name="the-unit-of-analysis"/>
    <w:p>
      <w:pPr>
        <w:pStyle w:val="Heading2"/>
        <w:spacing w:line="480" w:lineRule="auto"/>
      </w:pPr>
      <w:r>
        <w:t xml:space="preserve">4.3 The Unit of Analysis</w:t>
      </w:r>
    </w:p>
    <w:p>
      <w:pPr>
        <w:pStyle w:val="FirstParagraph"/>
        <w:spacing w:line="480" w:lineRule="auto"/>
      </w:pPr>
      <w:r>
        <w:t xml:space="preserve">The two studies use different units of analysis because the cliometric questions they ask are different. The logit study uses the major project as the unit. The Wright study uses the launch or task order as the unit. The choice is justified below.</w:t>
      </w:r>
    </w:p>
    <w:p>
      <w:pPr>
        <w:pStyle w:val="BodyText"/>
        <w:spacing w:line="480" w:lineRule="auto"/>
        <w:ind w:firstLine="720"/>
      </w:pPr>
      <w:r>
        <w:t xml:space="preserve">For the logit study, the major project is the smallest unit at which the rebaselining decision is taken. The NASA Space Flight Program and Project Management Requirements document NPR 7120.5F defines the twenty five percent cost growth threshold above the Agency Baseline Commitment as the trigger for rebaselining. The threshold is applied at the major project level. A dataset constructed at any finer grain, for example at the subsystem level or at the spacecraft instrument level, would not align with the trigger and would not allow the cliometric question of whether cislunar projects cross the trigger to be posed. A dataset constructed at any coarser grain, for example at the directorate level, would lose the cislunar regime indicator. The major project is therefore the unique unit at which the question is well posed. Each row in the logit dataset corresponds to one major project and the row carries the project name, the Agency Baseline Commitment in then year dollars, the current life cycle estimate in then year dollars, the approval baseline duration in months, the realized or current schedule in months, the cislunar regime indicator, and the binary major cost growth indicator.</w:t>
      </w:r>
    </w:p>
    <w:p>
      <w:pPr>
        <w:pStyle w:val="BodyText"/>
        <w:spacing w:line="480" w:lineRule="auto"/>
        <w:ind w:firstLine="720"/>
      </w:pPr>
      <w:r>
        <w:t xml:space="preserve">For the Wright study, the launch or task order is the smallest unit at which a cost per kilogram delivered observation is defined. Each launch in the cost reimbursable Launch Services Program panel has a single contract value and a single delivered mass to the operating destination. Each task order in the Commercial Lunar Payload Services panel has a single firm fixed price value and a single payload manifest delivered to the lunar surface or attempted to be delivered. Aggregating across launches would obscure the cumulative learning unit, which is the count of cumulative vehicle family launches at the time of the flight, because cumulative counts increment by one between launches. The launch level unit is therefore the unique unit at which the Wright cumulative production specification is defined. Each row in the Wright dataset corresponds to one launch or task order and the row carries the prime provider, the vehicle family, the calendar year of the flight, the cumulative number of family launches at the time of the flight, the mass delivered to the destination in kilograms, the NASA paid contract value in thousands of then year dollars, the derived cost per kilogram in thousands of then year dollars per kilogram, the destination operating regime, and a binary indicator for procurement under Commercial Lunar Payload Services.</w:t>
      </w:r>
    </w:p>
    <w:p>
      <w:pPr>
        <w:pStyle w:val="BodyText"/>
        <w:spacing w:line="480" w:lineRule="auto"/>
        <w:ind w:firstLine="720"/>
      </w:pPr>
      <w:r>
        <w:t xml:space="preserve">The two units are related but not identical. A single major project may include zero, one, or many launches. The Space Launch System program of record includes the Artemis I flight and the projected Artemis II and Artemis III flights. The Lunar Reconnaissance Orbiter major project corresponds to one launch on a single vehicle family. The Volatiles Investigating Polar Exploration Rover major project corresponds to one Commercial Lunar Payload Services task order. The mapping between the two units is therefore many to one in one direction and one to one in the other. The two datasets are not combined precisely because forcing a single panel onto both units would either inflate the logit panel by counting launches as major projects or deflate the Wright panel by aggregating launches into project totals. Either operation would compromise the cliometric estimator.</w:t>
      </w:r>
    </w:p>
    <w:bookmarkEnd w:id="87"/>
    <w:bookmarkStart w:id="88" w:name="X4d68ae530fb50ff27d1ffe4ee4ca61bfe9c6755"/>
    <w:p>
      <w:pPr>
        <w:pStyle w:val="Heading2"/>
        <w:spacing w:line="480" w:lineRule="auto"/>
      </w:pPr>
      <w:r>
        <w:t xml:space="preserve">4.4 Variable Construction from Primary Records</w:t>
      </w:r>
    </w:p>
    <w:p>
      <w:pPr>
        <w:pStyle w:val="FirstParagraph"/>
        <w:spacing w:line="480" w:lineRule="auto"/>
      </w:pPr>
      <w:r>
        <w:t xml:space="preserve">Variable construction follows a single rule. Each variable is computed from a primary record and the computation is documented in a source column on the row. The source column names the document or documents from which the value is taken. Where two documents disagree, the more recent document of higher independence rank is used and the discrepancy is noted in a comment column reserved for that purpose. Independence rank is defined as Government Accountability Office above Inspector General above sponsoring agency procurement notice above prime provider press kit.</w:t>
      </w:r>
    </w:p>
    <w:p>
      <w:pPr>
        <w:pStyle w:val="BodyText"/>
        <w:spacing w:line="480" w:lineRule="auto"/>
        <w:ind w:firstLine="720"/>
      </w:pPr>
      <w:r>
        <w:t xml:space="preserve">The Agency Baseline Commitment in the logit dataset is recovered from the earliest Government Accountability Office assessment that documents the baseline at the original authority to proceed or, where the project rebaselined before the first assessment after authority to proceed, from the Inspector General audit that documents the original commitment. The variable is recorded in then year dollars and is converted to constant year dollars only for descriptive comparison, not for the regression, which uses the natural logarithm of the approval baseline in then year dollars to match the cliometric tradition.</w:t>
      </w:r>
    </w:p>
    <w:p>
      <w:pPr>
        <w:pStyle w:val="BodyText"/>
        <w:spacing w:line="480" w:lineRule="auto"/>
        <w:ind w:firstLine="720"/>
      </w:pPr>
      <w:r>
        <w:t xml:space="preserve">The current life cycle cost estimate in the logit dataset is recovered from the most recent Government Accountability Office assessment that documents the project, which is in most cases GAO-25-107591</w:t>
      </w:r>
      <w:r>
        <w:t xml:space="preserve"> </w:t>
      </w:r>
      <w:hyperlink w:anchor="ref-16">
        <w:r>
          <w:rPr>
            <w:rStyle w:val="Hyperlink"/>
          </w:rPr>
          <w:t xml:space="preserve">[16]</w:t>
        </w:r>
      </w:hyperlink>
      <w:r>
        <w:t xml:space="preserve"> </w:t>
      </w:r>
      <w:r>
        <w:t xml:space="preserve">and in earlier rebaselining cases GAO-24-106767</w:t>
      </w:r>
      <w:r>
        <w:t xml:space="preserve"> </w:t>
      </w:r>
      <w:hyperlink w:anchor="ref-17">
        <w:r>
          <w:rPr>
            <w:rStyle w:val="Hyperlink"/>
          </w:rPr>
          <w:t xml:space="preserve">[17]</w:t>
        </w:r>
      </w:hyperlink>
      <w:r>
        <w:t xml:space="preserve">. For projects below the major project threshold but documented in the Inspector General corpus, the current estimate is recovered from the relevant Inspector General audit. The variable is also recorded in then year dollars.</w:t>
      </w:r>
    </w:p>
    <w:p>
      <w:pPr>
        <w:pStyle w:val="BodyText"/>
        <w:spacing w:line="480" w:lineRule="auto"/>
        <w:ind w:firstLine="720"/>
      </w:pPr>
      <w:r>
        <w:t xml:space="preserve">The major cost growth indicator is defined as one if the current life cycle estimate exceeds the Agency Baseline Commitment by more than twenty five percent and zero otherwise. The threshold and direction are taken directly from the agency rebaselining trigger and not from the cliometric tradition, so the binary variable corresponds to the operational decision under analysis. Of the thirty observations in the logit panel, fourteen cross the threshold, six of thirteen on the cislunar side and eight of seventeen on the non cislunar side.</w:t>
      </w:r>
    </w:p>
    <w:p>
      <w:pPr>
        <w:pStyle w:val="BodyText"/>
        <w:spacing w:line="480" w:lineRule="auto"/>
        <w:ind w:firstLine="720"/>
      </w:pPr>
      <w:r>
        <w:t xml:space="preserve">The cislunar regime indicator in the logit dataset is defined by primary mission operating regime rather than by launch trajectory. The convention is taken from the prospectus and is applied consistently. A mission that launches on a vehicle that transits cislunar space but operates primarily in low Earth orbit is coded non cislunar. A mission that launches on a vehicle that does not reach cislunar space but is supported by a cislunar capability is coded according to the primary mission. The convention is necessary because launch trajectory alone does not distinguish, for example, the Lunar Reconnaissance Orbiter from a low Earth orbit small spacecraft demonstrator that uses the same launch vehicle family.</w:t>
      </w:r>
    </w:p>
    <w:p>
      <w:pPr>
        <w:pStyle w:val="BodyText"/>
        <w:spacing w:line="480" w:lineRule="auto"/>
        <w:ind w:firstLine="720"/>
      </w:pPr>
      <w:r>
        <w:t xml:space="preserve">The approval baseline duration in the logit dataset is recorded in months and is computed as the announced operational readiness date at authority to proceed minus the authority to proceed date. Both dates are taken from the same source as the Agency Baseline Commitment. The natural logarithm of approval baseline duration in months is the regressor entered in the logit specification.</w:t>
      </w:r>
    </w:p>
    <w:p>
      <w:pPr>
        <w:pStyle w:val="BodyText"/>
        <w:spacing w:line="480" w:lineRule="auto"/>
        <w:ind w:firstLine="720"/>
      </w:pPr>
      <w:r>
        <w:t xml:space="preserve">The cost per kilogram delivered variable in the Wright dataset is computed as the NASA paid contract value divided by the mass delivered to the operating destination. The numerator is the contract value reported in the Launch Services Program documentation, the Commercial Lunar Payload Services task order docket, or the Space Launch System program documentation, depending on the procurement family. The denominator is the mass delivered to the destination operating regime, in kilograms, taken from the same source where available and otherwise from the mission press kit corroborated against the Inspector General audit. The cost per kilogram is recorded in thousands of then year U.S. dollars per kilogram, and the natural logarithm of cost per kilogram is the dependent variable in the regression.</w:t>
      </w:r>
    </w:p>
    <w:p>
      <w:pPr>
        <w:pStyle w:val="BodyText"/>
        <w:spacing w:line="480" w:lineRule="auto"/>
        <w:ind w:firstLine="720"/>
      </w:pPr>
      <w:r>
        <w:t xml:space="preserve">The cumulative vehicle family launches variable in the Wright dataset is computed as the count of launches by the same vehicle family up to but not including the launch under observation. The convention treats the first launch of a vehicle family as cumulative count equal to one, the second launch as cumulative count equal to two, and so on. The variable is constructed from the vehicle family launch manifest, which is a public record maintained by the prime provider and by the agency that procures the launch. The empirical engine restricts the regression sample to observations with strictly positive cumulative counts after the natural logarithm transformation, which removes Commercial Lunar Payload Services task orders awarded to vehicle families that had not yet flown at the time of award. The dropped observations remain in the descriptive frame for the procurement instrument discussion.</w:t>
      </w:r>
    </w:p>
    <w:p>
      <w:pPr>
        <w:pStyle w:val="BodyText"/>
        <w:spacing w:line="480" w:lineRule="auto"/>
        <w:ind w:firstLine="720"/>
      </w:pPr>
      <w:r>
        <w:t xml:space="preserve">The destination operating regime variable in the Wright dataset takes values in a small finite set: low Earth orbit, geostationary transfer orbit, cislunar transfer, trans lunar injection, lunar orbit, and lunar surface. The regime is taken from the mission documentation and is used to compute the delivered mass for the cost per kilogram calculation. The regime is not entered as a regressor in the primary specification, because the pooled estimate is by design an unconditional pooled learning curve. The regime is retained in the dataset for the within family fixed effects extension flagged in the discussion section of the second paper.</w:t>
      </w:r>
    </w:p>
    <w:p>
      <w:pPr>
        <w:pStyle w:val="BodyText"/>
        <w:spacing w:line="480" w:lineRule="auto"/>
        <w:ind w:firstLine="720"/>
      </w:pPr>
      <w:r>
        <w:t xml:space="preserve">The procurement under Commercial Lunar Payload Services indicator in the Wright dataset is set to one for task orders awarded under the Commercial Lunar Payload Services initiative and zero for cost reimbursable Launch Services Program awards and Space Launch System program of record observations. The indicator is documented in the source column for each row. The indicator is not entered in the primary specification, which estimates the pooled Wright slope, but it is retained for the complementary indicator regression discussed in Section 6 of the second paper.</w:t>
      </w:r>
    </w:p>
    <w:p>
      <w:pPr>
        <w:pStyle w:val="BodyText"/>
        <w:spacing w:line="480" w:lineRule="auto"/>
        <w:ind w:firstLine="720"/>
      </w:pPr>
      <w:r>
        <w:t xml:space="preserve">A small number of observations in the Wright dataset carry an illustrative marker. Three rows use illustrative current life cycle cost allocations for forward looking Space Launch System flights drawn from GAO-25-107591 and the Inspector General Artemis audit [1, 8]. The illustrative marker is documented on the row and the marker is used to compute sensitivity to dropping the illustrative observations. The illustrative observations remain below fifteen percent of the sample in line with the dissertation evidence rule. Sensitivity to dropping them does not flip the sign of the estimated Wright slope at this sample size.</w:t>
      </w:r>
    </w:p>
    <w:p>
      <w:pPr>
        <w:pStyle w:val="BodyText"/>
        <w:spacing w:line="480" w:lineRule="auto"/>
        <w:ind w:firstLine="720"/>
      </w:pPr>
      <w:r>
        <w:t xml:space="preserve">Two non cislunar small spacecraft entries in the logit dataset are also marked as illustrative because public cost reporting at the per program level is partial for small spacecraft demonstrators below the major project threshold. The illustrative marker is documented on the row and the entries are retained in the regression because dropping them does not materially affect the cislunar coefficient, which is the parameter of interest. The sensitivity check is reported in the findings section of the first paper.</w:t>
      </w:r>
    </w:p>
    <w:p>
      <w:pPr>
        <w:pStyle w:val="BodyText"/>
        <w:spacing w:line="480" w:lineRule="auto"/>
        <w:ind w:firstLine="720"/>
      </w:pPr>
      <w:r>
        <w:t xml:space="preserve">Missing values are handled by a single explicit convention. Where a primary record exists but does not report a value for a variable, the row carries a missing value flag and is excluded from any computation that requires that variable. Where a primary record does not exist, the row is not included in the dataset. The convention rules out imputation in the cliometric estimates reported in this dissertation. The decision to rule out imputation reflects the dissertation evidence rule and the prospectus commitment to fully traceable provenance.</w:t>
      </w:r>
    </w:p>
    <w:p>
      <w:pPr>
        <w:pStyle w:val="BodyText"/>
        <w:spacing w:line="480" w:lineRule="auto"/>
        <w:ind w:firstLine="720"/>
      </w:pPr>
      <w:r>
        <w:t xml:space="preserve">A right censoring convention applies to one variable in the logit dataset. The realized operational readiness date is right censored for projects still in development at the analysis closing date of calendar year 2025. The logit specification handles censoring by replacing the realized operational readiness date with the current estimate from the most recent Government Accountability Office assessment, which is the agency convention for projects in development. The Cox proportional hazards specification described in the prospectus, deferred to follow on work in the matched panel design of the third paper, handles censoring directly. The deferred specification is mentioned here only to motivate the conservative use of the current estimate as a proxy for the realized operational readiness date in the logit panel.</w:t>
      </w:r>
    </w:p>
    <w:p>
      <w:pPr>
        <w:pStyle w:val="BodyText"/>
        <w:spacing w:line="480" w:lineRule="auto"/>
        <w:ind w:firstLine="720"/>
      </w:pPr>
      <w:r>
        <w:t xml:space="preserve">A currency convention applies uniformly across both datasets. All cost values are recorded in then year dollars in the primary record and are entered into the regression in then year dollars. This convention follows the cliometric tradition because the rebaselining trigger is defined at the agency level in then year dollars and because the Wright learning curve is most cleanly read on the basis on which the contracts were written. Constant year dollar conversions are reported in descriptive tables only and are used to verify that the then year dollar regressions are not driven by inflation alone.</w:t>
      </w:r>
    </w:p>
    <w:p>
      <w:pPr>
        <w:pStyle w:val="BodyText"/>
        <w:spacing w:line="480" w:lineRule="auto"/>
        <w:ind w:firstLine="720"/>
      </w:pPr>
      <w:r>
        <w:t xml:space="preserve">The chapter closes by noting that the two datasets have been constructed to support the cliometric estimators reported in the first and second papers of this dissertation. The third paper extends the data construction by combining elements of both panels into a matched mission level design, as anticipated in the prospectus. The matched design adds a propensity score weighting variable on covariates measured at authority to proceed, including sponsor type and contracting instrument, and a fixed effect for year of authority to proceed. The extension does not alter the source families or the variable construction conventions documented in this chapter. It adds two derived variables, the propensity score and the matched weight, and one additional source column for the propensity score model documentation. The chapter on the matched panel data is reserved for the third paper. The constructive contribution of this chapter is to make the foundational measurement decisions auditable in advance of any cliometric inference.</w:t>
      </w:r>
    </w:p>
    <w:bookmarkEnd w:id="88"/>
    <w:bookmarkEnd w:id="89"/>
    <w:bookmarkStart w:id="96" w:name="chapter-5.-methods-and-identification"/>
    <w:p>
      <w:pPr>
        <w:pStyle w:val="Heading1"/>
        <w:spacing w:line="480" w:lineRule="auto"/>
      </w:pPr>
      <w:r>
        <w:t xml:space="preserve">Chapter 5. Methods and Identification</w:t>
      </w:r>
    </w:p>
    <w:p>
      <w:pPr>
        <w:pStyle w:val="FirstParagraph"/>
        <w:spacing w:line="480" w:lineRule="auto"/>
      </w:pPr>
      <w:r>
        <w:t xml:space="preserve">This chapter sets out the estimators that carry the empirical weight of the dissertation, the identification strategy that allows each estimator to bear on the central question, and the threats to validity that constrain the inferences the dissertation is permitted to draw. The exposition is organized around three estimator families and one identification logic that ties them together. The first family is a binary logit on the rebaselining indicator, used in the major project sample and reported at length in Paper 1. The second is a log-log learning-curve regression on cost per kilogram, used in the procurement-record sample and reported in Paper 2. The third is the matched panel with a continuous cost-growth outcome and a Cox proportional-hazards complement on schedule slip, used in the dissertation-level analysis and previewed in the prospectus [7, 12]. All three are bound to the same identification claim, which is that, conditional on a defensible covariate set, the cislunar regime indicator can be interpreted as the regime-attributable share of variance in cost or schedule performance. The chapter closes with the bounded threats to validity, including selection on unobservables, baseline strategy, censoring, small-sample power, and pooling heterogeneity across destinations and procurement instruments.</w:t>
      </w:r>
    </w:p>
    <w:bookmarkStart w:id="90" w:name="X3c1b8e88ea485d51bc733df2610e81d4f563d4b"/>
    <w:p>
      <w:pPr>
        <w:pStyle w:val="Heading2"/>
        <w:spacing w:line="480" w:lineRule="auto"/>
      </w:pPr>
      <w:r>
        <w:t xml:space="preserve">5.1 Estimator One: Binary Logit on the Rebaselining Indicator</w:t>
      </w:r>
    </w:p>
    <w:p>
      <w:pPr>
        <w:pStyle w:val="FirstParagraph"/>
        <w:spacing w:line="480" w:lineRule="auto"/>
      </w:pPr>
      <w:r>
        <w:t xml:space="preserve">The logit estimator addresses the question of whether the conditional probability that a NASA major project crosses the twenty-five percent rebaselining trigger, codified in NPR 7120.5F, depends measurably on the cislunar regime indicator after announced cost and announced schedule are held fixed. The choice of a binary outcome is not analytic convenience. The twenty-five percent threshold is the operational decision boundary in the agency cost-management literature and is the boundary that the Government Accountability Office uses to flag major projects for separate reporting in its annual portfolio assessments [16, 17]. The NASA Office of Inspector General audits use the same threshold to scope individual program reviews [21, 23]. Estimating on the boundary the agency itself enforces produces a coefficient that is directly readable by portfolio managers and by the macro forecasting literature that depends on the actuarial credibility of the demonstration pipeline [7, 12, 15, 22].</w:t>
      </w:r>
    </w:p>
    <w:p>
      <w:pPr>
        <w:pStyle w:val="BodyText"/>
        <w:spacing w:line="480" w:lineRule="auto"/>
        <w:ind w:firstLine="720"/>
      </w:pPr>
      <w:r>
        <w:t xml:space="preserve">The specification is a binary logit with three regressors. The first is the cislunar indicator, equal to one when the primary operating regime is cislunar and zero otherwise. The second is the natural logarithm of the approval baseline cost in millions of constant year dollars. The third is the natural logarithm of the approval baseline duration in months. The intercept absorbs the population average log odds at the mean of the log baselines. Maximum likelihood is used to estimate the four parameters. Asymptotic standard errors come from the inverse observed information. The McFadden pseudo R-squared and the maximized log-likelihood are reported in Paper 1 as fit diagnostics.</w:t>
      </w:r>
    </w:p>
    <w:p>
      <w:pPr>
        <w:pStyle w:val="BodyText"/>
        <w:spacing w:line="480" w:lineRule="auto"/>
        <w:ind w:firstLine="720"/>
      </w:pPr>
      <w:r>
        <w:t xml:space="preserve">The interpretation of the cislunar coefficient is the conditional log-odds difference between cislunar and non-cislunar projects of the same announced cost and announced schedule. Exponentiating produces an odds ratio that is the directly reportable effect size. Paper 1 reports a coefficient of 0.10 with a p-value of 0.90, corresponding to an odds ratio of 1.11 with a confidence interval that brackets unity. The coefficient is small, the same sign as H1 predicts, and not statistically distinguishable from zero. The substantive reading is not that the cislunar premium is absent but that it cannot be separated from zero in this sample at conventional significance. The reading of the null is bounded by the power calculation reported in Section 5.5.</w:t>
      </w:r>
    </w:p>
    <w:p>
      <w:pPr>
        <w:pStyle w:val="BodyText"/>
        <w:spacing w:line="480" w:lineRule="auto"/>
        <w:ind w:firstLine="720"/>
      </w:pPr>
      <w:r>
        <w:t xml:space="preserve">The deliberate omissions from the primary logit are contracting instrument and sponsoring directorate. Both are collinear with the cislunar indicator in the available window. The firm-fixed-price task orders that dominate the Commercial Lunar Payload Services docket sit entirely on the cislunar side of the panel, as does the Human Landing System initial capability and the Cislunar Autonomous Positioning System Technology Operations and Navigation Experiment [21, 24, 25]. Adding either covariate at the present sample size produces a saturated cell in the design matrix and yields uninterpretable estimates. The matched panel design in Section 5.3 addresses this confound by stratifying on instrument rather than by adding it as a regressor.</w:t>
      </w:r>
    </w:p>
    <w:bookmarkEnd w:id="90"/>
    <w:bookmarkStart w:id="91" w:name="X5387cec7329250ec2999beae9d06e7ee9b50647"/>
    <w:p>
      <w:pPr>
        <w:pStyle w:val="Heading2"/>
        <w:spacing w:line="480" w:lineRule="auto"/>
      </w:pPr>
      <w:r>
        <w:t xml:space="preserve">5.2 Estimator Two: Log-Log Wright Learning Curve</w:t>
      </w:r>
    </w:p>
    <w:p>
      <w:pPr>
        <w:pStyle w:val="FirstParagraph"/>
        <w:spacing w:line="480" w:lineRule="auto"/>
      </w:pPr>
      <w:r>
        <w:t xml:space="preserve">The second estimator addresses cost-per-kilogram delivery, which is the continuous outcome variable that most directly connects to the macro forecasting question of whether cislunar build-out can credibly underwrite trillion-dollar sectoral projections [7, 15, 22]. The estimator is ordinary least squares applied to a log-log Wright curve. The dependent variable is the natural logarithm of NASA-paid cost per kilogram delivered to the operating destination, in thousands of then-year dollars. The right-hand-side regressor is the natural logarithm of cumulative vehicle-family launches at the time of the observation. The intercept and slope are estimated simultaneously, and the slope maps directly into the progress ratio reported as two to the power of the slope.</w:t>
      </w:r>
    </w:p>
    <w:p>
      <w:pPr>
        <w:pStyle w:val="BodyText"/>
        <w:spacing w:line="480" w:lineRule="auto"/>
        <w:ind w:firstLine="720"/>
      </w:pPr>
      <w:r>
        <w:t xml:space="preserve">The Wright form is chosen because it is the canonical log-linear specification used in the launch-vehicle cost literature, including the Sippel and co-authors evaluation of European launcher options against a Starship benchmark</w:t>
      </w:r>
      <w:r>
        <w:t xml:space="preserve"> </w:t>
      </w:r>
      <w:hyperlink w:anchor="ref-18">
        <w:r>
          <w:rPr>
            <w:rStyle w:val="Hyperlink"/>
          </w:rPr>
          <w:t xml:space="preserve">[18]</w:t>
        </w:r>
      </w:hyperlink>
      <w:r>
        <w:t xml:space="preserve">, the Viola and co-authors parametric cost regression for civil aerospace</w:t>
      </w:r>
      <w:r>
        <w:t xml:space="preserve"> </w:t>
      </w:r>
      <w:hyperlink w:anchor="ref-19">
        <w:r>
          <w:rPr>
            <w:rStyle w:val="Hyperlink"/>
          </w:rPr>
          <w:t xml:space="preserve">[19]</w:t>
        </w:r>
      </w:hyperlink>
      <w:r>
        <w:t xml:space="preserve">, and the Dominguez Calabuig and co-authors life-cycle assessment of reusable launch vehicle fleets</w:t>
      </w:r>
      <w:r>
        <w:t xml:space="preserve"> </w:t>
      </w:r>
      <w:hyperlink w:anchor="ref-20">
        <w:r>
          <w:rPr>
            <w:rStyle w:val="Hyperlink"/>
          </w:rPr>
          <w:t xml:space="preserve">[20]</w:t>
        </w:r>
      </w:hyperlink>
      <w:r>
        <w:t xml:space="preserve">. Adopting the canonical form means that the dissertation’s progress-ratio estimate is comparable to the existing reusable-launch literature without re-anchoring the functional form. Paper 2 estimates a slope of minus 0.2029 with a p-value of 0.0034, an implied progress ratio of 0.8688, and a coefficient of determination of 0.2664 on a regression sample of twenty-three. The slope is statistically distinguishable from zero at the one-percent level and the sign is the predicted negative.</w:t>
      </w:r>
    </w:p>
    <w:p>
      <w:pPr>
        <w:pStyle w:val="BodyText"/>
        <w:spacing w:line="480" w:lineRule="auto"/>
        <w:ind w:firstLine="720"/>
      </w:pPr>
      <w:r>
        <w:t xml:space="preserve">Identification of the Wright slope rests on the assumption that cumulative vehicle-family launches at the time of a flight is exogenous to the contemporaneous cost-per-kilogram realization, conditional on procurement instrument and destination delta-v. The assumption is defended by the institutional structure of NASA Launch Services Program task orders and Commercial Lunar Payload Services task orders, both of which fix the contract value at award rather than at flight. The cumulative-launch count at award is therefore a pre-determined regressor with respect to the cost-per-kilogram realization at the destination. The threat that strategic award timing endogenizes the regressor is bounded in Section 5.5.</w:t>
      </w:r>
    </w:p>
    <w:p>
      <w:pPr>
        <w:pStyle w:val="BodyText"/>
        <w:spacing w:line="480" w:lineRule="auto"/>
        <w:ind w:firstLine="720"/>
      </w:pPr>
      <w:r>
        <w:t xml:space="preserve">The pooled OLS specification deliberately collapses destination delta-v and procurement instrument into the residual. The estimated slope is therefore an unconditional pooled learning elasticity, not a within-family elasticity. A within-family fixed-effects extension is described in Section 5.4 as a robustness specification and is feasible once the Falcon 9, Falcon Heavy, and Atlas V families each accumulate a longer set of cislunar-class records. The pooled estimator is reported as the primary result because the destination and instrument heterogeneity is part of what the dissertation must explain, not a nuisance to be conditioned away at the first stage.</w:t>
      </w:r>
    </w:p>
    <w:bookmarkEnd w:id="91"/>
    <w:bookmarkStart w:id="92" w:name="X0d2a8ef3ce58f5c1ee8b9346ff6c34d4b832485"/>
    <w:p>
      <w:pPr>
        <w:pStyle w:val="Heading2"/>
        <w:spacing w:line="480" w:lineRule="auto"/>
      </w:pPr>
      <w:r>
        <w:t xml:space="preserve">5.3 Estimator Three: Matched Panel with Continuous Cost Growth and a Cox Complement on Schedule</w:t>
      </w:r>
    </w:p>
    <w:p>
      <w:pPr>
        <w:pStyle w:val="FirstParagraph"/>
        <w:spacing w:line="480" w:lineRule="auto"/>
      </w:pPr>
      <w:r>
        <w:t xml:space="preserve">The dissertation-level analysis extends the binary logit into a continuous outcome and combines it with a Cox proportional-hazards model on schedule slip. The continuous cost-growth outcome is realized obligated cost over announced baseline cost, expressed as a unitless ratio. The schedule-slip outcome is realized operational readiness date minus announced operational readiness date, expressed in months. The matched panel design described in the prospectus pairs each cislunar treatment observation with one or more Earth-orbit comparison observations of similar mission class, announced cost band, sponsor type, and year of authority to proceed [16, 17].</w:t>
      </w:r>
    </w:p>
    <w:p>
      <w:pPr>
        <w:pStyle w:val="BodyText"/>
        <w:spacing w:line="480" w:lineRule="auto"/>
        <w:ind w:firstLine="720"/>
      </w:pPr>
      <w:r>
        <w:t xml:space="preserve">The matched panel is implemented through propensity-score weighting on the covariates measured at authority to proceed. The propensity score is estimated by a logit of the cislunar indicator on mission class, announced cost band, sponsor type, contracting instrument, and year of authority to proceed. Inverse-probability weights are constructed on the estimated propensity score with stabilization. The continuous cost-growth outcome is then regressed on the cislunar indicator and the covariate set under the inverse-probability weights, producing the average treatment effect on the treated as the dissertation’s primary continuous-outcome estimate. The Cox proportional-hazards model treats time to operational readiness as a survival outcome with right censoring for missions still in development and reports a hazard ratio on the cislunar indicator.</w:t>
      </w:r>
    </w:p>
    <w:p>
      <w:pPr>
        <w:pStyle w:val="BodyText"/>
        <w:spacing w:line="480" w:lineRule="auto"/>
        <w:ind w:firstLine="720"/>
      </w:pPr>
      <w:r>
        <w:t xml:space="preserve">The complementary design choice is motivated by the censoring problem. Several cislunar demonstrators in the panel are not yet at operational readiness as of the cutoff date for the data extract, and the regression specification on completed missions alone would discard their information. The Cox specification incorporates censoring directly through the partial-likelihood construction and the assumption of proportional hazards. The proportional-hazards assumption is testable through Schoenfeld residuals and is reported as a diagnostic alongside the hazard-ratio estimate. Where the assumption is rejected, a stratified Cox with the cislunar indicator entered as a stratum rather than a covariate is reported as a fallback.</w:t>
      </w:r>
    </w:p>
    <w:bookmarkEnd w:id="92"/>
    <w:bookmarkStart w:id="93" w:name="identification-strategy"/>
    <w:p>
      <w:pPr>
        <w:pStyle w:val="Heading2"/>
        <w:spacing w:line="480" w:lineRule="auto"/>
      </w:pPr>
      <w:r>
        <w:t xml:space="preserve">5.4 Identification Strategy</w:t>
      </w:r>
    </w:p>
    <w:p>
      <w:pPr>
        <w:pStyle w:val="FirstParagraph"/>
        <w:spacing w:line="480" w:lineRule="auto"/>
      </w:pPr>
      <w:r>
        <w:t xml:space="preserve">Identification in all three estimator families rests on the same logic. The cislunar regime indicator is interpreted as the conditional regime-attributable share of variance in the outcome only if the assignment to the cislunar regime is conditionally exogenous given the covariate set. The covariate set is constructed to absorb the four leading non-regime drivers of cost-growth and schedule-slip variation in the public NASA record. These are mission class, announced cost band, sponsor type, and contracting instrument. Mission class is held fixed by restriction in the matched panel and is implicit in the major-project filter in the logit. Announced cost band is entered as the log of the approval baseline in the logit and as a covariate in the propensity score in the matched panel. Sponsor type is entered through a sponsor fixed effect in the matched panel where the sample supports it. Contracting instrument is entered through a stratified design in the matched panel and through the omission discussion in the logit.</w:t>
      </w:r>
    </w:p>
    <w:p>
      <w:pPr>
        <w:pStyle w:val="BodyText"/>
        <w:spacing w:line="480" w:lineRule="auto"/>
        <w:ind w:firstLine="720"/>
      </w:pPr>
      <w:r>
        <w:t xml:space="preserve">The fixed effect for year of authority to proceed absorbs macro shocks common to both arms in the same period, including the supply-chain disruption of the early twenty-twenties, the launch-market capacity constraints associated with the rapid expansion of commercial cadence, and the workforce shocks documented in the NASA Office of Inspector General audits of the Space Launch System and the Commercial Lunar Payload Services initiative [21, 23]. The fixed effect is identified by within-year variation across the cislunar and non-cislunar arms and is therefore distinct from the cislunar indicator only when both arms have observations in a given year. The window of authority-to-proceed dates from the mid two thousands through the mid twenty twenties is wide enough to provide such within-year variation for most years in the sample.</w:t>
      </w:r>
    </w:p>
    <w:p>
      <w:pPr>
        <w:pStyle w:val="BodyText"/>
        <w:spacing w:line="480" w:lineRule="auto"/>
        <w:ind w:firstLine="720"/>
      </w:pPr>
      <w:r>
        <w:t xml:space="preserve">The placebo specification described in the prospectus replaces the cislunar indicator with a high-inclination Earth-orbit indicator and is expected to yield a null. The expectation is grounded in the architectural and operational literature on Earth-orbit demonstrators, which does not identify a regime-specific cost or schedule pathology associated with inclination alone [16, 17, 31, 32]. A non-null placebo coefficient would indicate that the cislunar indicator is picking up a more general regime-of-novelty effect rather than a cislunar-specific effect, and would force a re-specification of the primary model with a more granular regime taxonomy.</w:t>
      </w:r>
    </w:p>
    <w:p>
      <w:pPr>
        <w:pStyle w:val="BodyText"/>
        <w:spacing w:line="480" w:lineRule="auto"/>
        <w:ind w:firstLine="720"/>
      </w:pPr>
      <w:r>
        <w:t xml:space="preserve">The robustness ladder for the primary cost-growth specification includes sponsor sub-samples, contracting-instrument sub-samples, the two-baseline reporting required by the strategic-baseline threat in Section 5.5, and an alternative outcome definition that uses the first independent cost estimate published in the Government Accountability Office assessment in place of the original announced baseline [16, 17]. The robustness ladder for the Wright specification includes a within-vehicle-family fixed-effects extension, a destination-stratified estimator, and a CLPS-indicator robustness term that addresses the procurement-instrument heterogeneity flagged in Paper 2.</w:t>
      </w:r>
    </w:p>
    <w:bookmarkEnd w:id="93"/>
    <w:bookmarkStart w:id="94" w:name="X1d189e0776bd0a9225211f020d00b109bd29bed"/>
    <w:p>
      <w:pPr>
        <w:pStyle w:val="Heading2"/>
        <w:spacing w:line="480" w:lineRule="auto"/>
      </w:pPr>
      <w:r>
        <w:t xml:space="preserve">5.5 Threats to Validity and How Each Is Bounded</w:t>
      </w:r>
    </w:p>
    <w:p>
      <w:pPr>
        <w:pStyle w:val="FirstParagraph"/>
        <w:spacing w:line="480" w:lineRule="auto"/>
      </w:pPr>
      <w:r>
        <w:t xml:space="preserve">The dissertation addresses five threats to validity. Each is named, attributed to its source in the design, and bounded by a specific procedure.</w:t>
      </w:r>
    </w:p>
    <w:p>
      <w:pPr>
        <w:pStyle w:val="BodyText"/>
        <w:spacing w:line="480" w:lineRule="auto"/>
        <w:ind w:firstLine="720"/>
      </w:pPr>
      <w:r>
        <w:t xml:space="preserve">The first threat is selection on unobservables. Sponsors that procure cislunar demonstrations differ systematically from sponsors of Earth-orbit demonstrations on dimensions that the public record does not capture. Among these are internal risk-tolerance settings, prior experience with the prime contractor, and the political salience of the program at the moment of authority to proceed. The propensity-score weighting and the sponsor fixed effect absorb the observable share. The residual unobservable share is bounded by a Rosenbaum-style sensitivity analysis on the unobserved confounder, reported as the value of the confounding strength that would be required to drive the estimated cislunar coefficient to zero. The reporting convention is that a confounder strong enough to drive the coefficient to zero is named in the discussion if the strength required is plausible given the institutional setting, and is identified as implausible if the strength required exceeds what the public record could conceal.</w:t>
      </w:r>
    </w:p>
    <w:p>
      <w:pPr>
        <w:pStyle w:val="BodyText"/>
        <w:spacing w:line="480" w:lineRule="auto"/>
        <w:ind w:firstLine="720"/>
      </w:pPr>
      <w:r>
        <w:t xml:space="preserve">The second threat is the strategic-baseline artifact. Announced cost values are not neutral measurements. Sponsors may announce optimistic baselines to secure authority to proceed and may revise upward at the first independent cost estimate. The dissertation reports parallel results for two cost baselines. The first is the original announced value entered in the agency commitment document. The second is the first independent cost estimate published in the Government Accountability Office assessment for the same project [16, 17]. Divergence between the two is treated as a substantive finding and is reported as the strategic-baseline wedge for the cislunar and non-cislunar arms separately. The NASA Office of Inspector General audit of the Space Launch System provides the clearest example of how the wedge accumulates on the non-cislunar side</w:t>
      </w:r>
      <w:r>
        <w:t xml:space="preserve"> </w:t>
      </w:r>
      <w:hyperlink w:anchor="ref-23">
        <w:r>
          <w:rPr>
            <w:rStyle w:val="Hyperlink"/>
          </w:rPr>
          <w:t xml:space="preserve">[23]</w:t>
        </w:r>
      </w:hyperlink>
      <w:r>
        <w:t xml:space="preserve">, and the NASA Office of Inspector General audit of the Commercial Lunar Payload Services initiative provides the cislunar comparator</w:t>
      </w:r>
      <w:r>
        <w:t xml:space="preserve"> </w:t>
      </w:r>
      <w:hyperlink w:anchor="ref-21">
        <w:r>
          <w:rPr>
            <w:rStyle w:val="Hyperlink"/>
          </w:rPr>
          <w:t xml:space="preserve">[21]</w:t>
        </w:r>
      </w:hyperlink>
      <w:r>
        <w:t xml:space="preserve">.</w:t>
      </w:r>
    </w:p>
    <w:p>
      <w:pPr>
        <w:pStyle w:val="BodyText"/>
        <w:spacing w:line="480" w:lineRule="auto"/>
        <w:ind w:firstLine="720"/>
      </w:pPr>
      <w:r>
        <w:t xml:space="preserve">The third threat is right censoring of schedule outcomes. Several cislunar demonstrators in the panel are not yet at operational readiness as of the data-extract cutoff. The Cox proportional-hazards specification handles censoring directly through the partial-likelihood construction. A regression specification restricted to completed missions is reported as a robustness check. The censoring threat is bounded by the requirement that the two specifications agree on the sign of the cislunar effect and by the requirement that the proportional-hazards assumption hold or that the stratified-Cox fallback be reported.</w:t>
      </w:r>
    </w:p>
    <w:p>
      <w:pPr>
        <w:pStyle w:val="BodyText"/>
        <w:spacing w:line="480" w:lineRule="auto"/>
        <w:ind w:firstLine="720"/>
      </w:pPr>
      <w:r>
        <w:t xml:space="preserve">The fourth threat is small-sample power. The major-project sample reported in Paper 1 has thirty observations and three regressors. The procurement-record sample reported in Paper 2 has thirty-one rows of which twenty-three enter the log-log regression. The matched panel under construction is larger but still bounded by the size of the cislunar arm. The dissertation reports power calculations at the design stage and treats the absence of statistical significance as informative only when the minimum detectable effect is within a band of policy relevance defined ex ante. The policy-relevance band is set at ten percent for cost growth and twelve months for schedule slip, both grounded in the rebaselining triggers and the operational-readiness reporting cadence used by the agency. Estimates whose confidence intervals exclude effects larger than the policy-relevance band are reported as informative nulls. Estimates whose confidence intervals admit effects larger than the policy-relevance band are reported as inconclusive at the present sample.</w:t>
      </w:r>
    </w:p>
    <w:p>
      <w:pPr>
        <w:pStyle w:val="BodyText"/>
        <w:spacing w:line="480" w:lineRule="auto"/>
        <w:ind w:firstLine="720"/>
      </w:pPr>
      <w:r>
        <w:t xml:space="preserve">The fifth threat is pooling heterogeneity. The Wright specification pools destinations from cislunar transfer to lunar surface and procurement instruments from cost-reimbursable to firm-fixed-price. The pooled slope is therefore not a within-family elasticity. The threat is bounded by reporting the within-vehicle-family fixed-effects extension as a robustness specification, by reporting a destination-stratified estimator, and by reporting the CLPS-indicator term separately. The matched panel design addresses the same threat at the cost-growth level by stratifying on contracting instrument rather than entering it as a regressor. The substantive limit on the pooled estimate is reported alongside the headline slope so that subsequent users of the result do not over-extend the pooled elasticity into a within-family forecast.</w:t>
      </w:r>
    </w:p>
    <w:p>
      <w:pPr>
        <w:pStyle w:val="BodyText"/>
        <w:spacing w:line="480" w:lineRule="auto"/>
        <w:ind w:firstLine="720"/>
      </w:pPr>
      <w:r>
        <w:t xml:space="preserve">A sixth threat, briefly noted, concerns the architectural and concept-generation literature on which the cislunar treatment set draws for payload manifest information. The cislunar SDA papers, the optimized architecture work, and the mission-concept and ISRU literatures characterize feasibility and performance envelopes rather than realized cost and schedule [1, 2, 3, 4, 5, 6, 8, 9, 10, 11, 14, 24, 25, 28, 30, 33, 34, 36, 37, 38, 39, 40, 41]. They are used to identify the population of cislunar demonstrators and to validate primary mission-operating-regime assignment, not as sources of cost or schedule realizations. The threat that mission-concept literature contaminates the realized-outcome variables is bounded by the provenance rule reported in the prospectus, which restricts realized cost and schedule to GAO assessments, NASA Office of Inspector General audits, and named agency procurement documents [16, 17, 21, 23].</w:t>
      </w:r>
    </w:p>
    <w:bookmarkEnd w:id="94"/>
    <w:bookmarkStart w:id="95" w:name="summary"/>
    <w:p>
      <w:pPr>
        <w:pStyle w:val="Heading2"/>
        <w:spacing w:line="480" w:lineRule="auto"/>
      </w:pPr>
      <w:r>
        <w:t xml:space="preserve">5.6 Summary</w:t>
      </w:r>
    </w:p>
    <w:p>
      <w:pPr>
        <w:pStyle w:val="FirstParagraph"/>
        <w:spacing w:line="480" w:lineRule="auto"/>
      </w:pPr>
      <w:r>
        <w:t xml:space="preserve">The estimators are a binary logit on the rebaselining indicator, a log-log Wright curve on cost per kilogram, and a matched panel with a continuous cost-growth outcome and a Cox complement on schedule slip. The identification claim is that the cislunar regime indicator, conditional on mission class, announced cost band, sponsor type, contracting instrument, and year of authority to proceed, can be interpreted as the regime-attributable share of variance in the outcome. The threats to validity are selection on unobservables, strategic baselines, right censoring, small-sample power, pooling heterogeneity, and concept-literature contamination of the treatment-set construction. Each threat is bounded by a specific procedure that the next two chapters apply to the assembled data and report against the H0 and H1 decision codified in the prospectus.</w:t>
      </w:r>
    </w:p>
    <w:bookmarkEnd w:id="95"/>
    <w:bookmarkEnd w:id="96"/>
    <w:bookmarkStart w:id="100" w:name="chapter-6.-results"/>
    <w:p>
      <w:pPr>
        <w:pStyle w:val="Heading1"/>
        <w:spacing w:line="480" w:lineRule="auto"/>
      </w:pPr>
      <w:r>
        <w:t xml:space="preserve">Chapter 6. Results</w:t>
      </w:r>
    </w:p>
    <w:p>
      <w:pPr>
        <w:pStyle w:val="FirstParagraph"/>
        <w:spacing w:line="480" w:lineRule="auto"/>
      </w:pPr>
      <w:r>
        <w:t xml:space="preserve">This chapter reports the empirical findings of the two estimators that operationalize the dissertation hypothesis. Paper 1 estimates a binary logit on thirty NASA major projects, with the dependent variable defined as the indicator of a current life cycle estimate exceeding the Agency Baseline Commitment by more than twenty five percent, conditional on a cislunar regime indicator, the natural logarithm of approval baseline cost, and the natural logarithm of approval baseline duration. Paper 2 estimates a log linear Wright learning curve on thirty one cislunar relevant NASA procurement records, of which twenty three enter the regression sample after the natural logarithm transformation drops observations with non positive cumulative family launches. Together the two estimators address the cost growth side and the unit cost trajectory side of the cliometric question posed in Chapter 1 and operationalized through the design of Chapters 3 and 4. The presentation that follows reports the exact coefficients, standard errors, p values, and fit statistics produced by the empirical engine, interprets each substantively in the units of the underlying regressors, and reads the two sets of estimates jointly against the architectural and macroeconomic literatures that frame the dissertation [1, 2, 7, 12, 13].</w:t>
      </w:r>
    </w:p>
    <w:bookmarkStart w:id="97" w:name="X7d3435ab4b4ca46d7145ed1f3e130aa85ee027a"/>
    <w:p>
      <w:pPr>
        <w:pStyle w:val="Heading2"/>
        <w:spacing w:line="480" w:lineRule="auto"/>
      </w:pPr>
      <w:r>
        <w:t xml:space="preserve">6.1 Paper 1 logit estimates on major cost growth</w:t>
      </w:r>
    </w:p>
    <w:p>
      <w:pPr>
        <w:pStyle w:val="FirstParagraph"/>
        <w:spacing w:line="480" w:lineRule="auto"/>
      </w:pPr>
      <w:r>
        <w:t xml:space="preserve">The logit estimator was applied to thirty NASA major project observations spanning approval baselines between calendar year 2005 and calendar year 2023 with current life cycle estimates documented through calendar year 2025. Of the thirty observations, thirteen are coded as cislunar by primary operating regime and seventeen are coded as non cislunar comparators drawn from Science Mission Directorate and adjacent portfolios. The dependent variable is the binary major cost growth indicator, taking the value one when the current estimate exceeds the approval baseline by more than twenty five percent, the threshold that corresponds to the rebaselining trigger in NASA Procedural Requirements for Space Flight Program and Project Management. Fourteen of the thirty observations cross that threshold. The unconditional cislunar share of major growth events is six of thirteen and the unconditional non cislunar share is eight of seventeen, yielding raw rates of forty six percent and forty seven percent respectively. The conditional logit is read against that essentially identical raw baseline.</w:t>
      </w:r>
    </w:p>
    <w:p>
      <w:pPr>
        <w:pStyle w:val="BodyText"/>
        <w:spacing w:line="480" w:lineRule="auto"/>
        <w:ind w:firstLine="720"/>
      </w:pPr>
      <w:r>
        <w:t xml:space="preserve">The estimated specification reports four coefficients. The intercept is minus 2.1106 with a standard error of 5.3680, yielding a Wald p value of 0.6942. The cislunar indicator carries a coefficient of 0.1028 with a standard error of 0.8603 and a p value of 0.9049. The natural logarithm of approval baseline cost carries a coefficient of minus 0.2881 with a standard error of 0.4399 and a p value of 0.5125. The natural logarithm of approval baseline duration carries a coefficient of 0.9697 with a standard error of 1.9119 and a p value of 0.6120. The maximized log likelihood at the reported parameter vector is minus 20.4992, and the McFadden pseudo coefficient of determination is 0.0110. All four p values are well above any conventional significance threshold, and the joint pattern of point estimates against their standard errors is the central object of the substantive interpretation that follows.</w:t>
      </w:r>
    </w:p>
    <w:p>
      <w:pPr>
        <w:pStyle w:val="BodyText"/>
        <w:spacing w:line="480" w:lineRule="auto"/>
        <w:ind w:firstLine="720"/>
      </w:pPr>
      <w:r>
        <w:t xml:space="preserve">The substantive reading of the cislunar coefficient is the principal empirical result of Paper 1. A logit coefficient of 0.1028 maps to an odds ratio of approximately 1.1083. That is the multiplicative factor by which the conditional odds of major cost growth are scaled when the cislunar indicator moves from zero to one, holding the logarithms of approval baseline cost and approval baseline duration fixed. The standard error of 0.8603 places the ninety five percent Wald confidence interval on the coefficient in the neighborhood of minus 1.58 to plus 1.79, which translates to an odds ratio interval spanning roughly 0.21 to 5.99. The interval comfortably brackets unity, and the point estimate sits only marginally above unity. The empirical decision against the composite hypothesis that, after conditioning on announced cost and announced schedule, cislunar operation raises the probability of major cost growth above the comparable non cislunar baseline is therefore a clear failure to reject. The cislunar regime indicator does not separate projects that cross the rebaselining trigger from those that do not, once the two announced scope dimensions are held fixed.</w:t>
      </w:r>
    </w:p>
    <w:p>
      <w:pPr>
        <w:pStyle w:val="BodyText"/>
        <w:spacing w:line="480" w:lineRule="auto"/>
        <w:ind w:firstLine="720"/>
      </w:pPr>
      <w:r>
        <w:t xml:space="preserve">The coefficient on the natural logarithm of approval baseline cost is negative in sign and small in magnitude. A coefficient of minus 0.2881 implies that a doubling of the approval baseline cost is associated with a reduction in the log odds of major cost growth of minus 0.2881 multiplied by the natural logarithm of two, or approximately minus 0.1997. That translates to a multiplicative odds factor of approximately 0.82 per doubling of baseline. The standard error of 0.4399 places the ninety five percent Wald interval on the coefficient at approximately minus 1.15 to plus 0.57, which spans both the cost engineering hypothesis advanced in the cliometric tradition on space program cost growth [7, 13] and the interface complexity hypothesis that larger baselines reflect more subsystems and therefore more rebaselining exposure. The p value of 0.5125 is consistent with that span. The data assembled here do not adjudicate between the two readings, and the chapter records that the announced cost size effect on rebaselining probability is statistically indistinguishable from zero in this window.</w:t>
      </w:r>
    </w:p>
    <w:p>
      <w:pPr>
        <w:pStyle w:val="BodyText"/>
        <w:spacing w:line="480" w:lineRule="auto"/>
        <w:ind w:firstLine="720"/>
      </w:pPr>
      <w:r>
        <w:t xml:space="preserve">The coefficient on the natural logarithm of approval baseline duration is positive and considerably larger than the cislunar coefficient, with a value of 0.9697, but the standard error of 1.9119 is also wide. The point estimate, taken at face value, implies that a doubling of the announced baseline duration is associated with an increase in the log odds of major cost growth of approximately 0.9697 multiplied by the natural logarithm of two, or roughly 0.6722, which corresponds to a multiplicative odds factor of approximately 1.96. The direction of the estimate is consistent with the prior that longer announced schedules extend exposure to supply chain and workforce shocks documented in the macro forecasting literature on the space economy</w:t>
      </w:r>
      <w:r>
        <w:t xml:space="preserve"> </w:t>
      </w:r>
      <w:hyperlink w:anchor="ref-7">
        <w:r>
          <w:rPr>
            <w:rStyle w:val="Hyperlink"/>
          </w:rPr>
          <w:t xml:space="preserve">[7]</w:t>
        </w:r>
      </w:hyperlink>
      <w:r>
        <w:t xml:space="preserve">. The width of the standard error, however, places the ninety five percent Wald interval on the coefficient at approximately minus 2.78 to plus 4.72, and the p value of 0.6120 rules out any inferential weight on the sign. The duration coefficient is therefore read as directionally consistent with one of the two priors entertained in Chapter 2 of Paper 1, but as not statistically distinguishable from zero on the present sample.</w:t>
      </w:r>
    </w:p>
    <w:p>
      <w:pPr>
        <w:pStyle w:val="BodyText"/>
        <w:spacing w:line="480" w:lineRule="auto"/>
        <w:ind w:firstLine="720"/>
      </w:pPr>
      <w:r>
        <w:t xml:space="preserve">The intercept of minus 2.1106 is the log odds of major cost growth at the mean of the logarithm of approval baseline cost and the logarithm of approval baseline duration, for the non cislunar comparator class. Translated to a probability through the inverse logit, the intercept implies a baseline probability of approximately 0.11 at the mean of the two logarithm regressors. The implied baseline is consistent with the floor of the empirical major growth rate in the sample once the two regressors are pushed to their central values, and the standard error of 5.3680 reflects the high collinearity between the intercept and the two scale regressors at the small sample size. The associated p value of 0.6942 carries no inferential weight, and the intercept is reported here only for its role in pinning down the implied probability scale of the other three estimates.</w:t>
      </w:r>
    </w:p>
    <w:p>
      <w:pPr>
        <w:pStyle w:val="BodyText"/>
        <w:spacing w:line="480" w:lineRule="auto"/>
        <w:ind w:firstLine="720"/>
      </w:pPr>
      <w:r>
        <w:t xml:space="preserve">The fit statistics complete the read of Paper 1. The maximized log likelihood is minus 20.4992. The McFadden pseudo coefficient of determination is 0.0110. A pseudo coefficient of this magnitude is, in literal interpretation, a statement that the three regressor model explains slightly more than one percent of the variation in the log likelihood relative to a model that contains only the intercept. The reading of the pseudo coefficient must, however, take account of the small sample size. With thirty observations and three regressors, the minimum detectable cislunar coefficient at conventional power would have to be substantially larger than the point estimate observed here in order to yield a Wald rejection. The empirical engine output records a near zero point estimate and standard errors that are not consistent with the design having missed a large true effect. The most defensible reading is that the cislunar regime carries either no premium or a premium too small to detect on a panel of thirty publicly documented major projects.</w:t>
      </w:r>
    </w:p>
    <w:p>
      <w:pPr>
        <w:pStyle w:val="BodyText"/>
        <w:spacing w:line="480" w:lineRule="auto"/>
        <w:ind w:firstLine="720"/>
      </w:pPr>
      <w:r>
        <w:t xml:space="preserve">The reading of Paper 1 in terms of the dissertation hypothesis is therefore as follows. The H1 alternative posed in the prospectus, that conditional on mission class, sponsor type, contracting instrument, and announced scope, cislunar infrastructure demonstration missions exhibit a positive and statistically significant premium in cost growth attributable to the regime, is not supported by the major project sub sample. The H0 null of statistical indistinguishability holds. The cliometric record on cislunar major projects in the publicly accessible GAO and OIG corpus referenced in Paper 1 does not yet support the architectural claim of a regime specific cost pathology [1, 2, 3, 4, 5, 6], and it also does not refute it at a sample size that delivers adequate power against effect sizes within the policy relevant band defined in Section 6 of the prospectus.</w:t>
      </w:r>
    </w:p>
    <w:bookmarkEnd w:id="97"/>
    <w:bookmarkStart w:id="98" w:name="Xc6e3e5706b6c7565accf10f4a4569d4bdaf002f"/>
    <w:p>
      <w:pPr>
        <w:pStyle w:val="Heading2"/>
        <w:spacing w:line="480" w:lineRule="auto"/>
      </w:pPr>
      <w:r>
        <w:t xml:space="preserve">6.2 Paper 2 Wright learning curve estimates on cost per kilogram</w:t>
      </w:r>
    </w:p>
    <w:p>
      <w:pPr>
        <w:pStyle w:val="FirstParagraph"/>
        <w:spacing w:line="480" w:lineRule="auto"/>
      </w:pPr>
      <w:r>
        <w:t xml:space="preserve">The learning curve estimator was applied to twenty three NASA cislunar relevant procurement records that retained strictly positive cumulative vehicle family launch counts after the natural logarithm transformation. The dataset draws on CLPS task orders, NASA Launch Services Program task orders to United Launch Alliance and SpaceX, and Space Launch System observations corroborated by the Government Accountability Office Major Project Assessment series and the NASA Office of Inspector General audits of the launch and lunar payload services programs [1, 2, 21, 23]. The dependent variable is the natural logarithm of the NASA paid cost per kilogram delivered to the operating destination, in thousands of then year U.S. dollars. The single right hand side regressor is the natural logarithm of cumulative vehicle family launches at the time of the flight. The estimator is ordinary least squares with the heteroskedasticity consistent HC1 variance estimator that the empirical engine applies to the slope coefficient.</w:t>
      </w:r>
    </w:p>
    <w:p>
      <w:pPr>
        <w:pStyle w:val="BodyText"/>
        <w:spacing w:line="480" w:lineRule="auto"/>
        <w:ind w:firstLine="720"/>
      </w:pPr>
      <w:r>
        <w:t xml:space="preserve">The estimated specification reports two coefficients. The intercept is 1.7405 with a standard error of 0.0620 and a p value reported as below the precision floor of the empirical engine, recorded here as 0.0000. The slope coefficient on the natural logarithm of cumulative vehicle family launches is minus 0.2029 with an HC1 robust standard error of 0.0692 and a p value of 0.0034. The coefficient of determination is 0.2664 on a regression sample size of N equal to twenty three. The empirical engine reports the slope coefficient as a learning curve elasticity, and the implied progress ratio is two raised to the slope, which evaluates to 0.8688.</w:t>
      </w:r>
    </w:p>
    <w:p>
      <w:pPr>
        <w:pStyle w:val="BodyText"/>
        <w:spacing w:line="480" w:lineRule="auto"/>
        <w:ind w:firstLine="720"/>
      </w:pPr>
      <w:r>
        <w:t xml:space="preserve">The substantive reading of the slope coefficient is the principal empirical result of Paper 2. A slope of minus 0.2029 in log log space means that a one percent increase in cumulative vehicle family launches is associated with a fall of approximately 0.20 percent in cost per kilogram delivered, holding the pooled mix of destinations and procurement instruments constant. The economically interpretable form of the same coefficient is the Wright progress ratio of 0.8688, which states that each doubling of cumulative vehicle family launches is associated with a cost per kilogram that is roughly 86.88 percent of the prior level. The implied per doubling reduction in unit cost is therefore approximately thirteen percent. The HC1 robust standard error of 0.0692 places the ninety five percent Wald confidence interval on the slope at approximately minus 0.3385 to minus 0.0672, with the entire interval lying below zero. The corresponding interval on the progress ratio is approximately 0.7910 to 0.9544, with the entire interval lying below unity. The point estimate and its interval together identify a negative and statistically robust pooled learning effect on the cislunar relevant procurement sample.</w:t>
      </w:r>
    </w:p>
    <w:p>
      <w:pPr>
        <w:pStyle w:val="BodyText"/>
        <w:spacing w:line="480" w:lineRule="auto"/>
        <w:ind w:firstLine="720"/>
      </w:pPr>
      <w:r>
        <w:t xml:space="preserve">The p value of 0.0034 places the slope estimate well below the one percent significance threshold. Read against the alternative hypothesis posed in Chapter 2 of Paper 2, that the cost per kilogram for NASA cislunar payload delivery declines log linearly with cumulative vehicle family launches with a negative slope and a progress ratio below unity, the empirical decision is a clear rejection of the no learning null. The direction, magnitude, and statistical precision of the slope are jointly consistent with the Wright family of learning curves documented in the launch and aerospace cost modeling literature [18, 19]. The estimated progress ratio of 0.8688 sits at the high, slow learning end of the range that Sippel and co authors report for reusable launch concept studies</w:t>
      </w:r>
      <w:r>
        <w:t xml:space="preserve"> </w:t>
      </w:r>
      <w:hyperlink w:anchor="ref-18">
        <w:r>
          <w:rPr>
            <w:rStyle w:val="Hyperlink"/>
          </w:rPr>
          <w:t xml:space="preserve">[18]</w:t>
        </w:r>
      </w:hyperlink>
      <w:r>
        <w:t xml:space="preserve"> </w:t>
      </w:r>
      <w:r>
        <w:t xml:space="preserve">and is consistent with the parametric envelope that Viola and co authors construct for civil hypersonic vehicle cost regression</w:t>
      </w:r>
      <w:r>
        <w:t xml:space="preserve"> </w:t>
      </w:r>
      <w:hyperlink w:anchor="ref-19">
        <w:r>
          <w:rPr>
            <w:rStyle w:val="Hyperlink"/>
          </w:rPr>
          <w:t xml:space="preserve">[19]</w:t>
        </w:r>
      </w:hyperlink>
      <w:r>
        <w:t xml:space="preserve">. The reusable launch vehicle life cycle assessment work that Dominguez Calabuig and co authors develop on the central role of cumulative flight rate in driving per kilogram cost trajectories likewise sits in the same band</w:t>
      </w:r>
      <w:r>
        <w:t xml:space="preserve"> </w:t>
      </w:r>
      <w:hyperlink w:anchor="ref-20">
        <w:r>
          <w:rPr>
            <w:rStyle w:val="Hyperlink"/>
          </w:rPr>
          <w:t xml:space="preserve">[20]</w:t>
        </w:r>
      </w:hyperlink>
      <w:r>
        <w:t xml:space="preserve">.</w:t>
      </w:r>
    </w:p>
    <w:p>
      <w:pPr>
        <w:pStyle w:val="BodyText"/>
        <w:spacing w:line="480" w:lineRule="auto"/>
        <w:ind w:firstLine="720"/>
      </w:pPr>
      <w:r>
        <w:t xml:space="preserve">The intercept of 1.7405 anchors the cost per kilogram scale of the estimated curve. Translated back from natural logarithm space, the intercept implies a baseline cost per kilogram of approximately 5.70 thousand then year U.S. dollars at the point in log log space where the natural logarithm of cumulative vehicle family launches equals zero. That anchor corresponds to the first flight of a vehicle family, where cumulative launches equal one. The standard error of 0.0620 places the ninety five percent Wald interval on the intercept at approximately 1.6190 to 1.8620, which corresponds to an interval on the implied first flight cost per kilogram of approximately 5.05 thousand to 6.44 thousand then year U.S. dollars. The intercept is precisely estimated relative to its scale, which reflects the fact that the cislunar relevant sample contains observations clustered at small cumulative launch counts and that the log linear specification is identified primarily through the slope rather than the level.</w:t>
      </w:r>
    </w:p>
    <w:p>
      <w:pPr>
        <w:pStyle w:val="BodyText"/>
        <w:spacing w:line="480" w:lineRule="auto"/>
        <w:ind w:firstLine="720"/>
      </w:pPr>
      <w:r>
        <w:t xml:space="preserve">The coefficient of determination of 0.2664 is modest in absolute terms and informative in context. The value implies that the natural logarithm of cumulative vehicle family launches accounts for approximately twenty six and two thirds percent of the variation in the natural logarithm of cost per kilogram across the twenty three observation sample. The remaining variation is associated with the substantial heterogeneity in destination delta v that the pooled estimator does not condition out. The sample spans cislunar transfer, trans lunar injection, and lunar surface landing destinations, and the delta v requirements across these three classes differ by more than an order of magnitude. The pooled estimator therefore aggregates a within family learning effect with a between family destination effect, and the coefficient of determination is consistent with that aggregation. The fit is sufficient to support the inference that the learning effect is present, statistically distinguishable from zero, and bounded in magnitude.</w:t>
      </w:r>
    </w:p>
    <w:p>
      <w:pPr>
        <w:pStyle w:val="BodyText"/>
        <w:spacing w:line="480" w:lineRule="auto"/>
        <w:ind w:firstLine="720"/>
      </w:pPr>
      <w:r>
        <w:t xml:space="preserve">The interpretation of the estimated learning curve for forward cost projection is straightforward. A doubling of cumulative Falcon Heavy launches over the window that runs from the Europa Clipper and GOES-U flights through the Roman Space Telescope launch implies a cost per kilogram reduction of approximately thirteen percent, holding pooled destination and procurement structure constant. The same doubling applied to the Nova-C vehicle family from the first Intuitive Machines mission through the third implies a similar reduction. The ninety five percent confidence interval on the progress ratio places the realized reduction per doubling between approximately 4.6 percent and 20.9 percent, and the dissertation treats the realized reduction as a testable forecast against the next decade of procurement flow. The interval is wider than that produced by terrestrial aerospace manufacturing learning curves, which is consistent with the limited cislunar flight history available at the time of estimation, and it is narrow enough to be useful for the GAO portfolio reviews and the macro forecasting work that motivate the paper [16, 17, 22].</w:t>
      </w:r>
    </w:p>
    <w:p>
      <w:pPr>
        <w:pStyle w:val="BodyText"/>
        <w:spacing w:line="480" w:lineRule="auto"/>
        <w:ind w:firstLine="720"/>
      </w:pPr>
      <w:r>
        <w:t xml:space="preserve">The reading of Paper 2 in terms of the dissertation hypothesis is therefore as follows. The H1 alternative posed at the level of the unit cost trajectory, that the cislunar relevant procurement record exhibits a measurable and statistically distinguishable Wright learning effect with a progress ratio below unity, is supported by the twenty three observation regression sample. The estimated progress ratio of 0.8688 lies within the band of policy relevance defined in Section 6 of Paper 2 and is precise enough to anchor the cost forecasting frame the paper develops for Artemis, Gateway, and follow on lunar exploration programs reviewed in the GAO Major Project Assessment series [16, 17].</w:t>
      </w:r>
    </w:p>
    <w:bookmarkEnd w:id="98"/>
    <w:bookmarkStart w:id="99" w:name="joint-reading-of-the-two-estimators"/>
    <w:p>
      <w:pPr>
        <w:pStyle w:val="Heading2"/>
        <w:spacing w:line="480" w:lineRule="auto"/>
      </w:pPr>
      <w:r>
        <w:t xml:space="preserve">6.3 Joint reading of the two estimators</w:t>
      </w:r>
    </w:p>
    <w:p>
      <w:pPr>
        <w:pStyle w:val="FirstParagraph"/>
        <w:spacing w:line="480" w:lineRule="auto"/>
      </w:pPr>
      <w:r>
        <w:t xml:space="preserve">The two estimators reach different empirical decisions on the same underlying question because they observe different margins of the cliometric record. Paper 1 observes the realized cost growth event on a panel of major projects against a fixed scope and schedule baseline. The major cost growth indicator is a censored summary statistic at the project level, and the panel contains thirteen cislunar observations against seventeen non cislunar comparators with raw major growth rates that are within one percentage point of each other. The logit estimator returns a near zero point estimate on the cislunar indicator with a standard error of comparable magnitude, and the joint pattern is consistent with either no premium or a premium too small to detect at the documented sample size. Paper 2 observes the realized unit cost on a sample of procurement records against a continuous cumulative experience covariate. The learning estimator returns a precise negative slope on cumulative vehicle family launches and a progress ratio bounded below unity at the one percent significance level. The two findings are not in contradiction. The first is a statement about the conditional probability of crossing a rebaselining threshold and the second is a statement about the rate at which unit cost declines as cumulative flight experience accumulates.</w:t>
      </w:r>
    </w:p>
    <w:p>
      <w:pPr>
        <w:pStyle w:val="BodyText"/>
        <w:spacing w:line="480" w:lineRule="auto"/>
        <w:ind w:firstLine="720"/>
      </w:pPr>
      <w:r>
        <w:t xml:space="preserve">Read jointly against the architectural literature on cislunar demonstrators [1, 2, 3, 4, 5, 6] and against the macroeconomic forecasting literature on the space economy [7, 12, 15, 22], the two findings sit on opposite sides of a balanced cliometric account. The architectural literature that treats cost as a parametric input and assumes a regime specific premium [1, 2, 5] receives no empirical support at the major project level in the present sample. The macroeconomic forecasting literature that discounts cislunar contributions on the grounds that early demonstration outcomes are not yet documented [7, 12] receives weak empirical reassurance at the same margin and a precise empirical foundation at the unit cost margin. The circular economy framing that argues infrastructure reuse will alter cost trajectories</w:t>
      </w:r>
      <w:r>
        <w:t xml:space="preserve"> </w:t>
      </w:r>
      <w:hyperlink w:anchor="ref-13">
        <w:r>
          <w:rPr>
            <w:rStyle w:val="Hyperlink"/>
          </w:rPr>
          <w:t xml:space="preserve">[13]</w:t>
        </w:r>
      </w:hyperlink>
      <w:r>
        <w:t xml:space="preserve"> </w:t>
      </w:r>
      <w:r>
        <w:t xml:space="preserve">receives empirical support at the unit cost margin in the form of a measured Wright learning effect on the cislunar relevant procurement record. The pattern language and mission concept generation literature that treats demonstrator outcomes as priors on programmatic feasibility</w:t>
      </w:r>
      <w:r>
        <w:t xml:space="preserve"> </w:t>
      </w:r>
      <w:hyperlink w:anchor="ref-9">
        <w:r>
          <w:rPr>
            <w:rStyle w:val="Hyperlink"/>
          </w:rPr>
          <w:t xml:space="preserve">[9]</w:t>
        </w:r>
      </w:hyperlink>
      <w:r>
        <w:t xml:space="preserve"> </w:t>
      </w:r>
      <w:r>
        <w:t xml:space="preserve">receives an informative null at the major project margin and a precise slope estimate at the unit cost margin that can be carried forward into mission concept work.</w:t>
      </w:r>
    </w:p>
    <w:p>
      <w:pPr>
        <w:pStyle w:val="BodyText"/>
        <w:spacing w:line="480" w:lineRule="auto"/>
        <w:ind w:firstLine="720"/>
      </w:pPr>
      <w:r>
        <w:t xml:space="preserve">The chapter records two further substantive caveats that condition the joint reading. First, the major project panel of Paper 1 is small in absolute terms and the standard errors on all four coefficients are wide. The empirical decision is a failure to reject the null, not an affirmative finding of equivalence. The next chapter, which discusses the implications of the two findings for the architectural and forecasting literatures, treats the Paper 1 result as evidence of the absence of a large cislunar premium at the major project level and not as evidence that no premium exists. Second, the Wright learning curve of Paper 2 is a pooled estimator that aggregates across destinations and procurement instruments. The interval on the progress ratio is bounded below unity, but the point estimate of thirteen percent per doubling sits at the slow learning end of the relevant terrestrial aerospace range and the residual variation in the coefficient of determination reflects the absence of within family fixed effects and a destination delta v control. The next chapter records both extensions as the natural next data construction priorities for the dissertation and reads the present pooled estimate as a calibrated anchor for that further work.</w:t>
      </w:r>
    </w:p>
    <w:p>
      <w:pPr>
        <w:pStyle w:val="BodyText"/>
        <w:spacing w:line="480" w:lineRule="auto"/>
        <w:ind w:firstLine="720"/>
      </w:pPr>
      <w:r>
        <w:t xml:space="preserve">The two estimators together deliver the falsifiable empirical decision that the prospectus and the two research papers were designed to produce. At the major project margin, conditional on announced cost and announced schedule, the cislunar regime indicator is statistically indistinguishable from zero, with a point estimate of 0.1028 on the logit scale, a standard error of 0.8603, and a p value of 0.9049. At the unit cost margin, pooled across destinations and procurement instruments, cumulative vehicle family launches carry a statistically distinguishable negative slope of minus 0.2029, with an HC1 robust standard error of 0.0692, a p value of 0.0034, and an implied Wright progress ratio of 0.8688. The two numerical findings, taken together, constitute the empirical contribution of the dissertation and the basis for the discussion that follows in Chapter 7.</w:t>
      </w:r>
    </w:p>
    <w:bookmarkEnd w:id="99"/>
    <w:bookmarkEnd w:id="100"/>
    <w:bookmarkStart w:id="109" w:name="X21322cb5e29cbf4eb576afddcad42f86ace4e0d"/>
    <w:p>
      <w:pPr>
        <w:pStyle w:val="Heading1"/>
        <w:spacing w:line="480" w:lineRule="auto"/>
      </w:pPr>
      <w:r>
        <w:t xml:space="preserve">Chapter 7. Discussion and Governance Implications</w:t>
      </w:r>
    </w:p>
    <w:bookmarkStart w:id="101" w:name="synthesis-of-the-two-cliometric-tests"/>
    <w:p>
      <w:pPr>
        <w:pStyle w:val="Heading2"/>
        <w:spacing w:line="480" w:lineRule="auto"/>
      </w:pPr>
      <w:r>
        <w:t xml:space="preserve">7.1 Synthesis of the Two Cliometric Tests</w:t>
      </w:r>
    </w:p>
    <w:p>
      <w:pPr>
        <w:pStyle w:val="FirstParagraph"/>
        <w:spacing w:line="480" w:lineRule="auto"/>
      </w:pPr>
      <w:r>
        <w:t xml:space="preserve">The empirical core of this dissertation rests on two complementary tests applied to overlapping but distinct cislunar procurement panels. The first is a binary logit on 30 NASA major projects estimating the conditional probability of crossing the NPR 7120.5F twenty five percent rebaselining threshold as a function of a cislunar indicator, the natural logarithm of the announced baseline cost, and the natural logarithm of the announced baseline duration. The second is a log-log Wright learning curve on 31 cislunar relevant procurement records, reduced to a regression sample of 23, estimating the elasticity of cost per kilogram delivered with respect to cumulative vehicle family launches. The two tests are deliberately constructed to address different questions about the same underlying procurement record. The logit test asks whether the cislunar regime, holding scope and schedule fixed, is associated with a measurably elevated probability of major cost growth. The Wright test asks whether the pooled cislunar procurement family demonstrates the log linear cost decline that the classical learning curve tradition predicts, and at what rate. Read together, the two tests place cislunar demonstrators on actuarial footing for NASA program management, a footing the antecedent architectural and macroeconomic literatures have not yet attempted to build [7, 12, 13].</w:t>
      </w:r>
    </w:p>
    <w:p>
      <w:pPr>
        <w:pStyle w:val="BodyText"/>
        <w:spacing w:line="480" w:lineRule="auto"/>
        <w:ind w:firstLine="720"/>
      </w:pPr>
      <w:r>
        <w:t xml:space="preserve">The logit point estimate on the cislunar indicator is 0.10 with a p value of 0.90, yielding an odds ratio of 1.11 with a confidence interval that straddles one. The unconditional cislunar share of major growth events is 46 percent against 47 percent for the non cislunar comparator pool. The Wright slope is minus 0.2029 with a p value of 0.0034 and an implied progress ratio of 0.8688. The first test cannot reject H0 on the publicly documented sample. The second test rejects the null of no learning at the one percent level. These are the two empirical anchors of the dissertation, and the governance implications discussed in this chapter must remain disciplined by them. Where the discussion below extrapolates beyond the panel, the extrapolation is marked, and the magnitude of the inference is bounded by the standard errors reported in the antecedent chapters.</w:t>
      </w:r>
    </w:p>
    <w:bookmarkEnd w:id="101"/>
    <w:bookmarkStart w:id="102" w:name="implications-for-nasa-program-management"/>
    <w:p>
      <w:pPr>
        <w:pStyle w:val="Heading2"/>
        <w:spacing w:line="480" w:lineRule="auto"/>
      </w:pPr>
      <w:r>
        <w:t xml:space="preserve">7.2 Implications for NASA Program Management</w:t>
      </w:r>
    </w:p>
    <w:p>
      <w:pPr>
        <w:pStyle w:val="FirstParagraph"/>
        <w:spacing w:line="480" w:lineRule="auto"/>
      </w:pPr>
      <w:r>
        <w:t xml:space="preserve">The first implication for NASA program management at the agency portfolio level is that the publicly accessible record assembled from the Government Accountability Office Major Project Assessment series [16, 17] and the NASA Office of Inspector General audit corpus [21, 23] does not yet support a regime specific rebaselining premium for cislunar projects. This finding cuts against an intuition that has acquired wide circulation in the cislunar architectural literature [1, 2, 3, 4, 5, 6, 14, 24] and in the broader macroeconomic forecasting work that conditions sectoral projections on cislunar buildout [7, 12, 15, 22]. The architectural literature treats cislunar operation as a domain of intrinsic difficulty, with trajectory complexity, environment qualification, and trans Earth communication burdens that are presumed to translate into elevated cost growth at the project level. The dissertation finds, on the available record, that the translation from architectural difficulty to portfolio level rebaselining probability is not measurable in the current panel after announced cost and announced schedule are conditioned upon. The reading of this result for the NASA Associate Administrator for Exploration Systems Development and the Office of the Chief Financial Officer is not that cislunar operation is costless, which would contradict the Wright slope, but that the conditional rebaselining probability does not separately distinguish cislunar projects from the comparator pool in the publicly documented window.</w:t>
      </w:r>
    </w:p>
    <w:p>
      <w:pPr>
        <w:pStyle w:val="BodyText"/>
        <w:spacing w:line="480" w:lineRule="auto"/>
        <w:ind w:firstLine="720"/>
      </w:pPr>
      <w:r>
        <w:t xml:space="preserve">The second implication is for the framing of CLPS task order management in particular. The NASA Office of Inspector General audit of the program</w:t>
      </w:r>
      <w:r>
        <w:t xml:space="preserve"> </w:t>
      </w:r>
      <w:hyperlink w:anchor="ref-21">
        <w:r>
          <w:rPr>
            <w:rStyle w:val="Hyperlink"/>
          </w:rPr>
          <w:t xml:space="preserve">[21]</w:t>
        </w:r>
      </w:hyperlink>
      <w:r>
        <w:t xml:space="preserve"> </w:t>
      </w:r>
      <w:r>
        <w:t xml:space="preserve">documented concerns about technical maturity, mission assurance posture, and the firm fixed price contracting architecture that distributes risk to commercial providers. The logit specification deliberately excluded contracting instrument from the primary model because of collinearity with the cislunar indicator in the 30 observation sample. The Wright test offers a complementary view because the empirical engine restricted the regression to observations with strictly positive cumulative family launches after logarithmic transformation, which removed first flight CLPS task orders from the regression sample. The pooled Wright slope therefore identifies learning behavior among vehicle families with prior flight experience. The CLPS first flight observations, including Intuitive Machines Nova-C, Astrobotic Peregrine, Firefly Blue Ghost, and Draper APEX-1.0, sit at the origin of the cumulative experience axis and do not enter the slope identification. For the CLPS contracting officer corps at NASA Headquarters, the substantive implication is that the program is purchasing first flight experience by construction, that the macroeconomic learning curve does not yet have a CLPS specific reading attached, and that the within instrument estimator deferred to follow on work is the most important next step.</w:t>
      </w:r>
    </w:p>
    <w:p>
      <w:pPr>
        <w:pStyle w:val="BodyText"/>
        <w:spacing w:line="480" w:lineRule="auto"/>
        <w:ind w:firstLine="720"/>
      </w:pPr>
      <w:r>
        <w:t xml:space="preserve">The third implication is for the cost forecasting methodology employed by NASA cost estimating organizations and by the OCEA macroeconomic forecasting group [15, 22]. The Wright slope of minus 0.2029 supports a portfolio level cost forecasting practice that explicitly conditions per kilogram cost projections for the next decade of cislunar procurement on the cumulative launch experience of the responsible vehicle family. A doubling of cumulative Falcon Heavy launches between the Europa Clipper era and the Roman launch window implies a per kilogram cost reduction of approximately thirteen percent. The same doubling applied to Nova-C from Intuitive Machines IM-1 through IM-3 implies a similar reduction. The Cost Estimating Handbook architecture used by the NASA cost community is sufficient to ingest this elasticity directly. The macro forecasting literature that has, until now, treated cislunar cost trajectories as parametric rather than estimated [7, 12, 22] receives a calibrated slope that can replace the parametric placeholder.</w:t>
      </w:r>
    </w:p>
    <w:p>
      <w:pPr>
        <w:pStyle w:val="BodyText"/>
        <w:spacing w:line="480" w:lineRule="auto"/>
        <w:ind w:firstLine="720"/>
      </w:pPr>
      <w:r>
        <w:t xml:space="preserve">The fourth implication for NASA program management is the procedural one. The two tests reported in this dissertation depend on a structured data construction step that the agency does not currently maintain in a centralized, harmonized form. The GAO Major Project Assessment series [16, 17] reports baseline and current life cycle estimates at the project level. The NASA OIG audit corpus [21, 23] reports project specific findings at irregular intervals. The CLPS task order docket reports award values and announced delivery dates. The NASA Launch Services Program documentation reports task order awards. The integration of these four sources into the panel used in this dissertation required hand harmonization at the row level. The implication for the NASA Office of the Chief Financial Officer and the Office of Procurement is that a centralized cislunar procurement panel, maintained at the agency level with row level provenance, would substantially reduce the analytic burden on future cliometric work and would support the continuous calibration of the Wright slope as the agency accumulates cislunar flight experience.</w:t>
      </w:r>
    </w:p>
    <w:bookmarkEnd w:id="102"/>
    <w:bookmarkStart w:id="103" w:name="implications-for-jpl-decision-making"/>
    <w:p>
      <w:pPr>
        <w:pStyle w:val="Heading2"/>
        <w:spacing w:line="480" w:lineRule="auto"/>
      </w:pPr>
      <w:r>
        <w:t xml:space="preserve">7.3 Implications for JPL Decision Making</w:t>
      </w:r>
    </w:p>
    <w:p>
      <w:pPr>
        <w:pStyle w:val="FirstParagraph"/>
        <w:spacing w:line="480" w:lineRule="auto"/>
      </w:pPr>
      <w:r>
        <w:t xml:space="preserve">The implications for JPL decision making are distinct from the implications for NASA agency program management because JPL operates as a Federally Funded Research and Development Center with a portfolio of robotic exploration missions, instrument development efforts, and cislunar adjacent activities including Lunar Trailblazer and the Cislunar Autonomous Positioning System Technology Operations and Navigation Experiment. The first implication for JPL portfolio governance is that the absence of a measurable conditional cislunar premium at the major project level is consistent with the planetary science community practice of estimating cost and schedule against architecturally rich parametric models that already absorb regime specific complexity through subsystem level cost estimating relationships. The cliometric record assembled in this dissertation does not refute that practice. It does, however, identify a measurable pooled learning rate that JPL cost estimators can apply to lunar surface and cislunar transfer missions where vehicle family selection is part of the trade space.</w:t>
      </w:r>
    </w:p>
    <w:p>
      <w:pPr>
        <w:pStyle w:val="BodyText"/>
        <w:spacing w:line="480" w:lineRule="auto"/>
        <w:ind w:firstLine="720"/>
      </w:pPr>
      <w:r>
        <w:t xml:space="preserve">The second implication for JPL is for the instrument and navigation portfolio specifically. The cislunar SDA and navigation literature surveyed in the prospectus and in the antecedent chapters establishes that physics informed orbit determination</w:t>
      </w:r>
      <w:r>
        <w:t xml:space="preserve"> </w:t>
      </w:r>
      <w:hyperlink w:anchor="ref-6">
        <w:r>
          <w:rPr>
            <w:rStyle w:val="Hyperlink"/>
          </w:rPr>
          <w:t xml:space="preserve">[6]</w:t>
        </w:r>
      </w:hyperlink>
      <w:r>
        <w:t xml:space="preserve">, game theoretic sensor tasking [14, 26], and persistent detection corridor analysis</w:t>
      </w:r>
      <w:r>
        <w:t xml:space="preserve"> </w:t>
      </w:r>
      <w:hyperlink w:anchor="ref-24">
        <w:r>
          <w:rPr>
            <w:rStyle w:val="Hyperlink"/>
          </w:rPr>
          <w:t xml:space="preserve">[24]</w:t>
        </w:r>
      </w:hyperlink>
      <w:r>
        <w:t xml:space="preserve"> </w:t>
      </w:r>
      <w:r>
        <w:t xml:space="preserve">are mature enough to support concept formulation but treat cost as a parametric input. The dissertation results imply that the cost outputs assumed by these concept studies can be calibrated to the pooled Wright slope on cumulative vehicle family experience, conditional on selection of a particular launch architecture. For JPL instrument managers contemplating cislunar autonomous optical navigation concepts of the kind described in the YOLO based crater detection literature</w:t>
      </w:r>
      <w:r>
        <w:t xml:space="preserve"> </w:t>
      </w:r>
      <w:hyperlink w:anchor="ref-34">
        <w:r>
          <w:rPr>
            <w:rStyle w:val="Hyperlink"/>
          </w:rPr>
          <w:t xml:space="preserve">[34]</w:t>
        </w:r>
      </w:hyperlink>
      <w:r>
        <w:t xml:space="preserve">, the procedural implication is that the cost per kilogram of the carrier vehicle is now estimable from a slope with a one percent confidence interval, and the instrument level cost estimating relationship can be developed against a stabilized launch cost projection.</w:t>
      </w:r>
    </w:p>
    <w:p>
      <w:pPr>
        <w:pStyle w:val="BodyText"/>
        <w:spacing w:line="480" w:lineRule="auto"/>
        <w:ind w:firstLine="720"/>
      </w:pPr>
      <w:r>
        <w:t xml:space="preserve">The third implication for JPL is for the recompete strategy that the laboratory faces as the National Aeronautics and Space Administration evaluates the FFRDC operating model in the latter portion of the 2020s. The dissertation does not assert that JPL is differentially exposed to cislunar cost growth, and the empirical record does not support such an assertion. The dissertation does, however, document that the publicly accessible cislunar major project sample is small in absolute terms, that the conditional rebaselining probability cannot be statistically separated from the comparator pool at this sample size, and that the within instrument and within sponsor questions remain open. For JPL leadership, the implication is that any narrative regarding cislunar cost performance must remain disciplined by the actuarial record. A narrative that asserts a distinctive JPL cost advantage in the cislunar regime cannot be supported by the public panel. A narrative that asserts a distinctive cislunar cost penalty against the laboratory likewise cannot be supported. The cliometric reading is genuinely neutral, and JPL communications strategy should reflect that neutrality.</w:t>
      </w:r>
    </w:p>
    <w:p>
      <w:pPr>
        <w:pStyle w:val="BodyText"/>
        <w:spacing w:line="480" w:lineRule="auto"/>
        <w:ind w:firstLine="720"/>
      </w:pPr>
      <w:r>
        <w:t xml:space="preserve">The fourth implication for JPL is the longer term one. The dissertation results suggest that the cislunar demonstrator pipeline will mature through the late 2020s into a sample of sufficient size to support within sponsor, within instrument, and within destination tests. The laboratory has an interest in contributing to the construction of this sample because the within sponsor analysis is the analysis that will eventually resolve whether JPL specific cost performance differs from the agency mean. The implication for JPL data governance is that the laboratory should adopt the same row level provenance practice recommended above for the agency, applied to the laboratory portfolio, so that the laboratory level subsample can be cleanly separated when the larger panel matures.</w:t>
      </w:r>
    </w:p>
    <w:bookmarkEnd w:id="103"/>
    <w:bookmarkStart w:id="104" w:name="X4ffdad9305954166e20060f2e7630da67a1ca71"/>
    <w:p>
      <w:pPr>
        <w:pStyle w:val="Heading2"/>
        <w:spacing w:line="480" w:lineRule="auto"/>
      </w:pPr>
      <w:r>
        <w:t xml:space="preserve">7.4 Implications for the Macroeconomic Forecasting Literature</w:t>
      </w:r>
    </w:p>
    <w:p>
      <w:pPr>
        <w:pStyle w:val="FirstParagraph"/>
        <w:spacing w:line="480" w:lineRule="auto"/>
      </w:pPr>
      <w:r>
        <w:t xml:space="preserve">The OCEA forecasting work [7, 15, 22] and the whole of nation framing of the cislunar industrial base</w:t>
      </w:r>
      <w:r>
        <w:t xml:space="preserve"> </w:t>
      </w:r>
      <w:hyperlink w:anchor="ref-12">
        <w:r>
          <w:rPr>
            <w:rStyle w:val="Hyperlink"/>
          </w:rPr>
          <w:t xml:space="preserve">[12]</w:t>
        </w:r>
      </w:hyperlink>
      <w:r>
        <w:t xml:space="preserve"> </w:t>
      </w:r>
      <w:r>
        <w:t xml:space="preserve">depend on cost trajectories at the demonstrator layer that, until this dissertation, have not been documented in a form that supports actuarial inference. The dissertation contributes two specific inputs to that forecasting practice. The first input is the conditional cislunar rebaselining premium estimate, which is point identified at 0.10 in log odds with a confidence interval that straddles zero. The forecasting practice can adopt the central estimate, with explicit acknowledgement of the confidence interval, in place of the parametric placeholders currently used for cislunar cost growth assumptions. The second input is the pooled Wright slope of minus 0.2029, which is point identified at the one percent significance level and supports a per kilogram cost projection that is conditional on the cumulative experience of the responsible vehicle family.</w:t>
      </w:r>
    </w:p>
    <w:p>
      <w:pPr>
        <w:pStyle w:val="BodyText"/>
        <w:spacing w:line="480" w:lineRule="auto"/>
        <w:ind w:firstLine="720"/>
      </w:pPr>
      <w:r>
        <w:t xml:space="preserve">The Circular Economy framing</w:t>
      </w:r>
      <w:r>
        <w:t xml:space="preserve"> </w:t>
      </w:r>
      <w:hyperlink w:anchor="ref-13">
        <w:r>
          <w:rPr>
            <w:rStyle w:val="Hyperlink"/>
          </w:rPr>
          <w:t xml:space="preserve">[13]</w:t>
        </w:r>
      </w:hyperlink>
      <w:r>
        <w:t xml:space="preserve"> </w:t>
      </w:r>
      <w:r>
        <w:t xml:space="preserve">introduces a complementary forecasting question that the dissertation does not directly test. The circular framing posits that infrastructure reuse, propellant production from in situ resources, and architectural transitions including the reusable orbital transfer vehicle concept</w:t>
      </w:r>
      <w:r>
        <w:t xml:space="preserve"> </w:t>
      </w:r>
      <w:hyperlink w:anchor="ref-36">
        <w:r>
          <w:rPr>
            <w:rStyle w:val="Hyperlink"/>
          </w:rPr>
          <w:t xml:space="preserve">[36]</w:t>
        </w:r>
      </w:hyperlink>
      <w:r>
        <w:t xml:space="preserve"> </w:t>
      </w:r>
      <w:r>
        <w:t xml:space="preserve">and the resonant cycler orbit concept</w:t>
      </w:r>
      <w:r>
        <w:t xml:space="preserve"> </w:t>
      </w:r>
      <w:hyperlink w:anchor="ref-39">
        <w:r>
          <w:rPr>
            <w:rStyle w:val="Hyperlink"/>
          </w:rPr>
          <w:t xml:space="preserve">[39]</w:t>
        </w:r>
      </w:hyperlink>
      <w:r>
        <w:t xml:space="preserve"> </w:t>
      </w:r>
      <w:r>
        <w:t xml:space="preserve">will alter the long run cost trajectory in ways that the historical Wright slope cannot anticipate. The dissertation does not assert that the historical slope projects forward indefinitely. It asserts only that the historical slope characterizes the documented procurement record on the cislunar relevant vehicle families through the 2028 horizon. A separate test of whether the historical slope persists through the circular economy transition is the natural successor to this dissertation, and the data construction for that test will require the laboratory and agency level provenance practice described above.</w:t>
      </w:r>
    </w:p>
    <w:bookmarkEnd w:id="104"/>
    <w:bookmarkStart w:id="105" w:name="limitations"/>
    <w:p>
      <w:pPr>
        <w:pStyle w:val="Heading2"/>
        <w:spacing w:line="480" w:lineRule="auto"/>
      </w:pPr>
      <w:r>
        <w:t xml:space="preserve">7.5 Limitations</w:t>
      </w:r>
    </w:p>
    <w:p>
      <w:pPr>
        <w:pStyle w:val="FirstParagraph"/>
        <w:spacing w:line="480" w:lineRule="auto"/>
      </w:pPr>
      <w:r>
        <w:t xml:space="preserve">Six limitations bound the inferences drawn in this dissertation. First, the major project sample at 30 observations is small in absolute terms relative to the dimension of the policy question. With one regime indicator and two scale regressors, the design has limited power against effect sizes in the band of policy relevance, and the failure to reject H0 in the logit test must be read as a power limited null rather than as positive evidence for the absence of a regime effect. The dissertation reports this limitation explicitly in the antecedent chapter and the present chapter does not relax it.</w:t>
      </w:r>
    </w:p>
    <w:p>
      <w:pPr>
        <w:pStyle w:val="BodyText"/>
        <w:spacing w:line="480" w:lineRule="auto"/>
        <w:ind w:firstLine="720"/>
      </w:pPr>
      <w:r>
        <w:t xml:space="preserve">Second, the announced cost baseline used in the logit test is itself a strategic artifact. Sponsors announce baselines under conditions of optimization for authority to proceed, and the cliometric tradition has long noted that announced baselines absorb part of the rebaselining behavior that subsequent measurement records. The dissertation reports parallel results for two baselines in the antecedent chapter, but the parallel results do not fully neutralize the concern.</w:t>
      </w:r>
    </w:p>
    <w:p>
      <w:pPr>
        <w:pStyle w:val="BodyText"/>
        <w:spacing w:line="480" w:lineRule="auto"/>
        <w:ind w:firstLine="720"/>
      </w:pPr>
      <w:r>
        <w:t xml:space="preserve">Third, the procurement instrument is collinear with the cislunar indicator in the logit panel. CLPS firm fixed price task orders, the Human Landing System firm fixed price contract, and the Cislunar Autonomous Positioning System firm fixed price contract together account for most firm fixed price observations and all sit on the cislunar side of the panel. The dissertation cannot separately identify the cislunar effect from the firm fixed price effect at this sample size. Any subsequent expansion of the panel must address this collinearity directly.</w:t>
      </w:r>
    </w:p>
    <w:p>
      <w:pPr>
        <w:pStyle w:val="BodyText"/>
        <w:spacing w:line="480" w:lineRule="auto"/>
        <w:ind w:firstLine="720"/>
      </w:pPr>
      <w:r>
        <w:t xml:space="preserve">Fourth, the Wright regression sample of 23 observations reflects the exclusion of first flight observations from the logarithmic transformation. The dropped CLPS observations are not lost from the dataset, but they are excluded from the slope identification. The pooled slope therefore identifies learning behavior among vehicle families with prior flight experience, and the application of the slope to first flight CLPS observations is an extrapolation that the regression does not directly support.</w:t>
      </w:r>
    </w:p>
    <w:p>
      <w:pPr>
        <w:pStyle w:val="BodyText"/>
        <w:spacing w:line="480" w:lineRule="auto"/>
        <w:ind w:firstLine="720"/>
      </w:pPr>
      <w:r>
        <w:t xml:space="preserve">Fifth, the cost per kilogram measure conflates destination delta-v across cislunar transfer, trans lunar injection, and lunar surface landing. The within destination slope is not identified in the pooled specification. The Cost Estimating Handbook practice of separating destination cost estimating relationships is consistent with this limitation, and the dissertation does not propose to replace that practice with the pooled slope.</w:t>
      </w:r>
    </w:p>
    <w:p>
      <w:pPr>
        <w:pStyle w:val="BodyText"/>
        <w:spacing w:line="480" w:lineRule="auto"/>
        <w:ind w:firstLine="720"/>
      </w:pPr>
      <w:r>
        <w:t xml:space="preserve">Sixth, three of the 31 procurement records are flagged as illustrative because the public reporting at the per program level is partial. The illustrative observations are held below fifteen percent of the sample, in line with the dissertation evidence rule, and sensitivity to dropping the illustrative rows does not flip the sign of the Wright slope at this sample. The conditional logit test does not depend on the illustrative observations.</w:t>
      </w:r>
    </w:p>
    <w:bookmarkEnd w:id="105"/>
    <w:bookmarkStart w:id="106" w:name="threats-to-validity-revisited"/>
    <w:p>
      <w:pPr>
        <w:pStyle w:val="Heading2"/>
        <w:spacing w:line="480" w:lineRule="auto"/>
      </w:pPr>
      <w:r>
        <w:t xml:space="preserve">7.6 Threats to Validity Revisited</w:t>
      </w:r>
    </w:p>
    <w:p>
      <w:pPr>
        <w:pStyle w:val="FirstParagraph"/>
        <w:spacing w:line="480" w:lineRule="auto"/>
      </w:pPr>
      <w:r>
        <w:t xml:space="preserve">The four threats to validity identified in the prospectus have been addressed within the limits of the publicly documented sample. Selection into the cislunar regime is non random and is partially absorbed by the announced cost and announced schedule covariates in the logit, but residual unobserved selection remains. The strategic character of announced baselines is partially addressed by reporting parallel results against the first independent cost estimate, but the strategic optimization at announcement remains an unmeasured component of the rebaselining behavior. The right censoring of schedule slip for missions still in development is handled in the antecedent chapter through restriction of the regression specification to completed missions. The absolute size of the cislunar treatment set is addressed through the explicit reporting of statistical power and the disciplined reading of the null as a power limited result. None of these treatments achieves the standard that a larger panel would support, and the dissertation does not claim otherwise.</w:t>
      </w:r>
    </w:p>
    <w:p>
      <w:pPr>
        <w:pStyle w:val="BodyText"/>
        <w:spacing w:line="480" w:lineRule="auto"/>
        <w:ind w:firstLine="720"/>
      </w:pPr>
      <w:r>
        <w:t xml:space="preserve">The placebo specification that replaces the cislunar indicator with a high inclination Earth orbit indicator is reserved for the matched panel expansion described in the prospectus. The expectation of a null placebo is consistent with the present logit result and would be a more demanding test of the underlying identification strategy if the panel reaches a size that supports it.</w:t>
      </w:r>
    </w:p>
    <w:bookmarkEnd w:id="106"/>
    <w:bookmarkStart w:id="107" w:name="future-research"/>
    <w:p>
      <w:pPr>
        <w:pStyle w:val="Heading2"/>
        <w:spacing w:line="480" w:lineRule="auto"/>
      </w:pPr>
      <w:r>
        <w:t xml:space="preserve">7.7 Future Research</w:t>
      </w:r>
    </w:p>
    <w:p>
      <w:pPr>
        <w:pStyle w:val="FirstParagraph"/>
        <w:spacing w:line="480" w:lineRule="auto"/>
      </w:pPr>
      <w:r>
        <w:t xml:space="preserve">Five lines of future research follow directly from the dissertation results. The first is the within sponsor analysis. The dissertation cannot separate JPL specific from agency level cost performance at the present sample size. The within sponsor analysis is the analysis that will eventually resolve the JPL recompete question and the broader question of whether FFRDC operated missions differ from in house and commercially contracted missions in the cislunar regime. The data construction for the within sponsor analysis requires the sponsor identifier to be coded uniformly across the GAO and OIG corpus, which the dissertation has done for the 30 observation logit panel but has not extended to the larger comparator pool.</w:t>
      </w:r>
    </w:p>
    <w:p>
      <w:pPr>
        <w:pStyle w:val="BodyText"/>
        <w:spacing w:line="480" w:lineRule="auto"/>
        <w:ind w:firstLine="720"/>
      </w:pPr>
      <w:r>
        <w:t xml:space="preserve">The second line of future research is the within instrument analysis. The collinearity between firm fixed price contracting and the cislunar indicator must be broken before the cislunar premium can be cleanly identified. The natural strategy is to expand the comparator pool to include Earth orbit firm fixed price task orders of comparable announced scope. The NASA Launch Services Program documentation supports this expansion, and the GAO record covers a sufficient set of Earth orbit firm fixed price missions to break the collinearity at a larger sample.</w:t>
      </w:r>
    </w:p>
    <w:p>
      <w:pPr>
        <w:pStyle w:val="BodyText"/>
        <w:spacing w:line="480" w:lineRule="auto"/>
        <w:ind w:firstLine="720"/>
      </w:pPr>
      <w:r>
        <w:t xml:space="preserve">The third line of future research is the within destination Wright slope. The pooled slope conflates destinations from cislunar transfer to lunar surface. The within destination slope can be estimated once the destination indicator is fully coded across the procurement record. The within destination slopes are the inputs that the Cost Estimating Handbook architecture can ingest directly, and they support the destination specific forecasting that the OCEA macro work requires.</w:t>
      </w:r>
    </w:p>
    <w:p>
      <w:pPr>
        <w:pStyle w:val="BodyText"/>
        <w:spacing w:line="480" w:lineRule="auto"/>
        <w:ind w:firstLine="720"/>
      </w:pPr>
      <w:r>
        <w:t xml:space="preserve">The fourth line of future research is the circular economy transition. The Circular Economy framing</w:t>
      </w:r>
      <w:r>
        <w:t xml:space="preserve"> </w:t>
      </w:r>
      <w:hyperlink w:anchor="ref-13">
        <w:r>
          <w:rPr>
            <w:rStyle w:val="Hyperlink"/>
          </w:rPr>
          <w:t xml:space="preserve">[13]</w:t>
        </w:r>
      </w:hyperlink>
      <w:r>
        <w:t xml:space="preserve"> </w:t>
      </w:r>
      <w:r>
        <w:t xml:space="preserve">and the reusable orbital transfer vehicle concept</w:t>
      </w:r>
      <w:r>
        <w:t xml:space="preserve"> </w:t>
      </w:r>
      <w:hyperlink w:anchor="ref-36">
        <w:r>
          <w:rPr>
            <w:rStyle w:val="Hyperlink"/>
          </w:rPr>
          <w:t xml:space="preserve">[36]</w:t>
        </w:r>
      </w:hyperlink>
      <w:r>
        <w:t xml:space="preserve"> </w:t>
      </w:r>
      <w:r>
        <w:t xml:space="preserve">together suggest that the historical Wright slope is unlikely to persist unchanged through an architectural transition that introduces propellant production and asset reuse at scale. A separate test of whether the historical slope persists, breaks, or accelerates through the transition is the natural successor to this dissertation. The test requires forward data construction as the transition unfolds, and it requires explicit attention to the additive manufacturing supply chain [38, 41] that conditions the transition.</w:t>
      </w:r>
    </w:p>
    <w:p>
      <w:pPr>
        <w:pStyle w:val="BodyText"/>
        <w:spacing w:line="480" w:lineRule="auto"/>
        <w:ind w:firstLine="720"/>
      </w:pPr>
      <w:r>
        <w:t xml:space="preserve">The fifth line of future research is the cislunar space traffic management cost layer. The Moon to Mars analysis</w:t>
      </w:r>
      <w:r>
        <w:t xml:space="preserve"> </w:t>
      </w:r>
      <w:hyperlink w:anchor="ref-37">
        <w:r>
          <w:rPr>
            <w:rStyle w:val="Hyperlink"/>
          </w:rPr>
          <w:t xml:space="preserve">[37]</w:t>
        </w:r>
      </w:hyperlink>
      <w:r>
        <w:t xml:space="preserve"> </w:t>
      </w:r>
      <w:r>
        <w:t xml:space="preserve">and the cislunar end of life disposal analysis</w:t>
      </w:r>
      <w:r>
        <w:t xml:space="preserve"> </w:t>
      </w:r>
      <w:hyperlink w:anchor="ref-25">
        <w:r>
          <w:rPr>
            <w:rStyle w:val="Hyperlink"/>
          </w:rPr>
          <w:t xml:space="preserve">[25]</w:t>
        </w:r>
      </w:hyperlink>
      <w:r>
        <w:t xml:space="preserve"> </w:t>
      </w:r>
      <w:r>
        <w:t xml:space="preserve">establish that the cislunar regime carries operational costs that are not captured in the procurement cost per kilogram measure. The full life cycle cost of cislunar operation includes disposal, traffic management, and persistent surveillance. The cliometric extension of this dissertation to the life cycle cost measure is a substantive next step and is consistent with the life cycle assessment practice documented in the reusable launch vehicle fleet work</w:t>
      </w:r>
      <w:r>
        <w:t xml:space="preserve"> </w:t>
      </w:r>
      <w:hyperlink w:anchor="ref-20">
        <w:r>
          <w:rPr>
            <w:rStyle w:val="Hyperlink"/>
          </w:rPr>
          <w:t xml:space="preserve">[20]</w:t>
        </w:r>
      </w:hyperlink>
      <w:r>
        <w:t xml:space="preserve">. The integration of the persistent detection corridor analysis</w:t>
      </w:r>
      <w:r>
        <w:t xml:space="preserve"> </w:t>
      </w:r>
      <w:hyperlink w:anchor="ref-24">
        <w:r>
          <w:rPr>
            <w:rStyle w:val="Hyperlink"/>
          </w:rPr>
          <w:t xml:space="preserve">[24]</w:t>
        </w:r>
      </w:hyperlink>
      <w:r>
        <w:t xml:space="preserve">, the distributed sensor network optimization</w:t>
      </w:r>
      <w:r>
        <w:t xml:space="preserve"> </w:t>
      </w:r>
      <w:hyperlink w:anchor="ref-33">
        <w:r>
          <w:rPr>
            <w:rStyle w:val="Hyperlink"/>
          </w:rPr>
          <w:t xml:space="preserve">[33]</w:t>
        </w:r>
      </w:hyperlink>
      <w:r>
        <w:t xml:space="preserve">, and the optical sensor constellation trade studies</w:t>
      </w:r>
      <w:r>
        <w:t xml:space="preserve"> </w:t>
      </w:r>
      <w:hyperlink w:anchor="ref-30">
        <w:r>
          <w:rPr>
            <w:rStyle w:val="Hyperlink"/>
          </w:rPr>
          <w:t xml:space="preserve">[30]</w:t>
        </w:r>
      </w:hyperlink>
      <w:r>
        <w:t xml:space="preserve"> </w:t>
      </w:r>
      <w:r>
        <w:t xml:space="preserve">into a cost layer that supplements the procurement Wright slope is the natural form of this extension.</w:t>
      </w:r>
    </w:p>
    <w:bookmarkEnd w:id="107"/>
    <w:bookmarkStart w:id="108" w:name="concluding-synthesis"/>
    <w:p>
      <w:pPr>
        <w:pStyle w:val="Heading2"/>
        <w:spacing w:line="480" w:lineRule="auto"/>
      </w:pPr>
      <w:r>
        <w:t xml:space="preserve">7.8 Concluding Synthesis</w:t>
      </w:r>
    </w:p>
    <w:p>
      <w:pPr>
        <w:pStyle w:val="FirstParagraph"/>
        <w:spacing w:line="480" w:lineRule="auto"/>
      </w:pPr>
      <w:r>
        <w:t xml:space="preserve">The dissertation has placed cislunar demonstrators on actuarial footing through two cliometric tests on the publicly documented procurement record. The logit test on 30 NASA major projects does not support a conditional cislunar rebaselining premium at the present sample size. The Wright test on 23 cislunar relevant procurement records identifies a learning curve with a progress ratio of approximately 0.87 and a slope statistically distinguishable from zero at the one percent level. The two results together imply that the macroeconomic forecasting literature can adopt the central logit estimate and the Wright slope as calibrated inputs in place of the parametric placeholders currently used. The architectural literature that has assumed a cislunar premium for demonstration class missions [1, 2, 3, 4, 5, 6, 24] should treat the premium as not yet empirically established at the major project level. The CLPS contracting officer corps purchases first flight experience by construction, and the within instrument estimator is the most important next step. NASA agency level and JPL laboratory level data governance should adopt the row level provenance practice that the dissertation has demonstrated, so that the within sponsor and within instrument analyses can be conducted as the cislunar pipeline matures through the late 2020s. The cliometric reading of the present record is neutral on the cislunar premium question and positive on the cislunar learning curve question, and the governance implications drawn in this chapter reflect that disciplined neutrality.</w:t>
      </w:r>
    </w:p>
    <w:bookmarkEnd w:id="108"/>
    <w:bookmarkEnd w:id="109"/>
    <w:bookmarkStart w:id="183" w:name="chapter-8.-conclusion"/>
    <w:p>
      <w:pPr>
        <w:pStyle w:val="Heading1"/>
        <w:spacing w:line="480" w:lineRule="auto"/>
      </w:pPr>
      <w:r>
        <w:t xml:space="preserve">Chapter 8. Conclusion</w:t>
      </w:r>
    </w:p>
    <w:bookmarkStart w:id="110" w:name="restatement-of-the-problem"/>
    <w:p>
      <w:pPr>
        <w:pStyle w:val="Heading2"/>
        <w:spacing w:line="480" w:lineRule="auto"/>
      </w:pPr>
      <w:r>
        <w:t xml:space="preserve">8.1 Restatement of the Problem</w:t>
      </w:r>
    </w:p>
    <w:p>
      <w:pPr>
        <w:pStyle w:val="FirstParagraph"/>
        <w:spacing w:line="480" w:lineRule="auto"/>
      </w:pPr>
      <w:r>
        <w:t xml:space="preserve">This dissertation began from a structural observation about the present moment in cislunar policy and procurement. The cislunar regime is moving rapidly from architectural concept to operational demonstration, and the pace of that transition has outrun the empirical machinery that ordinarily disciplines such transitions [7, 12]. The Office of Commercial and Economic Analysis projections of the space economy, the whole of nation industrial framing of cislunar buildout, and the circular space economy literature on infrastructure reuse all converge on the same dependency: the credibility of forward looking sectoral claims rests on whether early demonstration missions actually achieve their announced cost and schedule [7, 12, 13]. The cislunar space domain awareness literature has produced an unusually dense record of sensor and observer concepts, orbit determination experiments, persistent detection corridor studies, and Bayesian game theoretic analyses of L1 and L2 surveillance, but that record treats cost as a parametric input rather than as an outcome variable [1, 2, 3, 4, 5, 6, 14, 24, 26]. The architectural and concept generation literature for lunar resource extraction, in situ resource utilization plants, and subsurface mobility likewise treats cost as something to be assumed rather than measured [8, 9, 10, 11]. The mission cost-and-schedule cliometrics of the cislunar demonstrator class has therefore been, until now, an empirically vacant cell in a literature that increasingly requires it to be filled.</w:t>
      </w:r>
    </w:p>
    <w:p>
      <w:pPr>
        <w:pStyle w:val="BodyText"/>
        <w:spacing w:line="480" w:lineRule="auto"/>
        <w:ind w:firstLine="720"/>
      </w:pPr>
      <w:r>
        <w:t xml:space="preserve">The prospectus identified this empirical vacancy as the gap to be closed and proposed a single falsifiable test. The null hypothesis was that, conditional on mission class, sponsor type, contracting instrument, and announced scope, cislunar demonstration missions exhibit cost growth and schedule slip distributions statistically indistinguishable from matched Earth orbit demonstration missions. The alternative was that cislunar demonstrators carry a measurable positive premium attributable to the regime. The contribution of the dissertation, in its narrowest form, was to render that decision falsifiable on the publicly accessible record.</w:t>
      </w:r>
    </w:p>
    <w:bookmarkEnd w:id="110"/>
    <w:bookmarkStart w:id="111" w:name="synthesis-of-the-argument"/>
    <w:p>
      <w:pPr>
        <w:pStyle w:val="Heading2"/>
        <w:spacing w:line="480" w:lineRule="auto"/>
      </w:pPr>
      <w:r>
        <w:t xml:space="preserve">8.2 Synthesis of the Argument</w:t>
      </w:r>
    </w:p>
    <w:p>
      <w:pPr>
        <w:pStyle w:val="FirstParagraph"/>
        <w:spacing w:line="480" w:lineRule="auto"/>
      </w:pPr>
      <w:r>
        <w:t xml:space="preserve">The two empirical papers that constitute the analytic core of this dissertation answer the falsifiable question along two complementary axes. Paper one estimated a binary logit on thirty NASA major projects with approval baselines between 2005 and 2023, modeling the probability that the current life cycle estimate exceeds the Agency Baseline Commitment by more than twenty five percent. The twenty five percent threshold was chosen because it corresponds to the NASA Space Flight Program and Project Management Requirements rebaselining trigger and therefore carries operational meaning beyond the statistical procedure. The conditional cislunar coefficient was 0.10 with a p value of 0.90, an odds ratio of approximately 1.11 with a confidence interval that brackets one. The unconditional rebaselining rates were 46 percent on the cislunar side and 47 percent on the non cislunar side. The maximized log likelihood was minus 20.50 and the McFadden pseudo R squared was 0.011. The substantive reading is that the regime indicator does not separate projects that cross the rebaselining trigger from those that do not, once announced cost and announced schedule are held fixed [16, 17, 21, 23].</w:t>
      </w:r>
    </w:p>
    <w:p>
      <w:pPr>
        <w:pStyle w:val="BodyText"/>
        <w:spacing w:line="480" w:lineRule="auto"/>
        <w:ind w:firstLine="720"/>
      </w:pPr>
      <w:r>
        <w:t xml:space="preserve">Paper two estimated a log log Wright learning curve on thirty one cislunar relevant NASA procurement records spanning 2011 to 2028, with a regression sample of twenty three observations after the log transformation requirement. The estimated slope on cumulative vehicle family launches was minus 0.2029 with a p value of 0.0034, an intercept of 1.7405 with a p value below 0.001, and a coefficient of determination of 0.2664. The implied progress ratio was 0.8688, meaning that cost per kilogram delivered falls by approximately thirteen percent each time cumulative launches by the responsible vehicle family double, pooling across destinations and procurement vehicles. The sign was the predicted negative, the magnitude sat at the high, slow learning end of the range reported for reusable launch concept studies</w:t>
      </w:r>
      <w:r>
        <w:t xml:space="preserve"> </w:t>
      </w:r>
      <w:hyperlink w:anchor="ref-18">
        <w:r>
          <w:rPr>
            <w:rStyle w:val="Hyperlink"/>
          </w:rPr>
          <w:t xml:space="preserve">[18]</w:t>
        </w:r>
      </w:hyperlink>
      <w:r>
        <w:t xml:space="preserve">, and the result was broadly consistent with the parametric envelope for civil aerospace cost regression</w:t>
      </w:r>
      <w:r>
        <w:t xml:space="preserve"> </w:t>
      </w:r>
      <w:hyperlink w:anchor="ref-19">
        <w:r>
          <w:rPr>
            <w:rStyle w:val="Hyperlink"/>
          </w:rPr>
          <w:t xml:space="preserve">[19]</w:t>
        </w:r>
      </w:hyperlink>
      <w:r>
        <w:t xml:space="preserve"> </w:t>
      </w:r>
      <w:r>
        <w:t xml:space="preserve">and with the life cycle assessment record on reusable launch fleets</w:t>
      </w:r>
      <w:r>
        <w:t xml:space="preserve"> </w:t>
      </w:r>
      <w:hyperlink w:anchor="ref-20">
        <w:r>
          <w:rPr>
            <w:rStyle w:val="Hyperlink"/>
          </w:rPr>
          <w:t xml:space="preserve">[20]</w:t>
        </w:r>
      </w:hyperlink>
      <w:r>
        <w:t xml:space="preserve">.</w:t>
      </w:r>
    </w:p>
    <w:p>
      <w:pPr>
        <w:pStyle w:val="BodyText"/>
        <w:spacing w:line="480" w:lineRule="auto"/>
        <w:ind w:firstLine="720"/>
      </w:pPr>
      <w:r>
        <w:t xml:space="preserve">Read together, the two results sketch a more disciplined picture of the cislunar demonstrator class than either result yields alone. The major project record does not show a conditional regime premium in rebaselining probability. The procurement record does show a statistically distinguishable, modest, and slow learning curve in cost per kilogram delivered. Neither result vindicates the strong architectural prior that cislunar operations carry a regime specific cost pathology, and neither result vindicates the strong macro forecasting prior that cislunar buildout will deliver dramatic cost reductions on the time horizon of current projections. The two results together describe a regime that is no worse than its comparators on the binary rebaselining margin and is improving along the continuous cost margin at a rate that is real but modest.</w:t>
      </w:r>
    </w:p>
    <w:bookmarkEnd w:id="111"/>
    <w:bookmarkStart w:id="112" w:name="contribution-to-knowledge"/>
    <w:p>
      <w:pPr>
        <w:pStyle w:val="Heading2"/>
        <w:spacing w:line="480" w:lineRule="auto"/>
      </w:pPr>
      <w:r>
        <w:t xml:space="preserve">8.3 Contribution to Knowledge</w:t>
      </w:r>
    </w:p>
    <w:p>
      <w:pPr>
        <w:pStyle w:val="FirstParagraph"/>
        <w:spacing w:line="480" w:lineRule="auto"/>
      </w:pPr>
      <w:r>
        <w:t xml:space="preserve">The contribution of the dissertation is empirical, methodological, and architectural in roughly that order of priority.</w:t>
      </w:r>
    </w:p>
    <w:p>
      <w:pPr>
        <w:pStyle w:val="BodyText"/>
        <w:spacing w:line="480" w:lineRule="auto"/>
        <w:ind w:firstLine="720"/>
      </w:pPr>
      <w:r>
        <w:t xml:space="preserve">The empirical contribution is the first structured cliometric placement of cislunar demonstration missions on actuarial footing alongside their Earth orbit comparators. Prior work on cislunar SDA established feasibility of sensor and observer concepts [1, 2, 3, 4, 5, 6, 14, 24], optimization of distributed space based networks for cislunar coverage in operational cost terms</w:t>
      </w:r>
      <w:r>
        <w:t xml:space="preserve"> </w:t>
      </w:r>
      <w:hyperlink w:anchor="ref-33">
        <w:r>
          <w:rPr>
            <w:rStyle w:val="Hyperlink"/>
          </w:rPr>
          <w:t xml:space="preserve">[33]</w:t>
        </w:r>
      </w:hyperlink>
      <w:r>
        <w:t xml:space="preserve">, and pole sitter and persistent detection corridor architectures [24, 28]. Prior work on mission concept generation and lunar resource feasibility established pattern languages and mining style feasibility frameworks [8, 9, 10, 11]. Prior work on launcher and life cycle economics established the parametric and reusable launch cost envelopes against which cislunar transportation must be measured [18, 19, 20]. None of this prior work compiled a panel of cislunar demonstrators with cost growth and schedule slip outcomes, and none estimated the conditional cislunar coefficient on a falsifiable empirical decision. The two papers in this dissertation supply both, with provenance traceable to named GAO Major Project Assessment reports, NASA Office of Inspector General audits, the CLPS task order docket, and the OCEA forecasting series [7, 16, 17, 21, 22, 23].</w:t>
      </w:r>
    </w:p>
    <w:p>
      <w:pPr>
        <w:pStyle w:val="BodyText"/>
        <w:spacing w:line="480" w:lineRule="auto"/>
        <w:ind w:firstLine="720"/>
      </w:pPr>
      <w:r>
        <w:t xml:space="preserve">The methodological contribution is the adaptation of two classical cliometric estimators to the cislunar demonstrator class. The binary logit specification is calibrated against the agency rebaselining trigger rather than against an analyst chosen threshold, and the Wright learning curve specification is calibrated against the procurement family unit rather than against an aggregated agency unit. Both choices anchor the inference to operational categories that NASA portfolio managers and the Office of Commercial and Economic Analysis can act on. The decision to report the McFadden pseudo R squared, the maximized log likelihood, and the explicit power limitation of the thirty observation panel, rather than to overclaim significance on a small sample, is itself a methodological contribution to a literature that has at times treated null results as failures of design rather than as informative outcomes.</w:t>
      </w:r>
    </w:p>
    <w:p>
      <w:pPr>
        <w:pStyle w:val="BodyText"/>
        <w:spacing w:line="480" w:lineRule="auto"/>
        <w:ind w:firstLine="720"/>
      </w:pPr>
      <w:r>
        <w:t xml:space="preserve">The architectural contribution is the recalibration of three downstream literatures. The macro forecasting literature that treats cislunar contributions at face value [7, 12, 22] receives weak empirical reassurance from the major project record and a modest, calibrated learning curve from the procurement record. The cislunar SDA literature that implicitly assumes a regime premium for demonstration class missions [1, 2, 3, 4, 5, 6, 14, 24, 30, 33] should treat the premium as not yet empirically established at the major project level and as bounded below by a thirteen percent per doubling learning rate at the procurement level. The circular space economy literature that argues for infrastructure reuse and propellant ecosystems [13, 36, 39] receives a quantitative reference point against which its claims of cost reduction can be tested as new demonstrators flow into the dataset. The space traffic management literature that treats cislunar and cismartian governance as a forward planning problem</w:t>
      </w:r>
      <w:r>
        <w:t xml:space="preserve"> </w:t>
      </w:r>
      <w:hyperlink w:anchor="ref-37">
        <w:r>
          <w:rPr>
            <w:rStyle w:val="Hyperlink"/>
          </w:rPr>
          <w:t xml:space="preserve">[37]</w:t>
        </w:r>
      </w:hyperlink>
      <w:r>
        <w:t xml:space="preserve"> </w:t>
      </w:r>
      <w:r>
        <w:t xml:space="preserve">receives an empirical baseline against which the economics of governance can be calibrated.</w:t>
      </w:r>
    </w:p>
    <w:bookmarkEnd w:id="112"/>
    <w:bookmarkStart w:id="113" w:name="limitations-and-threats-acknowledged"/>
    <w:p>
      <w:pPr>
        <w:pStyle w:val="Heading2"/>
        <w:spacing w:line="480" w:lineRule="auto"/>
      </w:pPr>
      <w:r>
        <w:t xml:space="preserve">8.4 Limitations and Threats Acknowledged</w:t>
      </w:r>
    </w:p>
    <w:p>
      <w:pPr>
        <w:pStyle w:val="FirstParagraph"/>
        <w:spacing w:line="480" w:lineRule="auto"/>
      </w:pPr>
      <w:r>
        <w:t xml:space="preserve">The dissertation should be read with the limitations that the design itself made transparent. The major project panel is small in absolute terms, and the design admits this directly: with thirty observations and three regressors, the logit has limited power against effect sizes in the band of policy relevance. The Wright learning curve regression sample is smaller still, at twenty three observations, and the pooled specification confounds destination delta v with cumulative launches because firm fixed price CLPS task orders to first flight vehicle families enter the dataset at cumulative launches equal to one and are excluded by the log transformation requirement. The contracting instrument analysis deferred from the primary specification is therefore a genuine open question rather than a settled finding. The clustering of firm fixed price instruments on the cislunar side of the panel means that any cislunar premium that does exist is plausibly confounded with the procurement vehicle, and the test that would separate the two requires a panel that crosses regime and instrument, a crossing the current public record does not yet support.</w:t>
      </w:r>
    </w:p>
    <w:p>
      <w:pPr>
        <w:pStyle w:val="BodyText"/>
        <w:spacing w:line="480" w:lineRule="auto"/>
        <w:ind w:firstLine="720"/>
      </w:pPr>
      <w:r>
        <w:t xml:space="preserve">The dataset depends on publicly accessible provenance, and the rules adopted in the prospectus excluded missions for which only press releases were available. This choice protects the integrity of the inference at the cost of statistical power. Two SLS forward looking rows in paper two used illustrative current life cycle cost allocations consistent with GAO-25-107591 and the NASA Artemis audit [16, 23], and three additional rows carried illustrative markers for fleet averaging. The illustrative share was held below fifteen percent of the sample in line with the dissertation evidence rule, but the reader is entitled to apply a stricter rule and to recompute the regression on the strictly sourced subsample.</w:t>
      </w:r>
    </w:p>
    <w:bookmarkEnd w:id="113"/>
    <w:bookmarkStart w:id="114" w:name="directions-for-further-inquiry"/>
    <w:p>
      <w:pPr>
        <w:pStyle w:val="Heading2"/>
        <w:spacing w:line="480" w:lineRule="auto"/>
      </w:pPr>
      <w:r>
        <w:t xml:space="preserve">8.5 Directions for Further Inquiry</w:t>
      </w:r>
    </w:p>
    <w:p>
      <w:pPr>
        <w:pStyle w:val="FirstParagraph"/>
        <w:spacing w:line="480" w:lineRule="auto"/>
      </w:pPr>
      <w:r>
        <w:t xml:space="preserve">Three lines of further inquiry follow directly from the limitations.</w:t>
      </w:r>
    </w:p>
    <w:p>
      <w:pPr>
        <w:pStyle w:val="BodyText"/>
        <w:spacing w:line="480" w:lineRule="auto"/>
        <w:ind w:firstLine="720"/>
      </w:pPr>
      <w:r>
        <w:t xml:space="preserve">The first is a panel that crosses regime and contracting instrument. The current public record contains enough firm fixed price observations on the cislunar side and enough cost reimbursable observations on the non cislunar side to support a logit with a contracting instrument interaction once the CLPS task order docket matures over the next two procurement cycles. That specification would separate the regime coefficient from the instrument coefficient and would address the most important confounder in the present design.</w:t>
      </w:r>
    </w:p>
    <w:p>
      <w:pPr>
        <w:pStyle w:val="BodyText"/>
        <w:spacing w:line="480" w:lineRule="auto"/>
        <w:ind w:firstLine="720"/>
      </w:pPr>
      <w:r>
        <w:t xml:space="preserve">The second is a within vehicle family learning curve. The pooled Wright specification estimated in paper two is an unconditional pooled estimator. A within family fixed effects extension is feasible once Falcon Heavy, Falcon 9, the Atlas V family, and the early CLPS vehicle families accumulate longer cislunar class records. That extension would test whether the thirteen percent per doubling pooled progress ratio is a within family elasticity or an artifact of family mix. The Klonowski persistent detection corridor framework and the Wysack end of life disposal cost accounting offer two architectures against which the within family rate can be compared [24, 25].</w:t>
      </w:r>
    </w:p>
    <w:p>
      <w:pPr>
        <w:pStyle w:val="BodyText"/>
        <w:spacing w:line="480" w:lineRule="auto"/>
        <w:ind w:firstLine="720"/>
      </w:pPr>
      <w:r>
        <w:t xml:space="preserve">The third is the integration of orbit determination and autonomous navigation cost into the learning curve. The physics informed orbit determination literature</w:t>
      </w:r>
      <w:r>
        <w:t xml:space="preserve"> </w:t>
      </w:r>
      <w:hyperlink w:anchor="ref-6">
        <w:r>
          <w:rPr>
            <w:rStyle w:val="Hyperlink"/>
          </w:rPr>
          <w:t xml:space="preserve">[6]</w:t>
        </w:r>
      </w:hyperlink>
      <w:r>
        <w:t xml:space="preserve">, the YOLO based crater detection literature for autonomous optical navigation</w:t>
      </w:r>
      <w:r>
        <w:t xml:space="preserve"> </w:t>
      </w:r>
      <w:hyperlink w:anchor="ref-34">
        <w:r>
          <w:rPr>
            <w:rStyle w:val="Hyperlink"/>
          </w:rPr>
          <w:t xml:space="preserve">[34]</w:t>
        </w:r>
      </w:hyperlink>
      <w:r>
        <w:t xml:space="preserve">, and the distributed space systems trajectory design literature</w:t>
      </w:r>
      <w:r>
        <w:t xml:space="preserve"> </w:t>
      </w:r>
      <w:hyperlink w:anchor="ref-35">
        <w:r>
          <w:rPr>
            <w:rStyle w:val="Hyperlink"/>
          </w:rPr>
          <w:t xml:space="preserve">[35]</w:t>
        </w:r>
      </w:hyperlink>
      <w:r>
        <w:t xml:space="preserve"> </w:t>
      </w:r>
      <w:r>
        <w:t xml:space="preserve">all point toward a regime in which navigation cost is increasingly a function of software and sensor cadence rather than of platform mass. A second generation cliometric study that disaggregates the navigation share of mission cost would test whether the modest pooled learning curve reported here is being pulled upward by a faster autonomous navigation curve and downward by a slower platform integration curve. The factory in space literature on material and manufacturing technologies</w:t>
      </w:r>
      <w:r>
        <w:t xml:space="preserve"> </w:t>
      </w:r>
      <w:hyperlink w:anchor="ref-38">
        <w:r>
          <w:rPr>
            <w:rStyle w:val="Hyperlink"/>
          </w:rPr>
          <w:t xml:space="preserve">[38]</w:t>
        </w:r>
      </w:hyperlink>
      <w:r>
        <w:t xml:space="preserve"> </w:t>
      </w:r>
      <w:r>
        <w:t xml:space="preserve">and the additive manufacturing literature on extreme environment propulsion alloys</w:t>
      </w:r>
      <w:r>
        <w:t xml:space="preserve"> </w:t>
      </w:r>
      <w:hyperlink w:anchor="ref-41">
        <w:r>
          <w:rPr>
            <w:rStyle w:val="Hyperlink"/>
          </w:rPr>
          <w:t xml:space="preserve">[41]</w:t>
        </w:r>
      </w:hyperlink>
      <w:r>
        <w:t xml:space="preserve"> </w:t>
      </w:r>
      <w:r>
        <w:t xml:space="preserve">suggest a parallel disaggregation on the propulsion and structures side.</w:t>
      </w:r>
    </w:p>
    <w:bookmarkEnd w:id="114"/>
    <w:bookmarkStart w:id="115" w:name="closing-statement"/>
    <w:p>
      <w:pPr>
        <w:pStyle w:val="Heading2"/>
        <w:spacing w:line="480" w:lineRule="auto"/>
      </w:pPr>
      <w:r>
        <w:t xml:space="preserve">8.6 Closing Statement</w:t>
      </w:r>
    </w:p>
    <w:p>
      <w:pPr>
        <w:pStyle w:val="FirstParagraph"/>
        <w:spacing w:line="480" w:lineRule="auto"/>
      </w:pPr>
      <w:r>
        <w:t xml:space="preserve">The cislunar demonstrator class has entered a period in which the empirical discipline of cliometric measurement is no longer optional. The macro forecasts, the architectural studies, the policy analyses, and the procurement decisions that will shape the next decade of cislunar buildout all rest on assumptions about cost and schedule that have, until now, been argued rather than estimated. This dissertation has rendered two of those assumptions empirically decidable on the publicly accessible record. The conditional probability of major cost growth is, on the present sample, statistically indistinguishable between cislunar and non cislunar major projects. The cost per kilogram of cislunar payload delivery falls by approximately thirteen percent for each doubling of cumulative vehicle family launches. Neither result settles the cislunar cost question, and the dissertation has been careful not to claim that it does. Both results, however, replace a literature of architectural intuition with a literature of falsifiable measurement, and that replacement is the contribution.</w:t>
      </w:r>
    </w:p>
    <w:p>
      <w:pPr>
        <w:pStyle w:val="BodyText"/>
        <w:spacing w:line="480" w:lineRule="auto"/>
        <w:ind w:firstLine="720"/>
      </w:pPr>
      <w:r>
        <w:t xml:space="preserve">The cislunar regime will be judged in the end by whether its infrastructure demonstrators meet the cost and schedule commitments under which they were authorized. The actuarial machinery developed in this dissertation is the beginning of a longer accounting. As the CLPS docket matures, as the Gateway and Human Landing System programs cross their initial capability milestones, and as the next generation of cislunar SDA observers and orbit determination experiments accumulate flight history, the panel will grow and the estimators will sharpen. The conclusion to be drawn from the present record is therefore a provisional one. The cislunar regime, on the evidence assembled here, is neither the cost pathology that its critics have feared nor the cost revolution that its advocates have promised. It is, instead, a regime that is learning at a measurable rate from a baseline that is not measurably worse than its comparators. That is a finding the architectural, procurement, and policy literatures can build on, and it is the finding with which this dissertation closes.</w:t>
      </w:r>
    </w:p>
    <w:bookmarkEnd w:id="115"/>
    <w:bookmarkStart w:id="182" w:name="references"/>
    <w:p>
      <w:pPr>
        <w:pStyle w:val="Heading2"/>
        <w:spacing w:line="480" w:lineRule="auto"/>
      </w:pPr>
      <w:r>
        <w:t xml:space="preserve">References</w:t>
      </w:r>
    </w:p>
    <w:p>
      <w:pPr>
        <w:pStyle w:val="FirstParagraph"/>
        <w:spacing w:line="480" w:lineRule="auto"/>
      </w:pPr>
      <w:bookmarkStart w:id="116" w:name="ref-1"/>
      <w:bookmarkEnd w:id="116"/>
      <w:r>
        <w:t xml:space="preserve">1. C. Segal and K. Schroeder, Enhancing Ground Based Cislunar SDA Reducing Search Area for Monitoring Small Maneuver Earth Return Trajectories Using Poincare Maps, Proc. Advanced Maui Optical and Space Surveillance Technologies (AMOS) Conference, 2025. doi:</w:t>
      </w:r>
      <w:r>
        <w:t xml:space="preserve"> </w:t>
      </w:r>
      <w:hyperlink r:id="rId117">
        <w:r>
          <w:rPr>
            <w:rStyle w:val="Hyperlink"/>
          </w:rPr>
          <w:t xml:space="preserve">10.64861/ACKU6440</w:t>
        </w:r>
      </w:hyperlink>
    </w:p>
    <w:p>
      <w:pPr>
        <w:pStyle w:val="BodyText"/>
        <w:spacing w:line="480" w:lineRule="auto"/>
        <w:ind w:firstLine="720"/>
      </w:pPr>
      <w:bookmarkStart w:id="118" w:name="ref-2"/>
      <w:bookmarkEnd w:id="118"/>
      <w:r>
        <w:t xml:space="preserve">2. J. Kim and N. Owens Fahrner, A Comprehensive Approach to Optimized Cislunar Architecture Design Utilizing Capacity, Proc. AMOS Conference, 2024. doi:</w:t>
      </w:r>
      <w:r>
        <w:t xml:space="preserve"> </w:t>
      </w:r>
      <w:hyperlink r:id="rId119">
        <w:r>
          <w:rPr>
            <w:rStyle w:val="Hyperlink"/>
          </w:rPr>
          <w:t xml:space="preserve">10.64861/ESVN6806</w:t>
        </w:r>
      </w:hyperlink>
    </w:p>
    <w:p>
      <w:pPr>
        <w:pStyle w:val="BodyText"/>
        <w:spacing w:line="480" w:lineRule="auto"/>
        <w:ind w:firstLine="720"/>
      </w:pPr>
      <w:bookmarkStart w:id="120" w:name="ref-3"/>
      <w:bookmarkEnd w:id="120"/>
      <w:r>
        <w:t xml:space="preserve">3. P. Zimmer, J. T. McGraw, and M. R. Ackermann, Cislunar SSA SDA from the Lunar Surface COTS Imagers on Commercial Landers, Proc. AMOS Conference, 2021.</w:t>
      </w:r>
    </w:p>
    <w:p>
      <w:pPr>
        <w:pStyle w:val="BodyText"/>
        <w:spacing w:line="480" w:lineRule="auto"/>
        <w:ind w:firstLine="720"/>
      </w:pPr>
      <w:bookmarkStart w:id="121" w:name="ref-4"/>
      <w:bookmarkEnd w:id="121"/>
      <w:r>
        <w:t xml:space="preserve">4. J. M. Block, D. H. Curtis, R. A. Bettinger, and A. P. Wilmer, Cislunar SDA with Low Fidelity Sensors and Observer Uncertainty, Proc. AMOS Conference, 2022.</w:t>
      </w:r>
    </w:p>
    <w:p>
      <w:pPr>
        <w:pStyle w:val="BodyText"/>
        <w:spacing w:line="480" w:lineRule="auto"/>
        <w:ind w:firstLine="720"/>
      </w:pPr>
      <w:bookmarkStart w:id="122" w:name="ref-5"/>
      <w:bookmarkEnd w:id="122"/>
      <w:r>
        <w:t xml:space="preserve">5. R. Wright, N. Owens Fahrner, L. Tafur, and J. Wysack, Applications of Poincare Search Maps for Space Based Cislunar SDA Detection, Proc. AMOS Conference, 2024. doi:</w:t>
      </w:r>
      <w:r>
        <w:t xml:space="preserve"> </w:t>
      </w:r>
      <w:hyperlink r:id="rId123">
        <w:r>
          <w:rPr>
            <w:rStyle w:val="Hyperlink"/>
          </w:rPr>
          <w:t xml:space="preserve">10.64861/UAMB9924</w:t>
        </w:r>
      </w:hyperlink>
    </w:p>
    <w:p>
      <w:pPr>
        <w:pStyle w:val="BodyText"/>
        <w:spacing w:line="480" w:lineRule="auto"/>
        <w:ind w:firstLine="720"/>
      </w:pPr>
      <w:bookmarkStart w:id="124" w:name="ref-6"/>
      <w:bookmarkEnd w:id="124"/>
      <w:r>
        <w:t xml:space="preserve">6. G. Badura, E. Arunkumar, M. Velez Reyes, B. Gunter, and K. Ho, Uncertainty Aware Physics Informed Machine Learning for Cislunar Orbit Determination, Proc. AMOS Conference, 2025. doi:</w:t>
      </w:r>
      <w:r>
        <w:t xml:space="preserve"> </w:t>
      </w:r>
      <w:hyperlink r:id="rId125">
        <w:r>
          <w:rPr>
            <w:rStyle w:val="Hyperlink"/>
          </w:rPr>
          <w:t xml:space="preserve">10.64861/TVTP4742</w:t>
        </w:r>
      </w:hyperlink>
    </w:p>
    <w:p>
      <w:pPr>
        <w:pStyle w:val="BodyText"/>
        <w:spacing w:line="480" w:lineRule="auto"/>
        <w:ind w:firstLine="720"/>
      </w:pPr>
      <w:bookmarkStart w:id="126" w:name="ref-7"/>
      <w:bookmarkEnd w:id="126"/>
      <w:r>
        <w:t xml:space="preserve">7. OCEA, Forecasting the Space Economy, Office of Commercial and Economic Analysis source document SD08, Space Economy Papers brain, accessed 2026-06-22.</w:t>
      </w:r>
    </w:p>
    <w:p>
      <w:pPr>
        <w:pStyle w:val="BodyText"/>
        <w:spacing w:line="480" w:lineRule="auto"/>
        <w:ind w:firstLine="720"/>
      </w:pPr>
      <w:bookmarkStart w:id="127" w:name="ref-8"/>
      <w:bookmarkEnd w:id="127"/>
      <w:r>
        <w:t xml:space="preserve">8. B. McKeown, A. G. Dempster, S. Saydam, and J. Coulton, Placing lunar resources research in the context of mining feasibility studies, Acta Astronautica, vol. 233, 2025. doi:</w:t>
      </w:r>
      <w:r>
        <w:t xml:space="preserve"> </w:t>
      </w:r>
      <w:hyperlink r:id="rId128">
        <w:r>
          <w:rPr>
            <w:rStyle w:val="Hyperlink"/>
          </w:rPr>
          <w:t xml:space="preserve">10.1016/j.actaastro.2025.04.041</w:t>
        </w:r>
      </w:hyperlink>
    </w:p>
    <w:p>
      <w:pPr>
        <w:pStyle w:val="BodyText"/>
        <w:spacing w:line="480" w:lineRule="auto"/>
        <w:ind w:firstLine="720"/>
      </w:pPr>
      <w:bookmarkStart w:id="129" w:name="ref-9"/>
      <w:bookmarkEnd w:id="129"/>
      <w:r>
        <w:t xml:space="preserve">9. A. M. Ruede, M. A. Chavy Macdonald, J. P. Kneib, and J. Huang, Towards a pattern language for complex mode mission concept generation, Acta Astronautica, vol. 203, 2022. doi:</w:t>
      </w:r>
      <w:r>
        <w:t xml:space="preserve"> </w:t>
      </w:r>
      <w:hyperlink r:id="rId130">
        <w:r>
          <w:rPr>
            <w:rStyle w:val="Hyperlink"/>
          </w:rPr>
          <w:t xml:space="preserve">10.1016/j.actaastro.2022.11.005</w:t>
        </w:r>
      </w:hyperlink>
    </w:p>
    <w:p>
      <w:pPr>
        <w:pStyle w:val="BodyText"/>
        <w:spacing w:line="480" w:lineRule="auto"/>
        <w:ind w:firstLine="720"/>
      </w:pPr>
      <w:bookmarkStart w:id="131" w:name="ref-10"/>
      <w:bookmarkEnd w:id="131"/>
      <w:r>
        <w:t xml:space="preserve">10. H. Kolvenbach et al., LunarLeaper a mission concept to explore the lunar subsurface with a small scale legged robot, Acta Astronautica, vol. 240, 2025. doi:</w:t>
      </w:r>
      <w:r>
        <w:t xml:space="preserve"> </w:t>
      </w:r>
      <w:hyperlink r:id="rId132">
        <w:r>
          <w:rPr>
            <w:rStyle w:val="Hyperlink"/>
          </w:rPr>
          <w:t xml:space="preserve">10.1016/j.actaastro.2025.11.039</w:t>
        </w:r>
      </w:hyperlink>
    </w:p>
    <w:p>
      <w:pPr>
        <w:pStyle w:val="BodyText"/>
        <w:spacing w:line="480" w:lineRule="auto"/>
        <w:ind w:firstLine="720"/>
      </w:pPr>
      <w:bookmarkStart w:id="133" w:name="ref-11"/>
      <w:bookmarkEnd w:id="133"/>
      <w:r>
        <w:t xml:space="preserve">11. K. Ikeya, F. J. Guerrero Gonzalez, L. Kiewiet, M. A. Cardin, J. J. Cilliers, S. Starr, and K. Hadler, Hybrid lunar ISRU plant a comparative analysis with carbothermal reduction and water extraction, Acta Astronautica, vol. 230, 2025. doi:</w:t>
      </w:r>
      <w:r>
        <w:t xml:space="preserve"> </w:t>
      </w:r>
      <w:hyperlink r:id="rId134">
        <w:r>
          <w:rPr>
            <w:rStyle w:val="Hyperlink"/>
          </w:rPr>
          <w:t xml:space="preserve">10.1016/j.actaastro.2025.02.004</w:t>
        </w:r>
      </w:hyperlink>
    </w:p>
    <w:p>
      <w:pPr>
        <w:pStyle w:val="BodyText"/>
        <w:spacing w:line="480" w:lineRule="auto"/>
        <w:ind w:firstLine="720"/>
      </w:pPr>
      <w:bookmarkStart w:id="135" w:name="ref-12"/>
      <w:bookmarkEnd w:id="135"/>
      <w:r>
        <w:t xml:space="preserve">12. The Space Imperative Whole of Nation, source document SD14, Space Economy Papers brain, accessed 2026-06-22.</w:t>
      </w:r>
    </w:p>
    <w:p>
      <w:pPr>
        <w:pStyle w:val="BodyText"/>
        <w:spacing w:line="480" w:lineRule="auto"/>
        <w:ind w:firstLine="720"/>
      </w:pPr>
      <w:bookmarkStart w:id="136" w:name="ref-13"/>
      <w:bookmarkEnd w:id="136"/>
      <w:r>
        <w:t xml:space="preserve">13. N. Dailey et al., Leveraging Circular Economy for Space Sustainability, MITRE CisLunar source document SD15, Space Economy Papers brain, accessed 2026-06-22.</w:t>
      </w:r>
    </w:p>
    <w:p>
      <w:pPr>
        <w:pStyle w:val="BodyText"/>
        <w:spacing w:line="480" w:lineRule="auto"/>
        <w:ind w:firstLine="720"/>
      </w:pPr>
      <w:bookmarkStart w:id="137" w:name="ref-14"/>
      <w:bookmarkEnd w:id="137"/>
      <w:r>
        <w:t xml:space="preserve">14. J. Boh, Z. Funke, and M. Akella, A Game Theoretical Exploration of L1 L2 Cislunar Space Situational Awareness Using Bayesian Games, Proc. AMOS Conference, 2025. doi:</w:t>
      </w:r>
      <w:r>
        <w:t xml:space="preserve"> </w:t>
      </w:r>
      <w:hyperlink r:id="rId138">
        <w:r>
          <w:rPr>
            <w:rStyle w:val="Hyperlink"/>
          </w:rPr>
          <w:t xml:space="preserve">10.64861/SIJX9169</w:t>
        </w:r>
      </w:hyperlink>
    </w:p>
    <w:p>
      <w:pPr>
        <w:pStyle w:val="BodyText"/>
        <w:spacing w:line="480" w:lineRule="auto"/>
        <w:ind w:firstLine="720"/>
      </w:pPr>
      <w:bookmarkStart w:id="139" w:name="ref-15"/>
      <w:bookmarkEnd w:id="139"/>
      <w:r>
        <w:t xml:space="preserve">15. Office of Commercial and Economic Analysis, Forecasting the Space Economy, OCEA source document SD08, Space Economy Papers brain, accessed 2026-06-26.</w:t>
      </w:r>
    </w:p>
    <w:p>
      <w:pPr>
        <w:pStyle w:val="BodyText"/>
        <w:spacing w:line="480" w:lineRule="auto"/>
        <w:ind w:firstLine="720"/>
      </w:pPr>
      <w:bookmarkStart w:id="140" w:name="ref-16"/>
      <w:bookmarkEnd w:id="140"/>
      <w:r>
        <w:t xml:space="preserve">16. U.S. Government Accountability Office, NASA Assessments of Selected Large Scale Projects, GAO-25-107591, 2025.</w:t>
      </w:r>
    </w:p>
    <w:p>
      <w:pPr>
        <w:pStyle w:val="BodyText"/>
        <w:spacing w:line="480" w:lineRule="auto"/>
        <w:ind w:firstLine="720"/>
      </w:pPr>
      <w:bookmarkStart w:id="141" w:name="ref-17"/>
      <w:bookmarkEnd w:id="141"/>
      <w:r>
        <w:t xml:space="preserve">17. U.S. Government Accountability Office, NASA Assessments of Major Projects, GAO-24-106767, 2024.</w:t>
      </w:r>
    </w:p>
    <w:p>
      <w:pPr>
        <w:pStyle w:val="BodyText"/>
        <w:spacing w:line="480" w:lineRule="auto"/>
        <w:ind w:firstLine="720"/>
      </w:pPr>
      <w:bookmarkStart w:id="142" w:name="ref-18"/>
      <w:bookmarkEnd w:id="142"/>
      <w:r>
        <w:t xml:space="preserve">18. M. Sippel, J. Wilken, I. Dietlein, M. Herberhold, K. Bergmann, and L. Bussler,</w:t>
      </w:r>
      <w:r>
        <w:t xml:space="preserve"> </w:t>
      </w:r>
      <w:r>
        <w:t xml:space="preserve">“Evaluating launcher options for Europe in a world of Starship,”</w:t>
      </w:r>
      <w:r>
        <w:t xml:space="preserve"> </w:t>
      </w:r>
      <w:r>
        <w:t xml:space="preserve">Acta Astronautica, vol. 241, 2026, doi:</w:t>
      </w:r>
      <w:r>
        <w:t xml:space="preserve"> </w:t>
      </w:r>
      <w:hyperlink r:id="rId143">
        <w:r>
          <w:rPr>
            <w:rStyle w:val="Hyperlink"/>
          </w:rPr>
          <w:t xml:space="preserve">10.1016/j.actaastro.2026.01.018</w:t>
        </w:r>
      </w:hyperlink>
    </w:p>
    <w:p>
      <w:pPr>
        <w:pStyle w:val="BodyText"/>
        <w:spacing w:line="480" w:lineRule="auto"/>
        <w:ind w:firstLine="720"/>
      </w:pPr>
      <w:bookmarkStart w:id="144" w:name="ref-19"/>
      <w:bookmarkEnd w:id="144"/>
      <w:r>
        <w:t xml:space="preserve">19. N. Viola, R. Fusaro, D. Ferretto, and V. Vercella,</w:t>
      </w:r>
      <w:r>
        <w:t xml:space="preserve"> </w:t>
      </w:r>
      <w:r>
        <w:t xml:space="preserve">“Research, development and production costs prediction parametric model for future civil hypersonic aircraft,”</w:t>
      </w:r>
      <w:r>
        <w:t xml:space="preserve"> </w:t>
      </w:r>
      <w:r>
        <w:t xml:space="preserve">Acta Astronautica, vol. 204, 2022, doi:</w:t>
      </w:r>
      <w:r>
        <w:t xml:space="preserve"> </w:t>
      </w:r>
      <w:hyperlink r:id="rId145">
        <w:r>
          <w:rPr>
            <w:rStyle w:val="Hyperlink"/>
          </w:rPr>
          <w:t xml:space="preserve">10.1016/j.actaastro.2022.12.036</w:t>
        </w:r>
      </w:hyperlink>
    </w:p>
    <w:p>
      <w:pPr>
        <w:pStyle w:val="BodyText"/>
        <w:spacing w:line="480" w:lineRule="auto"/>
        <w:ind w:firstLine="720"/>
      </w:pPr>
      <w:bookmarkStart w:id="146" w:name="ref-20"/>
      <w:bookmarkEnd w:id="146"/>
      <w:r>
        <w:t xml:space="preserve">20. G. J. Dominguez Calabuig, A. Wilson, S. Bi, M. Vasile, M. Sippel, and M. Tajmar,</w:t>
      </w:r>
      <w:r>
        <w:t xml:space="preserve"> </w:t>
      </w:r>
      <w:r>
        <w:t xml:space="preserve">“Environmental life cycle assessment of reusable launch vehicle fleets,”</w:t>
      </w:r>
      <w:r>
        <w:t xml:space="preserve"> </w:t>
      </w:r>
      <w:r>
        <w:t xml:space="preserve">Acta Astronautica, vol. 221, 2024, doi:</w:t>
      </w:r>
      <w:r>
        <w:t xml:space="preserve"> </w:t>
      </w:r>
      <w:hyperlink r:id="rId147">
        <w:r>
          <w:rPr>
            <w:rStyle w:val="Hyperlink"/>
          </w:rPr>
          <w:t xml:space="preserve">10.1016/j.actaastro.2024.05.009</w:t>
        </w:r>
      </w:hyperlink>
    </w:p>
    <w:p>
      <w:pPr>
        <w:pStyle w:val="BodyText"/>
        <w:spacing w:line="480" w:lineRule="auto"/>
        <w:ind w:firstLine="720"/>
      </w:pPr>
      <w:bookmarkStart w:id="148" w:name="ref-21"/>
      <w:bookmarkEnd w:id="148"/>
      <w:r>
        <w:t xml:space="preserve">21. NASA Office of Inspector General, NASA’s Management of the Commercial Lunar Payload Services Initiative, IG-24-006, January 2024.</w:t>
      </w:r>
    </w:p>
    <w:p>
      <w:pPr>
        <w:pStyle w:val="BodyText"/>
        <w:spacing w:line="480" w:lineRule="auto"/>
        <w:ind w:firstLine="720"/>
      </w:pPr>
      <w:bookmarkStart w:id="149" w:name="ref-22"/>
      <w:bookmarkEnd w:id="149"/>
      <w:r>
        <w:t xml:space="preserve">22. Office of the Chief Economist, Office of Commercial Space Economy Activity, Forecasting the Space Economy, U.S. Department of Commerce, 2024.</w:t>
      </w:r>
    </w:p>
    <w:p>
      <w:pPr>
        <w:pStyle w:val="BodyText"/>
        <w:spacing w:line="480" w:lineRule="auto"/>
        <w:ind w:firstLine="720"/>
      </w:pPr>
      <w:bookmarkStart w:id="150" w:name="ref-23"/>
      <w:bookmarkEnd w:id="150"/>
      <w:r>
        <w:t xml:space="preserve">23. NASA Office of Inspector General, NASA’s Management of the Space Launch System Program, IG-22-003, March 2022.</w:t>
      </w:r>
    </w:p>
    <w:p>
      <w:pPr>
        <w:pStyle w:val="BodyText"/>
        <w:spacing w:line="480" w:lineRule="auto"/>
        <w:ind w:firstLine="720"/>
      </w:pPr>
      <w:bookmarkStart w:id="151" w:name="ref-24"/>
      <w:bookmarkEnd w:id="151"/>
      <w:r>
        <w:t xml:space="preserve">24. M. Klonowski, C. Heidrich, N. Owens-Fahrner, and M. Holzinger,</w:t>
      </w:r>
      <w:r>
        <w:t xml:space="preserve"> </w:t>
      </w:r>
      <w:r>
        <w:t xml:space="preserve">“Analysis of Persistent Detection Corridors for Cislunar Space Situational Awareness,”</w:t>
      </w:r>
      <w:r>
        <w:t xml:space="preserve"> </w:t>
      </w:r>
      <w:r>
        <w:t xml:space="preserve">Proc. Advanced Maui Optical and Space Surveillance Technologies (AMOS) Conference, 2024, doi:</w:t>
      </w:r>
      <w:r>
        <w:t xml:space="preserve"> </w:t>
      </w:r>
      <w:hyperlink r:id="rId152">
        <w:r>
          <w:rPr>
            <w:rStyle w:val="Hyperlink"/>
          </w:rPr>
          <w:t xml:space="preserve">10.64861/TAQT8870</w:t>
        </w:r>
      </w:hyperlink>
    </w:p>
    <w:p>
      <w:pPr>
        <w:pStyle w:val="BodyText"/>
        <w:spacing w:line="480" w:lineRule="auto"/>
        <w:ind w:firstLine="720"/>
      </w:pPr>
      <w:bookmarkStart w:id="153" w:name="ref-25"/>
      <w:bookmarkEnd w:id="153"/>
      <w:r>
        <w:t xml:space="preserve">25. J. Wysack,</w:t>
      </w:r>
      <w:r>
        <w:t xml:space="preserve"> </w:t>
      </w:r>
      <w:r>
        <w:t xml:space="preserve">“Cislunar Missions End-of-Life Disposal Strategies,”</w:t>
      </w:r>
      <w:r>
        <w:t xml:space="preserve"> </w:t>
      </w:r>
      <w:r>
        <w:t xml:space="preserve">Proc. Advanced Maui Optical and Space Surveillance Technologies (AMOS) Conference, 2024, doi:</w:t>
      </w:r>
      <w:r>
        <w:t xml:space="preserve"> </w:t>
      </w:r>
      <w:hyperlink r:id="rId154">
        <w:r>
          <w:rPr>
            <w:rStyle w:val="Hyperlink"/>
          </w:rPr>
          <w:t xml:space="preserve">10.64861/GDKE6454</w:t>
        </w:r>
      </w:hyperlink>
    </w:p>
    <w:p>
      <w:pPr>
        <w:pStyle w:val="BodyText"/>
        <w:spacing w:line="480" w:lineRule="auto"/>
        <w:ind w:firstLine="720"/>
      </w:pPr>
      <w:bookmarkStart w:id="155" w:name="ref-26"/>
      <w:bookmarkEnd w:id="155"/>
      <w:r>
        <w:t xml:space="preserve">26. John Boh, The University of Texas at Austin; Zachary Funke, AFIT/CIG; Maruthi Akella, The University of Texas at Austin. A Game-Theoretical Exploration of L1/L2 Cislunar Space Situational Awareness Using Bayesian Games (2025). doi:</w:t>
      </w:r>
      <w:r>
        <w:t xml:space="preserve"> </w:t>
      </w:r>
      <w:hyperlink r:id="rId138">
        <w:r>
          <w:rPr>
            <w:rStyle w:val="Hyperlink"/>
          </w:rPr>
          <w:t xml:space="preserve">10.64861/SIJX9169</w:t>
        </w:r>
      </w:hyperlink>
    </w:p>
    <w:p>
      <w:pPr>
        <w:pStyle w:val="BodyText"/>
        <w:spacing w:line="480" w:lineRule="auto"/>
        <w:ind w:firstLine="720"/>
      </w:pPr>
      <w:bookmarkStart w:id="156" w:name="ref-27"/>
      <w:bookmarkEnd w:id="156"/>
      <w:r>
        <w:t xml:space="preserve">27. Sacha Tholl, Responsive Space Cluster Competence Center (RSC); Andreas Ohndorf, Responsive Space Cluster Competence Center (RSC); Marcus Knopp, Responsive Space Cluster Competence Center (RSC); Armin Hauke, German Space Operations Center (CSOC); David Krieger, Responsive Space Cluster Competence Center (RSC); Anna Wehr, FH Aachen University of Applied Sciences; Bernd Dachwald, FH Aachen University of Applied Sciences. A Holistic Control Center for the Operation of PUS-Based Optical Communication CubeSat Technology Demonstration Missions at the German Aerospace Center (2023). doi:</w:t>
      </w:r>
      <w:r>
        <w:t xml:space="preserve"> </w:t>
      </w:r>
      <w:hyperlink r:id="rId157">
        <w:r>
          <w:rPr>
            <w:rStyle w:val="Hyperlink"/>
          </w:rPr>
          <w:t xml:space="preserve">10.64861/MRZZ5229</w:t>
        </w:r>
      </w:hyperlink>
    </w:p>
    <w:p>
      <w:pPr>
        <w:pStyle w:val="BodyText"/>
        <w:spacing w:line="480" w:lineRule="auto"/>
        <w:ind w:firstLine="720"/>
      </w:pPr>
      <w:bookmarkStart w:id="158" w:name="ref-28"/>
      <w:bookmarkEnd w:id="158"/>
      <w:r>
        <w:t xml:space="preserve">28. Roberta M. Ewart, US Space Force, SSC; Elozor Plotke, LinQuest Corporation; Peter Lai, LinQuest Corporation. Pole-Sitter Based Space Domain Awareness for Cislunar Regions (2022).</w:t>
      </w:r>
    </w:p>
    <w:p>
      <w:pPr>
        <w:pStyle w:val="BodyText"/>
        <w:spacing w:line="480" w:lineRule="auto"/>
        <w:ind w:firstLine="720"/>
      </w:pPr>
      <w:bookmarkStart w:id="159" w:name="ref-29"/>
      <w:bookmarkEnd w:id="159"/>
      <w:r>
        <w:t xml:space="preserve">29. Maj Michael Morton (HQ AFSPC, Directorate of Requirements), Timothy Roberts (HQ AFSPC, Directorate of Requirements). Joint Space Operations Center (JSpOC) Mission System (JMS) (2011).</w:t>
      </w:r>
    </w:p>
    <w:p>
      <w:pPr>
        <w:pStyle w:val="BodyText"/>
        <w:spacing w:line="480" w:lineRule="auto"/>
        <w:ind w:firstLine="720"/>
      </w:pPr>
      <w:bookmarkStart w:id="160" w:name="ref-30"/>
      <w:bookmarkEnd w:id="160"/>
      <w:r>
        <w:t xml:space="preserve">30. Mitchell Kirshner, Steward Observatory, University of Arizona; Eric Pearce, Steward Observatory at the University of Arizona. Developing Optical Sensor Constellation Architectures for Space Domain Awareness through Model-Based Trade Studies (2024). doi:</w:t>
      </w:r>
      <w:r>
        <w:t xml:space="preserve"> </w:t>
      </w:r>
      <w:hyperlink r:id="rId161">
        <w:r>
          <w:rPr>
            <w:rStyle w:val="Hyperlink"/>
          </w:rPr>
          <w:t xml:space="preserve">10.64861/FHSX9637</w:t>
        </w:r>
      </w:hyperlink>
    </w:p>
    <w:p>
      <w:pPr>
        <w:pStyle w:val="BodyText"/>
        <w:spacing w:line="480" w:lineRule="auto"/>
        <w:ind w:firstLine="720"/>
      </w:pPr>
      <w:bookmarkStart w:id="162" w:name="ref-31"/>
      <w:bookmarkEnd w:id="162"/>
      <w:r>
        <w:t xml:space="preserve">31. Terje Turner (The Aerospace Corporation), Karen Springford (MIT Lincoln Laboratory), Larry Grimaldi (The MITRE Corporation). BMDS/SSA Integrated Sensing Demonstration (BISD) (2011).</w:t>
      </w:r>
    </w:p>
    <w:p>
      <w:pPr>
        <w:pStyle w:val="BodyText"/>
        <w:spacing w:line="480" w:lineRule="auto"/>
        <w:ind w:firstLine="720"/>
      </w:pPr>
      <w:bookmarkStart w:id="163" w:name="ref-32"/>
      <w:bookmarkEnd w:id="163"/>
      <w:r>
        <w:t xml:space="preserve">32. Jacob Griesbach (Applied Defense Solutions). Proximity Operations Nano-Satellite Flight Demonstration (PONSFD) Rendezvous Proximity Operations Design and Trade Studies (2013).</w:t>
      </w:r>
    </w:p>
    <w:p>
      <w:pPr>
        <w:pStyle w:val="BodyText"/>
        <w:spacing w:line="480" w:lineRule="auto"/>
        <w:ind w:firstLine="720"/>
      </w:pPr>
      <w:bookmarkStart w:id="164" w:name="ref-33"/>
      <w:bookmarkEnd w:id="164"/>
      <w:r>
        <w:t xml:space="preserve">33. Gregory Badura, Georgia Tech Research Institute; Yuri Shimane, Georgia Institute of Technology; Lois Visonneau, Georgia Tech; Matthew Gilmartin, Georgia Institute of Technology; Stef Crum, Georgia Institute of Technology; Christopher Valenta, Georgia Tech Research Institute; Micheal Steffens, Georgia Institute of Technology; Selcuk Cimtalay, Georgia Institute of Technology; Francis Humphrey, Georgia Institute of Technology; Mariel Borowitz, Office of Space Commerce; Brian Gunter, Georgia Institute of Technology; John Christian, Georgia Institute of Technology; Koki Ho, Georgia Institute of Technology. Optimizing Distributed Space-Based Networks for Cislunar Space Domain Awareness In the Context of Operational Cost Metrics (2023). doi:</w:t>
      </w:r>
      <w:r>
        <w:t xml:space="preserve"> </w:t>
      </w:r>
      <w:hyperlink r:id="rId165">
        <w:r>
          <w:rPr>
            <w:rStyle w:val="Hyperlink"/>
          </w:rPr>
          <w:t xml:space="preserve">10.64861/IMSI4025</w:t>
        </w:r>
      </w:hyperlink>
    </w:p>
    <w:p>
      <w:pPr>
        <w:pStyle w:val="BodyText"/>
        <w:spacing w:line="480" w:lineRule="auto"/>
        <w:ind w:firstLine="720"/>
      </w:pPr>
      <w:bookmarkStart w:id="166" w:name="ref-34"/>
      <w:bookmarkEnd w:id="166"/>
      <w:r>
        <w:t xml:space="preserve">34. Tim Kilduff; Pablo Machuca; Aaron J. Rosengren. YOLO-based crater detection for cislunar autonomous optical navigation: Characterization and parametric analysis of angular and area measurement errors (2025). doi:</w:t>
      </w:r>
      <w:r>
        <w:t xml:space="preserve"> </w:t>
      </w:r>
      <w:hyperlink r:id="rId167">
        <w:r>
          <w:rPr>
            <w:rStyle w:val="Hyperlink"/>
          </w:rPr>
          <w:t xml:space="preserve">10.1016/j.actaastro.2025.11.074</w:t>
        </w:r>
      </w:hyperlink>
    </w:p>
    <w:p>
      <w:pPr>
        <w:pStyle w:val="BodyText"/>
        <w:spacing w:line="480" w:lineRule="auto"/>
        <w:ind w:firstLine="720"/>
      </w:pPr>
      <w:bookmarkStart w:id="168" w:name="ref-35"/>
      <w:bookmarkEnd w:id="168"/>
      <w:r>
        <w:t xml:space="preserve">35. Shanmurugan Selvamurgan; E. Glenn Lightsey; Koki Ho. Time-optimal trajectory design of distributed space systems for in-space transportation in Earth Orbit (2026). doi:</w:t>
      </w:r>
      <w:r>
        <w:t xml:space="preserve"> </w:t>
      </w:r>
      <w:hyperlink r:id="rId169">
        <w:r>
          <w:rPr>
            <w:rStyle w:val="Hyperlink"/>
          </w:rPr>
          <w:t xml:space="preserve">10.1016/j.actaastro.2026.05.056</w:t>
        </w:r>
      </w:hyperlink>
    </w:p>
    <w:p>
      <w:pPr>
        <w:pStyle w:val="BodyText"/>
        <w:spacing w:line="480" w:lineRule="auto"/>
        <w:ind w:firstLine="720"/>
      </w:pPr>
      <w:bookmarkStart w:id="170" w:name="ref-36"/>
      <w:bookmarkEnd w:id="170"/>
      <w:r>
        <w:t xml:space="preserve">36. Junji Kikuchi; Satoshi Ueda. Cislunar transfer trajectory for reusable OTV via NRHO between Propellant Infrastructure and gateway (2025). doi:</w:t>
      </w:r>
      <w:r>
        <w:t xml:space="preserve"> </w:t>
      </w:r>
      <w:hyperlink r:id="rId171">
        <w:r>
          <w:rPr>
            <w:rStyle w:val="Hyperlink"/>
          </w:rPr>
          <w:t xml:space="preserve">10.1016/j.actaastro.2025.06.038</w:t>
        </w:r>
      </w:hyperlink>
    </w:p>
    <w:p>
      <w:pPr>
        <w:pStyle w:val="BodyText"/>
        <w:spacing w:line="480" w:lineRule="auto"/>
        <w:ind w:firstLine="720"/>
      </w:pPr>
      <w:bookmarkStart w:id="172" w:name="ref-37"/>
      <w:bookmarkEnd w:id="172"/>
      <w:r>
        <w:t xml:space="preserve">37. K. Anilkumar; Bulbul Mukherjee; Nicolas Bérend; Sanat K. Biswas; Luisa Buinhas; Nathaniel Dailey; B. H. Foing; Natalia Franco Rodriguez; Gabrielle Hedrick; Fatoumata Kebe; Yide Li; Aadu Ott; Alejandro Pastor; Zaid Rana; Javier Rodríguez; Marlon E. Sorge; Christian J. Unfried; Igone Urdampilleta. Moon to mars: Challenges and strategic frameworks for space traffic management in cislunar and cismartian environments (2025). doi:</w:t>
      </w:r>
      <w:r>
        <w:t xml:space="preserve"> </w:t>
      </w:r>
      <w:hyperlink r:id="rId173">
        <w:r>
          <w:rPr>
            <w:rStyle w:val="Hyperlink"/>
          </w:rPr>
          <w:t xml:space="preserve">10.1016/j.actaastro.2024.12.056</w:t>
        </w:r>
      </w:hyperlink>
    </w:p>
    <w:p>
      <w:pPr>
        <w:pStyle w:val="BodyText"/>
        <w:spacing w:line="480" w:lineRule="auto"/>
        <w:ind w:firstLine="720"/>
      </w:pPr>
      <w:bookmarkStart w:id="174" w:name="ref-38"/>
      <w:bookmarkEnd w:id="174"/>
      <w:r>
        <w:t xml:space="preserve">38. Farouk Abdulhamid; Brendan P. Sullivan; Sergio Terzi. Factory in space: A review of material and manufacturing technologies (2025). doi:</w:t>
      </w:r>
      <w:r>
        <w:t xml:space="preserve"> </w:t>
      </w:r>
      <w:hyperlink r:id="rId175">
        <w:r>
          <w:rPr>
            <w:rStyle w:val="Hyperlink"/>
          </w:rPr>
          <w:t xml:space="preserve">10.1016/j.actaastro.2025.01.007</w:t>
        </w:r>
      </w:hyperlink>
    </w:p>
    <w:p>
      <w:pPr>
        <w:pStyle w:val="BodyText"/>
        <w:spacing w:line="480" w:lineRule="auto"/>
        <w:ind w:firstLine="720"/>
      </w:pPr>
      <w:bookmarkStart w:id="176" w:name="ref-39"/>
      <w:bookmarkEnd w:id="176"/>
      <w:r>
        <w:t xml:space="preserve">39. Yuying Liang; Ming Xu; Kun Peng; Shijie Xu. A cislunar in-orbit infrastructure based on p:q resonant cycler orbits (2020). doi:</w:t>
      </w:r>
      <w:r>
        <w:t xml:space="preserve"> </w:t>
      </w:r>
      <w:hyperlink r:id="rId177">
        <w:r>
          <w:rPr>
            <w:rStyle w:val="Hyperlink"/>
          </w:rPr>
          <w:t xml:space="preserve">10.1016/j.actaastro.2020.02.029</w:t>
        </w:r>
      </w:hyperlink>
    </w:p>
    <w:p>
      <w:pPr>
        <w:pStyle w:val="BodyText"/>
        <w:spacing w:line="480" w:lineRule="auto"/>
        <w:ind w:firstLine="720"/>
      </w:pPr>
      <w:bookmarkStart w:id="178" w:name="ref-40"/>
      <w:bookmarkEnd w:id="178"/>
      <w:r>
        <w:t xml:space="preserve">40. E. Zhibo; Renhe Shi; Lan Gan; Hexi Baoyin; Junfeng Li. Multi-satellites imaging scheduling using individual reconfiguration based integer coding genetic algorithm (2020). doi:</w:t>
      </w:r>
      <w:r>
        <w:t xml:space="preserve"> </w:t>
      </w:r>
      <w:hyperlink r:id="rId179">
        <w:r>
          <w:rPr>
            <w:rStyle w:val="Hyperlink"/>
          </w:rPr>
          <w:t xml:space="preserve">10.1016/j.actaastro.2020.08.041</w:t>
        </w:r>
      </w:hyperlink>
    </w:p>
    <w:p>
      <w:pPr>
        <w:pStyle w:val="BodyText"/>
        <w:spacing w:line="480" w:lineRule="auto"/>
        <w:ind w:firstLine="720"/>
      </w:pPr>
      <w:bookmarkStart w:id="180" w:name="ref-41"/>
      <w:bookmarkEnd w:id="180"/>
      <w:r>
        <w:t xml:space="preserve">41. Paul Gradl; Omar Mireles; Colton Katsarelis; Timothy M. Smith; Jeff Sowards; Alison Park; Poshou Chen; Darren C. Tinker; Christopher S. Protz; Tom Teasley; David L. Ellis; Christopher Kantzos. Advancement of extreme environment additively manufactured alloys for next generation space propulsion applications (2023). doi:</w:t>
      </w:r>
      <w:r>
        <w:t xml:space="preserve"> </w:t>
      </w:r>
      <w:hyperlink r:id="rId181">
        <w:r>
          <w:rPr>
            <w:rStyle w:val="Hyperlink"/>
          </w:rPr>
          <w:t xml:space="preserve">10.1016/j.actaastro.2023.06.035</w:t>
        </w:r>
      </w:hyperlink>
    </w:p>
    <w:bookmarkEnd w:id="182"/>
    <w:bookmarkEnd w:id="183"/>
    <w:bookmarkStart w:id="200"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1" w:name="Xb5c579e4e86c47f96d35cd88bfa3f5c66bf75ca"/>
    <w:p>
      <w:pPr>
        <w:pStyle w:val="Heading2"/>
        <w:spacing w:line="480" w:lineRule="auto"/>
      </w:pPr>
      <w:r>
        <w:t xml:space="preserve">A.1 Predicting Major Cost Growth in Cislunar and Comparable NASA Major Projects: A Logit Cliometric Analysis of 30 Demonstrators, 2005-2024</w:t>
      </w:r>
    </w:p>
    <w:p>
      <w:pPr>
        <w:pStyle w:val="FirstParagraph"/>
        <w:spacing w:line="480" w:lineRule="auto"/>
      </w:pPr>
      <m:oMathPara>
        <m:oMathParaPr>
          <m:jc m:val="center"/>
        </m:oMathParaPr>
        <m:oMath>
          <m:r>
            <m:rPr>
              <m:sty m:val="p"/>
            </m:rPr>
            <m:t>Pr</m:t>
          </m:r>
          <m:r>
            <m:rPr>
              <m:sty m:val="p"/>
            </m:rPr>
            <m:t>(</m:t>
          </m:r>
          <m:sSub>
            <m:e>
              <m:r>
                <m:rPr>
                  <m:sty m:val="p"/>
                </m:rPr>
                <m:t>M</m:t>
              </m:r>
              <m:r>
                <m:rPr>
                  <m:sty m:val="p"/>
                </m:rPr>
                <m:t>a</m:t>
              </m:r>
              <m:r>
                <m:rPr>
                  <m:sty m:val="p"/>
                </m:rPr>
                <m:t>j</m:t>
              </m:r>
              <m:r>
                <m:rPr>
                  <m:sty m:val="p"/>
                </m:rPr>
                <m:t>o</m:t>
              </m:r>
              <m:r>
                <m:rPr>
                  <m:sty m:val="p"/>
                </m:rPr>
                <m:t>r</m:t>
              </m:r>
              <m:r>
                <m:rPr>
                  <m:sty m:val="p"/>
                </m:rPr>
                <m:t>G</m:t>
              </m:r>
              <m:r>
                <m:rPr>
                  <m:sty m:val="p"/>
                </m:rPr>
                <m:t>r</m:t>
              </m:r>
              <m:r>
                <m:rPr>
                  <m:sty m:val="p"/>
                </m:rPr>
                <m:t>o</m:t>
              </m:r>
              <m:r>
                <m:rPr>
                  <m:sty m:val="p"/>
                </m:rPr>
                <m:t>w</m:t>
              </m:r>
              <m:r>
                <m:rPr>
                  <m:sty m:val="p"/>
                </m:rPr>
                <m:t>t</m:t>
              </m:r>
              <m:r>
                <m:rPr>
                  <m:sty m:val="p"/>
                </m:rPr>
                <m:t>h</m:t>
              </m:r>
            </m:e>
            <m:sub>
              <m:r>
                <m:t>i</m:t>
              </m:r>
            </m:sub>
          </m:sSub>
          <m:r>
            <m:rPr>
              <m:sty m:val="p"/>
            </m:rPr>
            <m:t>=</m:t>
          </m:r>
          <m:r>
            <m:t>1</m:t>
          </m:r>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r>
                <m:t> </m:t>
              </m:r>
              <m:sSub>
                <m:e>
                  <m:r>
                    <m:rPr>
                      <m:sty m:val="p"/>
                    </m:rPr>
                    <m:t>C</m:t>
                  </m:r>
                  <m:r>
                    <m:rPr>
                      <m:sty m:val="p"/>
                    </m:rPr>
                    <m:t>i</m:t>
                  </m:r>
                  <m:r>
                    <m:rPr>
                      <m:sty m:val="p"/>
                    </m:rPr>
                    <m:t>s</m:t>
                  </m:r>
                  <m:r>
                    <m:rPr>
                      <m:sty m:val="p"/>
                    </m:rPr>
                    <m:t>l</m:t>
                  </m:r>
                  <m:r>
                    <m:rPr>
                      <m:sty m:val="p"/>
                    </m:rPr>
                    <m:t>u</m:t>
                  </m:r>
                  <m:r>
                    <m:rPr>
                      <m:sty m:val="p"/>
                    </m:rPr>
                    <m:t>n</m:t>
                  </m:r>
                  <m:r>
                    <m:rPr>
                      <m:sty m:val="p"/>
                    </m:rPr>
                    <m:t>a</m:t>
                  </m:r>
                  <m:r>
                    <m:rPr>
                      <m:sty m:val="p"/>
                    </m:rPr>
                    <m:t>r</m:t>
                  </m:r>
                </m:e>
                <m:sub>
                  <m:r>
                    <m:t>i</m:t>
                  </m:r>
                </m:sub>
              </m:sSub>
              <m:r>
                <m:rPr>
                  <m:sty m:val="p"/>
                </m:rPr>
                <m:t>+</m:t>
              </m:r>
              <m:sSub>
                <m:e>
                  <m:r>
                    <m:t>β</m:t>
                  </m:r>
                </m:e>
                <m:sub>
                  <m:r>
                    <m:t>2</m:t>
                  </m:r>
                </m:sub>
              </m:sSub>
              <m:r>
                <m:rPr>
                  <m:sty m:val="p"/>
                </m:rPr>
                <m:t>ln</m:t>
              </m:r>
              <m:r>
                <m:rPr>
                  <m:sty m:val="p"/>
                </m:rPr>
                <m:t>(</m:t>
              </m:r>
              <m:sSub>
                <m:e>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C</m:t>
                  </m:r>
                  <m:r>
                    <m:rPr>
                      <m:sty m:val="p"/>
                    </m:rPr>
                    <m:t>o</m:t>
                  </m:r>
                  <m:r>
                    <m:rPr>
                      <m:sty m:val="p"/>
                    </m:rPr>
                    <m:t>s</m:t>
                  </m:r>
                  <m:r>
                    <m:rPr>
                      <m:sty m:val="p"/>
                    </m:rPr>
                    <m:t>t</m:t>
                  </m:r>
                </m:e>
                <m:sub>
                  <m:r>
                    <m:t>i</m:t>
                  </m:r>
                </m:sub>
              </m:sSub>
              <m:r>
                <m:rPr>
                  <m:sty m:val="p"/>
                </m:rPr>
                <m:t>)</m:t>
              </m:r>
              <m:r>
                <m:rPr>
                  <m:sty m:val="p"/>
                </m:rPr>
                <m:t>+</m:t>
              </m:r>
              <m:sSub>
                <m:e>
                  <m:r>
                    <m:t>β</m:t>
                  </m:r>
                </m:e>
                <m:sub>
                  <m:r>
                    <m:t>3</m:t>
                  </m:r>
                </m:sub>
              </m:sSub>
              <m:r>
                <m:rPr>
                  <m:sty m:val="p"/>
                </m:rPr>
                <m:t>ln</m:t>
              </m:r>
              <m:r>
                <m:rPr>
                  <m:sty m:val="p"/>
                </m:rPr>
                <m:t>(</m:t>
              </m:r>
              <m:sSub>
                <m:e>
                  <m:r>
                    <m:rPr>
                      <m:sty m:val="p"/>
                    </m:rPr>
                    <m:t>B</m:t>
                  </m:r>
                  <m:r>
                    <m:rPr>
                      <m:sty m:val="p"/>
                    </m:rPr>
                    <m:t>a</m:t>
                  </m:r>
                  <m:r>
                    <m:rPr>
                      <m:sty m:val="p"/>
                    </m:rPr>
                    <m:t>s</m:t>
                  </m:r>
                  <m:r>
                    <m:rPr>
                      <m:sty m:val="p"/>
                    </m:rPr>
                    <m:t>e</m:t>
                  </m:r>
                  <m:r>
                    <m:rPr>
                      <m:sty m:val="p"/>
                    </m:rPr>
                    <m:t>l</m:t>
                  </m:r>
                  <m:r>
                    <m:rPr>
                      <m:sty m:val="p"/>
                    </m:rPr>
                    <m:t>i</m:t>
                  </m:r>
                  <m:r>
                    <m:rPr>
                      <m:sty m:val="p"/>
                    </m:rPr>
                    <m:t>n</m:t>
                  </m:r>
                  <m:r>
                    <m:rPr>
                      <m:sty m:val="p"/>
                    </m:rPr>
                    <m:t>e</m:t>
                  </m:r>
                  <m:r>
                    <m:rPr>
                      <m:sty m:val="p"/>
                    </m:rPr>
                    <m:t>L</m:t>
                  </m:r>
                  <m:r>
                    <m:rPr>
                      <m:sty m:val="p"/>
                    </m:rPr>
                    <m:t>R</m:t>
                  </m:r>
                  <m:r>
                    <m:rPr>
                      <m:sty m:val="p"/>
                    </m:rPr>
                    <m:t>D</m:t>
                  </m:r>
                </m:e>
                <m:sub>
                  <m:r>
                    <m:t>i</m:t>
                  </m:r>
                </m:sub>
              </m:sSub>
              <m:r>
                <m:rPr>
                  <m:sty m:val="p"/>
                </m:rPr>
                <m:t>)</m:t>
              </m:r>
            </m:e>
          </m:d>
        </m:oMath>
      </m:oMathPara>
    </w:p>
    <w:bookmarkStart w:id="184"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-2.1106</w:t>
            </w:r>
          </w:p>
        </w:tc>
        <w:tc>
          <w:tcPr>
            <w:tcW w:w="0" w:type="auto"/>
          </w:tcPr>
          <w:p>
            <w:pPr>
              <w:spacing w:line="240" w:lineRule="auto" w:before="0" w:after="0"/>
              <w:pStyle w:val="Compact"/>
            </w:pPr>
            <w:r>
              <w:rPr>
                <w:sz w:val="20"/>
                <w:szCs w:val="20"/>
              </w:rPr>
              <w:t xml:space="preserve">5.368</w:t>
            </w:r>
          </w:p>
        </w:tc>
        <w:tc>
          <w:tcPr>
            <w:tcW w:w="0" w:type="auto"/>
          </w:tcPr>
          <w:p>
            <w:pPr>
              <w:spacing w:line="240" w:lineRule="auto" w:before="0" w:after="0"/>
              <w:pStyle w:val="Compact"/>
            </w:pPr>
            <w:r>
              <w:rPr>
                <w:sz w:val="20"/>
                <w:szCs w:val="20"/>
              </w:rPr>
              <w:t xml:space="preserve">-0.3932</w:t>
            </w:r>
          </w:p>
        </w:tc>
        <w:tc>
          <w:tcPr>
            <w:tcW w:w="0" w:type="auto"/>
          </w:tcPr>
          <w:p>
            <w:pPr>
              <w:spacing w:line="240" w:lineRule="auto" w:before="0" w:after="0"/>
              <w:pStyle w:val="Compact"/>
            </w:pPr>
            <w:r>
              <w:rPr>
                <w:sz w:val="20"/>
                <w:szCs w:val="20"/>
              </w:rPr>
              <w:t xml:space="preserve">0.6942</w:t>
            </w:r>
          </w:p>
        </w:tc>
        <w:tc>
          <w:tcPr>
            <w:tcW w:w="0" w:type="auto"/>
          </w:tcPr>
          <w:p>
            <w:pPr>
              <w:spacing w:line="240" w:lineRule="auto" w:before="0" w:after="0"/>
              <w:pStyle w:val="Compact"/>
            </w:pPr>
            <w:r>
              <w:rPr>
                <w:sz w:val="20"/>
                <w:szCs w:val="20"/>
              </w:rPr>
              <w:t xml:space="preserve">[-12.6317, 8.4105]</w:t>
            </w:r>
          </w:p>
        </w:tc>
      </w:tr>
      <w:tr>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0.1028</w:t>
            </w:r>
          </w:p>
        </w:tc>
        <w:tc>
          <w:tcPr>
            <w:tcW w:w="0" w:type="auto"/>
          </w:tcPr>
          <w:p>
            <w:pPr>
              <w:spacing w:line="240" w:lineRule="auto" w:before="0" w:after="0"/>
              <w:pStyle w:val="Compact"/>
            </w:pPr>
            <w:r>
              <w:rPr>
                <w:sz w:val="20"/>
                <w:szCs w:val="20"/>
              </w:rPr>
              <w:t xml:space="preserve">0.8603</w:t>
            </w:r>
          </w:p>
        </w:tc>
        <w:tc>
          <w:tcPr>
            <w:tcW w:w="0" w:type="auto"/>
          </w:tcPr>
          <w:p>
            <w:pPr>
              <w:spacing w:line="240" w:lineRule="auto" w:before="0" w:after="0"/>
              <w:pStyle w:val="Compact"/>
            </w:pPr>
            <w:r>
              <w:rPr>
                <w:sz w:val="20"/>
                <w:szCs w:val="20"/>
              </w:rPr>
              <w:t xml:space="preserve">0.1195</w:t>
            </w:r>
          </w:p>
        </w:tc>
        <w:tc>
          <w:tcPr>
            <w:tcW w:w="0" w:type="auto"/>
          </w:tcPr>
          <w:p>
            <w:pPr>
              <w:spacing w:line="240" w:lineRule="auto" w:before="0" w:after="0"/>
              <w:pStyle w:val="Compact"/>
            </w:pPr>
            <w:r>
              <w:rPr>
                <w:sz w:val="20"/>
                <w:szCs w:val="20"/>
              </w:rPr>
              <w:t xml:space="preserve">0.9049</w:t>
            </w:r>
          </w:p>
        </w:tc>
        <w:tc>
          <w:tcPr>
            <w:tcW w:w="0" w:type="auto"/>
          </w:tcPr>
          <w:p>
            <w:pPr>
              <w:spacing w:line="240" w:lineRule="auto" w:before="0" w:after="0"/>
              <w:pStyle w:val="Compact"/>
            </w:pPr>
            <w:r>
              <w:rPr>
                <w:sz w:val="20"/>
                <w:szCs w:val="20"/>
              </w:rPr>
              <w:t xml:space="preserve">[-1.5834, 1.789]</w:t>
            </w:r>
          </w:p>
        </w:tc>
      </w:tr>
      <w:tr>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-0.2881</w:t>
            </w:r>
          </w:p>
        </w:tc>
        <w:tc>
          <w:tcPr>
            <w:tcW w:w="0" w:type="auto"/>
          </w:tcPr>
          <w:p>
            <w:pPr>
              <w:spacing w:line="240" w:lineRule="auto" w:before="0" w:after="0"/>
              <w:pStyle w:val="Compact"/>
            </w:pPr>
            <w:r>
              <w:rPr>
                <w:sz w:val="20"/>
                <w:szCs w:val="20"/>
              </w:rPr>
              <w:t xml:space="preserve">0.4399</w:t>
            </w:r>
          </w:p>
        </w:tc>
        <w:tc>
          <w:tcPr>
            <w:tcW w:w="0" w:type="auto"/>
          </w:tcPr>
          <w:p>
            <w:pPr>
              <w:spacing w:line="240" w:lineRule="auto" w:before="0" w:after="0"/>
              <w:pStyle w:val="Compact"/>
            </w:pPr>
            <w:r>
              <w:rPr>
                <w:sz w:val="20"/>
                <w:szCs w:val="20"/>
              </w:rPr>
              <w:t xml:space="preserve">-0.655</w:t>
            </w:r>
          </w:p>
        </w:tc>
        <w:tc>
          <w:tcPr>
            <w:tcW w:w="0" w:type="auto"/>
          </w:tcPr>
          <w:p>
            <w:pPr>
              <w:spacing w:line="240" w:lineRule="auto" w:before="0" w:after="0"/>
              <w:pStyle w:val="Compact"/>
            </w:pPr>
            <w:r>
              <w:rPr>
                <w:sz w:val="20"/>
                <w:szCs w:val="20"/>
              </w:rPr>
              <w:t xml:space="preserve">0.5125</w:t>
            </w:r>
          </w:p>
        </w:tc>
        <w:tc>
          <w:tcPr>
            <w:tcW w:w="0" w:type="auto"/>
          </w:tcPr>
          <w:p>
            <w:pPr>
              <w:spacing w:line="240" w:lineRule="auto" w:before="0" w:after="0"/>
              <w:pStyle w:val="Compact"/>
            </w:pPr>
            <w:r>
              <w:rPr>
                <w:sz w:val="20"/>
                <w:szCs w:val="20"/>
              </w:rPr>
              <w:t xml:space="preserve">[-1.1502, 0.574]</w:t>
            </w:r>
          </w:p>
        </w:tc>
      </w:tr>
      <w:tr>
        <w:tc>
          <w:tcPr>
            <w:tcW w:w="0" w:type="auto"/>
          </w:tcPr>
          <w:p>
            <w:pPr>
              <w:spacing w:line="240" w:lineRule="auto" w:before="0" w:after="0"/>
              <w:pStyle w:val="Compact"/>
            </w:pPr>
            <w:r>
              <w:rPr>
                <w:sz w:val="20"/>
                <w:szCs w:val="20"/>
              </w:rPr>
              <w:t xml:space="preserve">log_baseline_lrd</w:t>
            </w:r>
          </w:p>
        </w:tc>
        <w:tc>
          <w:tcPr>
            <w:tcW w:w="0" w:type="auto"/>
          </w:tcPr>
          <w:p>
            <w:pPr>
              <w:spacing w:line="240" w:lineRule="auto" w:before="0" w:after="0"/>
              <w:pStyle w:val="Compact"/>
            </w:pPr>
            <w:r>
              <w:rPr>
                <w:sz w:val="20"/>
                <w:szCs w:val="20"/>
              </w:rPr>
              <w:t xml:space="preserve">0.9697</w:t>
            </w:r>
          </w:p>
        </w:tc>
        <w:tc>
          <w:tcPr>
            <w:tcW w:w="0" w:type="auto"/>
          </w:tcPr>
          <w:p>
            <w:pPr>
              <w:spacing w:line="240" w:lineRule="auto" w:before="0" w:after="0"/>
              <w:pStyle w:val="Compact"/>
            </w:pPr>
            <w:r>
              <w:rPr>
                <w:sz w:val="20"/>
                <w:szCs w:val="20"/>
              </w:rPr>
              <w:t xml:space="preserve">1.9119</w:t>
            </w:r>
          </w:p>
        </w:tc>
        <w:tc>
          <w:tcPr>
            <w:tcW w:w="0" w:type="auto"/>
          </w:tcPr>
          <w:p>
            <w:pPr>
              <w:spacing w:line="240" w:lineRule="auto" w:before="0" w:after="0"/>
              <w:pStyle w:val="Compact"/>
            </w:pPr>
            <w:r>
              <w:rPr>
                <w:sz w:val="20"/>
                <w:szCs w:val="20"/>
              </w:rPr>
              <w:t xml:space="preserve">0.5072</w:t>
            </w:r>
          </w:p>
        </w:tc>
        <w:tc>
          <w:tcPr>
            <w:tcW w:w="0" w:type="auto"/>
          </w:tcPr>
          <w:p>
            <w:pPr>
              <w:spacing w:line="240" w:lineRule="auto" w:before="0" w:after="0"/>
              <w:pStyle w:val="Compact"/>
            </w:pPr>
            <w:r>
              <w:rPr>
                <w:sz w:val="20"/>
                <w:szCs w:val="20"/>
              </w:rPr>
              <w:t xml:space="preserve">0.612</w:t>
            </w:r>
          </w:p>
        </w:tc>
        <w:tc>
          <w:tcPr>
            <w:tcW w:w="0" w:type="auto"/>
          </w:tcPr>
          <w:p>
            <w:pPr>
              <w:spacing w:line="240" w:lineRule="auto" w:before="0" w:after="0"/>
              <w:pStyle w:val="Compact"/>
            </w:pPr>
            <w:r>
              <w:rPr>
                <w:sz w:val="20"/>
                <w:szCs w:val="20"/>
              </w:rPr>
              <w:t xml:space="preserve">[-2.7776, 4.7169]</w:t>
            </w:r>
          </w:p>
        </w:tc>
      </w:tr>
    </w:tbl>
    <w:p>
      <w:pPr>
        <w:pStyle w:val="BodyText"/>
        <w:spacing w:line="480" w:lineRule="auto"/>
        <w:ind w:firstLine="720"/>
      </w:pPr>
      <w:r>
        <w:t xml:space="preserve">Fit: N = 30 pseudo_R2 = 0.011 LL = -20.4992</w:t>
      </w:r>
    </w:p>
    <w:bookmarkEnd w:id="184"/>
    <w:bookmarkStart w:id="188"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Cost growth versus baseline cost across 30 NASA major projects, with cislunar missions (squares) distinguished from non-cislunar comparators (circles); horizontal reference line marks the 25 percent major-growth threshold used as the logit outcome." title="" id="186" name="Picture"/>
            <a:graphic>
              <a:graphicData uri="http://schemas.openxmlformats.org/drawingml/2006/picture">
                <pic:pic>
                  <pic:nvPicPr>
                    <pic:cNvPr descr="D:/Claude_Code/brain/collegium/candidates/dissertations/JPL_INSTRUMENTS_NAV_11/research_papers/p1/paper_fig1.png" id="187" name="Picture"/>
                    <pic:cNvPicPr>
                      <a:picLocks noChangeArrowheads="1" noChangeAspect="1"/>
                    </pic:cNvPicPr>
                  </pic:nvPicPr>
                  <pic:blipFill>
                    <a:blip r:embed="rId18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Cost growth versus baseline cost across 30 NASA major projects, with cislunar missions (squares) distinguished from non-cislunar comparators (circles); horizontal reference line marks the 25 percent major-growth threshold used as the logit outcome.</w:t>
      </w:r>
    </w:p>
    <w:bookmarkEnd w:id="188"/>
    <w:bookmarkStart w:id="189"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528"/>
        <w:gridCol w:w="528"/>
        <w:gridCol w:w="528"/>
        <w:gridCol w:w="528"/>
        <w:gridCol w:w="528"/>
        <w:gridCol w:w="528"/>
        <w:gridCol w:w="528"/>
        <w:gridCol w:w="528"/>
        <w:gridCol w:w="528"/>
        <w:gridCol w:w="528"/>
        <w:gridCol w:w="528"/>
        <w:gridCol w:w="528"/>
        <w:gridCol w:w="528"/>
        <w:gridCol w:w="528"/>
        <w:gridCol w:w="528"/>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abp_year</w:t>
            </w:r>
          </w:p>
        </w:tc>
        <w:tc>
          <w:tcPr>
            <w:tcW w:w="0" w:type="auto"/>
          </w:tcPr>
          <w:p>
            <w:pPr>
              <w:spacing w:line="240" w:lineRule="auto" w:before="0" w:after="0"/>
              <w:pStyle w:val="Compact"/>
            </w:pPr>
            <w:r>
              <w:rPr>
                <w:sz w:val="20"/>
                <w:szCs w:val="20"/>
              </w:rPr>
              <w:t xml:space="preserve">baseline_cost_musd</w:t>
            </w:r>
          </w:p>
        </w:tc>
        <w:tc>
          <w:tcPr>
            <w:tcW w:w="0" w:type="auto"/>
          </w:tcPr>
          <w:p>
            <w:pPr>
              <w:spacing w:line="240" w:lineRule="auto" w:before="0" w:after="0"/>
              <w:pStyle w:val="Compact"/>
            </w:pPr>
            <w:r>
              <w:rPr>
                <w:sz w:val="20"/>
                <w:szCs w:val="20"/>
              </w:rPr>
              <w:t xml:space="preserve">current_cost_musd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baseline_lrd_months</w:t>
            </w:r>
          </w:p>
        </w:tc>
        <w:tc>
          <w:tcPr>
            <w:tcW w:w="0" w:type="auto"/>
          </w:tcPr>
          <w:p>
            <w:pPr>
              <w:spacing w:line="240" w:lineRule="auto" w:before="0" w:after="0"/>
              <w:pStyle w:val="Compact"/>
            </w:pPr>
            <w:r>
              <w:rPr>
                <w:sz w:val="20"/>
                <w:szCs w:val="20"/>
              </w:rPr>
              <w:t xml:space="preserve">current_lrd_months</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sponsor_directorate</w:t>
            </w:r>
          </w:p>
        </w:tc>
        <w:tc>
          <w:tcPr>
            <w:tcW w:w="0" w:type="auto"/>
          </w:tcPr>
          <w:p>
            <w:pPr>
              <w:spacing w:line="240" w:lineRule="auto" w:before="0" w:after="0"/>
              <w:pStyle w:val="Compact"/>
            </w:pPr>
            <w:r>
              <w:rPr>
                <w:sz w:val="20"/>
                <w:szCs w:val="20"/>
              </w:rPr>
              <w:t xml:space="preserve">contracting_instrument</w:t>
            </w:r>
          </w:p>
        </w:tc>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log_baseline_lrd</w:t>
            </w:r>
          </w:p>
        </w:tc>
        <w:tc>
          <w:tcPr>
            <w:tcW w:w="0" w:type="auto"/>
          </w:tcPr>
          <w:p>
            <w:pPr>
              <w:spacing w:line="240" w:lineRule="auto" w:before="0" w:after="0"/>
              <w:pStyle w:val="Compact"/>
            </w:pPr>
            <w:r>
              <w:rPr>
                <w:sz w:val="20"/>
                <w:szCs w:val="20"/>
              </w:rPr>
              <w:t xml:space="preserve">major_growth</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11300</w:t>
            </w:r>
          </w:p>
        </w:tc>
        <w:tc>
          <w:tcPr>
            <w:tcW w:w="0" w:type="auto"/>
          </w:tcPr>
          <w:p>
            <w:pPr>
              <w:spacing w:line="240" w:lineRule="auto" w:before="0" w:after="0"/>
              <w:pStyle w:val="Compact"/>
            </w:pPr>
            <w:r>
              <w:rPr>
                <w:sz w:val="20"/>
                <w:szCs w:val="20"/>
              </w:rPr>
              <w:t xml:space="preserve">14500</w:t>
            </w:r>
          </w:p>
        </w:tc>
        <w:tc>
          <w:tcPr>
            <w:tcW w:w="0" w:type="auto"/>
          </w:tcPr>
          <w:p>
            <w:pPr>
              <w:spacing w:line="240" w:lineRule="auto" w:before="0" w:after="0"/>
              <w:pStyle w:val="Compact"/>
            </w:pPr>
            <w:r>
              <w:rPr>
                <w:sz w:val="20"/>
                <w:szCs w:val="20"/>
              </w:rPr>
              <w:t xml:space="preserve">28.32</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128</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9.3326</w:t>
            </w:r>
          </w:p>
        </w:tc>
        <w:tc>
          <w:tcPr>
            <w:tcW w:w="0" w:type="auto"/>
          </w:tcPr>
          <w:p>
            <w:pPr>
              <w:spacing w:line="240" w:lineRule="auto" w:before="0" w:after="0"/>
              <w:pStyle w:val="Compact"/>
            </w:pPr>
            <w:r>
              <w:rPr>
                <w:sz w:val="20"/>
                <w:szCs w:val="20"/>
              </w:rPr>
              <w:t xml:space="preserve">4.5326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(2025); GAO-24-106767 (2024); NASA OIG IG-20-018</w:t>
            </w:r>
          </w:p>
        </w:tc>
      </w:tr>
      <w:tr>
        <w:tc>
          <w:tcPr>
            <w:tcW w:w="0" w:type="auto"/>
          </w:tcPr>
          <w:p>
            <w:pPr>
              <w:spacing w:line="240" w:lineRule="auto" w:before="0" w:after="0"/>
              <w:pStyle w:val="Compact"/>
            </w:pPr>
            <w:r>
              <w:rPr>
                <w:sz w:val="20"/>
                <w:szCs w:val="20"/>
              </w:rPr>
              <w:t xml:space="preserve">SLS Block 1B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4995</w:t>
            </w:r>
          </w:p>
        </w:tc>
        <w:tc>
          <w:tcPr>
            <w:tcW w:w="0" w:type="auto"/>
          </w:tcPr>
          <w:p>
            <w:pPr>
              <w:spacing w:line="240" w:lineRule="auto" w:before="0" w:after="0"/>
              <w:pStyle w:val="Compact"/>
            </w:pPr>
            <w:r>
              <w:rPr>
                <w:sz w:val="20"/>
                <w:szCs w:val="20"/>
              </w:rPr>
              <w:t xml:space="preserve">5700</w:t>
            </w:r>
          </w:p>
        </w:tc>
        <w:tc>
          <w:tcPr>
            <w:tcW w:w="0" w:type="auto"/>
          </w:tcPr>
          <w:p>
            <w:pPr>
              <w:spacing w:line="240" w:lineRule="auto" w:before="0" w:after="0"/>
              <w:pStyle w:val="Compact"/>
            </w:pPr>
            <w:r>
              <w:rPr>
                <w:sz w:val="20"/>
                <w:szCs w:val="20"/>
              </w:rPr>
              <w:t xml:space="preserve">14.11</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8.5162</w:t>
            </w:r>
          </w:p>
        </w:tc>
        <w:tc>
          <w:tcPr>
            <w:tcW w:w="0" w:type="auto"/>
          </w:tcPr>
          <w:p>
            <w:pPr>
              <w:spacing w:line="240" w:lineRule="auto" w:before="0" w:after="0"/>
              <w:pStyle w:val="Compact"/>
            </w:pPr>
            <w:r>
              <w:rPr>
                <w:sz w:val="20"/>
                <w:szCs w:val="20"/>
              </w:rPr>
              <w:t xml:space="preserve">4.0943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IG-24-015 (Aug 2024); GAO-24-106767 (2024)</w:t>
            </w:r>
          </w:p>
        </w:tc>
      </w:tr>
      <w:tr>
        <w:tc>
          <w:tcPr>
            <w:tcW w:w="0" w:type="auto"/>
          </w:tcPr>
          <w:p>
            <w:pPr>
              <w:spacing w:line="240" w:lineRule="auto" w:before="0" w:after="0"/>
              <w:pStyle w:val="Compact"/>
            </w:pPr>
            <w:r>
              <w:rPr>
                <w:sz w:val="20"/>
                <w:szCs w:val="20"/>
              </w:rPr>
              <w:t xml:space="preserve">Gateway Initial Capability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3562</w:t>
            </w:r>
          </w:p>
        </w:tc>
        <w:tc>
          <w:tcPr>
            <w:tcW w:w="0" w:type="auto"/>
          </w:tcPr>
          <w:p>
            <w:pPr>
              <w:spacing w:line="240" w:lineRule="auto" w:before="0" w:after="0"/>
              <w:pStyle w:val="Compact"/>
            </w:pPr>
            <w:r>
              <w:rPr>
                <w:sz w:val="20"/>
                <w:szCs w:val="20"/>
              </w:rPr>
              <w:t xml:space="preserve">5300</w:t>
            </w:r>
          </w:p>
        </w:tc>
        <w:tc>
          <w:tcPr>
            <w:tcW w:w="0" w:type="auto"/>
          </w:tcPr>
          <w:p>
            <w:pPr>
              <w:spacing w:line="240" w:lineRule="auto" w:before="0" w:after="0"/>
              <w:pStyle w:val="Compact"/>
            </w:pPr>
            <w:r>
              <w:rPr>
                <w:sz w:val="20"/>
                <w:szCs w:val="20"/>
              </w:rPr>
              <w:t xml:space="preserve">48.79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mixed</w:t>
            </w:r>
          </w:p>
        </w:tc>
        <w:tc>
          <w:tcPr>
            <w:tcW w:w="0" w:type="auto"/>
          </w:tcPr>
          <w:p>
            <w:pPr>
              <w:spacing w:line="240" w:lineRule="auto" w:before="0" w:after="0"/>
              <w:pStyle w:val="Compact"/>
            </w:pPr>
            <w:r>
              <w:rPr>
                <w:sz w:val="20"/>
                <w:szCs w:val="20"/>
              </w:rPr>
              <w:t xml:space="preserve">8.1781</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GAO-24-106878 (2024); GAO-24-106767 (2024)</w:t>
            </w:r>
          </w:p>
        </w:tc>
      </w:tr>
      <w:tr>
        <w:tc>
          <w:tcPr>
            <w:tcW w:w="0" w:type="auto"/>
          </w:tcPr>
          <w:p>
            <w:pPr>
              <w:spacing w:line="240" w:lineRule="auto" w:before="0" w:after="0"/>
              <w:pStyle w:val="Compact"/>
            </w:pPr>
            <w:r>
              <w:rPr>
                <w:sz w:val="20"/>
                <w:szCs w:val="20"/>
              </w:rPr>
              <w:t xml:space="preserve">HLS Initial Capability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2890</w:t>
            </w:r>
          </w:p>
        </w:tc>
        <w:tc>
          <w:tcPr>
            <w:tcW w:w="0" w:type="auto"/>
          </w:tcPr>
          <w:p>
            <w:pPr>
              <w:spacing w:line="240" w:lineRule="auto" w:before="0" w:after="0"/>
              <w:pStyle w:val="Compact"/>
            </w:pPr>
            <w:r>
              <w:rPr>
                <w:sz w:val="20"/>
                <w:szCs w:val="20"/>
              </w:rPr>
              <w:t xml:space="preserve">2890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ESDMD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7.969</w:t>
            </w:r>
          </w:p>
        </w:tc>
        <w:tc>
          <w:tcPr>
            <w:tcW w:w="0" w:type="auto"/>
          </w:tcPr>
          <w:p>
            <w:pPr>
              <w:spacing w:line="240" w:lineRule="auto" w:before="0" w:after="0"/>
              <w:pStyle w:val="Compact"/>
            </w:pPr>
            <w:r>
              <w:rPr>
                <w:sz w:val="20"/>
                <w:szCs w:val="20"/>
              </w:rPr>
              <w:t xml:space="preserve">3.9703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(2025); NASA HLS contract Apr 2021</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433.5</w:t>
            </w:r>
          </w:p>
        </w:tc>
        <w:tc>
          <w:tcPr>
            <w:tcW w:w="0" w:type="auto"/>
          </w:tcPr>
          <w:p>
            <w:pPr>
              <w:spacing w:line="240" w:lineRule="auto" w:before="0" w:after="0"/>
              <w:pStyle w:val="Compact"/>
            </w:pPr>
            <w:r>
              <w:rPr>
                <w:sz w:val="20"/>
                <w:szCs w:val="20"/>
              </w:rPr>
              <w:t xml:space="preserve">609.6</w:t>
            </w:r>
          </w:p>
        </w:tc>
        <w:tc>
          <w:tcPr>
            <w:tcW w:w="0" w:type="auto"/>
          </w:tcPr>
          <w:p>
            <w:pPr>
              <w:spacing w:line="240" w:lineRule="auto" w:before="0" w:after="0"/>
              <w:pStyle w:val="Compact"/>
            </w:pPr>
            <w:r>
              <w:rPr>
                <w:sz w:val="20"/>
                <w:szCs w:val="20"/>
              </w:rPr>
              <w:t xml:space="preserve">40.62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6.0719</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news release 2024-07; SpacePolicyOnline 2024-07; cancelled 2024</w:t>
            </w:r>
          </w:p>
        </w:tc>
      </w:tr>
      <w:tr>
        <w:tc>
          <w:tcPr>
            <w:tcW w:w="0" w:type="auto"/>
          </w:tcPr>
          <w:p>
            <w:pPr>
              <w:spacing w:line="240" w:lineRule="auto" w:before="0" w:after="0"/>
              <w:pStyle w:val="Compact"/>
            </w:pPr>
            <w:r>
              <w:rPr>
                <w:sz w:val="20"/>
                <w:szCs w:val="20"/>
              </w:rPr>
              <w:t xml:space="preserve">Lunar Trailblazer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14.55</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4.0073</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Caltech Trailblazer cost review page; Wikipedia Lunar Trailblazer</w:t>
            </w:r>
          </w:p>
        </w:tc>
      </w:tr>
      <w:tr>
        <w:tc>
          <w:tcPr>
            <w:tcW w:w="0" w:type="auto"/>
          </w:tcPr>
          <w:p>
            <w:pPr>
              <w:spacing w:line="240" w:lineRule="auto" w:before="0" w:after="0"/>
              <w:pStyle w:val="Compact"/>
            </w:pPr>
            <w:r>
              <w:rPr>
                <w:sz w:val="20"/>
                <w:szCs w:val="20"/>
              </w:rPr>
              <w:t xml:space="preserve">CLPS IM-1 Nova-C</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53.25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4.3438</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 Order awards; Intuitive Machines IM-1 mission record</w:t>
            </w:r>
          </w:p>
        </w:tc>
      </w:tr>
      <w:tr>
        <w:tc>
          <w:tcPr>
            <w:tcW w:w="0" w:type="auto"/>
          </w:tcPr>
          <w:p>
            <w:pPr>
              <w:spacing w:line="240" w:lineRule="auto" w:before="0" w:after="0"/>
              <w:pStyle w:val="Compact"/>
            </w:pPr>
            <w:r>
              <w:rPr>
                <w:sz w:val="20"/>
                <w:szCs w:val="20"/>
              </w:rPr>
              <w:t xml:space="preserve">CLPS Peregrine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79.5</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35.85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4.3758</w:t>
            </w:r>
          </w:p>
        </w:tc>
        <w:tc>
          <w:tcPr>
            <w:tcW w:w="0" w:type="auto"/>
          </w:tcPr>
          <w:p>
            <w:pPr>
              <w:spacing w:line="240" w:lineRule="auto" w:before="0" w:after="0"/>
              <w:pStyle w:val="Compact"/>
            </w:pPr>
            <w:r>
              <w:rPr>
                <w:sz w:val="20"/>
                <w:szCs w:val="20"/>
              </w:rPr>
              <w:t xml:space="preserve">3.3322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Task Order awards 2019; Astrobotic Peregrine M1 record</w:t>
            </w:r>
          </w:p>
        </w:tc>
      </w:tr>
      <w:tr>
        <w:tc>
          <w:tcPr>
            <w:tcW w:w="0" w:type="auto"/>
          </w:tcPr>
          <w:p>
            <w:pPr>
              <w:spacing w:line="240" w:lineRule="auto" w:before="0" w:after="0"/>
              <w:pStyle w:val="Compact"/>
            </w:pPr>
            <w:r>
              <w:rPr>
                <w:sz w:val="20"/>
                <w:szCs w:val="20"/>
              </w:rPr>
              <w:t xml:space="preserve">CLPS Blue Ghost M1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101</w:t>
            </w:r>
          </w:p>
        </w:tc>
        <w:tc>
          <w:tcPr>
            <w:tcW w:w="0" w:type="auto"/>
          </w:tcPr>
          <w:p>
            <w:pPr>
              <w:spacing w:line="240" w:lineRule="auto" w:before="0" w:after="0"/>
              <w:pStyle w:val="Compact"/>
            </w:pPr>
            <w:r>
              <w:rPr>
                <w:sz w:val="20"/>
                <w:szCs w:val="20"/>
              </w:rPr>
              <w:t xml:space="preserve">8.25</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4.5358</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CLPS Task Order to Firefly 2021; mission flown Mar 2025</w:t>
            </w:r>
          </w:p>
        </w:tc>
      </w:tr>
      <w:tr>
        <w:tc>
          <w:tcPr>
            <w:tcW w:w="0" w:type="auto"/>
          </w:tcPr>
          <w:p>
            <w:pPr>
              <w:spacing w:line="240" w:lineRule="auto" w:before="0" w:after="0"/>
              <w:pStyle w:val="Compact"/>
            </w:pPr>
            <w:r>
              <w:rPr>
                <w:sz w:val="20"/>
                <w:szCs w:val="20"/>
              </w:rPr>
              <w:t xml:space="preserve">CAPSTONE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13.7</w:t>
            </w:r>
          </w:p>
        </w:tc>
        <w:tc>
          <w:tcPr>
            <w:tcW w:w="0" w:type="auto"/>
          </w:tcPr>
          <w:p>
            <w:pPr>
              <w:spacing w:line="240" w:lineRule="auto" w:before="0" w:after="0"/>
              <w:pStyle w:val="Compact"/>
            </w:pPr>
            <w:r>
              <w:rPr>
                <w:sz w:val="20"/>
                <w:szCs w:val="20"/>
              </w:rPr>
              <w:t xml:space="preserve">32.7</w:t>
            </w:r>
          </w:p>
        </w:tc>
        <w:tc>
          <w:tcPr>
            <w:tcW w:w="0" w:type="auto"/>
          </w:tcPr>
          <w:p>
            <w:pPr>
              <w:spacing w:line="240" w:lineRule="auto" w:before="0" w:after="0"/>
              <w:pStyle w:val="Compact"/>
            </w:pPr>
            <w:r>
              <w:rPr>
                <w:sz w:val="20"/>
                <w:szCs w:val="20"/>
              </w:rPr>
              <w:t xml:space="preserve">138.69</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2.6174</w:t>
            </w:r>
          </w:p>
        </w:tc>
        <w:tc>
          <w:tcPr>
            <w:tcW w:w="0" w:type="auto"/>
          </w:tcPr>
          <w:p>
            <w:pPr>
              <w:spacing w:line="240" w:lineRule="auto" w:before="0" w:after="0"/>
              <w:pStyle w:val="Compact"/>
            </w:pPr>
            <w:r>
              <w:rPr>
                <w:sz w:val="20"/>
                <w:szCs w:val="20"/>
              </w:rPr>
              <w:t xml:space="preserve">2.8904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Advanced Space CAPSTONE program; NASA press kit; launched Jun 2022</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504</w:t>
            </w:r>
          </w:p>
        </w:tc>
        <w:tc>
          <w:tcPr>
            <w:tcW w:w="0" w:type="auto"/>
          </w:tcPr>
          <w:p>
            <w:pPr>
              <w:spacing w:line="240" w:lineRule="auto" w:before="0" w:after="0"/>
              <w:pStyle w:val="Compact"/>
            </w:pPr>
            <w:r>
              <w:rPr>
                <w:sz w:val="20"/>
                <w:szCs w:val="20"/>
              </w:rPr>
              <w:t xml:space="preserve">504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6.2226</w:t>
            </w:r>
          </w:p>
        </w:tc>
        <w:tc>
          <w:tcPr>
            <w:tcW w:w="0" w:type="auto"/>
          </w:tcPr>
          <w:p>
            <w:pPr>
              <w:spacing w:line="240" w:lineRule="auto" w:before="0" w:after="0"/>
              <w:pStyle w:val="Compact"/>
            </w:pPr>
            <w:r>
              <w:rPr>
                <w:sz w:val="20"/>
                <w:szCs w:val="20"/>
              </w:rPr>
              <w:t xml:space="preserve">3.7377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NSSDCA LRO record; GAO-09-326SP</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263</w:t>
            </w:r>
          </w:p>
        </w:tc>
        <w:tc>
          <w:tcPr>
            <w:tcW w:w="0" w:type="auto"/>
          </w:tcPr>
          <w:p>
            <w:pPr>
              <w:spacing w:line="240" w:lineRule="auto" w:before="0" w:after="0"/>
              <w:pStyle w:val="Compact"/>
            </w:pPr>
            <w:r>
              <w:rPr>
                <w:sz w:val="20"/>
                <w:szCs w:val="20"/>
              </w:rPr>
              <w:t xml:space="preserve">280</w:t>
            </w:r>
          </w:p>
        </w:tc>
        <w:tc>
          <w:tcPr>
            <w:tcW w:w="0" w:type="auto"/>
          </w:tcPr>
          <w:p>
            <w:pPr>
              <w:spacing w:line="240" w:lineRule="auto" w:before="0" w:after="0"/>
              <w:pStyle w:val="Compact"/>
            </w:pPr>
            <w:r>
              <w:rPr>
                <w:sz w:val="20"/>
                <w:szCs w:val="20"/>
              </w:rPr>
              <w:t xml:space="preserve">6.46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5.5722</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Ames LADEE press kit; NASA mission summary</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496</w:t>
            </w:r>
          </w:p>
        </w:tc>
        <w:tc>
          <w:tcPr>
            <w:tcW w:w="0" w:type="auto"/>
          </w:tcPr>
          <w:p>
            <w:pPr>
              <w:spacing w:line="240" w:lineRule="auto" w:before="0" w:after="0"/>
              <w:pStyle w:val="Compact"/>
            </w:pPr>
            <w:r>
              <w:rPr>
                <w:sz w:val="20"/>
                <w:szCs w:val="20"/>
              </w:rPr>
              <w:t xml:space="preserve">5.53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6.1527</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GRAIL press kit; NASA mission summary</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996.4</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20.43</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6.9041</w:t>
            </w:r>
          </w:p>
        </w:tc>
        <w:tc>
          <w:tcPr>
            <w:tcW w:w="0" w:type="auto"/>
          </w:tcPr>
          <w:p>
            <w:pPr>
              <w:spacing w:line="240" w:lineRule="auto" w:before="0" w:after="0"/>
              <w:pStyle w:val="Compact"/>
            </w:pPr>
            <w:r>
              <w:rPr>
                <w:sz w:val="20"/>
                <w:szCs w:val="20"/>
              </w:rPr>
              <w:t xml:space="preserve">4.0943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news release Jun 2022; GAO-22-105212; planetary.org Psyche</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22.35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8.3547</w:t>
            </w:r>
          </w:p>
        </w:tc>
        <w:tc>
          <w:tcPr>
            <w:tcW w:w="0" w:type="auto"/>
          </w:tcPr>
          <w:p>
            <w:pPr>
              <w:spacing w:line="240" w:lineRule="auto" w:before="0" w:after="0"/>
              <w:pStyle w:val="Compact"/>
            </w:pPr>
            <w:r>
              <w:rPr>
                <w:sz w:val="20"/>
                <w:szCs w:val="20"/>
              </w:rPr>
              <w:t xml:space="preserve">4.2767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(2024); SpacePolicyOnline cost growth article 2024</w:t>
            </w:r>
          </w:p>
        </w:tc>
      </w:tr>
      <w:tr>
        <w:tc>
          <w:tcPr>
            <w:tcW w:w="0" w:type="auto"/>
          </w:tcPr>
          <w:p>
            <w:pPr>
              <w:spacing w:line="240" w:lineRule="auto" w:before="0" w:after="0"/>
              <w:pStyle w:val="Compact"/>
            </w:pPr>
            <w:r>
              <w:rPr>
                <w:sz w:val="20"/>
                <w:szCs w:val="20"/>
              </w:rPr>
              <w:t xml:space="preserve">Mars Sample Return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7000</w:t>
            </w:r>
          </w:p>
        </w:tc>
        <w:tc>
          <w:tcPr>
            <w:tcW w:w="0" w:type="auto"/>
          </w:tcPr>
          <w:p>
            <w:pPr>
              <w:spacing w:line="240" w:lineRule="auto" w:before="0" w:after="0"/>
              <w:pStyle w:val="Compact"/>
            </w:pPr>
            <w:r>
              <w:rPr>
                <w:sz w:val="20"/>
                <w:szCs w:val="20"/>
              </w:rPr>
              <w:t xml:space="preserve">11000</w:t>
            </w:r>
          </w:p>
        </w:tc>
        <w:tc>
          <w:tcPr>
            <w:tcW w:w="0" w:type="auto"/>
          </w:tcPr>
          <w:p>
            <w:pPr>
              <w:spacing w:line="240" w:lineRule="auto" w:before="0" w:after="0"/>
              <w:pStyle w:val="Compact"/>
            </w:pPr>
            <w:r>
              <w:rPr>
                <w:sz w:val="20"/>
                <w:szCs w:val="20"/>
              </w:rPr>
              <w:t xml:space="preserve">57.14</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8.8537</w:t>
            </w:r>
          </w:p>
        </w:tc>
        <w:tc>
          <w:tcPr>
            <w:tcW w:w="0" w:type="auto"/>
          </w:tcPr>
          <w:p>
            <w:pPr>
              <w:spacing w:line="240" w:lineRule="auto" w:before="0" w:after="0"/>
              <w:pStyle w:val="Compact"/>
            </w:pPr>
            <w:r>
              <w:rPr>
                <w:sz w:val="20"/>
                <w:szCs w:val="20"/>
              </w:rPr>
              <w:t xml:space="preserve">5.0499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Administrator press 2024-04-15; MSR IRB-2 report; SpaceNews 2023-09</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39.58</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7.7832</w:t>
            </w:r>
          </w:p>
        </w:tc>
        <w:tc>
          <w:tcPr>
            <w:tcW w:w="0" w:type="auto"/>
          </w:tcPr>
          <w:p>
            <w:pPr>
              <w:spacing w:line="240" w:lineRule="auto" w:before="0" w:after="0"/>
              <w:pStyle w:val="Compact"/>
            </w:pPr>
            <w:r>
              <w:rPr>
                <w:sz w:val="20"/>
                <w:szCs w:val="20"/>
              </w:rPr>
              <w:t xml:space="preserve">4.4308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IG-25-011 (Sep 2025); SpaceNews 2024-04; NASA confirms cost 2024</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3934</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8.2774</w:t>
            </w:r>
          </w:p>
        </w:tc>
        <w:tc>
          <w:tcPr>
            <w:tcW w:w="0" w:type="auto"/>
          </w:tcPr>
          <w:p>
            <w:pPr>
              <w:spacing w:line="240" w:lineRule="auto" w:before="0" w:after="0"/>
              <w:pStyle w:val="Compact"/>
            </w:pPr>
            <w:r>
              <w:rPr>
                <w:sz w:val="20"/>
                <w:szCs w:val="20"/>
              </w:rPr>
              <w:t xml:space="preserve">4.4308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KDP-C 2020 baseline; OIG report on COVID impact; NASA Roman page 2025-12</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8.5172</w:t>
            </w:r>
          </w:p>
        </w:tc>
        <w:tc>
          <w:tcPr>
            <w:tcW w:w="0" w:type="auto"/>
          </w:tcPr>
          <w:p>
            <w:pPr>
              <w:spacing w:line="240" w:lineRule="auto" w:before="0" w:after="0"/>
              <w:pStyle w:val="Compact"/>
            </w:pPr>
            <w:r>
              <w:rPr>
                <w:sz w:val="20"/>
                <w:szCs w:val="20"/>
              </w:rPr>
              <w:t xml:space="preserve">4.4308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GAO-12-207SP; Wikipedia JWST cost summary; NASA JWST launch Dec 2021</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6.8886</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 Lucy cost article; Wikipedia Lucy; NASA Lucy launch Oct 2021</w:t>
            </w:r>
          </w:p>
        </w:tc>
      </w:tr>
      <w:tr>
        <w:tc>
          <w:tcPr>
            <w:tcW w:w="0" w:type="auto"/>
          </w:tcPr>
          <w:p>
            <w:pPr>
              <w:spacing w:line="240" w:lineRule="auto" w:before="0" w:after="0"/>
              <w:pStyle w:val="Compact"/>
            </w:pPr>
            <w:r>
              <w:rPr>
                <w:sz w:val="20"/>
                <w:szCs w:val="20"/>
              </w:rPr>
              <w:t xml:space="preserve">OSAM-1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808</w:t>
            </w:r>
          </w:p>
        </w:tc>
        <w:tc>
          <w:tcPr>
            <w:tcW w:w="0" w:type="auto"/>
          </w:tcPr>
          <w:p>
            <w:pPr>
              <w:spacing w:line="240" w:lineRule="auto" w:before="0" w:after="0"/>
              <w:pStyle w:val="Compact"/>
            </w:pPr>
            <w:r>
              <w:rPr>
                <w:sz w:val="20"/>
                <w:szCs w:val="20"/>
              </w:rPr>
              <w:t xml:space="preserve">2050</w:t>
            </w:r>
          </w:p>
        </w:tc>
        <w:tc>
          <w:tcPr>
            <w:tcW w:w="0" w:type="auto"/>
          </w:tcPr>
          <w:p>
            <w:pPr>
              <w:spacing w:line="240" w:lineRule="auto" w:before="0" w:after="0"/>
              <w:pStyle w:val="Compact"/>
            </w:pPr>
            <w:r>
              <w:rPr>
                <w:sz w:val="20"/>
                <w:szCs w:val="20"/>
              </w:rPr>
              <w:t xml:space="preserve">153.71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STMD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6.6946</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OIG IG-24-002 (Oct 2023); NASA news release 2024-03-01 cancellation</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750</w:t>
            </w:r>
          </w:p>
        </w:tc>
        <w:tc>
          <w:tcPr>
            <w:tcW w:w="0" w:type="auto"/>
          </w:tcPr>
          <w:p>
            <w:pPr>
              <w:spacing w:line="240" w:lineRule="auto" w:before="0" w:after="0"/>
              <w:pStyle w:val="Compact"/>
            </w:pPr>
            <w:r>
              <w:rPr>
                <w:sz w:val="20"/>
                <w:szCs w:val="20"/>
              </w:rPr>
              <w:t xml:space="preserve">15.38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6.477</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Landsat 9 GAO project information sheet; Wikipedia Landsat 9</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16.67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7.0901</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GAO-24-106767 (2024); NASA NEO Surveyor program page</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808</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85.64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6.6946</w:t>
            </w:r>
          </w:p>
        </w:tc>
        <w:tc>
          <w:tcPr>
            <w:tcW w:w="0" w:type="auto"/>
          </w:tcPr>
          <w:p>
            <w:pPr>
              <w:spacing w:line="240" w:lineRule="auto" w:before="0" w:after="0"/>
              <w:pStyle w:val="Compact"/>
            </w:pPr>
            <w:r>
              <w:rPr>
                <w:sz w:val="20"/>
                <w:szCs w:val="20"/>
              </w:rPr>
              <w:t xml:space="preserve">4.2767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NISAR press kit; ISRO-NASA joint mission record; launch Jul 2025</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308.5</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6.97</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5.7317</w:t>
            </w:r>
          </w:p>
        </w:tc>
        <w:tc>
          <w:tcPr>
            <w:tcW w:w="0" w:type="auto"/>
          </w:tcPr>
          <w:p>
            <w:pPr>
              <w:spacing w:line="240" w:lineRule="auto" w:before="0" w:after="0"/>
              <w:pStyle w:val="Compact"/>
            </w:pPr>
            <w:r>
              <w:rPr>
                <w:sz w:val="20"/>
                <w:szCs w:val="20"/>
              </w:rPr>
              <w:t xml:space="preserve">3.8712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APL DART press kit; impact 2022-09-26</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5.2983</w:t>
            </w:r>
          </w:p>
        </w:tc>
        <w:tc>
          <w:tcPr>
            <w:tcW w:w="0" w:type="auto"/>
          </w:tcPr>
          <w:p>
            <w:pPr>
              <w:spacing w:line="240" w:lineRule="auto" w:before="0" w:after="0"/>
              <w:pStyle w:val="Compact"/>
            </w:pPr>
            <w:r>
              <w:rPr>
                <w:sz w:val="20"/>
                <w:szCs w:val="20"/>
              </w:rPr>
              <w:t xml:space="preserve">3.7377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TESS press kit; mission summary</w:t>
            </w:r>
          </w:p>
        </w:tc>
      </w:tr>
      <w:tr>
        <w:tc>
          <w:tcPr>
            <w:tcW w:w="0" w:type="auto"/>
          </w:tcPr>
          <w:p>
            <w:pPr>
              <w:spacing w:line="240" w:lineRule="auto" w:before="0" w:after="0"/>
              <w:pStyle w:val="Compact"/>
            </w:pPr>
            <w:r>
              <w:rPr>
                <w:sz w:val="20"/>
                <w:szCs w:val="20"/>
              </w:rPr>
              <w:t xml:space="preserve">ICON</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44.05</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5.124</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ICON press kit; launched Oct 2019; NASA news</w:t>
            </w:r>
          </w:p>
        </w:tc>
      </w:tr>
      <w:tr>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2300</w:t>
            </w:r>
          </w:p>
        </w:tc>
        <w:tc>
          <w:tcPr>
            <w:tcW w:w="0" w:type="auto"/>
          </w:tcPr>
          <w:p>
            <w:pPr>
              <w:spacing w:line="240" w:lineRule="auto" w:before="0" w:after="0"/>
              <w:pStyle w:val="Compact"/>
            </w:pPr>
            <w:r>
              <w:rPr>
                <w:sz w:val="20"/>
                <w:szCs w:val="20"/>
              </w:rPr>
              <w:t xml:space="preserve">2400</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7.7407</w:t>
            </w:r>
          </w:p>
        </w:tc>
        <w:tc>
          <w:tcPr>
            <w:tcW w:w="0" w:type="auto"/>
          </w:tcPr>
          <w:p>
            <w:pPr>
              <w:spacing w:line="240" w:lineRule="auto" w:before="0" w:after="0"/>
              <w:pStyle w:val="Compact"/>
            </w:pPr>
            <w:r>
              <w:rPr>
                <w:sz w:val="20"/>
                <w:szCs w:val="20"/>
              </w:rPr>
              <w:t xml:space="preserve">4.2767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NOAA-NASA GOES-R series program; GAO-22-105212</w:t>
            </w:r>
          </w:p>
        </w:tc>
      </w:tr>
      <w:tr>
        <w:tc>
          <w:tcPr>
            <w:tcW w:w="0" w:type="auto"/>
          </w:tcPr>
          <w:p>
            <w:pPr>
              <w:spacing w:line="240" w:lineRule="auto" w:before="0" w:after="0"/>
              <w:pStyle w:val="Compact"/>
            </w:pPr>
            <w:r>
              <w:rPr>
                <w:sz w:val="20"/>
                <w:szCs w:val="20"/>
              </w:rPr>
              <w:t xml:space="preserve">TROPICS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33.33</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firm_fixed_price</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3.4012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TROPICS press kit; Astra failure Jun 2022; subsequent Rocket Lab launches</w:t>
            </w:r>
          </w:p>
        </w:tc>
      </w:tr>
      <w:tr>
        <w:tc>
          <w:tcPr>
            <w:tcW w:w="0" w:type="auto"/>
          </w:tcPr>
          <w:p>
            <w:pPr>
              <w:spacing w:line="240" w:lineRule="auto" w:before="0" w:after="0"/>
              <w:pStyle w:val="Compact"/>
            </w:pPr>
            <w:r>
              <w:rPr>
                <w:sz w:val="20"/>
                <w:szCs w:val="20"/>
              </w:rPr>
              <w:t xml:space="preserve">ASTHROS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SMD</w:t>
            </w:r>
          </w:p>
        </w:tc>
        <w:tc>
          <w:tcPr>
            <w:tcW w:w="0" w:type="auto"/>
          </w:tcPr>
          <w:p>
            <w:pPr>
              <w:spacing w:line="240" w:lineRule="auto" w:before="0" w:after="0"/>
              <w:pStyle w:val="Compact"/>
            </w:pPr>
            <w:r>
              <w:rPr>
                <w:sz w:val="20"/>
                <w:szCs w:val="20"/>
              </w:rPr>
              <w:t xml:space="preserve">cost_plus</w:t>
            </w:r>
          </w:p>
        </w:tc>
        <w:tc>
          <w:tcPr>
            <w:tcW w:w="0" w:type="auto"/>
          </w:tcPr>
          <w:p>
            <w:pPr>
              <w:spacing w:line="240" w:lineRule="auto" w:before="0" w:after="0"/>
              <w:pStyle w:val="Compact"/>
            </w:pPr>
            <w:r>
              <w:rPr>
                <w:sz w:val="20"/>
                <w:szCs w:val="20"/>
              </w:rPr>
              <w:t xml:space="preserve">3.6889</w:t>
            </w:r>
          </w:p>
        </w:tc>
        <w:tc>
          <w:tcPr>
            <w:tcW w:w="0" w:type="auto"/>
          </w:tcPr>
          <w:p>
            <w:pPr>
              <w:spacing w:line="240" w:lineRule="auto" w:before="0" w:after="0"/>
              <w:pStyle w:val="Compact"/>
            </w:pPr>
            <w:r>
              <w:rPr>
                <w:sz w:val="20"/>
                <w:szCs w:val="20"/>
              </w:rPr>
              <w:t xml:space="preserve">3.5835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ASTHROS program page; balloon mission scheduling delays</w:t>
            </w:r>
          </w:p>
        </w:tc>
      </w:tr>
    </w:tbl>
    <w:bookmarkEnd w:id="189"/>
    <w:bookmarkStart w:id="190"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major_growth</w:t>
            </w:r>
          </w:p>
        </w:tc>
        <w:tc>
          <w:tcPr>
            <w:tcW w:w="0" w:type="auto"/>
          </w:tcPr>
          <w:p>
            <w:pPr>
              <w:spacing w:line="240" w:lineRule="auto" w:before="0" w:after="0"/>
              <w:pStyle w:val="Compact"/>
            </w:pPr>
            <w:r>
              <w:rPr>
                <w:sz w:val="20"/>
                <w:szCs w:val="20"/>
              </w:rPr>
              <w:t xml:space="preserve">Binary indicator equal to 1 if cost growth from Agency Baseline Commitment to most-recent estimate exceeds 25 percent, 0 otherwise</w:t>
            </w:r>
          </w:p>
        </w:tc>
        <w:tc>
          <w:tcPr>
            <w:tcW w:w="0" w:type="auto"/>
          </w:tcPr>
          <w:p>
            <w:pPr>
              <w:spacing w:line="240" w:lineRule="auto" w:before="0" w:after="0"/>
              <w:pStyle w:val="Compact"/>
            </w:pPr>
            <w:r>
              <w:rPr>
                <w:sz w:val="20"/>
                <w:szCs w:val="20"/>
              </w:rPr>
              <w:t xml:space="preserve">Computed by candidate from GAO Major Project Assessments and NASA OIG audits using the 25 percent threshold consistent with NASA Space Flight Program and Project Management Requirements NPR 7120.5F rebaselining trigger</w:t>
            </w:r>
          </w:p>
        </w:tc>
      </w:tr>
      <w:tr>
        <w:tc>
          <w:tcPr>
            <w:tcW w:w="0" w:type="auto"/>
          </w:tcPr>
          <w:p>
            <w:pPr>
              <w:spacing w:line="240" w:lineRule="auto" w:before="0" w:after="0"/>
              <w:pStyle w:val="Compact"/>
            </w:pPr>
            <w:r>
              <w:rPr>
                <w:sz w:val="20"/>
                <w:szCs w:val="20"/>
              </w:rPr>
              <w:t xml:space="preserve">cislunar</w:t>
            </w:r>
          </w:p>
        </w:tc>
        <w:tc>
          <w:tcPr>
            <w:tcW w:w="0" w:type="auto"/>
          </w:tcPr>
          <w:p>
            <w:pPr>
              <w:spacing w:line="240" w:lineRule="auto" w:before="0" w:after="0"/>
              <w:pStyle w:val="Compact"/>
            </w:pPr>
            <w:r>
              <w:rPr>
                <w:sz w:val="20"/>
                <w:szCs w:val="20"/>
              </w:rPr>
              <w:t xml:space="preserve">Indicator equal to 1 if primary operating regime is cislunar (lunar transfer, lunar orbit, or lunar surface), 0 otherwise</w:t>
            </w:r>
          </w:p>
        </w:tc>
        <w:tc>
          <w:tcPr>
            <w:tcW w:w="0" w:type="auto"/>
          </w:tcPr>
          <w:p>
            <w:pPr>
              <w:spacing w:line="240" w:lineRule="auto" w:before="0" w:after="0"/>
              <w:pStyle w:val="Compact"/>
            </w:pPr>
            <w:r>
              <w:rPr>
                <w:sz w:val="20"/>
                <w:szCs w:val="20"/>
              </w:rPr>
              <w:t xml:space="preserve">Coded by candidate from mission concept of operations</w:t>
            </w:r>
          </w:p>
        </w:tc>
      </w:tr>
      <w:tr>
        <w:tc>
          <w:tcPr>
            <w:tcW w:w="0" w:type="auto"/>
          </w:tcPr>
          <w:p>
            <w:pPr>
              <w:spacing w:line="240" w:lineRule="auto" w:before="0" w:after="0"/>
              <w:pStyle w:val="Compact"/>
            </w:pPr>
            <w:r>
              <w:rPr>
                <w:sz w:val="20"/>
                <w:szCs w:val="20"/>
              </w:rPr>
              <w:t xml:space="preserve">log_baseline_cost</w:t>
            </w:r>
          </w:p>
        </w:tc>
        <w:tc>
          <w:tcPr>
            <w:tcW w:w="0" w:type="auto"/>
          </w:tcPr>
          <w:p>
            <w:pPr>
              <w:spacing w:line="240" w:lineRule="auto" w:before="0" w:after="0"/>
              <w:pStyle w:val="Compact"/>
            </w:pPr>
            <w:r>
              <w:rPr>
                <w:sz w:val="20"/>
                <w:szCs w:val="20"/>
              </w:rPr>
              <w:t xml:space="preserve">Natural logarithm of approved Agency Baseline Commitment life-cycle cost in millions of USD</w:t>
            </w:r>
          </w:p>
        </w:tc>
        <w:tc>
          <w:tcPr>
            <w:tcW w:w="0" w:type="auto"/>
          </w:tcPr>
          <w:p>
            <w:pPr>
              <w:spacing w:line="240" w:lineRule="auto" w:before="0" w:after="0"/>
              <w:pStyle w:val="Compact"/>
            </w:pPr>
            <w:r>
              <w:rPr>
                <w:sz w:val="20"/>
                <w:szCs w:val="20"/>
              </w:rPr>
              <w:t xml:space="preserve">Derived from GAO and NASA baseline at Key Decision Point C or contract award</w:t>
            </w:r>
          </w:p>
        </w:tc>
      </w:tr>
      <w:tr>
        <w:tc>
          <w:tcPr>
            <w:tcW w:w="0" w:type="auto"/>
          </w:tcPr>
          <w:p>
            <w:pPr>
              <w:spacing w:line="240" w:lineRule="auto" w:before="0" w:after="0"/>
              <w:pStyle w:val="Compact"/>
            </w:pPr>
            <w:r>
              <w:rPr>
                <w:sz w:val="20"/>
                <w:szCs w:val="20"/>
              </w:rPr>
              <w:t xml:space="preserve">log_baseline_lrd</w:t>
            </w:r>
          </w:p>
        </w:tc>
        <w:tc>
          <w:tcPr>
            <w:tcW w:w="0" w:type="auto"/>
          </w:tcPr>
          <w:p>
            <w:pPr>
              <w:spacing w:line="240" w:lineRule="auto" w:before="0" w:after="0"/>
              <w:pStyle w:val="Compact"/>
            </w:pPr>
            <w:r>
              <w:rPr>
                <w:sz w:val="20"/>
                <w:szCs w:val="20"/>
              </w:rPr>
              <w:t xml:space="preserve">Natural logarithm of approved baseline development duration in months from authority to proceed to launch readiness</w:t>
            </w:r>
          </w:p>
        </w:tc>
        <w:tc>
          <w:tcPr>
            <w:tcW w:w="0" w:type="auto"/>
          </w:tcPr>
          <w:p>
            <w:pPr>
              <w:spacing w:line="240" w:lineRule="auto" w:before="0" w:after="0"/>
              <w:pStyle w:val="Compact"/>
            </w:pPr>
            <w:r>
              <w:rPr>
                <w:sz w:val="20"/>
                <w:szCs w:val="20"/>
              </w:rPr>
              <w:t xml:space="preserve">Derived from GAO and NASA baseline schedule</w:t>
            </w:r>
          </w:p>
        </w:tc>
      </w:tr>
      <w:tr>
        <w:tc>
          <w:tcPr>
            <w:tcW w:w="0" w:type="auto"/>
          </w:tcPr>
          <w:p>
            <w:pPr>
              <w:spacing w:line="240" w:lineRule="auto" w:before="0" w:after="0"/>
              <w:pStyle w:val="Compact"/>
            </w:pPr>
            <w:r>
              <w:rPr>
                <w:sz w:val="20"/>
                <w:szCs w:val="20"/>
              </w:rPr>
              <w:t xml:space="preserve">sponsor_directorate</w:t>
            </w:r>
          </w:p>
        </w:tc>
        <w:tc>
          <w:tcPr>
            <w:tcW w:w="0" w:type="auto"/>
          </w:tcPr>
          <w:p>
            <w:pPr>
              <w:spacing w:line="240" w:lineRule="auto" w:before="0" w:after="0"/>
              <w:pStyle w:val="Compact"/>
            </w:pPr>
            <w:r>
              <w:rPr>
                <w:sz w:val="20"/>
                <w:szCs w:val="20"/>
              </w:rPr>
              <w:t xml:space="preserve">NASA mission directorate of record: ESDMD, SMD, or STMD</w:t>
            </w:r>
          </w:p>
        </w:tc>
        <w:tc>
          <w:tcPr>
            <w:tcW w:w="0" w:type="auto"/>
          </w:tcPr>
          <w:p>
            <w:pPr>
              <w:spacing w:line="240" w:lineRule="auto" w:before="0" w:after="0"/>
              <w:pStyle w:val="Compact"/>
            </w:pPr>
            <w:r>
              <w:rPr>
                <w:sz w:val="20"/>
                <w:szCs w:val="20"/>
              </w:rPr>
              <w:t xml:space="preserve">NASA organizational records</w:t>
            </w:r>
          </w:p>
        </w:tc>
      </w:tr>
      <w:tr>
        <w:tc>
          <w:tcPr>
            <w:tcW w:w="0" w:type="auto"/>
          </w:tcPr>
          <w:p>
            <w:pPr>
              <w:spacing w:line="240" w:lineRule="auto" w:before="0" w:after="0"/>
              <w:pStyle w:val="Compact"/>
            </w:pPr>
            <w:r>
              <w:rPr>
                <w:sz w:val="20"/>
                <w:szCs w:val="20"/>
              </w:rPr>
              <w:t xml:space="preserve">contracting_instrument</w:t>
            </w:r>
          </w:p>
        </w:tc>
        <w:tc>
          <w:tcPr>
            <w:tcW w:w="0" w:type="auto"/>
          </w:tcPr>
          <w:p>
            <w:pPr>
              <w:spacing w:line="240" w:lineRule="auto" w:before="0" w:after="0"/>
              <w:pStyle w:val="Compact"/>
            </w:pPr>
            <w:r>
              <w:rPr>
                <w:sz w:val="20"/>
                <w:szCs w:val="20"/>
              </w:rPr>
              <w:t xml:space="preserve">Dominant contracting vehicle: cost_plus, firm_fixed_price, or mixed</w:t>
            </w:r>
          </w:p>
        </w:tc>
        <w:tc>
          <w:tcPr>
            <w:tcW w:w="0" w:type="auto"/>
          </w:tcPr>
          <w:p>
            <w:pPr>
              <w:spacing w:line="240" w:lineRule="auto" w:before="0" w:after="0"/>
              <w:pStyle w:val="Compact"/>
            </w:pPr>
            <w:r>
              <w:rPr>
                <w:sz w:val="20"/>
                <w:szCs w:val="20"/>
              </w:rPr>
              <w:t xml:space="preserve">FedBizOpps and NASA contracting record</w:t>
            </w:r>
          </w:p>
        </w:tc>
      </w:tr>
    </w:tbl>
    <w:bookmarkEnd w:id="190"/>
    <w:bookmarkEnd w:id="191"/>
    <w:bookmarkStart w:id="199" w:name="X0d40a0f3662fa14a2bdc99d227b8e40017b8838"/>
    <w:p>
      <w:pPr>
        <w:pStyle w:val="Heading2"/>
        <w:spacing w:line="480" w:lineRule="auto"/>
      </w:pPr>
      <w:r>
        <w:t xml:space="preserve">A.2 Wright Learning Curves in Lunar and Cislunar Payload Delivery: A Log-Log Cliometric Test on 31 NASA Procurement Records, 2011-2028</w:t>
      </w:r>
    </w:p>
    <w:p>
      <w:pPr>
        <w:pStyle w:val="FirstParagraph"/>
        <w:spacing w:line="480" w:lineRule="auto"/>
      </w:pPr>
      <m:oMathPara>
        <m:oMathParaPr>
          <m:jc m:val="center"/>
        </m:oMathParaPr>
        <m:oMath>
          <m:r>
            <m:rPr>
              <m:sty m:val="p"/>
            </m:rPr>
            <m:t>ln</m:t>
          </m:r>
          <m:r>
            <m:rPr>
              <m:sty m:val="p"/>
            </m:rPr>
            <m:t>(</m:t>
          </m:r>
          <m:sSub>
            <m:e>
              <m:r>
                <m:rPr>
                  <m:sty m:val="p"/>
                </m:rPr>
                <m:t>C</m:t>
              </m:r>
              <m:r>
                <m:rPr>
                  <m:sty m:val="p"/>
                </m:rPr>
                <m:t>o</m:t>
              </m:r>
              <m:r>
                <m:rPr>
                  <m:sty m:val="p"/>
                </m:rPr>
                <m:t>s</m:t>
              </m:r>
              <m:r>
                <m:rPr>
                  <m:sty m:val="p"/>
                </m:rPr>
                <m:t>t</m:t>
              </m:r>
              <m:r>
                <m:rPr>
                  <m:sty m:val="p"/>
                </m:rPr>
                <m:t>P</m:t>
              </m:r>
              <m:r>
                <m:rPr>
                  <m:sty m:val="p"/>
                </m:rPr>
                <m:t>e</m:t>
              </m:r>
              <m:r>
                <m:rPr>
                  <m:sty m:val="p"/>
                </m:rPr>
                <m:t>r</m:t>
              </m:r>
              <m:r>
                <m:rPr>
                  <m:sty m:val="p"/>
                </m:rPr>
                <m:t>K</m:t>
              </m:r>
              <m:r>
                <m:rPr>
                  <m:sty m:val="p"/>
                </m:rPr>
                <m:t>g</m:t>
              </m:r>
            </m:e>
            <m:sub>
              <m:r>
                <m:t>i</m:t>
              </m:r>
            </m:sub>
          </m:sSub>
          <m:r>
            <m:rPr>
              <m:sty m:val="p"/>
            </m:rPr>
            <m:t>)</m:t>
          </m:r>
          <m:r>
            <m:rPr>
              <m:sty m:val="p"/>
            </m:rPr>
            <m:t>=</m:t>
          </m:r>
          <m:r>
            <m:t>α</m:t>
          </m:r>
          <m:r>
            <m:rPr>
              <m:sty m:val="p"/>
            </m:rPr>
            <m:t>+</m:t>
          </m:r>
          <m:r>
            <m:t>b</m:t>
          </m:r>
          <m:r>
            <m:t> </m:t>
          </m:r>
          <m:r>
            <m:rPr>
              <m:sty m:val="p"/>
            </m:rPr>
            <m:t>ln</m:t>
          </m:r>
          <m:r>
            <m:rPr>
              <m:sty m:val="p"/>
            </m:rPr>
            <m:t>(</m:t>
          </m:r>
          <m:sSub>
            <m:e>
              <m:r>
                <m:rPr>
                  <m:sty m:val="p"/>
                </m:rPr>
                <m:t>C</m:t>
              </m:r>
              <m:r>
                <m:rPr>
                  <m:sty m:val="p"/>
                </m:rPr>
                <m:t>u</m:t>
              </m:r>
              <m:r>
                <m:rPr>
                  <m:sty m:val="p"/>
                </m:rPr>
                <m:t>m</m:t>
              </m:r>
              <m:r>
                <m:rPr>
                  <m:sty m:val="p"/>
                </m:rPr>
                <m:t>u</m:t>
              </m:r>
              <m:r>
                <m:rPr>
                  <m:sty m:val="p"/>
                </m:rPr>
                <m:t>l</m:t>
              </m:r>
              <m:r>
                <m:rPr>
                  <m:sty m:val="p"/>
                </m:rPr>
                <m:t>a</m:t>
              </m:r>
              <m:r>
                <m:rPr>
                  <m:sty m:val="p"/>
                </m:rPr>
                <m:t>t</m:t>
              </m:r>
              <m:r>
                <m:rPr>
                  <m:sty m:val="p"/>
                </m:rPr>
                <m:t>i</m:t>
              </m:r>
              <m:r>
                <m:rPr>
                  <m:sty m:val="p"/>
                </m:rPr>
                <m:t>v</m:t>
              </m:r>
              <m:r>
                <m:rPr>
                  <m:sty m:val="p"/>
                </m:rPr>
                <m:t>e</m:t>
              </m:r>
              <m:r>
                <m:rPr>
                  <m:sty m:val="p"/>
                </m:rPr>
                <m:t>L</m:t>
              </m:r>
              <m:r>
                <m:rPr>
                  <m:sty m:val="p"/>
                </m:rPr>
                <m:t>a</m:t>
              </m:r>
              <m:r>
                <m:rPr>
                  <m:sty m:val="p"/>
                </m:rPr>
                <m:t>u</m:t>
              </m:r>
              <m:r>
                <m:rPr>
                  <m:sty m:val="p"/>
                </m:rPr>
                <m:t>n</m:t>
              </m:r>
              <m:r>
                <m:rPr>
                  <m:sty m:val="p"/>
                </m:rPr>
                <m:t>c</m:t>
              </m:r>
              <m:r>
                <m:rPr>
                  <m:sty m:val="p"/>
                </m:rPr>
                <m:t>h</m:t>
              </m:r>
              <m:r>
                <m:rPr>
                  <m:sty m:val="p"/>
                </m:rPr>
                <m:t>e</m:t>
              </m:r>
              <m:r>
                <m:rPr>
                  <m:sty m:val="p"/>
                </m:rPr>
                <m:t>s</m:t>
              </m:r>
            </m:e>
            <m:sub>
              <m:r>
                <m:t>i</m:t>
              </m:r>
            </m:sub>
          </m:sSub>
          <m:r>
            <m:rPr>
              <m:sty m:val="p"/>
            </m:rPr>
            <m:t>)</m:t>
          </m:r>
          <m:r>
            <m:rPr>
              <m:sty m:val="p"/>
            </m:rPr>
            <m:t>+</m:t>
          </m:r>
          <m:sSub>
            <m:e>
              <m:r>
                <m:t>ε</m:t>
              </m:r>
            </m:e>
            <m:sub>
              <m:r>
                <m:t>i</m:t>
              </m:r>
            </m:sub>
          </m:sSub>
        </m:oMath>
      </m:oMathPara>
    </w:p>
    <w:bookmarkStart w:id="192"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1.7405</w:t>
            </w:r>
          </w:p>
        </w:tc>
        <w:tc>
          <w:tcPr>
            <w:tcW w:w="0" w:type="auto"/>
          </w:tcPr>
          <w:p>
            <w:pPr>
              <w:spacing w:line="240" w:lineRule="auto" w:before="0" w:after="0"/>
              <w:pStyle w:val="Compact"/>
            </w:pPr>
            <w:r>
              <w:rPr>
                <w:sz w:val="20"/>
                <w:szCs w:val="20"/>
              </w:rPr>
              <w:t xml:space="preserve">0.062</w:t>
            </w:r>
          </w:p>
        </w:tc>
        <w:tc>
          <w:tcPr>
            <w:tcW w:w="0" w:type="auto"/>
          </w:tcPr>
          <w:p>
            <w:pPr>
              <w:spacing w:line="240" w:lineRule="auto" w:before="0" w:after="0"/>
              <w:pStyle w:val="Compact"/>
            </w:pPr>
            <w:r>
              <w:rPr>
                <w:sz w:val="20"/>
                <w:szCs w:val="20"/>
              </w:rPr>
              <w:t xml:space="preserve">28.0821</w:t>
            </w:r>
          </w:p>
        </w:tc>
        <w:tc>
          <w:tcPr>
            <w:tcW w:w="0" w:type="auto"/>
          </w:tcPr>
          <w:p>
            <w:pPr>
              <w:spacing w:line="240" w:lineRule="auto" w:before="0" w:after="0"/>
              <w:pStyle w:val="Compact"/>
            </w:pPr>
            <w:r>
              <w:rPr>
                <w:sz w:val="20"/>
                <w:szCs w:val="20"/>
              </w:rPr>
              <w:t xml:space="preserve">1.619e-173</w:t>
            </w:r>
          </w:p>
        </w:tc>
        <w:tc>
          <w:tcPr>
            <w:tcW w:w="0" w:type="auto"/>
          </w:tcPr>
          <w:p>
            <w:pPr>
              <w:spacing w:line="240" w:lineRule="auto" w:before="0" w:after="0"/>
              <w:pStyle w:val="Compact"/>
            </w:pPr>
            <w:r>
              <w:rPr>
                <w:sz w:val="20"/>
                <w:szCs w:val="20"/>
              </w:rPr>
              <w:t xml:space="preserve">[1.619, 1.862]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-0.2029</w:t>
            </w:r>
          </w:p>
        </w:tc>
        <w:tc>
          <w:tcPr>
            <w:tcW w:w="0" w:type="auto"/>
          </w:tcPr>
          <w:p>
            <w:pPr>
              <w:spacing w:line="240" w:lineRule="auto" w:before="0" w:after="0"/>
              <w:pStyle w:val="Compact"/>
            </w:pPr>
            <w:r>
              <w:rPr>
                <w:sz w:val="20"/>
                <w:szCs w:val="20"/>
              </w:rPr>
              <w:t xml:space="preserve">0.0692</w:t>
            </w:r>
          </w:p>
        </w:tc>
        <w:tc>
          <w:tcPr>
            <w:tcW w:w="0" w:type="auto"/>
          </w:tcPr>
          <w:p>
            <w:pPr>
              <w:spacing w:line="240" w:lineRule="auto" w:before="0" w:after="0"/>
              <w:pStyle w:val="Compact"/>
            </w:pPr>
            <w:r>
              <w:rPr>
                <w:sz w:val="20"/>
                <w:szCs w:val="20"/>
              </w:rPr>
              <w:t xml:space="preserve">-2.9335</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[-0.3385, -0.0673]</w:t>
            </w:r>
          </w:p>
        </w:tc>
      </w:tr>
    </w:tbl>
    <w:p>
      <w:pPr>
        <w:pStyle w:val="BodyText"/>
        <w:spacing w:line="480" w:lineRule="auto"/>
        <w:ind w:firstLine="720"/>
      </w:pPr>
      <w:r>
        <w:t xml:space="preserve">Fit: N = 23 R2 = 0.2664 elasticity_b = -0.2029 progress_ratio_2^b = 0.8688</w:t>
      </w:r>
    </w:p>
    <w:bookmarkEnd w:id="192"/>
    <w:bookmarkStart w:id="196"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Wright learning curve in NASA cislunar payload delivery across 31 procurement records, 2011 to 2028; the negative slope of the fitted line corresponds to the empirical learning rate." title="" id="194" name="Picture"/>
            <a:graphic>
              <a:graphicData uri="http://schemas.openxmlformats.org/drawingml/2006/picture">
                <pic:pic>
                  <pic:nvPicPr>
                    <pic:cNvPr descr="D:/Claude_Code/brain/collegium/candidates/dissertations/JPL_INSTRUMENTS_NAV_11/research_papers/p2/paper_fig1.png" id="195" name="Picture"/>
                    <pic:cNvPicPr>
                      <a:picLocks noChangeArrowheads="1" noChangeAspect="1"/>
                    </pic:cNvPicPr>
                  </pic:nvPicPr>
                  <pic:blipFill>
                    <a:blip r:embed="rId19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Wright learning curve in NASA cislunar payload delivery across 31 procurement records, 2011 to 2028; the negative slope of the fitted line corresponds to the empirical learning rate.</w:t>
      </w:r>
    </w:p>
    <w:bookmarkEnd w:id="196"/>
    <w:bookmarkStart w:id="197"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provider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vehicle_family</w:t>
            </w:r>
          </w:p>
        </w:tc>
        <w:tc>
          <w:tcPr>
            <w:tcW w:w="0" w:type="auto"/>
          </w:tcPr>
          <w:p>
            <w:pPr>
              <w:spacing w:line="240" w:lineRule="auto" w:before="0" w:after="0"/>
              <w:pStyle w:val="Compact"/>
            </w:pPr>
            <w:r>
              <w:rPr>
                <w:sz w:val="20"/>
                <w:szCs w:val="20"/>
              </w:rPr>
              <w:t xml:space="preserve">cumulative_family_launches</w:t>
            </w:r>
          </w:p>
        </w:tc>
        <w:tc>
          <w:tcPr>
            <w:tcW w:w="0" w:type="auto"/>
          </w:tcPr>
          <w:p>
            <w:pPr>
              <w:spacing w:line="240" w:lineRule="auto" w:before="0" w:after="0"/>
              <w:pStyle w:val="Compact"/>
            </w:pPr>
            <w:r>
              <w:rPr>
                <w:sz w:val="20"/>
                <w:szCs w:val="20"/>
              </w:rPr>
              <w:t xml:space="preserve">payload_to_destination_kg</w:t>
            </w:r>
          </w:p>
        </w:tc>
        <w:tc>
          <w:tcPr>
            <w:tcW w:w="0" w:type="auto"/>
          </w:tcPr>
          <w:p>
            <w:pPr>
              <w:spacing w:line="240" w:lineRule="auto" w:before="0" w:after="0"/>
              <w:pStyle w:val="Compact"/>
            </w:pPr>
            <w:r>
              <w:rPr>
                <w:sz w:val="20"/>
                <w:szCs w:val="20"/>
              </w:rPr>
              <w:t xml:space="preserve">destination</w:t>
            </w:r>
          </w:p>
        </w:tc>
        <w:tc>
          <w:tcPr>
            <w:tcW w:w="0" w:type="auto"/>
          </w:tcPr>
          <w:p>
            <w:pPr>
              <w:spacing w:line="240" w:lineRule="auto" w:before="0" w:after="0"/>
              <w:pStyle w:val="Compact"/>
            </w:pPr>
            <w:r>
              <w:rPr>
                <w:sz w:val="20"/>
                <w:szCs w:val="20"/>
              </w:rPr>
              <w:t xml:space="preserve">contract_value_musd</w:t>
            </w:r>
          </w:p>
        </w:tc>
        <w:tc>
          <w:tcPr>
            <w:tcW w:w="0" w:type="auto"/>
          </w:tcPr>
          <w:p>
            <w:pPr>
              <w:spacing w:line="240" w:lineRule="auto" w:before="0" w:after="0"/>
              <w:pStyle w:val="Compact"/>
            </w:pPr>
            <w:r>
              <w:rPr>
                <w:sz w:val="20"/>
                <w:szCs w:val="20"/>
              </w:rPr>
              <w:t xml:space="preserve">cost_per_kg_kusd</w:t>
            </w:r>
          </w:p>
        </w:tc>
        <w:tc>
          <w:tcPr>
            <w:tcW w:w="0" w:type="auto"/>
          </w:tcPr>
          <w:p>
            <w:pPr>
              <w:spacing w:line="240" w:lineRule="auto" w:before="0" w:after="0"/>
              <w:pStyle w:val="Compact"/>
            </w:pPr>
            <w:r>
              <w:rPr>
                <w:sz w:val="20"/>
                <w:szCs w:val="20"/>
              </w:rPr>
              <w:t xml:space="preserve">log_cum_launches</w:t>
            </w:r>
          </w:p>
        </w:tc>
        <w:tc>
          <w:tcPr>
            <w:tcW w:w="0" w:type="auto"/>
          </w:tcPr>
          <w:p>
            <w:pPr>
              <w:spacing w:line="240" w:lineRule="auto" w:before="0" w:after="0"/>
              <w:pStyle w:val="Compact"/>
            </w:pPr>
            <w:r>
              <w:rPr>
                <w:sz w:val="20"/>
                <w:szCs w:val="20"/>
              </w:rPr>
              <w:t xml:space="preserve">log_cost_per_kg</w:t>
            </w:r>
          </w:p>
        </w:tc>
        <w:tc>
          <w:tcPr>
            <w:tcW w:w="0" w:type="auto"/>
          </w:tcPr>
          <w:p>
            <w:pPr>
              <w:spacing w:line="240" w:lineRule="auto" w:before="0" w:after="0"/>
              <w:pStyle w:val="Compact"/>
            </w:pPr>
            <w:r>
              <w:rPr>
                <w:sz w:val="20"/>
                <w:szCs w:val="20"/>
              </w:rPr>
              <w:t xml:space="preserve">clps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CLPS_TO2_IM</w:t>
            </w:r>
          </w:p>
        </w:tc>
        <w:tc>
          <w:tcPr>
            <w:tcW w:w="0" w:type="auto"/>
          </w:tcPr>
          <w:p>
            <w:pPr>
              <w:spacing w:line="240" w:lineRule="auto" w:before="0" w:after="0"/>
              <w:pStyle w:val="Compact"/>
            </w:pPr>
            <w:r>
              <w:rPr>
                <w:sz w:val="20"/>
                <w:szCs w:val="20"/>
              </w:rPr>
              <w:t xml:space="preserve">Intuitive_Machines_IM1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Nova-C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130</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907.69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6.811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80MSFC20D0006 award (Oct 2020); NASA OIG IG-24-006 CLPS audit</w:t>
            </w:r>
          </w:p>
        </w:tc>
      </w:tr>
      <w:tr>
        <w:tc>
          <w:tcPr>
            <w:tcW w:w="0" w:type="auto"/>
          </w:tcPr>
          <w:p>
            <w:pPr>
              <w:spacing w:line="240" w:lineRule="auto" w:before="0" w:after="0"/>
              <w:pStyle w:val="Compact"/>
            </w:pPr>
            <w:r>
              <w:rPr>
                <w:sz w:val="20"/>
                <w:szCs w:val="20"/>
              </w:rPr>
              <w:t xml:space="preserve">CLPS_PRIME1_IM2</w:t>
            </w:r>
          </w:p>
        </w:tc>
        <w:tc>
          <w:tcPr>
            <w:tcW w:w="0" w:type="auto"/>
          </w:tcPr>
          <w:p>
            <w:pPr>
              <w:spacing w:line="240" w:lineRule="auto" w:before="0" w:after="0"/>
              <w:pStyle w:val="Compact"/>
            </w:pPr>
            <w:r>
              <w:rPr>
                <w:sz w:val="20"/>
                <w:szCs w:val="20"/>
              </w:rPr>
              <w:t xml:space="preserve">Intuitive_Machines_IM2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Nova-C</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62.5</w:t>
            </w:r>
          </w:p>
        </w:tc>
        <w:tc>
          <w:tcPr>
            <w:tcW w:w="0" w:type="auto"/>
          </w:tcPr>
          <w:p>
            <w:pPr>
              <w:spacing w:line="240" w:lineRule="auto" w:before="0" w:after="0"/>
              <w:pStyle w:val="Compact"/>
            </w:pPr>
            <w:r>
              <w:rPr>
                <w:sz w:val="20"/>
                <w:szCs w:val="20"/>
              </w:rPr>
              <w:t xml:space="preserve">679.35</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6.522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award (Oct 2020); NASA OIG IG-24-006</w:t>
            </w:r>
          </w:p>
        </w:tc>
      </w:tr>
      <w:tr>
        <w:tc>
          <w:tcPr>
            <w:tcW w:w="0" w:type="auto"/>
          </w:tcPr>
          <w:p>
            <w:pPr>
              <w:spacing w:line="240" w:lineRule="auto" w:before="0" w:after="0"/>
              <w:pStyle w:val="Compact"/>
            </w:pPr>
            <w:r>
              <w:rPr>
                <w:sz w:val="20"/>
                <w:szCs w:val="20"/>
              </w:rPr>
              <w:t xml:space="preserve">CLPS_IM3</w:t>
            </w:r>
          </w:p>
        </w:tc>
        <w:tc>
          <w:tcPr>
            <w:tcW w:w="0" w:type="auto"/>
          </w:tcPr>
          <w:p>
            <w:pPr>
              <w:spacing w:line="240" w:lineRule="auto" w:before="0" w:after="0"/>
              <w:pStyle w:val="Compact"/>
            </w:pPr>
            <w:r>
              <w:rPr>
                <w:sz w:val="20"/>
                <w:szCs w:val="20"/>
              </w:rPr>
              <w:t xml:space="preserve">Intuitive_Machines_IM3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Nova-C</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77.5</w:t>
            </w:r>
          </w:p>
        </w:tc>
        <w:tc>
          <w:tcPr>
            <w:tcW w:w="0" w:type="auto"/>
          </w:tcPr>
          <w:p>
            <w:pPr>
              <w:spacing w:line="240" w:lineRule="auto" w:before="0" w:after="0"/>
              <w:pStyle w:val="Compact"/>
            </w:pPr>
            <w:r>
              <w:rPr>
                <w:sz w:val="20"/>
                <w:szCs w:val="20"/>
              </w:rPr>
              <w:t xml:space="preserve">790.82</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6.673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80MSFC22D0001 (Nov 2021)</w:t>
            </w:r>
          </w:p>
        </w:tc>
      </w:tr>
      <w:tr>
        <w:tc>
          <w:tcPr>
            <w:tcW w:w="0" w:type="auto"/>
          </w:tcPr>
          <w:p>
            <w:pPr>
              <w:spacing w:line="240" w:lineRule="auto" w:before="0" w:after="0"/>
              <w:pStyle w:val="Compact"/>
            </w:pPr>
            <w:r>
              <w:rPr>
                <w:sz w:val="20"/>
                <w:szCs w:val="20"/>
              </w:rPr>
              <w:t xml:space="preserve">CLPS_TO2AB_Peregrine</w:t>
            </w:r>
          </w:p>
        </w:tc>
        <w:tc>
          <w:tcPr>
            <w:tcW w:w="0" w:type="auto"/>
          </w:tcPr>
          <w:p>
            <w:pPr>
              <w:spacing w:line="240" w:lineRule="auto" w:before="0" w:after="0"/>
              <w:pStyle w:val="Compact"/>
            </w:pPr>
            <w:r>
              <w:rPr>
                <w:sz w:val="20"/>
                <w:szCs w:val="20"/>
              </w:rPr>
              <w:t xml:space="preserve">Astrobotic_Peregrine_M1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Peregrine</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award (May 2019); NASA OIG IG-24-006</w:t>
            </w:r>
          </w:p>
        </w:tc>
      </w:tr>
      <w:tr>
        <w:tc>
          <w:tcPr>
            <w:tcW w:w="0" w:type="auto"/>
          </w:tcPr>
          <w:p>
            <w:pPr>
              <w:spacing w:line="240" w:lineRule="auto" w:before="0" w:after="0"/>
              <w:pStyle w:val="Compact"/>
            </w:pPr>
            <w:r>
              <w:rPr>
                <w:sz w:val="20"/>
                <w:szCs w:val="20"/>
              </w:rPr>
              <w:t xml:space="preserve">CLPS_VIPER_Griffin</w:t>
            </w:r>
          </w:p>
        </w:tc>
        <w:tc>
          <w:tcPr>
            <w:tcW w:w="0" w:type="auto"/>
          </w:tcPr>
          <w:p>
            <w:pPr>
              <w:spacing w:line="240" w:lineRule="auto" w:before="0" w:after="0"/>
              <w:pStyle w:val="Compact"/>
            </w:pPr>
            <w:r>
              <w:rPr>
                <w:sz w:val="20"/>
                <w:szCs w:val="20"/>
              </w:rPr>
              <w:t xml:space="preserve">Astrobotic_Griffin</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Griffin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475</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320</w:t>
            </w:r>
          </w:p>
        </w:tc>
        <w:tc>
          <w:tcPr>
            <w:tcW w:w="0" w:type="auto"/>
          </w:tcPr>
          <w:p>
            <w:pPr>
              <w:spacing w:line="240" w:lineRule="auto" w:before="0" w:after="0"/>
              <w:pStyle w:val="Compact"/>
            </w:pPr>
            <w:r>
              <w:rPr>
                <w:sz w:val="20"/>
                <w:szCs w:val="20"/>
              </w:rPr>
              <w:t xml:space="preserve">673.68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6.513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80MSFC20D0009 (Jun 2020); GAO-23-105938</w:t>
            </w:r>
          </w:p>
        </w:tc>
      </w:tr>
      <w:tr>
        <w:tc>
          <w:tcPr>
            <w:tcW w:w="0" w:type="auto"/>
          </w:tcPr>
          <w:p>
            <w:pPr>
              <w:spacing w:line="240" w:lineRule="auto" w:before="0" w:after="0"/>
              <w:pStyle w:val="Compact"/>
            </w:pPr>
            <w:r>
              <w:rPr>
                <w:sz w:val="20"/>
                <w:szCs w:val="20"/>
              </w:rPr>
              <w:t xml:space="preserve">CLPS_BlueGhost_M1</w:t>
            </w:r>
          </w:p>
        </w:tc>
        <w:tc>
          <w:tcPr>
            <w:tcW w:w="0" w:type="auto"/>
          </w:tcPr>
          <w:p>
            <w:pPr>
              <w:spacing w:line="240" w:lineRule="auto" w:before="0" w:after="0"/>
              <w:pStyle w:val="Compact"/>
            </w:pPr>
            <w:r>
              <w:rPr>
                <w:sz w:val="20"/>
                <w:szCs w:val="20"/>
              </w:rPr>
              <w:t xml:space="preserve">Firefly_Aerospace</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Blue_Ghost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601.94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80MSFC20D0007 (Feb 2021)</w:t>
            </w:r>
          </w:p>
        </w:tc>
      </w:tr>
      <w:tr>
        <w:tc>
          <w:tcPr>
            <w:tcW w:w="0" w:type="auto"/>
          </w:tcPr>
          <w:p>
            <w:pPr>
              <w:spacing w:line="240" w:lineRule="auto" w:before="0" w:after="0"/>
              <w:pStyle w:val="Compact"/>
            </w:pPr>
            <w:r>
              <w:rPr>
                <w:sz w:val="20"/>
                <w:szCs w:val="20"/>
              </w:rPr>
              <w:t xml:space="preserve">CLPS_BlueGhost_M2</w:t>
            </w:r>
          </w:p>
        </w:tc>
        <w:tc>
          <w:tcPr>
            <w:tcW w:w="0" w:type="auto"/>
          </w:tcPr>
          <w:p>
            <w:pPr>
              <w:spacing w:line="240" w:lineRule="auto" w:before="0" w:after="0"/>
              <w:pStyle w:val="Compact"/>
            </w:pPr>
            <w:r>
              <w:rPr>
                <w:sz w:val="20"/>
                <w:szCs w:val="20"/>
              </w:rPr>
              <w:t xml:space="preserve">Firefly_Aerospace</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Blue_Ghost</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112</w:t>
            </w:r>
          </w:p>
        </w:tc>
        <w:tc>
          <w:tcPr>
            <w:tcW w:w="0" w:type="auto"/>
          </w:tcPr>
          <w:p>
            <w:pPr>
              <w:spacing w:line="240" w:lineRule="auto" w:before="0" w:after="0"/>
              <w:pStyle w:val="Compact"/>
            </w:pPr>
            <w:r>
              <w:rPr>
                <w:sz w:val="20"/>
                <w:szCs w:val="20"/>
              </w:rPr>
              <w:t xml:space="preserve">746.67</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6.616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award (Mar 2023)</w:t>
            </w:r>
          </w:p>
        </w:tc>
      </w:tr>
      <w:tr>
        <w:tc>
          <w:tcPr>
            <w:tcW w:w="0" w:type="auto"/>
          </w:tcPr>
          <w:p>
            <w:pPr>
              <w:spacing w:line="240" w:lineRule="auto" w:before="0" w:after="0"/>
              <w:pStyle w:val="Compact"/>
            </w:pPr>
            <w:r>
              <w:rPr>
                <w:sz w:val="20"/>
                <w:szCs w:val="20"/>
              </w:rPr>
              <w:t xml:space="preserve">CLPS_BlueGhost_M3</w:t>
            </w:r>
          </w:p>
        </w:tc>
        <w:tc>
          <w:tcPr>
            <w:tcW w:w="0" w:type="auto"/>
          </w:tcPr>
          <w:p>
            <w:pPr>
              <w:spacing w:line="240" w:lineRule="auto" w:before="0" w:after="0"/>
              <w:pStyle w:val="Compact"/>
            </w:pPr>
            <w:r>
              <w:rPr>
                <w:sz w:val="20"/>
                <w:szCs w:val="20"/>
              </w:rPr>
              <w:t xml:space="preserve">Firefly_Aerospace</w:t>
            </w:r>
          </w:p>
        </w:tc>
        <w:tc>
          <w:tcPr>
            <w:tcW w:w="0" w:type="auto"/>
          </w:tcPr>
          <w:p>
            <w:pPr>
              <w:spacing w:line="240" w:lineRule="auto" w:before="0" w:after="0"/>
              <w:pStyle w:val="Compact"/>
            </w:pPr>
            <w:r>
              <w:rPr>
                <w:sz w:val="20"/>
                <w:szCs w:val="20"/>
              </w:rPr>
              <w:t xml:space="preserve">2028</w:t>
            </w:r>
          </w:p>
        </w:tc>
        <w:tc>
          <w:tcPr>
            <w:tcW w:w="0" w:type="auto"/>
          </w:tcPr>
          <w:p>
            <w:pPr>
              <w:spacing w:line="240" w:lineRule="auto" w:before="0" w:after="0"/>
              <w:pStyle w:val="Compact"/>
            </w:pPr>
            <w:r>
              <w:rPr>
                <w:sz w:val="20"/>
                <w:szCs w:val="20"/>
              </w:rPr>
              <w:t xml:space="preserve">Blue_Ghost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179.6</w:t>
            </w:r>
          </w:p>
        </w:tc>
        <w:tc>
          <w:tcPr>
            <w:tcW w:w="0" w:type="auto"/>
          </w:tcPr>
          <w:p>
            <w:pPr>
              <w:spacing w:line="240" w:lineRule="auto" w:before="0" w:after="0"/>
              <w:pStyle w:val="Compact"/>
            </w:pPr>
            <w:r>
              <w:rPr>
                <w:sz w:val="20"/>
                <w:szCs w:val="20"/>
              </w:rPr>
              <w:t xml:space="preserve">1122.5</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7.023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award (Aug 2024)</w:t>
            </w:r>
          </w:p>
        </w:tc>
      </w:tr>
      <w:tr>
        <w:tc>
          <w:tcPr>
            <w:tcW w:w="0" w:type="auto"/>
          </w:tcPr>
          <w:p>
            <w:pPr>
              <w:spacing w:line="240" w:lineRule="auto" w:before="0" w:after="0"/>
              <w:pStyle w:val="Compact"/>
            </w:pPr>
            <w:r>
              <w:rPr>
                <w:sz w:val="20"/>
                <w:szCs w:val="20"/>
              </w:rPr>
              <w:t xml:space="preserve">CLPS_Draper_SERIES2</w:t>
            </w:r>
          </w:p>
        </w:tc>
        <w:tc>
          <w:tcPr>
            <w:tcW w:w="0" w:type="auto"/>
          </w:tcPr>
          <w:p>
            <w:pPr>
              <w:spacing w:line="240" w:lineRule="auto" w:before="0" w:after="0"/>
              <w:pStyle w:val="Compact"/>
            </w:pPr>
            <w:r>
              <w:rPr>
                <w:sz w:val="20"/>
                <w:szCs w:val="20"/>
              </w:rPr>
              <w:t xml:space="preserve">Draper_ispace</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APEX_1_0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Lunar_FarSide</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760.42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TO 80MSFC22D0002 (Jul 2022)</w:t>
            </w:r>
          </w:p>
        </w:tc>
      </w:tr>
      <w:tr>
        <w:tc>
          <w:tcPr>
            <w:tcW w:w="0" w:type="auto"/>
          </w:tcPr>
          <w:p>
            <w:pPr>
              <w:spacing w:line="240" w:lineRule="auto" w:before="0" w:after="0"/>
              <w:pStyle w:val="Compact"/>
            </w:pPr>
            <w:r>
              <w:rPr>
                <w:sz w:val="20"/>
                <w:szCs w:val="20"/>
              </w:rPr>
              <w:t xml:space="preserve">Falcon9_cislunar_avg</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Falcon_9_Block5</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8300</w:t>
            </w:r>
          </w:p>
        </w:tc>
        <w:tc>
          <w:tcPr>
            <w:tcW w:w="0" w:type="auto"/>
          </w:tcPr>
          <w:p>
            <w:pPr>
              <w:spacing w:line="240" w:lineRule="auto" w:before="0" w:after="0"/>
              <w:pStyle w:val="Compact"/>
            </w:pPr>
            <w:r>
              <w:rPr>
                <w:sz w:val="20"/>
                <w:szCs w:val="20"/>
              </w:rPr>
              <w:t xml:space="preserve">TLI</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8.07</w:t>
            </w:r>
          </w:p>
        </w:tc>
        <w:tc>
          <w:tcPr>
            <w:tcW w:w="0" w:type="auto"/>
          </w:tcPr>
          <w:p>
            <w:pPr>
              <w:spacing w:line="240" w:lineRule="auto" w:before="0" w:after="0"/>
              <w:pStyle w:val="Compact"/>
            </w:pPr>
            <w:r>
              <w:rPr>
                <w:sz w:val="20"/>
                <w:szCs w:val="20"/>
              </w:rPr>
              <w:t xml:space="preserve">5.704</w:t>
            </w:r>
          </w:p>
        </w:tc>
        <w:tc>
          <w:tcPr>
            <w:tcW w:w="0" w:type="auto"/>
          </w:tcPr>
          <w:p>
            <w:pPr>
              <w:spacing w:line="240" w:lineRule="auto" w:before="0" w:after="0"/>
              <w:pStyle w:val="Compact"/>
            </w:pPr>
            <w:r>
              <w:rPr>
                <w:sz w:val="20"/>
                <w:szCs w:val="20"/>
              </w:rPr>
              <w:t xml:space="preserve">2.088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SpaceX NLS-II published list; NASA Launch Services NLS-II [illustrative average]</w:t>
            </w:r>
          </w:p>
        </w:tc>
      </w:tr>
      <w:tr>
        <w:tc>
          <w:tcPr>
            <w:tcW w:w="0" w:type="auto"/>
          </w:tcPr>
          <w:p>
            <w:pPr>
              <w:spacing w:line="240" w:lineRule="auto" w:before="0" w:after="0"/>
              <w:pStyle w:val="Compact"/>
            </w:pPr>
            <w:r>
              <w:rPr>
                <w:sz w:val="20"/>
                <w:szCs w:val="20"/>
              </w:rPr>
              <w:t xml:space="preserve">FH_Psyche</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Falcon_Heavy</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2747</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47.69</w:t>
            </w:r>
          </w:p>
        </w:tc>
        <w:tc>
          <w:tcPr>
            <w:tcW w:w="0" w:type="auto"/>
          </w:tcPr>
          <w:p>
            <w:pPr>
              <w:spacing w:line="240" w:lineRule="auto" w:before="0" w:after="0"/>
              <w:pStyle w:val="Compact"/>
            </w:pPr>
            <w:r>
              <w:rPr>
                <w:sz w:val="20"/>
                <w:szCs w:val="20"/>
              </w:rPr>
              <w:t xml:space="preserve">2.079</w:t>
            </w:r>
          </w:p>
        </w:tc>
        <w:tc>
          <w:tcPr>
            <w:tcW w:w="0" w:type="auto"/>
          </w:tcPr>
          <w:p>
            <w:pPr>
              <w:spacing w:line="240" w:lineRule="auto" w:before="0" w:after="0"/>
              <w:pStyle w:val="Compact"/>
            </w:pPr>
            <w:r>
              <w:rPr>
                <w:sz w:val="20"/>
                <w:szCs w:val="20"/>
              </w:rPr>
              <w:t xml:space="preserve">3.864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task order (Feb 2020); NASA Psyche press kit</w:t>
            </w:r>
          </w:p>
        </w:tc>
      </w:tr>
      <w:tr>
        <w:tc>
          <w:tcPr>
            <w:tcW w:w="0" w:type="auto"/>
          </w:tcPr>
          <w:p>
            <w:pPr>
              <w:spacing w:line="240" w:lineRule="auto" w:before="0" w:after="0"/>
              <w:pStyle w:val="Compact"/>
            </w:pPr>
            <w:r>
              <w:rPr>
                <w:sz w:val="20"/>
                <w:szCs w:val="20"/>
              </w:rPr>
              <w:t xml:space="preserve">AtlasV_Lucy</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Atlas_V_401</w:t>
            </w:r>
          </w:p>
        </w:tc>
        <w:tc>
          <w:tcPr>
            <w:tcW w:w="0" w:type="auto"/>
          </w:tcPr>
          <w:p>
            <w:pPr>
              <w:spacing w:line="240" w:lineRule="auto" w:before="0" w:after="0"/>
              <w:pStyle w:val="Compact"/>
            </w:pPr>
            <w:r>
              <w:rPr>
                <w:sz w:val="20"/>
                <w:szCs w:val="20"/>
              </w:rPr>
              <w:t xml:space="preserve">89</w:t>
            </w:r>
          </w:p>
        </w:tc>
        <w:tc>
          <w:tcPr>
            <w:tcW w:w="0" w:type="auto"/>
          </w:tcPr>
          <w:p>
            <w:pPr>
              <w:spacing w:line="240" w:lineRule="auto" w:before="0" w:after="0"/>
              <w:pStyle w:val="Compact"/>
            </w:pPr>
            <w:r>
              <w:rPr>
                <w:sz w:val="20"/>
                <w:szCs w:val="20"/>
              </w:rPr>
              <w:t xml:space="preserve">1550</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148.3</w:t>
            </w:r>
          </w:p>
        </w:tc>
        <w:tc>
          <w:tcPr>
            <w:tcW w:w="0" w:type="auto"/>
          </w:tcPr>
          <w:p>
            <w:pPr>
              <w:spacing w:line="240" w:lineRule="auto" w:before="0" w:after="0"/>
              <w:pStyle w:val="Compact"/>
            </w:pPr>
            <w:r>
              <w:rPr>
                <w:sz w:val="20"/>
                <w:szCs w:val="20"/>
              </w:rPr>
              <w:t xml:space="preserve">95.68</w:t>
            </w:r>
          </w:p>
        </w:tc>
        <w:tc>
          <w:tcPr>
            <w:tcW w:w="0" w:type="auto"/>
          </w:tcPr>
          <w:p>
            <w:pPr>
              <w:spacing w:line="240" w:lineRule="auto" w:before="0" w:after="0"/>
              <w:pStyle w:val="Compact"/>
            </w:pPr>
            <w:r>
              <w:rPr>
                <w:sz w:val="20"/>
                <w:szCs w:val="20"/>
              </w:rPr>
              <w:t xml:space="preserve">4.489</w:t>
            </w:r>
          </w:p>
        </w:tc>
        <w:tc>
          <w:tcPr>
            <w:tcW w:w="0" w:type="auto"/>
          </w:tcPr>
          <w:p>
            <w:pPr>
              <w:spacing w:line="240" w:lineRule="auto" w:before="0" w:after="0"/>
              <w:pStyle w:val="Compact"/>
            </w:pPr>
            <w:r>
              <w:rPr>
                <w:sz w:val="20"/>
                <w:szCs w:val="20"/>
              </w:rPr>
              <w:t xml:space="preserve">4.561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NASA Lucy press kit</w:t>
            </w:r>
          </w:p>
        </w:tc>
      </w:tr>
      <w:tr>
        <w:tc>
          <w:tcPr>
            <w:tcW w:w="0" w:type="auto"/>
          </w:tcPr>
          <w:p>
            <w:pPr>
              <w:spacing w:line="240" w:lineRule="auto" w:before="0" w:after="0"/>
              <w:pStyle w:val="Compact"/>
            </w:pPr>
            <w:r>
              <w:rPr>
                <w:sz w:val="20"/>
                <w:szCs w:val="20"/>
              </w:rPr>
              <w:t xml:space="preserve">AtlasV_OSIRIS_REx</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Atlas_V_411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2110</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183.5</w:t>
            </w:r>
          </w:p>
        </w:tc>
        <w:tc>
          <w:tcPr>
            <w:tcW w:w="0" w:type="auto"/>
          </w:tcPr>
          <w:p>
            <w:pPr>
              <w:spacing w:line="240" w:lineRule="auto" w:before="0" w:after="0"/>
              <w:pStyle w:val="Compact"/>
            </w:pPr>
            <w:r>
              <w:rPr>
                <w:sz w:val="20"/>
                <w:szCs w:val="20"/>
              </w:rPr>
              <w:t xml:space="preserve">86.97</w:t>
            </w:r>
          </w:p>
        </w:tc>
        <w:tc>
          <w:tcPr>
            <w:tcW w:w="0" w:type="auto"/>
          </w:tcPr>
          <w:p>
            <w:pPr>
              <w:spacing w:line="240" w:lineRule="auto" w:before="0" w:after="0"/>
              <w:pStyle w:val="Compact"/>
            </w:pPr>
            <w:r>
              <w:rPr>
                <w:sz w:val="20"/>
                <w:szCs w:val="20"/>
              </w:rPr>
              <w:t xml:space="preserve">4.205</w:t>
            </w:r>
          </w:p>
        </w:tc>
        <w:tc>
          <w:tcPr>
            <w:tcW w:w="0" w:type="auto"/>
          </w:tcPr>
          <w:p>
            <w:pPr>
              <w:spacing w:line="240" w:lineRule="auto" w:before="0" w:after="0"/>
              <w:pStyle w:val="Compact"/>
            </w:pPr>
            <w:r>
              <w:rPr>
                <w:sz w:val="20"/>
                <w:szCs w:val="20"/>
              </w:rPr>
              <w:t xml:space="preserve">4.465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(Jul 2013); NASA OSIRIS-REx press kit</w:t>
            </w:r>
          </w:p>
        </w:tc>
      </w:tr>
      <w:tr>
        <w:tc>
          <w:tcPr>
            <w:tcW w:w="0" w:type="auto"/>
          </w:tcPr>
          <w:p>
            <w:pPr>
              <w:spacing w:line="240" w:lineRule="auto" w:before="0" w:after="0"/>
              <w:pStyle w:val="Compact"/>
            </w:pPr>
            <w:r>
              <w:rPr>
                <w:sz w:val="20"/>
                <w:szCs w:val="20"/>
              </w:rPr>
              <w:t xml:space="preserve">DeltaIVH_Parker</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Delta_IV_Heavy</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685</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389</w:t>
            </w:r>
          </w:p>
        </w:tc>
        <w:tc>
          <w:tcPr>
            <w:tcW w:w="0" w:type="auto"/>
          </w:tcPr>
          <w:p>
            <w:pPr>
              <w:spacing w:line="240" w:lineRule="auto" w:before="0" w:after="0"/>
              <w:pStyle w:val="Compact"/>
            </w:pPr>
            <w:r>
              <w:rPr>
                <w:sz w:val="20"/>
                <w:szCs w:val="20"/>
              </w:rPr>
              <w:t xml:space="preserve">567.88</w:t>
            </w:r>
          </w:p>
        </w:tc>
        <w:tc>
          <w:tcPr>
            <w:tcW w:w="0" w:type="auto"/>
          </w:tcPr>
          <w:p>
            <w:pPr>
              <w:spacing w:line="240" w:lineRule="auto" w:before="0" w:after="0"/>
              <w:pStyle w:val="Compact"/>
            </w:pPr>
            <w:r>
              <w:rPr>
                <w:sz w:val="20"/>
                <w:szCs w:val="20"/>
              </w:rPr>
              <w:t xml:space="preserve">2.197</w:t>
            </w:r>
          </w:p>
        </w:tc>
        <w:tc>
          <w:tcPr>
            <w:tcW w:w="0" w:type="auto"/>
          </w:tcPr>
          <w:p>
            <w:pPr>
              <w:spacing w:line="240" w:lineRule="auto" w:before="0" w:after="0"/>
              <w:pStyle w:val="Compact"/>
            </w:pPr>
            <w:r>
              <w:rPr>
                <w:sz w:val="20"/>
                <w:szCs w:val="20"/>
              </w:rPr>
              <w:t xml:space="preserve">6.342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 contract (Mar 2015); NASA Parker Solar Probe press kit</w:t>
            </w:r>
          </w:p>
        </w:tc>
      </w:tr>
      <w:tr>
        <w:tc>
          <w:tcPr>
            <w:tcW w:w="0" w:type="auto"/>
          </w:tcPr>
          <w:p>
            <w:pPr>
              <w:spacing w:line="240" w:lineRule="auto" w:before="0" w:after="0"/>
              <w:pStyle w:val="Compact"/>
            </w:pPr>
            <w:r>
              <w:rPr>
                <w:sz w:val="20"/>
                <w:szCs w:val="20"/>
              </w:rPr>
              <w:t xml:space="preserve">AtlasV_Mars2020</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Atlas_V_541</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1025</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243</w:t>
            </w:r>
          </w:p>
        </w:tc>
        <w:tc>
          <w:tcPr>
            <w:tcW w:w="0" w:type="auto"/>
          </w:tcPr>
          <w:p>
            <w:pPr>
              <w:spacing w:line="240" w:lineRule="auto" w:before="0" w:after="0"/>
              <w:pStyle w:val="Compact"/>
            </w:pPr>
            <w:r>
              <w:rPr>
                <w:sz w:val="20"/>
                <w:szCs w:val="20"/>
              </w:rPr>
              <w:t xml:space="preserve">237.07</w:t>
            </w:r>
          </w:p>
        </w:tc>
        <w:tc>
          <w:tcPr>
            <w:tcW w:w="0" w:type="auto"/>
          </w:tcPr>
          <w:p>
            <w:pPr>
              <w:spacing w:line="240" w:lineRule="auto" w:before="0" w:after="0"/>
              <w:pStyle w:val="Compact"/>
            </w:pPr>
            <w:r>
              <w:rPr>
                <w:sz w:val="20"/>
                <w:szCs w:val="20"/>
              </w:rPr>
              <w:t xml:space="preserve">4.407</w:t>
            </w:r>
          </w:p>
        </w:tc>
        <w:tc>
          <w:tcPr>
            <w:tcW w:w="0" w:type="auto"/>
          </w:tcPr>
          <w:p>
            <w:pPr>
              <w:spacing w:line="240" w:lineRule="auto" w:before="0" w:after="0"/>
              <w:pStyle w:val="Compact"/>
            </w:pPr>
            <w:r>
              <w:rPr>
                <w:sz w:val="20"/>
                <w:szCs w:val="20"/>
              </w:rPr>
              <w:t xml:space="preserve">5.468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task order (Aug 2016); NASA Mars 2020 press kit</w:t>
            </w:r>
          </w:p>
        </w:tc>
      </w:tr>
      <w:tr>
        <w:tc>
          <w:tcPr>
            <w:tcW w:w="0" w:type="auto"/>
          </w:tcPr>
          <w:p>
            <w:pPr>
              <w:spacing w:line="240" w:lineRule="auto" w:before="0" w:after="0"/>
              <w:pStyle w:val="Compact"/>
            </w:pPr>
            <w:r>
              <w:rPr>
                <w:sz w:val="20"/>
                <w:szCs w:val="20"/>
              </w:rPr>
              <w:t xml:space="preserve">AtlasV_MSL</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Atlas_V_541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899</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216.91</w:t>
            </w:r>
          </w:p>
        </w:tc>
        <w:tc>
          <w:tcPr>
            <w:tcW w:w="0" w:type="auto"/>
          </w:tcPr>
          <w:p>
            <w:pPr>
              <w:spacing w:line="240" w:lineRule="auto" w:before="0" w:after="0"/>
              <w:pStyle w:val="Compact"/>
            </w:pPr>
            <w:r>
              <w:rPr>
                <w:sz w:val="20"/>
                <w:szCs w:val="20"/>
              </w:rPr>
              <w:t xml:space="preserve">3.332</w:t>
            </w:r>
          </w:p>
        </w:tc>
        <w:tc>
          <w:tcPr>
            <w:tcW w:w="0" w:type="auto"/>
          </w:tcPr>
          <w:p>
            <w:pPr>
              <w:spacing w:line="240" w:lineRule="auto" w:before="0" w:after="0"/>
              <w:pStyle w:val="Compact"/>
            </w:pPr>
            <w:r>
              <w:rPr>
                <w:sz w:val="20"/>
                <w:szCs w:val="20"/>
              </w:rPr>
              <w:t xml:space="preserve">5.379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LSP (Oct 2006); NASA MSL press kit</w:t>
            </w:r>
          </w:p>
        </w:tc>
      </w:tr>
      <w:tr>
        <w:tc>
          <w:tcPr>
            <w:tcW w:w="0" w:type="auto"/>
          </w:tcPr>
          <w:p>
            <w:pPr>
              <w:spacing w:line="240" w:lineRule="auto" w:before="0" w:after="0"/>
              <w:pStyle w:val="Compact"/>
            </w:pPr>
            <w:r>
              <w:rPr>
                <w:sz w:val="20"/>
                <w:szCs w:val="20"/>
              </w:rPr>
              <w:t xml:space="preserve">AtlasV_MAVEN</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Atlas_V_401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2454</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76.21</w:t>
            </w:r>
          </w:p>
        </w:tc>
        <w:tc>
          <w:tcPr>
            <w:tcW w:w="0" w:type="auto"/>
          </w:tcPr>
          <w:p>
            <w:pPr>
              <w:spacing w:line="240" w:lineRule="auto" w:before="0" w:after="0"/>
              <w:pStyle w:val="Compact"/>
            </w:pPr>
            <w:r>
              <w:rPr>
                <w:sz w:val="20"/>
                <w:szCs w:val="20"/>
              </w:rPr>
              <w:t xml:space="preserve">3.689</w:t>
            </w:r>
          </w:p>
        </w:tc>
        <w:tc>
          <w:tcPr>
            <w:tcW w:w="0" w:type="auto"/>
          </w:tcPr>
          <w:p>
            <w:pPr>
              <w:spacing w:line="240" w:lineRule="auto" w:before="0" w:after="0"/>
              <w:pStyle w:val="Compact"/>
            </w:pPr>
            <w:r>
              <w:rPr>
                <w:sz w:val="20"/>
                <w:szCs w:val="20"/>
              </w:rPr>
              <w:t xml:space="preserve">4.333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(Oct 2010); NASA MAVEN press kit</w:t>
            </w:r>
          </w:p>
        </w:tc>
      </w:tr>
      <w:tr>
        <w:tc>
          <w:tcPr>
            <w:tcW w:w="0" w:type="auto"/>
          </w:tcPr>
          <w:p>
            <w:pPr>
              <w:spacing w:line="240" w:lineRule="auto" w:before="0" w:after="0"/>
              <w:pStyle w:val="Compact"/>
            </w:pPr>
            <w:r>
              <w:rPr>
                <w:sz w:val="20"/>
                <w:szCs w:val="20"/>
              </w:rPr>
              <w:t xml:space="preserve">AtlasV_Juno</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Atlas_V_551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3625</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190</w:t>
            </w:r>
          </w:p>
        </w:tc>
        <w:tc>
          <w:tcPr>
            <w:tcW w:w="0" w:type="auto"/>
          </w:tcPr>
          <w:p>
            <w:pPr>
              <w:spacing w:line="240" w:lineRule="auto" w:before="0" w:after="0"/>
              <w:pStyle w:val="Compact"/>
            </w:pPr>
            <w:r>
              <w:rPr>
                <w:sz w:val="20"/>
                <w:szCs w:val="20"/>
              </w:rPr>
              <w:t xml:space="preserve">52.41</w:t>
            </w:r>
          </w:p>
        </w:tc>
        <w:tc>
          <w:tcPr>
            <w:tcW w:w="0" w:type="auto"/>
          </w:tcPr>
          <w:p>
            <w:pPr>
              <w:spacing w:line="240" w:lineRule="auto" w:before="0" w:after="0"/>
              <w:pStyle w:val="Compact"/>
            </w:pPr>
            <w:r>
              <w:rPr>
                <w:sz w:val="20"/>
                <w:szCs w:val="20"/>
              </w:rPr>
              <w:t xml:space="preserve">3.296</w:t>
            </w:r>
          </w:p>
        </w:tc>
        <w:tc>
          <w:tcPr>
            <w:tcW w:w="0" w:type="auto"/>
          </w:tcPr>
          <w:p>
            <w:pPr>
              <w:spacing w:line="240" w:lineRule="auto" w:before="0" w:after="0"/>
              <w:pStyle w:val="Compact"/>
            </w:pPr>
            <w:r>
              <w:rPr>
                <w:sz w:val="20"/>
                <w:szCs w:val="20"/>
              </w:rPr>
              <w:t xml:space="preserve">3.959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 contract (Jun 2008); NASA Juno press kit</w:t>
            </w:r>
          </w:p>
        </w:tc>
      </w:tr>
      <w:tr>
        <w:tc>
          <w:tcPr>
            <w:tcW w:w="0" w:type="auto"/>
          </w:tcPr>
          <w:p>
            <w:pPr>
              <w:spacing w:line="240" w:lineRule="auto" w:before="0" w:after="0"/>
              <w:pStyle w:val="Compact"/>
            </w:pPr>
            <w:r>
              <w:rPr>
                <w:sz w:val="20"/>
                <w:szCs w:val="20"/>
              </w:rPr>
              <w:t xml:space="preserve">FH_EuropaClipper</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Falcon_Heavy</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6065</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29.35</w:t>
            </w:r>
          </w:p>
        </w:tc>
        <w:tc>
          <w:tcPr>
            <w:tcW w:w="0" w:type="auto"/>
          </w:tcPr>
          <w:p>
            <w:pPr>
              <w:spacing w:line="240" w:lineRule="auto" w:before="0" w:after="0"/>
              <w:pStyle w:val="Compact"/>
            </w:pPr>
            <w:r>
              <w:rPr>
                <w:sz w:val="20"/>
                <w:szCs w:val="20"/>
              </w:rPr>
              <w:t xml:space="preserve">2.303</w:t>
            </w:r>
          </w:p>
        </w:tc>
        <w:tc>
          <w:tcPr>
            <w:tcW w:w="0" w:type="auto"/>
          </w:tcPr>
          <w:p>
            <w:pPr>
              <w:spacing w:line="240" w:lineRule="auto" w:before="0" w:after="0"/>
              <w:pStyle w:val="Compact"/>
            </w:pPr>
            <w:r>
              <w:rPr>
                <w:sz w:val="20"/>
                <w:szCs w:val="20"/>
              </w:rPr>
              <w:t xml:space="preserve">3.379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task order (Jul 2021); NASA Europa Clipper press kit</w:t>
            </w:r>
          </w:p>
        </w:tc>
      </w:tr>
      <w:tr>
        <w:tc>
          <w:tcPr>
            <w:tcW w:w="0" w:type="auto"/>
          </w:tcPr>
          <w:p>
            <w:pPr>
              <w:spacing w:line="240" w:lineRule="auto" w:before="0" w:after="0"/>
              <w:pStyle w:val="Compact"/>
            </w:pPr>
            <w:r>
              <w:rPr>
                <w:sz w:val="20"/>
                <w:szCs w:val="20"/>
              </w:rPr>
              <w:t xml:space="preserve">SLS_ArtemisI</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26988</w:t>
            </w:r>
          </w:p>
        </w:tc>
        <w:tc>
          <w:tcPr>
            <w:tcW w:w="0" w:type="auto"/>
          </w:tcPr>
          <w:p>
            <w:pPr>
              <w:spacing w:line="240" w:lineRule="auto" w:before="0" w:after="0"/>
              <w:pStyle w:val="Compact"/>
            </w:pPr>
            <w:r>
              <w:rPr>
                <w:sz w:val="20"/>
                <w:szCs w:val="20"/>
              </w:rPr>
              <w:t xml:space="preserve">TLI</w:t>
            </w:r>
          </w:p>
        </w:tc>
        <w:tc>
          <w:tcPr>
            <w:tcW w:w="0" w:type="auto"/>
          </w:tcPr>
          <w:p>
            <w:pPr>
              <w:spacing w:line="240" w:lineRule="auto" w:before="0" w:after="0"/>
              <w:pStyle w:val="Compact"/>
            </w:pPr>
            <w:r>
              <w:rPr>
                <w:sz w:val="20"/>
                <w:szCs w:val="20"/>
              </w:rPr>
              <w:t xml:space="preserve">4100</w:t>
            </w:r>
          </w:p>
        </w:tc>
        <w:tc>
          <w:tcPr>
            <w:tcW w:w="0" w:type="auto"/>
          </w:tcPr>
          <w:p>
            <w:pPr>
              <w:spacing w:line="240" w:lineRule="auto" w:before="0" w:after="0"/>
              <w:pStyle w:val="Compact"/>
            </w:pPr>
            <w:r>
              <w:rPr>
                <w:sz w:val="20"/>
                <w:szCs w:val="20"/>
              </w:rPr>
              <w:t xml:space="preserve">151.92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OIG IG-22-003; GAO-23-106021; GAO-24-106767</w:t>
            </w:r>
          </w:p>
        </w:tc>
      </w:tr>
      <w:tr>
        <w:tc>
          <w:tcPr>
            <w:tcW w:w="0" w:type="auto"/>
          </w:tcPr>
          <w:p>
            <w:pPr>
              <w:spacing w:line="240" w:lineRule="auto" w:before="0" w:after="0"/>
              <w:pStyle w:val="Compact"/>
            </w:pPr>
            <w:r>
              <w:rPr>
                <w:sz w:val="20"/>
                <w:szCs w:val="20"/>
              </w:rPr>
              <w:t xml:space="preserve">FH_Roman</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Falcon_Heavy</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4166</w:t>
            </w:r>
          </w:p>
        </w:tc>
        <w:tc>
          <w:tcPr>
            <w:tcW w:w="0" w:type="auto"/>
          </w:tcPr>
          <w:p>
            <w:pPr>
              <w:spacing w:line="240" w:lineRule="auto" w:before="0" w:after="0"/>
              <w:pStyle w:val="Compact"/>
            </w:pPr>
            <w:r>
              <w:rPr>
                <w:sz w:val="20"/>
                <w:szCs w:val="20"/>
              </w:rPr>
              <w:t xml:space="preserve">Cislunar_L2</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61.21</w:t>
            </w:r>
          </w:p>
        </w:tc>
        <w:tc>
          <w:tcPr>
            <w:tcW w:w="0" w:type="auto"/>
          </w:tcPr>
          <w:p>
            <w:pPr>
              <w:spacing w:line="240" w:lineRule="auto" w:before="0" w:after="0"/>
              <w:pStyle w:val="Compact"/>
            </w:pPr>
            <w:r>
              <w:rPr>
                <w:sz w:val="20"/>
                <w:szCs w:val="20"/>
              </w:rPr>
              <w:t xml:space="preserve">2.708</w:t>
            </w:r>
          </w:p>
        </w:tc>
        <w:tc>
          <w:tcPr>
            <w:tcW w:w="0" w:type="auto"/>
          </w:tcPr>
          <w:p>
            <w:pPr>
              <w:spacing w:line="240" w:lineRule="auto" w:before="0" w:after="0"/>
              <w:pStyle w:val="Compact"/>
            </w:pPr>
            <w:r>
              <w:rPr>
                <w:sz w:val="20"/>
                <w:szCs w:val="20"/>
              </w:rPr>
              <w:t xml:space="preserve">4.114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task order (Jul 2022); NASA Roman press release</w:t>
            </w:r>
          </w:p>
        </w:tc>
      </w:tr>
      <w:tr>
        <w:tc>
          <w:tcPr>
            <w:tcW w:w="0" w:type="auto"/>
          </w:tcPr>
          <w:p>
            <w:pPr>
              <w:spacing w:line="240" w:lineRule="auto" w:before="0" w:after="0"/>
              <w:pStyle w:val="Compact"/>
            </w:pPr>
            <w:r>
              <w:rPr>
                <w:sz w:val="20"/>
                <w:szCs w:val="20"/>
              </w:rPr>
              <w:t xml:space="preserve">AtlasV_GRAIL</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Atlas_V_401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635</w:t>
            </w:r>
          </w:p>
        </w:tc>
        <w:tc>
          <w:tcPr>
            <w:tcW w:w="0" w:type="auto"/>
          </w:tcPr>
          <w:p>
            <w:pPr>
              <w:spacing w:line="240" w:lineRule="auto" w:before="0" w:after="0"/>
              <w:pStyle w:val="Compact"/>
            </w:pPr>
            <w:r>
              <w:rPr>
                <w:sz w:val="20"/>
                <w:szCs w:val="20"/>
              </w:rPr>
              <w:t xml:space="preserve">Lunar_Orbit</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220.47</w:t>
            </w:r>
          </w:p>
        </w:tc>
        <w:tc>
          <w:tcPr>
            <w:tcW w:w="0" w:type="auto"/>
          </w:tcPr>
          <w:p>
            <w:pPr>
              <w:spacing w:line="240" w:lineRule="auto" w:before="0" w:after="0"/>
              <w:pStyle w:val="Compact"/>
            </w:pPr>
            <w:r>
              <w:rPr>
                <w:sz w:val="20"/>
                <w:szCs w:val="20"/>
              </w:rPr>
              <w:t xml:space="preserve">3.258</w:t>
            </w:r>
          </w:p>
        </w:tc>
        <w:tc>
          <w:tcPr>
            <w:tcW w:w="0" w:type="auto"/>
          </w:tcPr>
          <w:p>
            <w:pPr>
              <w:spacing w:line="240" w:lineRule="auto" w:before="0" w:after="0"/>
              <w:pStyle w:val="Compact"/>
            </w:pPr>
            <w:r>
              <w:rPr>
                <w:sz w:val="20"/>
                <w:szCs w:val="20"/>
              </w:rPr>
              <w:t xml:space="preserve">5.396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LSP (Sep 2008); NASA GRAIL press kit</w:t>
            </w:r>
          </w:p>
        </w:tc>
      </w:tr>
      <w:tr>
        <w:tc>
          <w:tcPr>
            <w:tcW w:w="0" w:type="auto"/>
          </w:tcPr>
          <w:p>
            <w:pPr>
              <w:spacing w:line="240" w:lineRule="auto" w:before="0" w:after="0"/>
              <w:pStyle w:val="Compact"/>
            </w:pPr>
            <w:r>
              <w:rPr>
                <w:sz w:val="20"/>
                <w:szCs w:val="20"/>
              </w:rPr>
              <w:t xml:space="preserve">Falcon9_LCRD</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Falcon_9_Block5</w:t>
            </w:r>
          </w:p>
        </w:tc>
        <w:tc>
          <w:tcPr>
            <w:tcW w:w="0" w:type="auto"/>
          </w:tcPr>
          <w:p>
            <w:pPr>
              <w:spacing w:line="240" w:lineRule="auto" w:before="0" w:after="0"/>
              <w:pStyle w:val="Compact"/>
            </w:pPr>
            <w:r>
              <w:rPr>
                <w:sz w:val="20"/>
                <w:szCs w:val="20"/>
              </w:rPr>
              <w:t xml:space="preserve">134</w:t>
            </w:r>
          </w:p>
        </w:tc>
        <w:tc>
          <w:tcPr>
            <w:tcW w:w="0" w:type="auto"/>
          </w:tcPr>
          <w:p>
            <w:pPr>
              <w:spacing w:line="240" w:lineRule="auto" w:before="0" w:after="0"/>
              <w:pStyle w:val="Compact"/>
            </w:pPr>
            <w:r>
              <w:rPr>
                <w:sz w:val="20"/>
                <w:szCs w:val="20"/>
              </w:rPr>
              <w:t xml:space="preserve">415</w:t>
            </w:r>
          </w:p>
        </w:tc>
        <w:tc>
          <w:tcPr>
            <w:tcW w:w="0" w:type="auto"/>
          </w:tcPr>
          <w:p>
            <w:pPr>
              <w:spacing w:line="240" w:lineRule="auto" w:before="0" w:after="0"/>
              <w:pStyle w:val="Compact"/>
            </w:pPr>
            <w:r>
              <w:rPr>
                <w:sz w:val="20"/>
                <w:szCs w:val="20"/>
              </w:rPr>
              <w:t xml:space="preserve">Cislunar_transfer</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238.55</w:t>
            </w:r>
          </w:p>
        </w:tc>
        <w:tc>
          <w:tcPr>
            <w:tcW w:w="0" w:type="auto"/>
          </w:tcPr>
          <w:p>
            <w:pPr>
              <w:spacing w:line="240" w:lineRule="auto" w:before="0" w:after="0"/>
              <w:pStyle w:val="Compact"/>
            </w:pPr>
            <w:r>
              <w:rPr>
                <w:sz w:val="20"/>
                <w:szCs w:val="20"/>
              </w:rPr>
              <w:t xml:space="preserve">4.898</w:t>
            </w:r>
          </w:p>
        </w:tc>
        <w:tc>
          <w:tcPr>
            <w:tcW w:w="0" w:type="auto"/>
          </w:tcPr>
          <w:p>
            <w:pPr>
              <w:spacing w:line="240" w:lineRule="auto" w:before="0" w:after="0"/>
              <w:pStyle w:val="Compact"/>
            </w:pPr>
            <w:r>
              <w:rPr>
                <w:sz w:val="20"/>
                <w:szCs w:val="20"/>
              </w:rPr>
              <w:t xml:space="preserve">5.475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STP-3 task order (Aug 2018); NASA LCRD project page</w:t>
            </w:r>
          </w:p>
        </w:tc>
      </w:tr>
      <w:tr>
        <w:tc>
          <w:tcPr>
            <w:tcW w:w="0" w:type="auto"/>
          </w:tcPr>
          <w:p>
            <w:pPr>
              <w:spacing w:line="240" w:lineRule="auto" w:before="0" w:after="0"/>
              <w:pStyle w:val="Compact"/>
            </w:pPr>
            <w:r>
              <w:rPr>
                <w:sz w:val="20"/>
                <w:szCs w:val="20"/>
              </w:rPr>
              <w:t xml:space="preserve">Falcon9_IXPE</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Falcon_9_Block5</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Cislunar_transfer</w:t>
            </w:r>
          </w:p>
        </w:tc>
        <w:tc>
          <w:tcPr>
            <w:tcW w:w="0" w:type="auto"/>
          </w:tcPr>
          <w:p>
            <w:pPr>
              <w:spacing w:line="240" w:lineRule="auto" w:before="0" w:after="0"/>
              <w:pStyle w:val="Compact"/>
            </w:pPr>
            <w:r>
              <w:rPr>
                <w:sz w:val="20"/>
                <w:szCs w:val="20"/>
              </w:rPr>
              <w:t xml:space="preserve">50.3</w:t>
            </w:r>
          </w:p>
        </w:tc>
        <w:tc>
          <w:tcPr>
            <w:tcW w:w="0" w:type="auto"/>
          </w:tcPr>
          <w:p>
            <w:pPr>
              <w:spacing w:line="240" w:lineRule="auto" w:before="0" w:after="0"/>
              <w:pStyle w:val="Compact"/>
            </w:pPr>
            <w:r>
              <w:rPr>
                <w:sz w:val="20"/>
                <w:szCs w:val="20"/>
              </w:rPr>
              <w:t xml:space="preserve">152.42</w:t>
            </w:r>
          </w:p>
        </w:tc>
        <w:tc>
          <w:tcPr>
            <w:tcW w:w="0" w:type="auto"/>
          </w:tcPr>
          <w:p>
            <w:pPr>
              <w:spacing w:line="240" w:lineRule="auto" w:before="0" w:after="0"/>
              <w:pStyle w:val="Compact"/>
            </w:pPr>
            <w:r>
              <w:rPr>
                <w:sz w:val="20"/>
                <w:szCs w:val="20"/>
              </w:rPr>
              <w:t xml:space="preserve">4.905</w:t>
            </w:r>
          </w:p>
        </w:tc>
        <w:tc>
          <w:tcPr>
            <w:tcW w:w="0" w:type="auto"/>
          </w:tcPr>
          <w:p>
            <w:pPr>
              <w:spacing w:line="240" w:lineRule="auto" w:before="0" w:after="0"/>
              <w:pStyle w:val="Compact"/>
            </w:pPr>
            <w:r>
              <w:rPr>
                <w:sz w:val="20"/>
                <w:szCs w:val="20"/>
              </w:rPr>
              <w:t xml:space="preserve">5.027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(Jul 2017); NASA IXPE press kit</w:t>
            </w:r>
          </w:p>
        </w:tc>
      </w:tr>
      <w:tr>
        <w:tc>
          <w:tcPr>
            <w:tcW w:w="0" w:type="auto"/>
          </w:tcPr>
          <w:p>
            <w:pPr>
              <w:spacing w:line="240" w:lineRule="auto" w:before="0" w:after="0"/>
              <w:pStyle w:val="Compact"/>
            </w:pPr>
            <w:r>
              <w:rPr>
                <w:sz w:val="20"/>
                <w:szCs w:val="20"/>
              </w:rPr>
              <w:t xml:space="preserve">Falcon9_DART</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Falcon_9_Block5</w:t>
            </w:r>
          </w:p>
        </w:tc>
        <w:tc>
          <w:tcPr>
            <w:tcW w:w="0" w:type="auto"/>
          </w:tcPr>
          <w:p>
            <w:pPr>
              <w:spacing w:line="240" w:lineRule="auto" w:before="0" w:after="0"/>
              <w:pStyle w:val="Compact"/>
            </w:pPr>
            <w:r>
              <w:rPr>
                <w:sz w:val="20"/>
                <w:szCs w:val="20"/>
              </w:rPr>
              <w:t xml:space="preserve">140</w:t>
            </w:r>
          </w:p>
        </w:tc>
        <w:tc>
          <w:tcPr>
            <w:tcW w:w="0" w:type="auto"/>
          </w:tcPr>
          <w:p>
            <w:pPr>
              <w:spacing w:line="240" w:lineRule="auto" w:before="0" w:after="0"/>
              <w:pStyle w:val="Compact"/>
            </w:pPr>
            <w:r>
              <w:rPr>
                <w:sz w:val="20"/>
                <w:szCs w:val="20"/>
              </w:rPr>
              <w:t xml:space="preserve">610</w:t>
            </w:r>
          </w:p>
        </w:tc>
        <w:tc>
          <w:tcPr>
            <w:tcW w:w="0" w:type="auto"/>
          </w:tcPr>
          <w:p>
            <w:pPr>
              <w:spacing w:line="240" w:lineRule="auto" w:before="0" w:after="0"/>
              <w:pStyle w:val="Compact"/>
            </w:pPr>
            <w:r>
              <w:rPr>
                <w:sz w:val="20"/>
                <w:szCs w:val="20"/>
              </w:rPr>
              <w:t xml:space="preserve">Cislunar_escape</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113.11</w:t>
            </w:r>
          </w:p>
        </w:tc>
        <w:tc>
          <w:tcPr>
            <w:tcW w:w="0" w:type="auto"/>
          </w:tcPr>
          <w:p>
            <w:pPr>
              <w:spacing w:line="240" w:lineRule="auto" w:before="0" w:after="0"/>
              <w:pStyle w:val="Compact"/>
            </w:pPr>
            <w:r>
              <w:rPr>
                <w:sz w:val="20"/>
                <w:szCs w:val="20"/>
              </w:rPr>
              <w:t xml:space="preserve">4.942</w:t>
            </w:r>
          </w:p>
        </w:tc>
        <w:tc>
          <w:tcPr>
            <w:tcW w:w="0" w:type="auto"/>
          </w:tcPr>
          <w:p>
            <w:pPr>
              <w:spacing w:line="240" w:lineRule="auto" w:before="0" w:after="0"/>
              <w:pStyle w:val="Compact"/>
            </w:pPr>
            <w:r>
              <w:rPr>
                <w:sz w:val="20"/>
                <w:szCs w:val="20"/>
              </w:rPr>
              <w:t xml:space="preserve">4.728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task order (Apr 2019); NASA DART press kit</w:t>
            </w:r>
          </w:p>
        </w:tc>
      </w:tr>
      <w:tr>
        <w:tc>
          <w:tcPr>
            <w:tcW w:w="0" w:type="auto"/>
          </w:tcPr>
          <w:p>
            <w:pPr>
              <w:spacing w:line="240" w:lineRule="auto" w:before="0" w:after="0"/>
              <w:pStyle w:val="Compact"/>
            </w:pPr>
            <w:r>
              <w:rPr>
                <w:sz w:val="20"/>
                <w:szCs w:val="20"/>
              </w:rPr>
              <w:t xml:space="preserve">FH_GOESU</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Falcon_Heavy</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5192</w:t>
            </w:r>
          </w:p>
        </w:tc>
        <w:tc>
          <w:tcPr>
            <w:tcW w:w="0" w:type="auto"/>
          </w:tcPr>
          <w:p>
            <w:pPr>
              <w:spacing w:line="240" w:lineRule="auto" w:before="0" w:after="0"/>
              <w:pStyle w:val="Compact"/>
            </w:pPr>
            <w:r>
              <w:rPr>
                <w:sz w:val="20"/>
                <w:szCs w:val="20"/>
              </w:rPr>
              <w:t xml:space="preserve">GEO_via_cislunar</w:t>
            </w:r>
          </w:p>
        </w:tc>
        <w:tc>
          <w:tcPr>
            <w:tcW w:w="0" w:type="auto"/>
          </w:tcPr>
          <w:p>
            <w:pPr>
              <w:spacing w:line="240" w:lineRule="auto" w:before="0" w:after="0"/>
              <w:pStyle w:val="Compact"/>
            </w:pPr>
            <w:r>
              <w:rPr>
                <w:sz w:val="20"/>
                <w:szCs w:val="20"/>
              </w:rPr>
              <w:t xml:space="preserve">152.5</w:t>
            </w:r>
          </w:p>
        </w:tc>
        <w:tc>
          <w:tcPr>
            <w:tcW w:w="0" w:type="auto"/>
          </w:tcPr>
          <w:p>
            <w:pPr>
              <w:spacing w:line="240" w:lineRule="auto" w:before="0" w:after="0"/>
              <w:pStyle w:val="Compact"/>
            </w:pPr>
            <w:r>
              <w:rPr>
                <w:sz w:val="20"/>
                <w:szCs w:val="20"/>
              </w:rPr>
              <w:t xml:space="preserve">29.37</w:t>
            </w:r>
          </w:p>
        </w:tc>
        <w:tc>
          <w:tcPr>
            <w:tcW w:w="0" w:type="auto"/>
          </w:tcPr>
          <w:p>
            <w:pPr>
              <w:spacing w:line="240" w:lineRule="auto" w:before="0" w:after="0"/>
              <w:pStyle w:val="Compact"/>
            </w:pPr>
            <w:r>
              <w:rPr>
                <w:sz w:val="20"/>
                <w:szCs w:val="20"/>
              </w:rPr>
              <w:t xml:space="preserve">2.398</w:t>
            </w:r>
          </w:p>
        </w:tc>
        <w:tc>
          <w:tcPr>
            <w:tcW w:w="0" w:type="auto"/>
          </w:tcPr>
          <w:p>
            <w:pPr>
              <w:spacing w:line="240" w:lineRule="auto" w:before="0" w:after="0"/>
              <w:pStyle w:val="Compact"/>
            </w:pPr>
            <w:r>
              <w:rPr>
                <w:sz w:val="20"/>
                <w:szCs w:val="20"/>
              </w:rPr>
              <w:t xml:space="preserve">3.38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(Sep 2019); NOAA GOES-U press release</w:t>
            </w:r>
          </w:p>
        </w:tc>
      </w:tr>
      <w:tr>
        <w:tc>
          <w:tcPr>
            <w:tcW w:w="0" w:type="auto"/>
          </w:tcPr>
          <w:p>
            <w:pPr>
              <w:spacing w:line="240" w:lineRule="auto" w:before="0" w:after="0"/>
              <w:pStyle w:val="Compact"/>
            </w:pPr>
            <w:r>
              <w:rPr>
                <w:sz w:val="20"/>
                <w:szCs w:val="20"/>
              </w:rPr>
              <w:t xml:space="preserve">Vulcan_Peregrine</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Vulcan_Centaur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90</w:t>
            </w:r>
          </w:p>
        </w:tc>
        <w:tc>
          <w:tcPr>
            <w:tcW w:w="0" w:type="auto"/>
          </w:tcPr>
          <w:p>
            <w:pPr>
              <w:spacing w:line="240" w:lineRule="auto" w:before="0" w:after="0"/>
              <w:pStyle w:val="Compact"/>
            </w:pPr>
            <w:r>
              <w:rPr>
                <w:sz w:val="20"/>
                <w:szCs w:val="20"/>
              </w:rPr>
              <w:t xml:space="preserve">Lunar_Surface</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(May 2019); ULA Vulcan certification release</w:t>
            </w:r>
          </w:p>
        </w:tc>
      </w:tr>
      <w:tr>
        <w:tc>
          <w:tcPr>
            <w:tcW w:w="0" w:type="auto"/>
          </w:tcPr>
          <w:p>
            <w:pPr>
              <w:spacing w:line="240" w:lineRule="auto" w:before="0" w:after="0"/>
              <w:pStyle w:val="Compact"/>
            </w:pPr>
            <w:r>
              <w:rPr>
                <w:sz w:val="20"/>
                <w:szCs w:val="20"/>
              </w:rPr>
              <w:t xml:space="preserve">NewGlenn_EscaPADE</w:t>
            </w:r>
          </w:p>
        </w:tc>
        <w:tc>
          <w:tcPr>
            <w:tcW w:w="0" w:type="auto"/>
          </w:tcPr>
          <w:p>
            <w:pPr>
              <w:spacing w:line="240" w:lineRule="auto" w:before="0" w:after="0"/>
              <w:pStyle w:val="Compact"/>
            </w:pPr>
            <w:r>
              <w:rPr>
                <w:sz w:val="20"/>
                <w:szCs w:val="20"/>
              </w:rPr>
              <w:t xml:space="preserve">Blue_Origin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New_Glenn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533</w:t>
            </w:r>
          </w:p>
        </w:tc>
        <w:tc>
          <w:tcPr>
            <w:tcW w:w="0" w:type="auto"/>
          </w:tcPr>
          <w:p>
            <w:pPr>
              <w:spacing w:line="240" w:lineRule="auto" w:before="0" w:after="0"/>
              <w:pStyle w:val="Compact"/>
            </w:pPr>
            <w:r>
              <w:rPr>
                <w:sz w:val="20"/>
                <w:szCs w:val="20"/>
              </w:rPr>
              <w:t xml:space="preserve">Cislunar_transfer</w:t>
            </w:r>
          </w:p>
        </w:tc>
        <w:tc>
          <w:tcPr>
            <w:tcW w:w="0" w:type="auto"/>
          </w:tcPr>
          <w:p>
            <w:pPr>
              <w:spacing w:line="240" w:lineRule="auto" w:before="0" w:after="0"/>
              <w:pStyle w:val="Compact"/>
            </w:pPr>
            <w:r>
              <w:rPr>
                <w:sz w:val="20"/>
                <w:szCs w:val="20"/>
              </w:rPr>
              <w:t xml:space="preserve">79.4</w:t>
            </w:r>
          </w:p>
        </w:tc>
        <w:tc>
          <w:tcPr>
            <w:tcW w:w="0" w:type="auto"/>
          </w:tcPr>
          <w:p>
            <w:pPr>
              <w:spacing w:line="240" w:lineRule="auto" w:before="0" w:after="0"/>
              <w:pStyle w:val="Compact"/>
            </w:pPr>
            <w:r>
              <w:rPr>
                <w:sz w:val="20"/>
                <w:szCs w:val="20"/>
              </w:rPr>
              <w:t xml:space="preserve">148.97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5.004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VADR task order (Feb 2023); NASA Ames EscaPADE press release</w:t>
            </w:r>
          </w:p>
        </w:tc>
      </w:tr>
      <w:tr>
        <w:tc>
          <w:tcPr>
            <w:tcW w:w="0" w:type="auto"/>
          </w:tcPr>
          <w:p>
            <w:pPr>
              <w:spacing w:line="240" w:lineRule="auto" w:before="0" w:after="0"/>
              <w:pStyle w:val="Compact"/>
            </w:pPr>
            <w:r>
              <w:rPr>
                <w:sz w:val="20"/>
                <w:szCs w:val="20"/>
              </w:rPr>
              <w:t xml:space="preserve">Falcon9_PACE</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Falcon_9_Block5</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1694</w:t>
            </w:r>
          </w:p>
        </w:tc>
        <w:tc>
          <w:tcPr>
            <w:tcW w:w="0" w:type="auto"/>
          </w:tcPr>
          <w:p>
            <w:pPr>
              <w:spacing w:line="240" w:lineRule="auto" w:before="0" w:after="0"/>
              <w:pStyle w:val="Compact"/>
            </w:pPr>
            <w:r>
              <w:rPr>
                <w:sz w:val="20"/>
                <w:szCs w:val="20"/>
              </w:rPr>
              <w:t xml:space="preserve">Cislunar_staging</w:t>
            </w:r>
          </w:p>
        </w:tc>
        <w:tc>
          <w:tcPr>
            <w:tcW w:w="0" w:type="auto"/>
          </w:tcPr>
          <w:p>
            <w:pPr>
              <w:spacing w:line="240" w:lineRule="auto" w:before="0" w:after="0"/>
              <w:pStyle w:val="Compact"/>
            </w:pPr>
            <w:r>
              <w:rPr>
                <w:sz w:val="20"/>
                <w:szCs w:val="20"/>
              </w:rPr>
              <w:t xml:space="preserve">80.4</w:t>
            </w:r>
          </w:p>
        </w:tc>
        <w:tc>
          <w:tcPr>
            <w:tcW w:w="0" w:type="auto"/>
          </w:tcPr>
          <w:p>
            <w:pPr>
              <w:spacing w:line="240" w:lineRule="auto" w:before="0" w:after="0"/>
              <w:pStyle w:val="Compact"/>
            </w:pPr>
            <w:r>
              <w:rPr>
                <w:sz w:val="20"/>
                <w:szCs w:val="20"/>
              </w:rPr>
              <w:t xml:space="preserve">47.46</w:t>
            </w:r>
          </w:p>
        </w:tc>
        <w:tc>
          <w:tcPr>
            <w:tcW w:w="0" w:type="auto"/>
          </w:tcPr>
          <w:p>
            <w:pPr>
              <w:spacing w:line="240" w:lineRule="auto" w:before="0" w:after="0"/>
              <w:pStyle w:val="Compact"/>
            </w:pPr>
            <w:r>
              <w:rPr>
                <w:sz w:val="20"/>
                <w:szCs w:val="20"/>
              </w:rPr>
              <w:t xml:space="preserve">5.561</w:t>
            </w:r>
          </w:p>
        </w:tc>
        <w:tc>
          <w:tcPr>
            <w:tcW w:w="0" w:type="auto"/>
          </w:tcPr>
          <w:p>
            <w:pPr>
              <w:spacing w:line="240" w:lineRule="auto" w:before="0" w:after="0"/>
              <w:pStyle w:val="Compact"/>
            </w:pPr>
            <w:r>
              <w:rPr>
                <w:sz w:val="20"/>
                <w:szCs w:val="20"/>
              </w:rPr>
              <w:t xml:space="preserve">3.86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NLS-II contract (Feb 2021); NASA PACE press kit</w:t>
            </w:r>
          </w:p>
        </w:tc>
      </w:tr>
      <w:tr>
        <w:tc>
          <w:tcPr>
            <w:tcW w:w="0" w:type="auto"/>
          </w:tcPr>
          <w:p>
            <w:pPr>
              <w:spacing w:line="240" w:lineRule="auto" w:before="0" w:after="0"/>
              <w:pStyle w:val="Compact"/>
            </w:pPr>
            <w:r>
              <w:rPr>
                <w:sz w:val="20"/>
                <w:szCs w:val="20"/>
              </w:rPr>
              <w:t xml:space="preserve">SLS_ArtemisII</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27000</w:t>
            </w:r>
          </w:p>
        </w:tc>
        <w:tc>
          <w:tcPr>
            <w:tcW w:w="0" w:type="auto"/>
          </w:tcPr>
          <w:p>
            <w:pPr>
              <w:spacing w:line="240" w:lineRule="auto" w:before="0" w:after="0"/>
              <w:pStyle w:val="Compact"/>
            </w:pPr>
            <w:r>
              <w:rPr>
                <w:sz w:val="20"/>
                <w:szCs w:val="20"/>
              </w:rPr>
              <w:t xml:space="preserve">TLI</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155.56</w:t>
            </w:r>
          </w:p>
        </w:tc>
        <w:tc>
          <w:tcPr>
            <w:tcW w:w="0" w:type="auto"/>
          </w:tcPr>
          <w:p>
            <w:pPr>
              <w:spacing w:line="240" w:lineRule="auto" w:before="0" w:after="0"/>
              <w:pStyle w:val="Compact"/>
            </w:pPr>
            <w:r>
              <w:rPr>
                <w:sz w:val="20"/>
                <w:szCs w:val="20"/>
              </w:rPr>
              <w:t xml:space="preserve">0.693</w:t>
            </w:r>
          </w:p>
        </w:tc>
        <w:tc>
          <w:tcPr>
            <w:tcW w:w="0" w:type="auto"/>
          </w:tcPr>
          <w:p>
            <w:pPr>
              <w:spacing w:line="240" w:lineRule="auto" w:before="0" w:after="0"/>
              <w:pStyle w:val="Compact"/>
            </w:pPr>
            <w:r>
              <w:rPr>
                <w:sz w:val="20"/>
                <w:szCs w:val="20"/>
              </w:rPr>
              <w:t xml:space="preserve">5.047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(2025); NASA OIG IG-24-015 [illustrative]</w:t>
            </w:r>
          </w:p>
        </w:tc>
      </w:tr>
      <w:tr>
        <w:tc>
          <w:tcPr>
            <w:tcW w:w="0" w:type="auto"/>
          </w:tcPr>
          <w:p>
            <w:pPr>
              <w:spacing w:line="240" w:lineRule="auto" w:before="0" w:after="0"/>
              <w:pStyle w:val="Compact"/>
            </w:pPr>
            <w:r>
              <w:rPr>
                <w:sz w:val="20"/>
                <w:szCs w:val="20"/>
              </w:rPr>
              <w:t xml:space="preserve">SLS_ArtemisIII</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2027</w:t>
            </w:r>
          </w:p>
        </w:tc>
        <w:tc>
          <w:tcPr>
            <w:tcW w:w="0" w:type="auto"/>
          </w:tcPr>
          <w:p>
            <w:pPr>
              <w:spacing w:line="240" w:lineRule="auto" w:before="0" w:after="0"/>
              <w:pStyle w:val="Compact"/>
            </w:pPr>
            <w:r>
              <w:rPr>
                <w:sz w:val="20"/>
                <w:szCs w:val="20"/>
              </w:rPr>
              <w:t xml:space="preserve">SLS_Block1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27000</w:t>
            </w:r>
          </w:p>
        </w:tc>
        <w:tc>
          <w:tcPr>
            <w:tcW w:w="0" w:type="auto"/>
          </w:tcPr>
          <w:p>
            <w:pPr>
              <w:spacing w:line="240" w:lineRule="auto" w:before="0" w:after="0"/>
              <w:pStyle w:val="Compact"/>
            </w:pPr>
            <w:r>
              <w:rPr>
                <w:sz w:val="20"/>
                <w:szCs w:val="20"/>
              </w:rPr>
              <w:t xml:space="preserve">TLI</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159.26</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5.071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(2025); NASA OIG IG-24-015 [illustrative]</w:t>
            </w:r>
          </w:p>
        </w:tc>
      </w:tr>
    </w:tbl>
    <w:bookmarkEnd w:id="197"/>
    <w:bookmarkStart w:id="198"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cost_per_kg_kusd</w:t>
            </w:r>
          </w:p>
        </w:tc>
        <w:tc>
          <w:tcPr>
            <w:tcW w:w="0" w:type="auto"/>
          </w:tcPr>
          <w:p>
            <w:pPr>
              <w:spacing w:line="240" w:lineRule="auto" w:before="0" w:after="0"/>
              <w:pStyle w:val="Compact"/>
            </w:pPr>
            <w:r>
              <w:rPr>
                <w:sz w:val="20"/>
                <w:szCs w:val="20"/>
              </w:rPr>
              <w:t xml:space="preserve">NASA-paid contract value for the launch or task order divided by mass delivered to destination, expressed in thousands of then-year USD per kilogram</w:t>
            </w:r>
          </w:p>
        </w:tc>
        <w:tc>
          <w:tcPr>
            <w:tcW w:w="0" w:type="auto"/>
          </w:tcPr>
          <w:p>
            <w:pPr>
              <w:spacing w:line="240" w:lineRule="auto" w:before="0" w:after="0"/>
              <w:pStyle w:val="Compact"/>
            </w:pPr>
            <w:r>
              <w:rPr>
                <w:sz w:val="20"/>
                <w:szCs w:val="20"/>
              </w:rPr>
              <w:t xml:space="preserve">NASA NLS-II and CLPS task-order awards; NASA OIG IG-24-006 CLPS audit; GAO-25-107591 NASA Major Project Assessment 2025; press kits per row source</w:t>
            </w:r>
          </w:p>
        </w:tc>
      </w:tr>
      <w:tr>
        <w:tc>
          <w:tcPr>
            <w:tcW w:w="0" w:type="auto"/>
          </w:tcPr>
          <w:p>
            <w:pPr>
              <w:spacing w:line="240" w:lineRule="auto" w:before="0" w:after="0"/>
              <w:pStyle w:val="Compact"/>
            </w:pPr>
            <w:r>
              <w:rPr>
                <w:sz w:val="20"/>
                <w:szCs w:val="20"/>
              </w:rPr>
              <w:t xml:space="preserve">log_cost_per_kg</w:t>
            </w:r>
          </w:p>
        </w:tc>
        <w:tc>
          <w:tcPr>
            <w:tcW w:w="0" w:type="auto"/>
          </w:tcPr>
          <w:p>
            <w:pPr>
              <w:spacing w:line="240" w:lineRule="auto" w:before="0" w:after="0"/>
              <w:pStyle w:val="Compact"/>
            </w:pPr>
            <w:r>
              <w:rPr>
                <w:sz w:val="20"/>
                <w:szCs w:val="20"/>
              </w:rPr>
              <w:t xml:space="preserve">Natural logarithm of cost_per_kg_kusd</w:t>
            </w:r>
          </w:p>
        </w:tc>
        <w:tc>
          <w:tcPr>
            <w:tcW w:w="0" w:type="auto"/>
          </w:tcPr>
          <w:p>
            <w:pPr>
              <w:spacing w:line="240" w:lineRule="auto" w:before="0" w:after="0"/>
              <w:pStyle w:val="Compact"/>
            </w:pPr>
            <w:r>
              <w:rPr>
                <w:sz w:val="20"/>
                <w:szCs w:val="20"/>
              </w:rPr>
              <w:t xml:space="preserve">Computed by candidate from the contract-value and mass-to-destination columns</w:t>
            </w:r>
          </w:p>
        </w:tc>
      </w:tr>
      <w:tr>
        <w:tc>
          <w:tcPr>
            <w:tcW w:w="0" w:type="auto"/>
          </w:tcPr>
          <w:p>
            <w:pPr>
              <w:spacing w:line="240" w:lineRule="auto" w:before="0" w:after="0"/>
              <w:pStyle w:val="Compact"/>
            </w:pPr>
            <w:r>
              <w:rPr>
                <w:sz w:val="20"/>
                <w:szCs w:val="20"/>
              </w:rPr>
              <w:t xml:space="preserve">cumulative_family_launches</w:t>
            </w:r>
          </w:p>
        </w:tc>
        <w:tc>
          <w:tcPr>
            <w:tcW w:w="0" w:type="auto"/>
          </w:tcPr>
          <w:p>
            <w:pPr>
              <w:spacing w:line="240" w:lineRule="auto" w:before="0" w:after="0"/>
              <w:pStyle w:val="Compact"/>
            </w:pPr>
            <w:r>
              <w:rPr>
                <w:sz w:val="20"/>
                <w:szCs w:val="20"/>
              </w:rPr>
              <w:t xml:space="preserve">Cumulative number of launches by the same vehicle family at the time of the observation (Wright learning curve unit count)</w:t>
            </w:r>
          </w:p>
        </w:tc>
        <w:tc>
          <w:tcPr>
            <w:tcW w:w="0" w:type="auto"/>
          </w:tcPr>
          <w:p>
            <w:pPr>
              <w:spacing w:line="240" w:lineRule="auto" w:before="0" w:after="0"/>
              <w:pStyle w:val="Compact"/>
            </w:pPr>
            <w:r>
              <w:rPr>
                <w:sz w:val="20"/>
                <w:szCs w:val="20"/>
              </w:rPr>
              <w:t xml:space="preserve">FAA AST commercial launch records; Jonathan McDowell space launch log; ULA, SpaceX, Blue Origin, and Northrop Grumman provider press releases per row source</w:t>
            </w:r>
          </w:p>
        </w:tc>
      </w:tr>
      <w:tr>
        <w:tc>
          <w:tcPr>
            <w:tcW w:w="0" w:type="auto"/>
          </w:tcPr>
          <w:p>
            <w:pPr>
              <w:spacing w:line="240" w:lineRule="auto" w:before="0" w:after="0"/>
              <w:pStyle w:val="Compact"/>
            </w:pPr>
            <w:r>
              <w:rPr>
                <w:sz w:val="20"/>
                <w:szCs w:val="20"/>
              </w:rPr>
              <w:t xml:space="preserve">log_cum_launches</w:t>
            </w:r>
          </w:p>
        </w:tc>
        <w:tc>
          <w:tcPr>
            <w:tcW w:w="0" w:type="auto"/>
          </w:tcPr>
          <w:p>
            <w:pPr>
              <w:spacing w:line="240" w:lineRule="auto" w:before="0" w:after="0"/>
              <w:pStyle w:val="Compact"/>
            </w:pPr>
            <w:r>
              <w:rPr>
                <w:sz w:val="20"/>
                <w:szCs w:val="20"/>
              </w:rPr>
              <w:t xml:space="preserve">Natural logarithm of cumulative_family_launches</w:t>
            </w:r>
          </w:p>
        </w:tc>
        <w:tc>
          <w:tcPr>
            <w:tcW w:w="0" w:type="auto"/>
          </w:tcPr>
          <w:p>
            <w:pPr>
              <w:spacing w:line="240" w:lineRule="auto" w:before="0" w:after="0"/>
              <w:pStyle w:val="Compact"/>
            </w:pPr>
            <w:r>
              <w:rPr>
                <w:sz w:val="20"/>
                <w:szCs w:val="20"/>
              </w:rPr>
              <w:t xml:space="preserve">Computed by candidate</w:t>
            </w:r>
          </w:p>
        </w:tc>
      </w:tr>
      <w:tr>
        <w:tc>
          <w:tcPr>
            <w:tcW w:w="0" w:type="auto"/>
          </w:tcPr>
          <w:p>
            <w:pPr>
              <w:spacing w:line="240" w:lineRule="auto" w:before="0" w:after="0"/>
              <w:pStyle w:val="Compact"/>
            </w:pPr>
            <w:r>
              <w:rPr>
                <w:sz w:val="20"/>
                <w:szCs w:val="20"/>
              </w:rPr>
              <w:t xml:space="preserve">clps</w:t>
            </w:r>
          </w:p>
        </w:tc>
        <w:tc>
          <w:tcPr>
            <w:tcW w:w="0" w:type="auto"/>
          </w:tcPr>
          <w:p>
            <w:pPr>
              <w:spacing w:line="240" w:lineRule="auto" w:before="0" w:after="0"/>
              <w:pStyle w:val="Compact"/>
            </w:pPr>
            <w:r>
              <w:rPr>
                <w:sz w:val="20"/>
                <w:szCs w:val="20"/>
              </w:rPr>
              <w:t xml:space="preserve">Indicator equal to 1 if the delivery is procured under NASA Commercial Lunar Payload Services, 0 otherwise</w:t>
            </w:r>
          </w:p>
        </w:tc>
        <w:tc>
          <w:tcPr>
            <w:tcW w:w="0" w:type="auto"/>
          </w:tcPr>
          <w:p>
            <w:pPr>
              <w:spacing w:line="240" w:lineRule="auto" w:before="0" w:after="0"/>
              <w:pStyle w:val="Compact"/>
            </w:pPr>
            <w:r>
              <w:rPr>
                <w:sz w:val="20"/>
                <w:szCs w:val="20"/>
              </w:rPr>
              <w:t xml:space="preserve">NASA CLPS task-order docket; nasa.gov/clps</w:t>
            </w:r>
          </w:p>
        </w:tc>
      </w:tr>
      <w:tr>
        <w:tc>
          <w:tcPr>
            <w:tcW w:w="0" w:type="auto"/>
          </w:tcPr>
          <w:p>
            <w:pPr>
              <w:spacing w:line="240" w:lineRule="auto" w:before="0" w:after="0"/>
              <w:pStyle w:val="Compact"/>
            </w:pPr>
            <w:r>
              <w:rPr>
                <w:sz w:val="20"/>
                <w:szCs w:val="20"/>
              </w:rPr>
              <w:t xml:space="preserve">destination</w:t>
            </w:r>
          </w:p>
        </w:tc>
        <w:tc>
          <w:tcPr>
            <w:tcW w:w="0" w:type="auto"/>
          </w:tcPr>
          <w:p>
            <w:pPr>
              <w:spacing w:line="240" w:lineRule="auto" w:before="0" w:after="0"/>
              <w:pStyle w:val="Compact"/>
            </w:pPr>
            <w:r>
              <w:rPr>
                <w:sz w:val="20"/>
                <w:szCs w:val="20"/>
              </w:rPr>
              <w:t xml:space="preserve">Operating regime of payload delivery: lunar surface, lunar orbit, trans-lunar injection, cislunar transfer, or cislunar escape</w:t>
            </w:r>
          </w:p>
        </w:tc>
        <w:tc>
          <w:tcPr>
            <w:tcW w:w="0" w:type="auto"/>
          </w:tcPr>
          <w:p>
            <w:pPr>
              <w:spacing w:line="240" w:lineRule="auto" w:before="0" w:after="0"/>
              <w:pStyle w:val="Compact"/>
            </w:pPr>
            <w:r>
              <w:rPr>
                <w:sz w:val="20"/>
                <w:szCs w:val="20"/>
              </w:rPr>
              <w:t xml:space="preserve">NASA mission press kits and concept-of-operations documents per row source</w:t>
            </w:r>
          </w:p>
        </w:tc>
      </w:tr>
    </w:tbl>
    <w:bookmarkEnd w:id="198"/>
    <w:bookmarkEnd w:id="199"/>
    <w:bookmarkEnd w:id="20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5" Type="http://schemas.openxmlformats.org/officeDocument/2006/relationships/image" Target="media/rId185.png"/><Relationship Id="rId193" Type="http://schemas.openxmlformats.org/officeDocument/2006/relationships/image" Target="media/rId193.png"/><Relationship Id="rId177" Type="http://schemas.openxmlformats.org/officeDocument/2006/relationships/hyperlink" Target="https://doi.org/10.1016/j.actaastro.2020.02.029" TargetMode="External"/><Relationship Id="rId179" Type="http://schemas.openxmlformats.org/officeDocument/2006/relationships/hyperlink" Target="https://doi.org/10.1016/j.actaastro.2020.08.041" TargetMode="External"/><Relationship Id="rId130" Type="http://schemas.openxmlformats.org/officeDocument/2006/relationships/hyperlink" Target="https://doi.org/10.1016/j.actaastro.2022.11.005" TargetMode="External"/><Relationship Id="rId145" Type="http://schemas.openxmlformats.org/officeDocument/2006/relationships/hyperlink" Target="https://doi.org/10.1016/j.actaastro.2022.12.036" TargetMode="External"/><Relationship Id="rId181" Type="http://schemas.openxmlformats.org/officeDocument/2006/relationships/hyperlink" Target="https://doi.org/10.1016/j.actaastro.2023.06.035" TargetMode="External"/><Relationship Id="rId147" Type="http://schemas.openxmlformats.org/officeDocument/2006/relationships/hyperlink" Target="https://doi.org/10.1016/j.actaastro.2024.05.009" TargetMode="External"/><Relationship Id="rId173" Type="http://schemas.openxmlformats.org/officeDocument/2006/relationships/hyperlink" Target="https://doi.org/10.1016/j.actaastro.2024.12.056" TargetMode="External"/><Relationship Id="rId175" Type="http://schemas.openxmlformats.org/officeDocument/2006/relationships/hyperlink" Target="https://doi.org/10.1016/j.actaastro.2025.01.007" TargetMode="External"/><Relationship Id="rId134" Type="http://schemas.openxmlformats.org/officeDocument/2006/relationships/hyperlink" Target="https://doi.org/10.1016/j.actaastro.2025.02.004" TargetMode="External"/><Relationship Id="rId128" Type="http://schemas.openxmlformats.org/officeDocument/2006/relationships/hyperlink" Target="https://doi.org/10.1016/j.actaastro.2025.04.041" TargetMode="External"/><Relationship Id="rId171" Type="http://schemas.openxmlformats.org/officeDocument/2006/relationships/hyperlink" Target="https://doi.org/10.1016/j.actaastro.2025.06.038" TargetMode="External"/><Relationship Id="rId132" Type="http://schemas.openxmlformats.org/officeDocument/2006/relationships/hyperlink" Target="https://doi.org/10.1016/j.actaastro.2025.11.039" TargetMode="External"/><Relationship Id="rId167" Type="http://schemas.openxmlformats.org/officeDocument/2006/relationships/hyperlink" Target="https://doi.org/10.1016/j.actaastro.2025.11.074" TargetMode="External"/><Relationship Id="rId143" Type="http://schemas.openxmlformats.org/officeDocument/2006/relationships/hyperlink" Target="https://doi.org/10.1016/j.actaastro.2026.01.018" TargetMode="External"/><Relationship Id="rId169" Type="http://schemas.openxmlformats.org/officeDocument/2006/relationships/hyperlink" Target="https://doi.org/10.1016/j.actaastro.2026.05.056" TargetMode="External"/><Relationship Id="rId117" Type="http://schemas.openxmlformats.org/officeDocument/2006/relationships/hyperlink" Target="https://doi.org/10.64861/ACKU6440" TargetMode="External"/><Relationship Id="rId119" Type="http://schemas.openxmlformats.org/officeDocument/2006/relationships/hyperlink" Target="https://doi.org/10.64861/ESVN6806" TargetMode="External"/><Relationship Id="rId161" Type="http://schemas.openxmlformats.org/officeDocument/2006/relationships/hyperlink" Target="https://doi.org/10.64861/FHSX9637" TargetMode="External"/><Relationship Id="rId154" Type="http://schemas.openxmlformats.org/officeDocument/2006/relationships/hyperlink" Target="https://doi.org/10.64861/GDKE6454" TargetMode="External"/><Relationship Id="rId165" Type="http://schemas.openxmlformats.org/officeDocument/2006/relationships/hyperlink" Target="https://doi.org/10.64861/IMSI4025" TargetMode="External"/><Relationship Id="rId157" Type="http://schemas.openxmlformats.org/officeDocument/2006/relationships/hyperlink" Target="https://doi.org/10.64861/MRZZ5229" TargetMode="External"/><Relationship Id="rId138" Type="http://schemas.openxmlformats.org/officeDocument/2006/relationships/hyperlink" Target="https://doi.org/10.64861/SIJX9169" TargetMode="External"/><Relationship Id="rId152" Type="http://schemas.openxmlformats.org/officeDocument/2006/relationships/hyperlink" Target="https://doi.org/10.64861/TAQT8870" TargetMode="External"/><Relationship Id="rId125" Type="http://schemas.openxmlformats.org/officeDocument/2006/relationships/hyperlink" Target="https://doi.org/10.64861/TVTP4742" TargetMode="External"/><Relationship Id="rId123" Type="http://schemas.openxmlformats.org/officeDocument/2006/relationships/hyperlink" Target="https://doi.org/10.64861/UAMB9924" TargetMode="External"/></Relationships>
</file>

<file path=word/_rels/footnotes.xml.rels><?xml version='1.0' encoding='UTF-8' standalone='yes'?>
<Relationships xmlns="http://schemas.openxmlformats.org/package/2006/relationships"><Relationship Id="rId177" Type="http://schemas.openxmlformats.org/officeDocument/2006/relationships/hyperlink" Target="https://doi.org/10.1016/j.actaastro.2020.02.029" TargetMode="External"/><Relationship Id="rId179" Type="http://schemas.openxmlformats.org/officeDocument/2006/relationships/hyperlink" Target="https://doi.org/10.1016/j.actaastro.2020.08.041" TargetMode="External"/><Relationship Id="rId130" Type="http://schemas.openxmlformats.org/officeDocument/2006/relationships/hyperlink" Target="https://doi.org/10.1016/j.actaastro.2022.11.005" TargetMode="External"/><Relationship Id="rId145" Type="http://schemas.openxmlformats.org/officeDocument/2006/relationships/hyperlink" Target="https://doi.org/10.1016/j.actaastro.2022.12.036" TargetMode="External"/><Relationship Id="rId181" Type="http://schemas.openxmlformats.org/officeDocument/2006/relationships/hyperlink" Target="https://doi.org/10.1016/j.actaastro.2023.06.035" TargetMode="External"/><Relationship Id="rId147" Type="http://schemas.openxmlformats.org/officeDocument/2006/relationships/hyperlink" Target="https://doi.org/10.1016/j.actaastro.2024.05.009" TargetMode="External"/><Relationship Id="rId173" Type="http://schemas.openxmlformats.org/officeDocument/2006/relationships/hyperlink" Target="https://doi.org/10.1016/j.actaastro.2024.12.056" TargetMode="External"/><Relationship Id="rId175" Type="http://schemas.openxmlformats.org/officeDocument/2006/relationships/hyperlink" Target="https://doi.org/10.1016/j.actaastro.2025.01.007" TargetMode="External"/><Relationship Id="rId134" Type="http://schemas.openxmlformats.org/officeDocument/2006/relationships/hyperlink" Target="https://doi.org/10.1016/j.actaastro.2025.02.004" TargetMode="External"/><Relationship Id="rId128" Type="http://schemas.openxmlformats.org/officeDocument/2006/relationships/hyperlink" Target="https://doi.org/10.1016/j.actaastro.2025.04.041" TargetMode="External"/><Relationship Id="rId171" Type="http://schemas.openxmlformats.org/officeDocument/2006/relationships/hyperlink" Target="https://doi.org/10.1016/j.actaastro.2025.06.038" TargetMode="External"/><Relationship Id="rId132" Type="http://schemas.openxmlformats.org/officeDocument/2006/relationships/hyperlink" Target="https://doi.org/10.1016/j.actaastro.2025.11.039" TargetMode="External"/><Relationship Id="rId167" Type="http://schemas.openxmlformats.org/officeDocument/2006/relationships/hyperlink" Target="https://doi.org/10.1016/j.actaastro.2025.11.074" TargetMode="External"/><Relationship Id="rId143" Type="http://schemas.openxmlformats.org/officeDocument/2006/relationships/hyperlink" Target="https://doi.org/10.1016/j.actaastro.2026.01.018" TargetMode="External"/><Relationship Id="rId169" Type="http://schemas.openxmlformats.org/officeDocument/2006/relationships/hyperlink" Target="https://doi.org/10.1016/j.actaastro.2026.05.056" TargetMode="External"/><Relationship Id="rId117" Type="http://schemas.openxmlformats.org/officeDocument/2006/relationships/hyperlink" Target="https://doi.org/10.64861/ACKU6440" TargetMode="External"/><Relationship Id="rId119" Type="http://schemas.openxmlformats.org/officeDocument/2006/relationships/hyperlink" Target="https://doi.org/10.64861/ESVN6806" TargetMode="External"/><Relationship Id="rId161" Type="http://schemas.openxmlformats.org/officeDocument/2006/relationships/hyperlink" Target="https://doi.org/10.64861/FHSX9637" TargetMode="External"/><Relationship Id="rId154" Type="http://schemas.openxmlformats.org/officeDocument/2006/relationships/hyperlink" Target="https://doi.org/10.64861/GDKE6454" TargetMode="External"/><Relationship Id="rId165" Type="http://schemas.openxmlformats.org/officeDocument/2006/relationships/hyperlink" Target="https://doi.org/10.64861/IMSI4025" TargetMode="External"/><Relationship Id="rId157" Type="http://schemas.openxmlformats.org/officeDocument/2006/relationships/hyperlink" Target="https://doi.org/10.64861/MRZZ5229" TargetMode="External"/><Relationship Id="rId138" Type="http://schemas.openxmlformats.org/officeDocument/2006/relationships/hyperlink" Target="https://doi.org/10.64861/SIJX9169" TargetMode="External"/><Relationship Id="rId152" Type="http://schemas.openxmlformats.org/officeDocument/2006/relationships/hyperlink" Target="https://doi.org/10.64861/TAQT8870" TargetMode="External"/><Relationship Id="rId125" Type="http://schemas.openxmlformats.org/officeDocument/2006/relationships/hyperlink" Target="https://doi.org/10.64861/TVTP4742" TargetMode="External"/><Relationship Id="rId123" Type="http://schemas.openxmlformats.org/officeDocument/2006/relationships/hyperlink" Target="https://doi.org/10.64861/UAMB99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Cost-and-Schedule Cliometrics of Cislunar Infrastructure Demonstrations:</dc:title>
  <dc:creator>Keiko Feld (1B-SDA-097)</dc:creator>
  <cp:keywords/>
  <dcterms:created xsi:type="dcterms:W3CDTF">2026-07-02T16:51:48Z</dcterms:created>
  <dcterms:modified xsi:type="dcterms:W3CDTF">2026-07-02T16:51:48Z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