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7" w:name="X1e52c0e21f74a8cf9e337fc7982bf5e0bf291c6"/>
    <w:p>
      <w:pPr>
        <w:pStyle w:val="Heading1"/>
      </w:pPr>
      <w:r>
        <w:t xml:space="preserve">Time to Custody Loss in Cislunar Orbit Determination: A Cox Proportional-Hazards Analysis of Tracking-Gap, Sensor Aperture, and Regime</w:t>
      </w:r>
    </w:p>
    <w:bookmarkStart w:id="61" w:name="introduction"/>
    <w:p>
      <w:pPr>
        <w:pStyle w:val="Heading2"/>
      </w:pPr>
      <w:r>
        <w:t xml:space="preserve">1. Introduction</w:t>
      </w:r>
    </w:p>
    <w:p>
      <w:pPr>
        <w:pStyle w:val="FirstParagraph"/>
      </w:pPr>
      <w:r>
        <w:t xml:space="preserve">Custody of a cislunar object is not a binary state observed once. It is a survival process. From the moment a tracking arc closes, the operational filter propagates its covariance forward, and at some later moment the along-track uncertainty crosses a published custody threshold and the object is declared lost. Different combinations of tracking gap, sensor aperture, observation arc, and dynamical regime survive that propagation horizon for different lengths of time. Paper 1 of this dissertation modeled the rate at which uncertainty grows. The present paper asks the complementary survival question. How long, in days, does custody last before the threshold is crossed, and how does that time-to-event respond to the architectural levers an acquisition officer can actually pull.</w:t>
      </w:r>
    </w:p>
    <w:p>
      <w:pPr>
        <w:pStyle w:val="BodyText"/>
      </w:pPr>
      <w:r>
        <w:t xml:space="preserve">The framing matters because cislunar tracking architectures are not procured one filter at a time. They are procured as fleets of sensors, schedules of tasking, and rules of arc design that have to defend a custody horizon. A learning curve on accuracy answers a unit-cost question. A hazard model answers a budgeting question of a different kind: given a proposed architecture, what is the probability that custody will still be held at day seven, at day fourteen, at day thirty. The Cox proportional-hazards specification, used routinely in reliability engineering and clinical trials, is the natural vehicle for that question because it accommodates the right-censoring that the cislunar literature produces in abundance, with many cases reporting that custody was held through the end of the study rather than reporting an actual loss event</w:t>
      </w:r>
      <w:r>
        <w:t xml:space="preserve"> </w:t>
      </w:r>
      <w:hyperlink w:anchor="ref-7">
        <m:oMathPara>
          <m:oMathParaPr>
            <m:jc m:val="center"/>
          </m:oMathParaPr>
          <m:oMath>
            <m:r>
              <m:t>7</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case for a hazard-style model of custody rests on three observations from the published cislunar canon. First, the dynamical regime sets a baseline level of chaotic stretching that the filter must fight against. Libration-point orbits, distant retrograde orbits, near-rectilinear halo orbits, and Earth-Moon transit segments all exhibit non-Keplerian stretching that compounds small measurement errors into large state errors over days rather than weeks [1, 2, 3]. Second, the architecture sets the rate at which information arrives. Tracking gap, sensor aperture, and arc length together determine the signal-to-noise budget available to suppress that stretching [4, 5]. Third, ground truth in the literature is censored. Most published cases run their reported propagation horizon and stop, regardless of whether custody was actually lost, so any honest model must allow for cases that simply ran out the clock without an event</w:t>
      </w:r>
      <w:r>
        <w:t xml:space="preserve"> </w:t>
      </w:r>
      <w:hyperlink w:anchor="ref-6">
        <m:oMathPara>
          <m:oMathParaPr>
            <m:jc m:val="center"/>
          </m:oMathParaPr>
          <m:oMath>
            <m:r>
              <m:t>6</m:t>
            </m:r>
          </m:oMath>
        </m:oMathPara>
      </w:hyperlink>
      <w:r>
        <w:t xml:space="preserve">.</w:t>
      </w:r>
    </w:p>
    <w:p>
      <w:pPr>
        <w:pStyle w:val="FirstParagraph"/>
      </w:pPr>
      <w:r>
        <w:t xml:space="preserve">Three hypotheses follow. H1 holds that the hazard of custody loss rises with tracking-gap duration, because longer gaps allow the filter’s covariance to grow unchecked between updates [3, 4]. H2 holds that the hazard falls with larger sensor aperture, because larger apertures reduce per-measurement noise and so reduce the rate at which uncertainty re-accumulates between updates [1, 5]. H3 holds that the hazard falls with longer observation arc, because longer arcs better constrain the in-track and radial components that drive cislunar custody loss [2, 4]. A descriptive auxiliary observation, treated outside the fitted model because it perfectly predicts the event in the present sample, is that no GEO, MEO, LEO, or HEO reference case in the assembled dataset experiences a custody-loss event within its reported horizon, while fifteen of the thirty cislunar cases do [6, 7].</w:t>
      </w:r>
    </w:p>
    <w:bookmarkEnd w:id="62"/>
    <w:bookmarkStart w:id="63" w:name="data"/>
    <w:p>
      <w:pPr>
        <w:pStyle w:val="Heading2"/>
      </w:pPr>
      <w:r>
        <w:t xml:space="preserve">3. Data</w:t>
      </w:r>
    </w:p>
    <w:p>
      <w:pPr>
        <w:pStyle w:val="FirstParagraph"/>
      </w:pPr>
      <w:r>
        <w:t xml:space="preserve">The dataset assembles thirty-five orbit-determination cases drawn from three documented streams. The first is the AMOS conference cislunar canon, where the Bolden, Chow, Billings, Fahrner, Klonowski, Tomita, Kim, Heidrich, Thevenot, Reifler, Gutierrez, Griggs, Badura, Wishnek, Givens, and Tucker papers report propagation horizons, sensor apertures, arc lengths, and either a loss event or a censoring at the end of the reported horizon [1, 2, 3, 4]. The second is the Acta Astronautica orbit-determination literature, in particular the Kazemi 2024 survey, the Turan 2022 autonomous deep-space navigation paper, the Leonardi 2025 lunar navigation constellation paper, the Malik and Yang 2025 lunar GPS-integration paper, the Kilduff 2025 crater-detection paper, the Anilkumar 2025 STM paper, and the Gambarotto 2025 constellation paper [7, 8, 9, 10, 11]. The third is the NASA mission navigation literature, including the CAPSTONE NRHO operational reports, the Lunar Reconnaissance Orbiter navigation reports, the Artemis I post-flight navigation summary, the ARTEMIS P1 Lissajous design paper, the KPLO operations report, the LADEE end-of-mission timeline, and the IBEX and TESS high-Earth baselines</w:t>
      </w:r>
      <w:r>
        <w:t xml:space="preserve"> </w:t>
      </w:r>
      <w:hyperlink w:anchor="ref-6">
        <m:oMathPara>
          <m:oMathParaPr>
            <m:jc m:val="center"/>
          </m:oMathParaPr>
          <m:oMath>
            <m:r>
              <m:t>6</m:t>
            </m:r>
          </m:oMath>
        </m:oMathPara>
      </w:hyperlink>
      <w:r>
        <w:t xml:space="preserve">. The CSV column</w:t>
      </w:r>
      <w:r>
        <w:t xml:space="preserve"> </w:t>
      </w:r>
      <w:r>
        <w:t xml:space="preserve">“source”</w:t>
      </w:r>
      <w:r>
        <w:t xml:space="preserve"> </w:t>
      </w:r>
      <w:r>
        <w:t xml:space="preserve">records the exact retrieval citation for every row. Four cases marked</w:t>
      </w:r>
      <w:r>
        <w:t xml:space="preserve"> </w:t>
      </w:r>
      <w:r>
        <w:t xml:space="preserve">“[illustrative]”</w:t>
      </w:r>
      <w:r>
        <w:t xml:space="preserve"> </w:t>
      </w:r>
      <w:r>
        <w:t xml:space="preserve">use the regime, aperture, and arc fields from the cited paper or mission but interpolate the duration field where the published source does not state it directly. Illustrative cases comprise under fifteen percent of the sample.</w:t>
      </w:r>
    </w:p>
    <w:p>
      <w:pPr>
        <w:pStyle w:val="FirstParagraph"/>
      </w:pPr>
      <w:r>
        <w:t xml:space="preserve">The dataset’s structure is built for survival analysis. Each row carries a duration in days, a binary event indicator equal to one for cases that report a custody-loss event and zero for cases that are right-censored at the reported horizon, and four covariates: tracking gap in hours, sensor aperture in meters, arc length in hours, and a cislunar indicator. The cislunar indicator is reported descriptively because it perfectly predicts the event in the present sample, and is omitted from the fitted model to avoid the resulting separation problem</w:t>
      </w:r>
      <w:r>
        <w:t xml:space="preserve"> </w:t>
      </w:r>
      <w:hyperlink w:anchor="ref-12">
        <m:oMathPara>
          <m:oMathParaPr>
            <m:jc m:val="center"/>
          </m:oMathParaPr>
          <m:oMath>
            <m:r>
              <m:t>12</m:t>
            </m:r>
          </m:oMath>
        </m:oMathPara>
      </w:hyperlink>
      <w:r>
        <w:t xml:space="preserve">.</w:t>
      </w:r>
    </w:p>
    <w:bookmarkEnd w:id="63"/>
    <w:bookmarkStart w:id="64" w:name="method"/>
    <w:p>
      <w:pPr>
        <w:pStyle w:val="Heading2"/>
      </w:pPr>
      <w:r>
        <w:t xml:space="preserve">4. Method</w:t>
      </w:r>
    </w:p>
    <w:p>
      <w:pPr>
        <w:pStyle w:val="FirstParagraph"/>
      </w:pPr>
      <w:r>
        <w:t xml:space="preserve">The estimator is the Cox proportional-hazards model fit by partial likelihood. Right-censored observations contribute to the risk-set construction but not to the event likelihood. The fitted specification regresses the hazard on tracking-gap hours, sensor aperture in meters, and arc length in hours. Coefficients exponentiate to hazard ratios, which give the multiplicative change in instantaneous custody-loss risk per one-unit change in the covariate. Standard errors come from the inverse observed information of the partial likelihood, and Wald p-values test the null of zero coefficient. The analysis is implemented in Python via the statsmodels PHReg interface, called through the dissertation’s shared paper_docx runner so that the chart, the embedded workbook, and the prose all read the same fit object.</w:t>
      </w:r>
    </w:p>
    <w:bookmarkEnd w:id="64"/>
    <w:bookmarkStart w:id="65" w:name="findings"/>
    <w:p>
      <w:pPr>
        <w:pStyle w:val="Heading2"/>
      </w:pPr>
      <w:r>
        <w:t xml:space="preserve">5. Findings</w:t>
      </w:r>
    </w:p>
    <w:p>
      <w:pPr>
        <w:pStyle w:val="FirstParagraph"/>
      </w:pPr>
      <w:r>
        <w:t xml:space="preserve">The model converges on the full thirty-five-row sample with fifteen observed custody-loss events and twenty censored cases. The tracking-gap coefficient is 0.2697 with a standard error of 0.0792 and a Wald p-value of 0.0007, the sensor-aperture coefficient is negative 0.0393 with a standard error of 0.0185 and a Wald p-value of 0.0341, and the arc-length coefficient is negative 0.0100 with a standard error of 0.0058 and a Wald p-value of 0.0835. Hypothesis 1 is supported at conventional levels. The hazard of cislunar custody loss rises sharply with tracking-gap duration: each additional hour of tracking gap multiplies the instantaneous hazard by roughly 1.31, so a twelve-hour gap raises the hazard by a factor of about twenty-five relative to a contemporaneous update, all else equal. Hypothesis 2 is supported at the five-percent level. Each additional meter of sensor aperture multiplies the hazard by about 0.96, so an order-of-magnitude jump from a half-meter optical aperture to a thirty-four-meter DSN antenna lowers the hazard by roughly a quarter. Hypothesis 3 is supported in sign but is only marginally significant in this sample. Each additional hour of arc multiplies the hazard by about 0.99, so a hundred-hour arc lowers the hazard by roughly a factor of e to the negative one. The descriptive observation on cislunar regime is consistent with the modeling assumption that drove its omission from the fit. No GEO, MEO, LEO, or HEO baseline case in the assembled sample experiences a custody-loss event within its reported horizon, while fifteen of the thirty cislunar cases do.</w:t>
      </w:r>
    </w:p>
    <w:bookmarkEnd w:id="65"/>
    <w:bookmarkStart w:id="66" w:name="discussion"/>
    <w:p>
      <w:pPr>
        <w:pStyle w:val="Heading2"/>
      </w:pPr>
      <w:r>
        <w:t xml:space="preserve">6. Discussion</w:t>
      </w:r>
    </w:p>
    <w:p>
      <w:pPr>
        <w:pStyle w:val="FirstParagraph"/>
      </w:pPr>
      <w:r>
        <w:t xml:space="preserve">The fitted hazard surface speaks to procurement in a way the learning curve of Paper 1 does not. The dominant lever in this sample is tracking gap, not aperture. The hazard ratio attached to one hour of gap is roughly the same magnitude as the hazard ratio attached to ten meters of aperture, which means an architecture decision that buys closer-spaced tasking from a modest-aperture asset can outperform an architecture decision that buys a larger asset on a sparse cadence. That ordering matches the operational lesson the AMOS cislunar canon has been reporting since 2020, in which the tasking schedule has consistently emerged as the binding constraint on cislunar custody [3, 4]. The arc-length coefficient is in the right direction but is small in this sample, which is consistent with the survey finding in Kazemi 2024 that arc effects in cislunar OD are nonlinear and interact strongly with regime and modality</w:t>
      </w:r>
      <w:r>
        <w:t xml:space="preserve"> </w:t>
      </w:r>
      <w:hyperlink w:anchor="ref-7">
        <m:oMathPara>
          <m:oMathParaPr>
            <m:jc m:val="center"/>
          </m:oMathParaPr>
          <m:oMath>
            <m:r>
              <m:t>7</m:t>
            </m:r>
          </m:oMath>
        </m:oMathPara>
      </w:hyperlink>
      <w:r>
        <w:t xml:space="preserve">. Three limitations qualify the inference. First, the sample is small for a hazard model with three covariates, and the standard errors should be read as wide credible intervals around the central estimates rather than as definitive tests. Second, the proportional-hazards assumption is plausible across short propagation horizons but has not been formally tested here. Third, the reference baselines from GEO, MEO, LEO, and HEO contain no event cases by construction in this sample, so the fitted hazard ratios should not be extrapolated outside the cislunar covariate range without additional data.</w:t>
      </w:r>
    </w:p>
    <w:bookmarkEnd w:id="66"/>
    <w:bookmarkStart w:id="87" w:name="references"/>
    <w:p>
      <w:pPr>
        <w:pStyle w:val="Heading2"/>
      </w:pPr>
      <w:r>
        <w:t xml:space="preserve">References</w:t>
      </w:r>
    </w:p>
    <w:p>
      <w:pPr>
        <w:pStyle w:val="FirstParagraph"/>
      </w:pPr>
      <w:bookmarkStart w:id="67" w:name="ref-1"/>
      <w:bookmarkEnd w:id="67"/>
      <w:r>
        <w:t xml:space="preserve">1. Bolden M., Craychee T., Griggs E. An Evaluation of Observing Constellation Orbit Stability, Low Signal-to-Noise, and the Too-Short-Arc Challenges in the Cislunar Domain. Proc. AMOS 2020.</w:t>
      </w:r>
    </w:p>
    <w:p>
      <w:pPr>
        <w:pStyle w:val="BodyText"/>
      </w:pPr>
      <w:bookmarkStart w:id="68" w:name="ref-2"/>
      <w:bookmarkEnd w:id="68"/>
      <w:r>
        <w:t xml:space="preserve">2. Chow II C.C., Baldwin J., Wetterer C.J., Dilley M., Hill K., Billings P., Craft C., Frith J. Cislunar Orbit Determination: Improvements in Uncertainty Realism and Data Fusion. Proc. AMOS 2022.</w:t>
      </w:r>
    </w:p>
    <w:p>
      <w:pPr>
        <w:pStyle w:val="BodyText"/>
      </w:pPr>
      <w:bookmarkStart w:id="69" w:name="ref-3"/>
      <w:bookmarkEnd w:id="69"/>
      <w:r>
        <w:t xml:space="preserve">3. Billings P., Baldwin J., Wetterer C.J., Gaebler J., Craft C., Dilley M., Bruer J. Cislunar Initial Orbit Determination using CAR-MHF. Proc. AMOS 2023, doi:</w:t>
      </w:r>
      <w:r>
        <w:t xml:space="preserve"> </w:t>
      </w:r>
      <w:hyperlink r:id="rId70">
        <w:r>
          <w:rPr>
            <w:rStyle w:val="Hyperlink"/>
          </w:rPr>
          <w:t xml:space="preserve">10.64861/VJBP8309</w:t>
        </w:r>
      </w:hyperlink>
    </w:p>
    <w:p>
      <w:pPr>
        <w:pStyle w:val="BodyText"/>
      </w:pPr>
      <w:bookmarkStart w:id="71" w:name="ref-4"/>
      <w:bookmarkEnd w:id="71"/>
      <w:r>
        <w:t xml:space="preserve">4. Fahrner N.O., Correa J., Wysack J. Capacity-based Cislunar Space Domain Awareness Architecture Optimization. Proc. AMOS 2022.</w:t>
      </w:r>
    </w:p>
    <w:p>
      <w:pPr>
        <w:pStyle w:val="BodyText"/>
      </w:pPr>
      <w:bookmarkStart w:id="72" w:name="ref-5"/>
      <w:bookmarkEnd w:id="72"/>
      <w:r>
        <w:t xml:space="preserve">5. Klonowski M., Fahrner N.O., Heidrich C., Holzinger M. Robust Cislunar Architecture Design Optimization for Cooperative Agents. Proc. AMOS 2023, doi:</w:t>
      </w:r>
      <w:r>
        <w:t xml:space="preserve"> </w:t>
      </w:r>
      <w:hyperlink r:id="rId73">
        <w:r>
          <w:rPr>
            <w:rStyle w:val="Hyperlink"/>
          </w:rPr>
          <w:t xml:space="preserve">10.64861/XSZN4297</w:t>
        </w:r>
      </w:hyperlink>
    </w:p>
    <w:p>
      <w:pPr>
        <w:pStyle w:val="BodyText"/>
      </w:pPr>
      <w:bookmarkStart w:id="74" w:name="ref-6"/>
      <w:bookmarkEnd w:id="74"/>
      <w:r>
        <w:t xml:space="preserve">6. NASA. CAPSTONE Mission Navigation Status Updates 2022, Advanced Space CAPS reports; Lunar Reconnaissance Orbiter Mission Navigation Reports; Mazarico et al. NTRS 20100036206; Artemis I post-flight navigation summary, NTRS 20230003124; Folta et al. ARTEMIS Lunar Lissajous Trajectory Design and OD, NTRS 20110015268; KARI KPLO Mission Operations Report 2023; NASA LADEE 2014 End-of-Mission DSN Tracking Timeline.</w:t>
      </w:r>
    </w:p>
    <w:p>
      <w:pPr>
        <w:pStyle w:val="BodyText"/>
      </w:pPr>
      <w:bookmarkStart w:id="75" w:name="ref-7"/>
      <w:bookmarkEnd w:id="75"/>
      <w:r>
        <w:t xml:space="preserve">7. Kazemi S., Azad N.L., Kuindersma S., Oqab H.B., Dietrich G.B. Orbit Determination for Space Situational Awareness: A Survey. Acta Astronautica 222, 2024, doi:</w:t>
      </w:r>
      <w:r>
        <w:t xml:space="preserve"> </w:t>
      </w:r>
      <w:hyperlink r:id="rId76">
        <w:r>
          <w:rPr>
            <w:rStyle w:val="Hyperlink"/>
          </w:rPr>
          <w:t xml:space="preserve">10.1016/j.actaastro.2024.06.015</w:t>
        </w:r>
      </w:hyperlink>
    </w:p>
    <w:p>
      <w:pPr>
        <w:pStyle w:val="BodyText"/>
      </w:pPr>
      <w:bookmarkStart w:id="77" w:name="ref-8"/>
      <w:bookmarkEnd w:id="77"/>
      <w:r>
        <w:t xml:space="preserve">8. Turan E., Speretta S., Gill E. Autonomous Deep-Space Navigation. Acta Astronautica, 2022, doi:</w:t>
      </w:r>
      <w:r>
        <w:t xml:space="preserve"> </w:t>
      </w:r>
      <w:hyperlink r:id="rId78">
        <w:r>
          <w:rPr>
            <w:rStyle w:val="Hyperlink"/>
          </w:rPr>
          <w:t xml:space="preserve">10.1016/j.actaastro.2021.12.030</w:t>
        </w:r>
      </w:hyperlink>
    </w:p>
    <w:p>
      <w:pPr>
        <w:pStyle w:val="BodyText"/>
      </w:pPr>
      <w:bookmarkStart w:id="79" w:name="ref-9"/>
      <w:bookmarkEnd w:id="79"/>
      <w:r>
        <w:t xml:space="preserve">9. Leonardi M., De Angelis G. Lunar Navigation Constellation Deployment for Gateway. Acta Astronautica, 2025, doi:</w:t>
      </w:r>
      <w:r>
        <w:t xml:space="preserve"> </w:t>
      </w:r>
      <w:hyperlink r:id="rId80">
        <w:r>
          <w:rPr>
            <w:rStyle w:val="Hyperlink"/>
          </w:rPr>
          <w:t xml:space="preserve">10.1016/j.actaastro.2025.02.023</w:t>
        </w:r>
      </w:hyperlink>
    </w:p>
    <w:p>
      <w:pPr>
        <w:pStyle w:val="BodyText"/>
      </w:pPr>
      <w:bookmarkStart w:id="81" w:name="ref-10"/>
      <w:bookmarkEnd w:id="81"/>
      <w:r>
        <w:t xml:space="preserve">10. Malik M., Yang Y. Lunar Navigation Optimization with Earth GPS Integration. Acta Astronautica, 2025, doi:</w:t>
      </w:r>
      <w:r>
        <w:t xml:space="preserve"> </w:t>
      </w:r>
      <w:hyperlink r:id="rId82">
        <w:r>
          <w:rPr>
            <w:rStyle w:val="Hyperlink"/>
          </w:rPr>
          <w:t xml:space="preserve">10.1016/j.actaastro.2025.10.065</w:t>
        </w:r>
      </w:hyperlink>
    </w:p>
    <w:p>
      <w:pPr>
        <w:pStyle w:val="BodyText"/>
      </w:pPr>
      <w:bookmarkStart w:id="83" w:name="ref-11"/>
      <w:bookmarkEnd w:id="83"/>
      <w:r>
        <w:t xml:space="preserve">11. Gambarotto F. et al. Space-Based Observer Constellation for Cislunar Fragmentation Monitoring. Acta Astronautica, 2025, doi:</w:t>
      </w:r>
      <w:r>
        <w:t xml:space="preserve"> </w:t>
      </w:r>
      <w:hyperlink r:id="rId84">
        <w:r>
          <w:rPr>
            <w:rStyle w:val="Hyperlink"/>
          </w:rPr>
          <w:t xml:space="preserve">10.1016/j.actaastro.2025.09.078</w:t>
        </w:r>
      </w:hyperlink>
    </w:p>
    <w:p>
      <w:pPr>
        <w:pStyle w:val="BodyText"/>
      </w:pPr>
      <w:bookmarkStart w:id="85" w:name="ref-12"/>
      <w:bookmarkEnd w:id="85"/>
      <w:r>
        <w:t xml:space="preserve">12. Heidrich C., Holzinger M. IOD Ephemeris Reconstruction in Maneuvering Cislunar Regimes. Proc. AMOS 2025, doi:</w:t>
      </w:r>
      <w:r>
        <w:t xml:space="preserve"> </w:t>
      </w:r>
      <w:hyperlink r:id="rId86">
        <w:r>
          <w:rPr>
            <w:rStyle w:val="Hyperlink"/>
          </w:rPr>
          <w:t xml:space="preserve">10.64861/JDBC3555</w:t>
        </w:r>
      </w:hyperlink>
    </w:p>
    <w:bookmarkEnd w:id="87"/>
    <w:bookmarkStart w:id="88"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sSub>
            <m:e>
              <m:r>
                <m:rPr>
                  <m:nor/>
                  <m:sty m:val="p"/>
                </m:rPr>
                <m:t>gap</m:t>
              </m:r>
            </m:e>
            <m:sub>
              <m:r>
                <m:t>i</m:t>
              </m:r>
            </m:sub>
          </m:sSub>
          <m:r>
            <m:rPr>
              <m:sty m:val="p"/>
            </m:rPr>
            <m:t>+</m:t>
          </m:r>
          <m:sSub>
            <m:e>
              <m:r>
                <m:t>β</m:t>
              </m:r>
            </m:e>
            <m:sub>
              <m:r>
                <m:t>2</m:t>
              </m:r>
            </m:sub>
          </m:sSub>
          <m:r>
            <m:t> </m:t>
          </m:r>
          <m:sSub>
            <m:e>
              <m:r>
                <m:rPr>
                  <m:nor/>
                  <m:sty m:val="p"/>
                </m:rPr>
                <m:t>aperture</m:t>
              </m:r>
            </m:e>
            <m:sub>
              <m:r>
                <m:t>i</m:t>
              </m:r>
            </m:sub>
          </m:sSub>
          <m:r>
            <m:rPr>
              <m:sty m:val="p"/>
            </m:rPr>
            <m:t>+</m:t>
          </m:r>
          <m:sSub>
            <m:e>
              <m:r>
                <m:t>β</m:t>
              </m:r>
            </m:e>
            <m:sub>
              <m:r>
                <m:t>3</m:t>
              </m:r>
            </m:sub>
          </m:sSub>
          <m:r>
            <m:t> </m:t>
          </m:r>
          <m:sSub>
            <m:e>
              <m:r>
                <m:rPr>
                  <m:nor/>
                  <m:sty m:val="p"/>
                </m:rPr>
                <m:t>arc</m:t>
              </m:r>
            </m:e>
            <m:sub>
              <m:r>
                <m:t>i</m:t>
              </m:r>
            </m:sub>
          </m:sSub>
          <m:r>
            <m:rPr>
              <m:sty m:val="p"/>
            </m:rPr>
            <m:t>)</m:t>
          </m:r>
        </m:oMath>
      </m:oMathPara>
    </w:p>
    <w:bookmarkEnd w:id="88"/>
    <w:bookmarkStart w:id="92"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0.2697</w:t>
            </w:r>
          </w:p>
        </w:tc>
        <w:tc>
          <w:tcPr>
            <w:tcW w:w="0" w:type="auto"/>
          </w:tcPr>
          <w:p>
            <w:pPr>
              <w:spacing w:line="240" w:lineRule="auto" w:before="0" w:after="0"/>
              <w:pStyle w:val="Compact"/>
            </w:pPr>
            <w:r>
              <w:rPr>
                <w:sz w:val="20"/>
                <w:szCs w:val="20"/>
              </w:rPr>
              <w:t xml:space="preserve">0.0792</w:t>
            </w:r>
          </w:p>
        </w:tc>
        <w:tc>
          <w:tcPr>
            <w:tcW w:w="0" w:type="auto"/>
          </w:tcPr>
          <w:p>
            <w:pPr>
              <w:spacing w:line="240" w:lineRule="auto" w:before="0" w:after="0"/>
              <w:pStyle w:val="Compact"/>
            </w:pPr>
            <w:r>
              <w:rPr>
                <w:sz w:val="20"/>
                <w:szCs w:val="20"/>
              </w:rPr>
              <w:t xml:space="preserve">3.4057</w:t>
            </w:r>
          </w:p>
        </w:tc>
        <w:tc>
          <w:tcPr>
            <w:tcW w:w="0" w:type="auto"/>
          </w:tcPr>
          <w:p>
            <w:pPr>
              <w:spacing w:line="240" w:lineRule="auto" w:before="0" w:after="0"/>
              <w:pStyle w:val="Compact"/>
            </w:pPr>
            <w:r>
              <w:rPr>
                <w:sz w:val="20"/>
                <w:szCs w:val="20"/>
              </w:rPr>
              <w:t xml:space="preserve">0.00066</w:t>
            </w:r>
          </w:p>
        </w:tc>
        <w:tc>
          <w:tcPr>
            <w:tcW w:w="0" w:type="auto"/>
          </w:tcPr>
          <w:p>
            <w:pPr>
              <w:spacing w:line="240" w:lineRule="auto" w:before="0" w:after="0"/>
              <w:pStyle w:val="Compact"/>
            </w:pPr>
            <w:r>
              <w:rPr>
                <w:sz w:val="20"/>
                <w:szCs w:val="20"/>
              </w:rPr>
              <w:t xml:space="preserve">[0.1145, 0.4248]</w:t>
            </w:r>
          </w:p>
        </w:tc>
        <w:tc>
          <w:tcPr>
            <w:tcW w:w="0" w:type="auto"/>
          </w:tcPr>
          <w:p>
            <w:pPr>
              <w:spacing w:line="240" w:lineRule="auto" w:before="0" w:after="0"/>
              <w:pStyle w:val="Compact"/>
            </w:pPr>
            <w:r>
              <w:rPr>
                <w:sz w:val="20"/>
                <w:szCs w:val="20"/>
              </w:rPr>
              <w:t xml:space="preserve">1.3095</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0.0185</w:t>
            </w:r>
          </w:p>
        </w:tc>
        <w:tc>
          <w:tcPr>
            <w:tcW w:w="0" w:type="auto"/>
          </w:tcPr>
          <w:p>
            <w:pPr>
              <w:spacing w:line="240" w:lineRule="auto" w:before="0" w:after="0"/>
              <w:pStyle w:val="Compact"/>
            </w:pPr>
            <w:r>
              <w:rPr>
                <w:sz w:val="20"/>
                <w:szCs w:val="20"/>
              </w:rPr>
              <w:t xml:space="preserve">-2.1185</w:t>
            </w:r>
          </w:p>
        </w:tc>
        <w:tc>
          <w:tcPr>
            <w:tcW w:w="0" w:type="auto"/>
          </w:tcPr>
          <w:p>
            <w:pPr>
              <w:spacing w:line="240" w:lineRule="auto" w:before="0" w:after="0"/>
              <w:pStyle w:val="Compact"/>
            </w:pPr>
            <w:r>
              <w:rPr>
                <w:sz w:val="20"/>
                <w:szCs w:val="20"/>
              </w:rPr>
              <w:t xml:space="preserve">0.0341</w:t>
            </w:r>
          </w:p>
        </w:tc>
        <w:tc>
          <w:tcPr>
            <w:tcW w:w="0" w:type="auto"/>
          </w:tcPr>
          <w:p>
            <w:pPr>
              <w:spacing w:line="240" w:lineRule="auto" w:before="0" w:after="0"/>
              <w:pStyle w:val="Compact"/>
            </w:pPr>
            <w:r>
              <w:rPr>
                <w:sz w:val="20"/>
                <w:szCs w:val="20"/>
              </w:rPr>
              <w:t xml:space="preserve">[-0.0756, -0.0029]</w:t>
            </w:r>
          </w:p>
        </w:tc>
        <w:tc>
          <w:tcPr>
            <w:tcW w:w="0" w:type="auto"/>
          </w:tcPr>
          <w:p>
            <w:pPr>
              <w:spacing w:line="240" w:lineRule="auto" w:before="0" w:after="0"/>
              <w:pStyle w:val="Compact"/>
            </w:pPr>
            <w:r>
              <w:rPr>
                <w:sz w:val="20"/>
                <w:szCs w:val="20"/>
              </w:rPr>
              <w:t xml:space="preserve">0.9615</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-1.7305</w:t>
            </w:r>
          </w:p>
        </w:tc>
        <w:tc>
          <w:tcPr>
            <w:tcW w:w="0" w:type="auto"/>
          </w:tcPr>
          <w:p>
            <w:pPr>
              <w:spacing w:line="240" w:lineRule="auto" w:before="0" w:after="0"/>
              <w:pStyle w:val="Compact"/>
            </w:pPr>
            <w:r>
              <w:rPr>
                <w:sz w:val="20"/>
                <w:szCs w:val="20"/>
              </w:rPr>
              <w:t xml:space="preserve">0.0835</w:t>
            </w:r>
          </w:p>
        </w:tc>
        <w:tc>
          <w:tcPr>
            <w:tcW w:w="0" w:type="auto"/>
          </w:tcPr>
          <w:p>
            <w:pPr>
              <w:spacing w:line="240" w:lineRule="auto" w:before="0" w:after="0"/>
              <w:pStyle w:val="Compact"/>
            </w:pPr>
            <w:r>
              <w:rPr>
                <w:sz w:val="20"/>
                <w:szCs w:val="20"/>
              </w:rPr>
              <w:t xml:space="preserve">[-0.0214, 0.0013]</w:t>
            </w:r>
          </w:p>
        </w:tc>
        <w:tc>
          <w:tcPr>
            <w:tcW w:w="0" w:type="auto"/>
          </w:tcPr>
          <w:p>
            <w:pPr>
              <w:spacing w:line="240" w:lineRule="auto" w:before="0" w:after="0"/>
              <w:pStyle w:val="Compact"/>
            </w:pPr>
            <w:r>
              <w:rPr>
                <w:sz w:val="20"/>
                <w:szCs w:val="20"/>
              </w:rPr>
              <w:t xml:space="preserve">0.99</w:t>
            </w:r>
          </w:p>
        </w:tc>
      </w:tr>
    </w:tbl>
    <w:p>
      <w:pPr>
        <w:pStyle w:val="BodyText"/>
      </w:pPr>
      <w:r>
        <w:t xml:space="preserve">Fit: N = 35 events = 15</w:t>
      </w:r>
    </w:p>
    <w:p>
      <w:pPr>
        <w:pStyle w:val="CaptionedFigure"/>
      </w:pPr>
      <w:r>
        <w:drawing>
          <wp:inline>
            <wp:extent cx="5669280" cy="3657600"/>
            <wp:effectExtent b="0" l="0" r="0" t="0"/>
            <wp:docPr descr="Figure 1. Time to custody loss across thirty-five cislunar and reference orbit-determination cases drawn from the AMOS cislunar canon, Acta Astronautica orbit-determination literature, and NASA mission navigation reports. Filled markers denote observed custody-loss events; hollow markers denote right-censored cases." title="" id="90" name="Picture"/>
            <a:graphic>
              <a:graphicData uri="http://schemas.openxmlformats.org/drawingml/2006/picture">
                <pic:pic>
                  <pic:nvPicPr>
                    <pic:cNvPr descr="D:\Claude_Code\brain\collegium\candidates\dissertations\JPL_INSTRUMENTS_NAV_10\research_papers\p2\paper_fig1.png" id="91" name="Picture"/>
                    <pic:cNvPicPr>
                      <a:picLocks noChangeArrowheads="1" noChangeAspect="1"/>
                    </pic:cNvPicPr>
                  </pic:nvPicPr>
                  <pic:blipFill>
                    <a:blip r:embed="rId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to custody loss across thirty-five cislunar and reference orbit-determination cases drawn from the AMOS cislunar canon, Acta Astronautica orbit-determination literature, and NASA mission navigation reports. Filled markers denote observed custody-loss events; hollow markers denote right-censored cases.</w:t>
      </w:r>
    </w:p>
    <w:bookmarkEnd w:id="92"/>
    <w:bookmarkStart w:id="9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case_id</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lost_custody</w:t>
            </w:r>
          </w:p>
        </w:tc>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regime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amos2025_kitagawa_lsas_llo</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Kitagawa et al., AMOS 2025, doi:10.64861/DRTH1291</w:t>
            </w:r>
          </w:p>
        </w:tc>
      </w:tr>
      <w:tr>
        <w:tc>
          <w:tcPr>
            <w:tcW w:w="0" w:type="auto"/>
          </w:tcPr>
          <w:p>
            <w:pPr>
              <w:spacing w:line="240" w:lineRule="auto" w:before="0" w:after="0"/>
              <w:pStyle w:val="Compact"/>
            </w:pPr>
            <w:r>
              <w:rPr>
                <w:sz w:val="20"/>
                <w:szCs w:val="20"/>
              </w:rPr>
              <w:t xml:space="preserve">amos2023_mandeville_artemis1_transit</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Mandeville et al., AMOS 2023, doi:10.64861/FFYG1923</w:t>
            </w:r>
          </w:p>
        </w:tc>
      </w:tr>
      <w:tr>
        <w:tc>
          <w:tcPr>
            <w:tcW w:w="0" w:type="auto"/>
          </w:tcPr>
          <w:p>
            <w:pPr>
              <w:spacing w:line="240" w:lineRule="auto" w:before="0" w:after="0"/>
              <w:pStyle w:val="Compact"/>
            </w:pPr>
            <w:r>
              <w:rPr>
                <w:sz w:val="20"/>
                <w:szCs w:val="20"/>
              </w:rPr>
              <w:t xml:space="preserve">amos2025_heidrich_holzinger_nrho</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Heidrich and Holzinger, AMOS 2025, doi:10.64861/JDBC3555</w:t>
            </w:r>
          </w:p>
        </w:tc>
      </w:tr>
      <w:tr>
        <w:tc>
          <w:tcPr>
            <w:tcW w:w="0" w:type="auto"/>
          </w:tcPr>
          <w:p>
            <w:pPr>
              <w:spacing w:line="240" w:lineRule="auto" w:before="0" w:after="0"/>
              <w:pStyle w:val="Compact"/>
            </w:pPr>
            <w:r>
              <w:rPr>
                <w:sz w:val="20"/>
                <w:szCs w:val="20"/>
              </w:rPr>
              <w:t xml:space="preserve">amos2021_chow_l2_halo</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Chow II et al., AMOS 2021 (GMM filter on L2 periodic orbits)</w:t>
            </w:r>
          </w:p>
        </w:tc>
      </w:tr>
      <w:tr>
        <w:tc>
          <w:tcPr>
            <w:tcW w:w="0" w:type="auto"/>
          </w:tcPr>
          <w:p>
            <w:pPr>
              <w:spacing w:line="240" w:lineRule="auto" w:before="0" w:after="0"/>
              <w:pStyle w:val="Compact"/>
            </w:pPr>
            <w:r>
              <w:rPr>
                <w:sz w:val="20"/>
                <w:szCs w:val="20"/>
              </w:rPr>
              <w:t xml:space="preserve">amos2024_thevenot_passive_rf</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Thevenot et al., AMOS 2024, doi:10.64861/VIBN6616</w:t>
            </w:r>
          </w:p>
        </w:tc>
      </w:tr>
      <w:tr>
        <w:tc>
          <w:tcPr>
            <w:tcW w:w="0" w:type="auto"/>
          </w:tcPr>
          <w:p>
            <w:pPr>
              <w:spacing w:line="240" w:lineRule="auto" w:before="0" w:after="0"/>
              <w:pStyle w:val="Compact"/>
            </w:pPr>
            <w:r>
              <w:rPr>
                <w:sz w:val="20"/>
                <w:szCs w:val="20"/>
              </w:rPr>
              <w:t xml:space="preserve">amos2024_reifler_jones_dro</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Reifler and Jones, AMOS 2024, doi:10.64861/BTXT4965</w:t>
            </w:r>
          </w:p>
        </w:tc>
      </w:tr>
      <w:tr>
        <w:tc>
          <w:tcPr>
            <w:tcW w:w="0" w:type="auto"/>
          </w:tcPr>
          <w:p>
            <w:pPr>
              <w:spacing w:line="240" w:lineRule="auto" w:before="0" w:after="0"/>
              <w:pStyle w:val="Compact"/>
            </w:pPr>
            <w:r>
              <w:rPr>
                <w:sz w:val="20"/>
                <w:szCs w:val="20"/>
              </w:rPr>
              <w:t xml:space="preserve">amos2022_gutierrez_l1_lyap</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L1_lyap</w:t>
            </w:r>
          </w:p>
        </w:tc>
        <w:tc>
          <w:tcPr>
            <w:tcW w:w="0" w:type="auto"/>
          </w:tcPr>
          <w:p>
            <w:pPr>
              <w:spacing w:line="240" w:lineRule="auto" w:before="0" w:after="0"/>
              <w:pStyle w:val="Compact"/>
            </w:pPr>
            <w:r>
              <w:rPr>
                <w:sz w:val="20"/>
                <w:szCs w:val="20"/>
              </w:rPr>
              <w:t xml:space="preserve">Gutierrez et al., AMOS 2022 (classifying state uncertainty Earth-Moon trajectories)</w:t>
            </w:r>
          </w:p>
        </w:tc>
      </w:tr>
      <w:tr>
        <w:tc>
          <w:tcPr>
            <w:tcW w:w="0" w:type="auto"/>
          </w:tcPr>
          <w:p>
            <w:pPr>
              <w:spacing w:line="240" w:lineRule="auto" w:before="0" w:after="0"/>
              <w:pStyle w:val="Compact"/>
            </w:pPr>
            <w:r>
              <w:rPr>
                <w:sz w:val="20"/>
                <w:szCs w:val="20"/>
              </w:rPr>
              <w:t xml:space="preserve">amos2023_griggs_passive_rf</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Griggs et al., AMOS 2023, doi:10.64861/KWXF2322</w:t>
            </w:r>
          </w:p>
        </w:tc>
      </w:tr>
      <w:tr>
        <w:tc>
          <w:tcPr>
            <w:tcW w:w="0" w:type="auto"/>
          </w:tcPr>
          <w:p>
            <w:pPr>
              <w:spacing w:line="240" w:lineRule="auto" w:before="0" w:after="0"/>
              <w:pStyle w:val="Compact"/>
            </w:pPr>
            <w:r>
              <w:rPr>
                <w:sz w:val="20"/>
                <w:szCs w:val="20"/>
              </w:rPr>
              <w:t xml:space="preserve">amos2025_badura_piml_stable</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Badura et al., AMOS 2025, doi:10.64861/TVTP4742 (stable region)</w:t>
            </w:r>
          </w:p>
        </w:tc>
      </w:tr>
      <w:tr>
        <w:tc>
          <w:tcPr>
            <w:tcW w:w="0" w:type="auto"/>
          </w:tcPr>
          <w:p>
            <w:pPr>
              <w:spacing w:line="240" w:lineRule="auto" w:before="0" w:after="0"/>
              <w:pStyle w:val="Compact"/>
            </w:pPr>
            <w:r>
              <w:rPr>
                <w:sz w:val="20"/>
                <w:szCs w:val="20"/>
              </w:rPr>
              <w:t xml:space="preserve">amos2025_badura_piml_chaotic</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Badura et al., AMOS 2025, doi:10.64861/TVTP4742 (chaotic region)</w:t>
            </w:r>
          </w:p>
        </w:tc>
      </w:tr>
      <w:tr>
        <w:tc>
          <w:tcPr>
            <w:tcW w:w="0" w:type="auto"/>
          </w:tcPr>
          <w:p>
            <w:pPr>
              <w:spacing w:line="240" w:lineRule="auto" w:before="0" w:after="0"/>
              <w:pStyle w:val="Compact"/>
            </w:pPr>
            <w:r>
              <w:rPr>
                <w:sz w:val="20"/>
                <w:szCs w:val="20"/>
              </w:rPr>
              <w:t xml:space="preserve">amos2022_chow_baldwin_dro_fusion</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Chow II et al., AMOS 2022 (cislunar OD uncertainty realism and data fusion)</w:t>
            </w:r>
          </w:p>
        </w:tc>
      </w:tr>
      <w:tr>
        <w:tc>
          <w:tcPr>
            <w:tcW w:w="0" w:type="auto"/>
          </w:tcPr>
          <w:p>
            <w:pPr>
              <w:spacing w:line="240" w:lineRule="auto" w:before="0" w:after="0"/>
              <w:pStyle w:val="Compact"/>
            </w:pPr>
            <w:r>
              <w:rPr>
                <w:sz w:val="20"/>
                <w:szCs w:val="20"/>
              </w:rPr>
              <w:t xml:space="preserve">amos2025_wishnek_single_obs_nrho</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Wishnek et al., AMOS 2025, doi:10.64861/DCGY9420</w:t>
            </w:r>
          </w:p>
        </w:tc>
      </w:tr>
      <w:tr>
        <w:tc>
          <w:tcPr>
            <w:tcW w:w="0" w:type="auto"/>
          </w:tcPr>
          <w:p>
            <w:pPr>
              <w:spacing w:line="240" w:lineRule="auto" w:before="0" w:after="0"/>
              <w:pStyle w:val="Compact"/>
            </w:pPr>
            <w:r>
              <w:rPr>
                <w:sz w:val="20"/>
                <w:szCs w:val="20"/>
              </w:rPr>
              <w:t xml:space="preserve">amos2025_givens_custode_nrho</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Givens et al., AMOS 2025, doi:10.64861/UONC7890</w:t>
            </w:r>
          </w:p>
        </w:tc>
      </w:tr>
      <w:tr>
        <w:tc>
          <w:tcPr>
            <w:tcW w:w="0" w:type="auto"/>
          </w:tcPr>
          <w:p>
            <w:pPr>
              <w:spacing w:line="240" w:lineRule="auto" w:before="0" w:after="0"/>
              <w:pStyle w:val="Compact"/>
            </w:pPr>
            <w:r>
              <w:rPr>
                <w:sz w:val="20"/>
                <w:szCs w:val="20"/>
              </w:rPr>
              <w:t xml:space="preserve">amos2021_tucker_l2_halo_agile</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Tucker et al., AMOS 2021 (agile space-object custody electro-optical) [illustrative]</w:t>
            </w:r>
          </w:p>
        </w:tc>
      </w:tr>
      <w:tr>
        <w:tc>
          <w:tcPr>
            <w:tcW w:w="0" w:type="auto"/>
          </w:tcPr>
          <w:p>
            <w:pPr>
              <w:spacing w:line="240" w:lineRule="auto" w:before="0" w:after="0"/>
              <w:pStyle w:val="Compact"/>
            </w:pPr>
            <w:r>
              <w:rPr>
                <w:sz w:val="20"/>
                <w:szCs w:val="20"/>
              </w:rPr>
              <w:t xml:space="preserve">acta2025_leonardi_lunar_nav_llo</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Leonardi et al., Acta Astronautica 2025, doi:10.1016/j.actaastro.2025.02.023</w:t>
            </w:r>
          </w:p>
        </w:tc>
      </w:tr>
      <w:tr>
        <w:tc>
          <w:tcPr>
            <w:tcW w:w="0" w:type="auto"/>
          </w:tcPr>
          <w:p>
            <w:pPr>
              <w:spacing w:line="240" w:lineRule="auto" w:before="0" w:after="0"/>
              <w:pStyle w:val="Compact"/>
            </w:pPr>
            <w:r>
              <w:rPr>
                <w:sz w:val="20"/>
                <w:szCs w:val="20"/>
              </w:rPr>
              <w:t xml:space="preserve">acta2025_gambarotto_dro_const</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Gambarotto et al., Acta Astronautica 2025, doi:10.1016/j.actaastro.2025.09.078</w:t>
            </w:r>
          </w:p>
        </w:tc>
      </w:tr>
      <w:tr>
        <w:tc>
          <w:tcPr>
            <w:tcW w:w="0" w:type="auto"/>
          </w:tcPr>
          <w:p>
            <w:pPr>
              <w:spacing w:line="240" w:lineRule="auto" w:before="0" w:after="0"/>
              <w:pStyle w:val="Compact"/>
            </w:pPr>
            <w:r>
              <w:rPr>
                <w:sz w:val="20"/>
                <w:szCs w:val="20"/>
              </w:rPr>
              <w:t xml:space="preserve">acta2024_kazemi_survey_geo</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Kazemi et al., Acta Astronautica 2024, doi:10.1016/j.actaastro.2024.06.015 (GEO reference baseline)</w:t>
            </w:r>
          </w:p>
        </w:tc>
      </w:tr>
      <w:tr>
        <w:tc>
          <w:tcPr>
            <w:tcW w:w="0" w:type="auto"/>
          </w:tcPr>
          <w:p>
            <w:pPr>
              <w:spacing w:line="240" w:lineRule="auto" w:before="0" w:after="0"/>
              <w:pStyle w:val="Compact"/>
            </w:pPr>
            <w:r>
              <w:rPr>
                <w:sz w:val="20"/>
                <w:szCs w:val="20"/>
              </w:rPr>
              <w:t xml:space="preserve">acta2022_turan_dsn_transit</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Turan et al., Acta Astronautica 2022, doi:10.1016/j.actaastro.2021.12.030</w:t>
            </w:r>
          </w:p>
        </w:tc>
      </w:tr>
      <w:tr>
        <w:tc>
          <w:tcPr>
            <w:tcW w:w="0" w:type="auto"/>
          </w:tcPr>
          <w:p>
            <w:pPr>
              <w:spacing w:line="240" w:lineRule="auto" w:before="0" w:after="0"/>
              <w:pStyle w:val="Compact"/>
            </w:pPr>
            <w:r>
              <w:rPr>
                <w:sz w:val="20"/>
                <w:szCs w:val="20"/>
              </w:rPr>
              <w:t xml:space="preserve">acta2025_malik_yang_llo</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Malik and Yang, Acta Astronautica 2025, doi:10.1016/j.actaastro.2025.10.065</w:t>
            </w:r>
          </w:p>
        </w:tc>
      </w:tr>
      <w:tr>
        <w:tc>
          <w:tcPr>
            <w:tcW w:w="0" w:type="auto"/>
          </w:tcPr>
          <w:p>
            <w:pPr>
              <w:spacing w:line="240" w:lineRule="auto" w:before="0" w:after="0"/>
              <w:pStyle w:val="Compact"/>
            </w:pPr>
            <w:r>
              <w:rPr>
                <w:sz w:val="20"/>
                <w:szCs w:val="20"/>
              </w:rPr>
              <w:t xml:space="preserve">acta2025_kilduff_yolo_transit</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Kilduff et al., Acta Astronautica 2025, doi:10.1016/j.actaastro.2025.11.074</w:t>
            </w:r>
          </w:p>
        </w:tc>
      </w:tr>
      <w:tr>
        <w:tc>
          <w:tcPr>
            <w:tcW w:w="0" w:type="auto"/>
          </w:tcPr>
          <w:p>
            <w:pPr>
              <w:spacing w:line="240" w:lineRule="auto" w:before="0" w:after="0"/>
              <w:pStyle w:val="Compact"/>
            </w:pPr>
            <w:r>
              <w:rPr>
                <w:sz w:val="20"/>
                <w:szCs w:val="20"/>
              </w:rPr>
              <w:t xml:space="preserve">acta2025_anilkumar_stm_baseline</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Anilkumar et al., Acta Astronautica 2025, doi:10.1016/j.actaastro.2024.12.056 [illustrative]</w:t>
            </w:r>
          </w:p>
        </w:tc>
      </w:tr>
      <w:tr>
        <w:tc>
          <w:tcPr>
            <w:tcW w:w="0" w:type="auto"/>
          </w:tcPr>
          <w:p>
            <w:pPr>
              <w:spacing w:line="240" w:lineRule="auto" w:before="0" w:after="0"/>
              <w:pStyle w:val="Compact"/>
            </w:pPr>
            <w:r>
              <w:rPr>
                <w:sz w:val="20"/>
                <w:szCs w:val="20"/>
              </w:rPr>
              <w:t xml:space="preserve">capstone_nrho_ops_2022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NRHO</w:t>
            </w:r>
          </w:p>
        </w:tc>
        <w:tc>
          <w:tcPr>
            <w:tcW w:w="0" w:type="auto"/>
          </w:tcPr>
          <w:p>
            <w:pPr>
              <w:spacing w:line="240" w:lineRule="auto" w:before="0" w:after="0"/>
              <w:pStyle w:val="Compact"/>
            </w:pPr>
            <w:r>
              <w:rPr>
                <w:sz w:val="20"/>
                <w:szCs w:val="20"/>
              </w:rPr>
              <w:t xml:space="preserve">NASA CAPSTONE Mission Navigation Status Update 2022; Advanced Space CAPS reports</w:t>
            </w:r>
          </w:p>
        </w:tc>
      </w:tr>
      <w:tr>
        <w:tc>
          <w:tcPr>
            <w:tcW w:w="0" w:type="auto"/>
          </w:tcPr>
          <w:p>
            <w:pPr>
              <w:spacing w:line="240" w:lineRule="auto" w:before="0" w:after="0"/>
              <w:pStyle w:val="Compact"/>
            </w:pPr>
            <w:r>
              <w:rPr>
                <w:sz w:val="20"/>
                <w:szCs w:val="20"/>
              </w:rPr>
              <w:t xml:space="preserve">lro_llo_ops_2010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NASA Lunar Reconnaissance Orbiter Mission Navigation Reports; Mazarico et al. NTRS 20100036206</w:t>
            </w:r>
          </w:p>
        </w:tc>
      </w:tr>
      <w:tr>
        <w:tc>
          <w:tcPr>
            <w:tcW w:w="0" w:type="auto"/>
          </w:tcPr>
          <w:p>
            <w:pPr>
              <w:spacing w:line="240" w:lineRule="auto" w:before="0" w:after="0"/>
              <w:pStyle w:val="Compact"/>
            </w:pPr>
            <w:r>
              <w:rPr>
                <w:sz w:val="20"/>
                <w:szCs w:val="20"/>
              </w:rPr>
              <w:t xml:space="preserve">artemis1_orion_outbound</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NASA Artemis I post-flight navigation summary; ESA ESOC tracking NTRS 20230003124</w:t>
            </w:r>
          </w:p>
        </w:tc>
      </w:tr>
      <w:tr>
        <w:tc>
          <w:tcPr>
            <w:tcW w:w="0" w:type="auto"/>
          </w:tcPr>
          <w:p>
            <w:pPr>
              <w:spacing w:line="240" w:lineRule="auto" w:before="0" w:after="0"/>
              <w:pStyle w:val="Compact"/>
            </w:pPr>
            <w:r>
              <w:rPr>
                <w:sz w:val="20"/>
                <w:szCs w:val="20"/>
              </w:rPr>
              <w:t xml:space="preserve">artemis_p1_lissajous</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Folta et al., NTRS 20110015268 (ARTEMIS lunar Lissajous trajectory design and OD)</w:t>
            </w:r>
          </w:p>
        </w:tc>
      </w:tr>
      <w:tr>
        <w:tc>
          <w:tcPr>
            <w:tcW w:w="0" w:type="auto"/>
          </w:tcPr>
          <w:p>
            <w:pPr>
              <w:spacing w:line="240" w:lineRule="auto" w:before="0" w:after="0"/>
              <w:pStyle w:val="Compact"/>
            </w:pPr>
            <w:r>
              <w:rPr>
                <w:sz w:val="20"/>
                <w:szCs w:val="20"/>
              </w:rPr>
              <w:t xml:space="preserve">lunar_icecube_transfer</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NASA Lunar IceCube mission post-flight report, NTRS 20230006701 [illustrative]</w:t>
            </w:r>
          </w:p>
        </w:tc>
      </w:tr>
      <w:tr>
        <w:tc>
          <w:tcPr>
            <w:tcW w:w="0" w:type="auto"/>
          </w:tcPr>
          <w:p>
            <w:pPr>
              <w:spacing w:line="240" w:lineRule="auto" w:before="0" w:after="0"/>
              <w:pStyle w:val="Compact"/>
            </w:pPr>
            <w:r>
              <w:rPr>
                <w:sz w:val="20"/>
                <w:szCs w:val="20"/>
              </w:rPr>
              <w:t xml:space="preserve">kplo_llo_ops_2023</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KARI KPLO Mission Operations Report 2023; KARI-NASA DSN cross-support documentation</w:t>
            </w:r>
          </w:p>
        </w:tc>
      </w:tr>
      <w:tr>
        <w:tc>
          <w:tcPr>
            <w:tcW w:w="0" w:type="auto"/>
          </w:tcPr>
          <w:p>
            <w:pPr>
              <w:spacing w:line="240" w:lineRule="auto" w:before="0" w:after="0"/>
              <w:pStyle w:val="Compact"/>
            </w:pPr>
            <w:r>
              <w:rPr>
                <w:sz w:val="20"/>
                <w:szCs w:val="20"/>
              </w:rPr>
              <w:t xml:space="preserve">change5t1_dro_test</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DRO</w:t>
            </w:r>
          </w:p>
        </w:tc>
        <w:tc>
          <w:tcPr>
            <w:tcW w:w="0" w:type="auto"/>
          </w:tcPr>
          <w:p>
            <w:pPr>
              <w:spacing w:line="240" w:lineRule="auto" w:before="0" w:after="0"/>
              <w:pStyle w:val="Compact"/>
            </w:pPr>
            <w:r>
              <w:rPr>
                <w:sz w:val="20"/>
                <w:szCs w:val="20"/>
              </w:rPr>
              <w:t xml:space="preserve">Chang’e 5T1 mission descriptions in Acta Astronautica reviews (Anilkumar et al. 2025) [illustrative]</w:t>
            </w:r>
          </w:p>
        </w:tc>
      </w:tr>
      <w:tr>
        <w:tc>
          <w:tcPr>
            <w:tcW w:w="0" w:type="auto"/>
          </w:tcPr>
          <w:p>
            <w:pPr>
              <w:spacing w:line="240" w:lineRule="auto" w:before="0" w:after="0"/>
              <w:pStyle w:val="Compact"/>
            </w:pPr>
            <w:r>
              <w:rPr>
                <w:sz w:val="20"/>
                <w:szCs w:val="20"/>
              </w:rPr>
              <w:t xml:space="preserve">equuleus_l2_cubesat</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JAXA EQUULEUS post-flight summary in Acta Astronautica (Turan et al. 2022 baseline) [illustrative]</w:t>
            </w:r>
          </w:p>
        </w:tc>
      </w:tr>
      <w:tr>
        <w:tc>
          <w:tcPr>
            <w:tcW w:w="0" w:type="auto"/>
          </w:tcPr>
          <w:p>
            <w:pPr>
              <w:spacing w:line="240" w:lineRule="auto" w:before="0" w:after="0"/>
              <w:pStyle w:val="Compact"/>
            </w:pPr>
            <w:r>
              <w:rPr>
                <w:sz w:val="20"/>
                <w:szCs w:val="20"/>
              </w:rPr>
              <w:t xml:space="preserve">orion_em1_flyby</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transit</w:t>
            </w:r>
          </w:p>
        </w:tc>
        <w:tc>
          <w:tcPr>
            <w:tcW w:w="0" w:type="auto"/>
          </w:tcPr>
          <w:p>
            <w:pPr>
              <w:spacing w:line="240" w:lineRule="auto" w:before="0" w:after="0"/>
              <w:pStyle w:val="Compact"/>
            </w:pPr>
            <w:r>
              <w:rPr>
                <w:sz w:val="20"/>
                <w:szCs w:val="20"/>
              </w:rPr>
              <w:t xml:space="preserve">NASA Artemis I Orion navigation post-flight summary; Houston FCR-1 tracking NTRS 20230003124</w:t>
            </w:r>
          </w:p>
        </w:tc>
      </w:tr>
      <w:tr>
        <w:tc>
          <w:tcPr>
            <w:tcW w:w="0" w:type="auto"/>
          </w:tcPr>
          <w:p>
            <w:pPr>
              <w:spacing w:line="240" w:lineRule="auto" w:before="0" w:after="0"/>
              <w:pStyle w:val="Compact"/>
            </w:pPr>
            <w:r>
              <w:rPr>
                <w:sz w:val="20"/>
                <w:szCs w:val="20"/>
              </w:rPr>
              <w:t xml:space="preserve">ladee_lunar_eol_2014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LLO</w:t>
            </w:r>
          </w:p>
        </w:tc>
        <w:tc>
          <w:tcPr>
            <w:tcW w:w="0" w:type="auto"/>
          </w:tcPr>
          <w:p>
            <w:pPr>
              <w:spacing w:line="240" w:lineRule="auto" w:before="0" w:after="0"/>
              <w:pStyle w:val="Compact"/>
            </w:pPr>
            <w:r>
              <w:rPr>
                <w:sz w:val="20"/>
                <w:szCs w:val="20"/>
              </w:rPr>
              <w:t xml:space="preserve">NASA LADEE 2014 end-of-mission DSN tracking timeline</w:t>
            </w:r>
          </w:p>
        </w:tc>
      </w:tr>
      <w:tr>
        <w:tc>
          <w:tcPr>
            <w:tcW w:w="0" w:type="auto"/>
          </w:tcPr>
          <w:p>
            <w:pPr>
              <w:spacing w:line="240" w:lineRule="auto" w:before="0" w:after="0"/>
              <w:pStyle w:val="Compact"/>
            </w:pPr>
            <w:r>
              <w:rPr>
                <w:sz w:val="20"/>
                <w:szCs w:val="20"/>
              </w:rPr>
              <w:t xml:space="preserve">themis_artemis_p2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L2_halo</w:t>
            </w:r>
          </w:p>
        </w:tc>
        <w:tc>
          <w:tcPr>
            <w:tcW w:w="0" w:type="auto"/>
          </w:tcPr>
          <w:p>
            <w:pPr>
              <w:spacing w:line="240" w:lineRule="auto" w:before="0" w:after="0"/>
              <w:pStyle w:val="Compact"/>
            </w:pPr>
            <w:r>
              <w:rPr>
                <w:sz w:val="20"/>
                <w:szCs w:val="20"/>
              </w:rPr>
              <w:t xml:space="preserve">NASA ARTEMIS THEMIS lunar mission DSN reports [illustrative]</w:t>
            </w:r>
          </w:p>
        </w:tc>
      </w:tr>
      <w:tr>
        <w:tc>
          <w:tcPr>
            <w:tcW w:w="0" w:type="auto"/>
          </w:tcPr>
          <w:p>
            <w:pPr>
              <w:spacing w:line="240" w:lineRule="auto" w:before="0" w:after="0"/>
              <w:pStyle w:val="Compact"/>
            </w:pPr>
            <w:r>
              <w:rPr>
                <w:sz w:val="20"/>
                <w:szCs w:val="20"/>
              </w:rPr>
              <w:t xml:space="preserve">ibex_heo_baseline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NASA IBEX high-apogee mission DSN tracking schedule</w:t>
            </w:r>
          </w:p>
        </w:tc>
      </w:tr>
      <w:tr>
        <w:tc>
          <w:tcPr>
            <w:tcW w:w="0" w:type="auto"/>
          </w:tcPr>
          <w:p>
            <w:pPr>
              <w:spacing w:line="240" w:lineRule="auto" w:before="0" w:after="0"/>
              <w:pStyle w:val="Compact"/>
            </w:pPr>
            <w:r>
              <w:rPr>
                <w:sz w:val="20"/>
                <w:szCs w:val="20"/>
              </w:rPr>
              <w:t xml:space="preserve">tess_p2_baseline</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HEO</w:t>
            </w:r>
          </w:p>
        </w:tc>
        <w:tc>
          <w:tcPr>
            <w:tcW w:w="0" w:type="auto"/>
          </w:tcPr>
          <w:p>
            <w:pPr>
              <w:spacing w:line="240" w:lineRule="auto" w:before="0" w:after="0"/>
              <w:pStyle w:val="Compact"/>
            </w:pPr>
            <w:r>
              <w:rPr>
                <w:sz w:val="20"/>
                <w:szCs w:val="20"/>
              </w:rPr>
              <w:t xml:space="preserve">NASA TESS P/2 lunar-resonant orbit DSN tracking summaries</w:t>
            </w:r>
          </w:p>
        </w:tc>
      </w:tr>
      <w:tr>
        <w:tc>
          <w:tcPr>
            <w:tcW w:w="0" w:type="auto"/>
          </w:tcPr>
          <w:p>
            <w:pPr>
              <w:spacing w:line="240" w:lineRule="auto" w:before="0" w:after="0"/>
              <w:pStyle w:val="Compact"/>
            </w:pPr>
            <w:r>
              <w:rPr>
                <w:sz w:val="20"/>
                <w:szCs w:val="20"/>
              </w:rPr>
              <w:t xml:space="preserve">acta2024_kazemi_leo_baseline</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Kazemi et al., Acta Astronautica 2024, doi:10.1016/j.actaastro.2024.06.015 (LEO reference baseline)</w:t>
            </w:r>
          </w:p>
        </w:tc>
      </w:tr>
    </w:tbl>
    <w:bookmarkEnd w:id="93"/>
    <w:bookmarkStart w:id="9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Days from end of observation arc until the operational filter reports loss of custody (1-sigma along-track uncertainty exceeds the published custody threshold) or until the study censors the case</w:t>
            </w:r>
          </w:p>
        </w:tc>
        <w:tc>
          <w:tcPr>
            <w:tcW w:w="0" w:type="auto"/>
          </w:tcPr>
          <w:p>
            <w:pPr>
              <w:spacing w:line="240" w:lineRule="auto" w:before="0" w:after="0"/>
              <w:pStyle w:val="Compact"/>
            </w:pPr>
            <w:r>
              <w:rPr>
                <w:sz w:val="20"/>
                <w:szCs w:val="20"/>
              </w:rPr>
              <w:t xml:space="preserve">Derived from reported propagation horizons in AMOS cislunar OD papers 2020-2025 and DSN tracking timelines in NASA mission navigation reports</w:t>
            </w:r>
          </w:p>
        </w:tc>
      </w:tr>
      <w:tr>
        <w:tc>
          <w:tcPr>
            <w:tcW w:w="0" w:type="auto"/>
          </w:tcPr>
          <w:p>
            <w:pPr>
              <w:spacing w:line="240" w:lineRule="auto" w:before="0" w:after="0"/>
              <w:pStyle w:val="Compact"/>
            </w:pPr>
            <w:r>
              <w:rPr>
                <w:sz w:val="20"/>
                <w:szCs w:val="20"/>
              </w:rPr>
              <w:t xml:space="preserve">lost_custody</w:t>
            </w:r>
          </w:p>
        </w:tc>
        <w:tc>
          <w:tcPr>
            <w:tcW w:w="0" w:type="auto"/>
          </w:tcPr>
          <w:p>
            <w:pPr>
              <w:spacing w:line="240" w:lineRule="auto" w:before="0" w:after="0"/>
              <w:pStyle w:val="Compact"/>
            </w:pPr>
            <w:r>
              <w:rPr>
                <w:sz w:val="20"/>
                <w:szCs w:val="20"/>
              </w:rPr>
              <w:t xml:space="preserve">Event indicator equal to 1 when the case reports a custody-loss event within the study horizon, 0 when the case is right-censored (custody held through the reported horizon)</w:t>
            </w:r>
          </w:p>
        </w:tc>
        <w:tc>
          <w:tcPr>
            <w:tcW w:w="0" w:type="auto"/>
          </w:tcPr>
          <w:p>
            <w:pPr>
              <w:spacing w:line="240" w:lineRule="auto" w:before="0" w:after="0"/>
              <w:pStyle w:val="Compact"/>
            </w:pPr>
            <w:r>
              <w:rPr>
                <w:sz w:val="20"/>
                <w:szCs w:val="20"/>
              </w:rPr>
              <w:t xml:space="preserve">Cited papers and mission reports; censoring follows the published horizon</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Hours between the end of the observation arc and the next scheduled measurement update</w:t>
            </w:r>
          </w:p>
        </w:tc>
        <w:tc>
          <w:tcPr>
            <w:tcW w:w="0" w:type="auto"/>
          </w:tcPr>
          <w:p>
            <w:pPr>
              <w:spacing w:line="240" w:lineRule="auto" w:before="0" w:after="0"/>
              <w:pStyle w:val="Compact"/>
            </w:pPr>
            <w:r>
              <w:rPr>
                <w:sz w:val="20"/>
                <w:szCs w:val="20"/>
              </w:rPr>
              <w:t xml:space="preserve">AMOS cislunar OD papers and standard SDA tasking definitions</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Primary aperture diameter of the dominant tracking sensor in meters (DSN 34 m, Kitagawa 12 m parabola, mid-class 0.5 to 1 m optical, small 0.36 m baseline)</w:t>
            </w:r>
          </w:p>
        </w:tc>
        <w:tc>
          <w:tcPr>
            <w:tcW w:w="0" w:type="auto"/>
          </w:tcPr>
          <w:p>
            <w:pPr>
              <w:spacing w:line="240" w:lineRule="auto" w:before="0" w:after="0"/>
              <w:pStyle w:val="Compact"/>
            </w:pPr>
            <w:r>
              <w:rPr>
                <w:sz w:val="20"/>
                <w:szCs w:val="20"/>
              </w:rPr>
              <w:t xml:space="preserve">Sensor descriptions in source papers and DSN documentation</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Duration of the contiguous observation arc used in orbit determination, in hours</w:t>
            </w:r>
          </w:p>
        </w:tc>
        <w:tc>
          <w:tcPr>
            <w:tcW w:w="0" w:type="auto"/>
          </w:tcPr>
          <w:p>
            <w:pPr>
              <w:spacing w:line="240" w:lineRule="auto" w:before="0" w:after="0"/>
              <w:pStyle w:val="Compact"/>
            </w:pPr>
            <w:r>
              <w:rPr>
                <w:sz w:val="20"/>
                <w:szCs w:val="20"/>
              </w:rPr>
              <w:t xml:space="preserve">Source-paper experimental setups and DSN tracking schedules</w:t>
            </w:r>
          </w:p>
        </w:tc>
      </w:tr>
      <w:tr>
        <w:tc>
          <w:tcPr>
            <w:tcW w:w="0" w:type="auto"/>
          </w:tcPr>
          <w:p>
            <w:pPr>
              <w:spacing w:line="240" w:lineRule="auto" w:before="0" w:after="0"/>
              <w:pStyle w:val="Compact"/>
            </w:pPr>
            <w:r>
              <w:rPr>
                <w:sz w:val="20"/>
                <w:szCs w:val="20"/>
              </w:rPr>
              <w:t xml:space="preserve">is_cislunar</w:t>
            </w:r>
          </w:p>
        </w:tc>
        <w:tc>
          <w:tcPr>
            <w:tcW w:w="0" w:type="auto"/>
          </w:tcPr>
          <w:p>
            <w:pPr>
              <w:spacing w:line="240" w:lineRule="auto" w:before="0" w:after="0"/>
              <w:pStyle w:val="Compact"/>
            </w:pPr>
            <w:r>
              <w:rPr>
                <w:sz w:val="20"/>
                <w:szCs w:val="20"/>
              </w:rPr>
              <w:t xml:space="preserve">Indicator equal to 1 for cislunar-regime targets (NRHO, halo, DRO, transit, low lunar orbit) and 0 for GEO, MEO, LEO, and high-Earth baselines; reported descriptively, omitted from the fitted Cox model because the cislunar subset perfectly predicts the event in this sample</w:t>
            </w:r>
          </w:p>
        </w:tc>
        <w:tc>
          <w:tcPr>
            <w:tcW w:w="0" w:type="auto"/>
          </w:tcPr>
          <w:p>
            <w:pPr>
              <w:spacing w:line="240" w:lineRule="auto" w:before="0" w:after="0"/>
              <w:pStyle w:val="Compact"/>
            </w:pPr>
            <w:r>
              <w:rPr>
                <w:sz w:val="20"/>
                <w:szCs w:val="20"/>
              </w:rPr>
              <w:t xml:space="preserve">Regime classification per source paper and standard regime definitions</w:t>
            </w:r>
          </w:p>
        </w:tc>
      </w:tr>
    </w:tbl>
    <w:bookmarkEnd w:id="94"/>
    <w:bookmarkStart w:id="9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tracking_gap_hr</w:t>
            </w:r>
          </w:p>
        </w:tc>
        <w:tc>
          <w:tcPr>
            <w:tcW w:w="0" w:type="auto"/>
          </w:tcPr>
          <w:p>
            <w:pPr>
              <w:spacing w:line="240" w:lineRule="auto" w:before="0" w:after="0"/>
              <w:pStyle w:val="Compact"/>
            </w:pPr>
            <w:r>
              <w:rPr>
                <w:sz w:val="20"/>
                <w:szCs w:val="20"/>
              </w:rPr>
              <w:t xml:space="preserve">0.2697</w:t>
            </w:r>
          </w:p>
        </w:tc>
        <w:tc>
          <w:tcPr>
            <w:tcW w:w="0" w:type="auto"/>
          </w:tcPr>
          <w:p>
            <w:pPr>
              <w:spacing w:line="240" w:lineRule="auto" w:before="0" w:after="0"/>
              <w:pStyle w:val="Compact"/>
            </w:pPr>
            <w:r>
              <w:rPr>
                <w:sz w:val="20"/>
                <w:szCs w:val="20"/>
              </w:rPr>
              <w:t xml:space="preserve">0.0792</w:t>
            </w:r>
          </w:p>
        </w:tc>
        <w:tc>
          <w:tcPr>
            <w:tcW w:w="0" w:type="auto"/>
          </w:tcPr>
          <w:p>
            <w:pPr>
              <w:spacing w:line="240" w:lineRule="auto" w:before="0" w:after="0"/>
              <w:pStyle w:val="Compact"/>
            </w:pPr>
            <w:r>
              <w:rPr>
                <w:sz w:val="20"/>
                <w:szCs w:val="20"/>
              </w:rPr>
              <w:t xml:space="preserve">3.4057</w:t>
            </w:r>
          </w:p>
        </w:tc>
        <w:tc>
          <w:tcPr>
            <w:tcW w:w="0" w:type="auto"/>
          </w:tcPr>
          <w:p>
            <w:pPr>
              <w:spacing w:line="240" w:lineRule="auto" w:before="0" w:after="0"/>
              <w:pStyle w:val="Compact"/>
            </w:pPr>
            <w:r>
              <w:rPr>
                <w:sz w:val="20"/>
                <w:szCs w:val="20"/>
              </w:rPr>
              <w:t xml:space="preserve">0.00066</w:t>
            </w:r>
          </w:p>
        </w:tc>
        <w:tc>
          <w:tcPr>
            <w:tcW w:w="0" w:type="auto"/>
          </w:tcPr>
          <w:p>
            <w:pPr>
              <w:spacing w:line="240" w:lineRule="auto" w:before="0" w:after="0"/>
              <w:pStyle w:val="Compact"/>
            </w:pPr>
            <w:r>
              <w:rPr>
                <w:sz w:val="20"/>
                <w:szCs w:val="20"/>
              </w:rPr>
              <w:t xml:space="preserve">[0.1145, 0.4248]</w:t>
            </w:r>
          </w:p>
        </w:tc>
        <w:tc>
          <w:tcPr>
            <w:tcW w:w="0" w:type="auto"/>
          </w:tcPr>
          <w:p>
            <w:pPr>
              <w:spacing w:line="240" w:lineRule="auto" w:before="0" w:after="0"/>
              <w:pStyle w:val="Compact"/>
            </w:pPr>
            <w:r>
              <w:rPr>
                <w:sz w:val="20"/>
                <w:szCs w:val="20"/>
              </w:rPr>
              <w:t xml:space="preserve">1.3095</w:t>
            </w:r>
          </w:p>
        </w:tc>
      </w:tr>
      <w:tr>
        <w:tc>
          <w:tcPr>
            <w:tcW w:w="0" w:type="auto"/>
          </w:tcPr>
          <w:p>
            <w:pPr>
              <w:spacing w:line="240" w:lineRule="auto" w:before="0" w:after="0"/>
              <w:pStyle w:val="Compact"/>
            </w:pPr>
            <w:r>
              <w:rPr>
                <w:sz w:val="20"/>
                <w:szCs w:val="20"/>
              </w:rPr>
              <w:t xml:space="preserve">sensor_aperture_m</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0.0185</w:t>
            </w:r>
          </w:p>
        </w:tc>
        <w:tc>
          <w:tcPr>
            <w:tcW w:w="0" w:type="auto"/>
          </w:tcPr>
          <w:p>
            <w:pPr>
              <w:spacing w:line="240" w:lineRule="auto" w:before="0" w:after="0"/>
              <w:pStyle w:val="Compact"/>
            </w:pPr>
            <w:r>
              <w:rPr>
                <w:sz w:val="20"/>
                <w:szCs w:val="20"/>
              </w:rPr>
              <w:t xml:space="preserve">-2.1185</w:t>
            </w:r>
          </w:p>
        </w:tc>
        <w:tc>
          <w:tcPr>
            <w:tcW w:w="0" w:type="auto"/>
          </w:tcPr>
          <w:p>
            <w:pPr>
              <w:spacing w:line="240" w:lineRule="auto" w:before="0" w:after="0"/>
              <w:pStyle w:val="Compact"/>
            </w:pPr>
            <w:r>
              <w:rPr>
                <w:sz w:val="20"/>
                <w:szCs w:val="20"/>
              </w:rPr>
              <w:t xml:space="preserve">0.0341</w:t>
            </w:r>
          </w:p>
        </w:tc>
        <w:tc>
          <w:tcPr>
            <w:tcW w:w="0" w:type="auto"/>
          </w:tcPr>
          <w:p>
            <w:pPr>
              <w:spacing w:line="240" w:lineRule="auto" w:before="0" w:after="0"/>
              <w:pStyle w:val="Compact"/>
            </w:pPr>
            <w:r>
              <w:rPr>
                <w:sz w:val="20"/>
                <w:szCs w:val="20"/>
              </w:rPr>
              <w:t xml:space="preserve">[-0.0756, -0.0029]</w:t>
            </w:r>
          </w:p>
        </w:tc>
        <w:tc>
          <w:tcPr>
            <w:tcW w:w="0" w:type="auto"/>
          </w:tcPr>
          <w:p>
            <w:pPr>
              <w:spacing w:line="240" w:lineRule="auto" w:before="0" w:after="0"/>
              <w:pStyle w:val="Compact"/>
            </w:pPr>
            <w:r>
              <w:rPr>
                <w:sz w:val="20"/>
                <w:szCs w:val="20"/>
              </w:rPr>
              <w:t xml:space="preserve">0.9615</w:t>
            </w:r>
          </w:p>
        </w:tc>
      </w:tr>
      <w:tr>
        <w:tc>
          <w:tcPr>
            <w:tcW w:w="0" w:type="auto"/>
          </w:tcPr>
          <w:p>
            <w:pPr>
              <w:spacing w:line="240" w:lineRule="auto" w:before="0" w:after="0"/>
              <w:pStyle w:val="Compact"/>
            </w:pPr>
            <w:r>
              <w:rPr>
                <w:sz w:val="20"/>
                <w:szCs w:val="20"/>
              </w:rPr>
              <w:t xml:space="preserve">arc_length_hr</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-1.7305</w:t>
            </w:r>
          </w:p>
        </w:tc>
        <w:tc>
          <w:tcPr>
            <w:tcW w:w="0" w:type="auto"/>
          </w:tcPr>
          <w:p>
            <w:pPr>
              <w:spacing w:line="240" w:lineRule="auto" w:before="0" w:after="0"/>
              <w:pStyle w:val="Compact"/>
            </w:pPr>
            <w:r>
              <w:rPr>
                <w:sz w:val="20"/>
                <w:szCs w:val="20"/>
              </w:rPr>
              <w:t xml:space="preserve">0.0835</w:t>
            </w:r>
          </w:p>
        </w:tc>
        <w:tc>
          <w:tcPr>
            <w:tcW w:w="0" w:type="auto"/>
          </w:tcPr>
          <w:p>
            <w:pPr>
              <w:spacing w:line="240" w:lineRule="auto" w:before="0" w:after="0"/>
              <w:pStyle w:val="Compact"/>
            </w:pPr>
            <w:r>
              <w:rPr>
                <w:sz w:val="20"/>
                <w:szCs w:val="20"/>
              </w:rPr>
              <w:t xml:space="preserve">[-0.0214, 0.0013]</w:t>
            </w:r>
          </w:p>
        </w:tc>
        <w:tc>
          <w:tcPr>
            <w:tcW w:w="0" w:type="auto"/>
          </w:tcPr>
          <w:p>
            <w:pPr>
              <w:spacing w:line="240" w:lineRule="auto" w:before="0" w:after="0"/>
              <w:pStyle w:val="Compact"/>
            </w:pPr>
            <w:r>
              <w:rPr>
                <w:sz w:val="20"/>
                <w:szCs w:val="20"/>
              </w:rPr>
              <w:t xml:space="preserve">0.99</w:t>
            </w:r>
          </w:p>
        </w:tc>
      </w:tr>
    </w:tbl>
    <w:p>
      <w:pPr>
        <w:pStyle w:val="BodyText"/>
      </w:pPr>
      <w:r>
        <w:t xml:space="preserve">Fit: N = 35 events = 15</w:t>
      </w:r>
    </w:p>
    <w:bookmarkEnd w:id="95"/>
    <w:bookmarkEnd w:id="96"/>
    <w:bookmarkEnd w:id="9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9" Target="media/rId89.png" /><Relationship Type="http://schemas.openxmlformats.org/officeDocument/2006/relationships/hyperlink" Id="rId78" Target="https://doi.org/10.1016/j.actaastro.2021.12.030" TargetMode="External" /><Relationship Type="http://schemas.openxmlformats.org/officeDocument/2006/relationships/hyperlink" Id="rId76" Target="https://doi.org/10.1016/j.actaastro.2024.06.015" TargetMode="External" /><Relationship Type="http://schemas.openxmlformats.org/officeDocument/2006/relationships/hyperlink" Id="rId80" Target="https://doi.org/10.1016/j.actaastro.2025.02.023" TargetMode="External" /><Relationship Type="http://schemas.openxmlformats.org/officeDocument/2006/relationships/hyperlink" Id="rId84" Target="https://doi.org/10.1016/j.actaastro.2025.09.078" TargetMode="External" /><Relationship Type="http://schemas.openxmlformats.org/officeDocument/2006/relationships/hyperlink" Id="rId82" Target="https://doi.org/10.1016/j.actaastro.2025.10.065" TargetMode="External" /><Relationship Type="http://schemas.openxmlformats.org/officeDocument/2006/relationships/hyperlink" Id="rId86" Target="https://doi.org/10.64861/JDBC3555" TargetMode="External" /><Relationship Type="http://schemas.openxmlformats.org/officeDocument/2006/relationships/hyperlink" Id="rId70" Target="https://doi.org/10.64861/VJBP8309" TargetMode="External" /><Relationship Type="http://schemas.openxmlformats.org/officeDocument/2006/relationships/hyperlink" Id="rId73" Target="https://doi.org/10.64861/XSZN4297" TargetMode="External" /></Relationships>
</file>

<file path=word/_rels/footnotes.xml.rels><?xml version="1.0" encoding="UTF-8"?><Relationships xmlns="http://schemas.openxmlformats.org/package/2006/relationships"><Relationship Type="http://schemas.openxmlformats.org/officeDocument/2006/relationships/hyperlink" Id="rId78" Target="https://doi.org/10.1016/j.actaastro.2021.12.030" TargetMode="External" /><Relationship Type="http://schemas.openxmlformats.org/officeDocument/2006/relationships/hyperlink" Id="rId76" Target="https://doi.org/10.1016/j.actaastro.2024.06.015" TargetMode="External" /><Relationship Type="http://schemas.openxmlformats.org/officeDocument/2006/relationships/hyperlink" Id="rId80" Target="https://doi.org/10.1016/j.actaastro.2025.02.023" TargetMode="External" /><Relationship Type="http://schemas.openxmlformats.org/officeDocument/2006/relationships/hyperlink" Id="rId84" Target="https://doi.org/10.1016/j.actaastro.2025.09.078" TargetMode="External" /><Relationship Type="http://schemas.openxmlformats.org/officeDocument/2006/relationships/hyperlink" Id="rId82" Target="https://doi.org/10.1016/j.actaastro.2025.10.065" TargetMode="External" /><Relationship Type="http://schemas.openxmlformats.org/officeDocument/2006/relationships/hyperlink" Id="rId86" Target="https://doi.org/10.64861/JDBC3555" TargetMode="External" /><Relationship Type="http://schemas.openxmlformats.org/officeDocument/2006/relationships/hyperlink" Id="rId70" Target="https://doi.org/10.64861/VJBP8309" TargetMode="External" /><Relationship Type="http://schemas.openxmlformats.org/officeDocument/2006/relationships/hyperlink" Id="rId73" Target="https://doi.org/10.64861/XSZN429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2026-06-27T00:26:21Z</dcterms:created>
  <dcterms:modified xsi:type="dcterms:W3CDTF">2026-06-27T00:26:21Z</dcterms:modified>
</cp:coreProperties>
</file>

<file path=docProps/custom.xml><?xml version="1.0" encoding="utf-8"?>
<Properties xmlns="http://schemas.openxmlformats.org/officeDocument/2006/custom-properties" xmlns:vt="http://schemas.openxmlformats.org/officeDocument/2006/docPropsVTypes"/>
</file>