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CISLUNAR CUSTODY DIFFICULTY: QUANTIFYING HOW ORBIT-DETERMINATION ACCURACY DEGRADES ACROSS DYNAMICAL REGIMES AND SENSOR ARCHITECTURES</w:t>
      </w:r>
    </w:p>
    <w:p>
      <w:pPr>
        <w:jc w:val="center"/>
      </w:pPr>
    </w:p>
    <w:p>
      <w:pPr>
        <w:jc w:val="center"/>
      </w:pPr>
      <w:r>
        <w:rPr>
          <w:rFonts w:ascii="Times New Roman" w:hAnsi="Times New Roman"/>
          <w:sz w:val="24"/>
        </w:rPr>
        <w:t>by</w:t>
      </w:r>
    </w:p>
    <w:p>
      <w:pPr>
        <w:jc w:val="center"/>
      </w:pPr>
      <w:r>
        <w:rPr>
          <w:rFonts w:ascii="Times New Roman" w:hAnsi="Times New Roman"/>
          <w:b/>
          <w:sz w:val="28"/>
        </w:rPr>
        <w:t>Rohan Park</w:t>
      </w:r>
    </w:p>
    <w:p>
      <w:pPr>
        <w:jc w:val="center"/>
      </w:pPr>
      <w:r>
        <w:rPr>
          <w:rFonts w:ascii="Times New Roman" w:hAnsi="Times New Roman"/>
          <w:sz w:val="24"/>
        </w:rPr>
        <w:t>1B-SDA-096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Custody of resident space objects in cislunar space, the volume bounded below by geostationary altitude and above by the lunar sphere of influence, is the navigation and tracking problem the National Aeronautics and Space Administration (NASA) and the Jet Propulsion Laboratory (JPL) cannot defer past the present Artemis decade. The volume is no longer empty. It hosts Artemis crew vehicles, lunar communications and positioning relays, the prospective Lunar Gateway, science orbiters in near-rectilinear halo orbits (NRHO) and distant retrograde orbits (DRO), and a growing tail of commercial and partner-nation traffic that the United States Space Force is expected to track [25, 41]. The dynamical environment that governs all of these objects is not a scaled extension of geocentric two-body mechanics. It is the Earth-Moon circular restricted three-body problem, with chaotic transport lanes, Lagrange-point neighborhoods that lie at the edge of stability, and observation geometries that produce small phase angles and long ranges at the same time [1, 2, 5, 7].</w:t>
      </w:r>
    </w:p>
    <w:p>
      <w:pPr>
        <w:pStyle w:val="BodyText"/>
        <w:spacing w:line="480" w:lineRule="auto"/>
        <w:ind w:firstLine="720"/>
      </w:pPr>
      <w:r>
        <w:t xml:space="preserve">For NASA the immediate stakes are operational. Artemis I tracking experience already showed that small-aperture optical and Deep Space Network arcs deliver durable but coarse state knowledge whose covariance grows nonlinearly across the tracking gaps that any realistic Earth-based campaign must tolerate [13, 34]. Lunar science orbiters such as the Lunar Reconnaissance Orbiter and KARI Pathfinder Lunar Orbiter, and technology demonstrations such as Cislunar Autonomous Positioning System Technology Operations and Navigation Experiment, have documented the same point from the navigation side: an orbit-determination filter that is overconfident produces association failures across a multi-day data gap, and an orbit-determination filter that is overcautious saturates the schedule of an asset like the seventy-meter complex of the Deep Space Network [4, 25]. The agency cannot simultaneously fly the Artemis cadence, host the Gateway, and absorb a growing population of partner spacecraft if it cannot answer, at the architecture level, how much custody capability it actually gets per dollar of additional sensor or per dollar of additional algorithm.</w:t>
      </w:r>
    </w:p>
    <w:p>
      <w:pPr>
        <w:pStyle w:val="BodyText"/>
        <w:spacing w:line="480" w:lineRule="auto"/>
        <w:ind w:firstLine="720"/>
      </w:pPr>
      <w:r>
        <w:t xml:space="preserve">For JPL the stakes are sharper still. The Laboratory’s Instruments and Navigation directorate is the canonical owner of cislunar and deep-space orbit determination (OD) for NASA, and it is precisely the directorate against which the JPL recompete will be measured. JPL’s institutional position rests on being the place that delivers the calibrated answer when a mission asks how accurately it will be tracked at a particular epoch in a particular regime with a particular sensor mix. That answer is presently delivered case by case, in mission-specific navigation reports, and not as a parameterized surface that an acquisition officer or a mission designer can interrogate before the architecture is locked. The cislunar literature has grown rapidly, with multiple high-quality demonstrations of new algorithms and new sensor concepts [1, 2, 3, 5, 6, 8, 11, 12, 16, 19, 22, 31, 38, 39, 40], yet the field has not produced a single calibrated regime-by-architecture difficulty surface. The acquisition consequence of this gap is concrete and is now the binding constraint on rational investment.</w:t>
      </w:r>
    </w:p>
    <w:p>
      <w:pPr>
        <w:pStyle w:val="BodyText"/>
        <w:spacing w:line="480" w:lineRule="auto"/>
        <w:ind w:firstLine="720"/>
      </w:pPr>
      <w:r>
        <w:t xml:space="preserve">The national-security and civil-space stakes track the operational ones. The cislunar volume has been formally designated as a domain of sustained custody by the United States Space Force and is the subject of an active multi-agency standards conversation on space traffic management for the cislunar and cismartian environments</w:t>
      </w:r>
      <w:r>
        <w:t xml:space="preserve"> </w:t>
      </w:r>
      <w:hyperlink w:anchor="ref-41">
        <w:r>
          <w:rPr>
            <w:rStyle w:val="Hyperlink"/>
          </w:rPr>
          <w:t xml:space="preserve">[41]</w:t>
        </w:r>
      </w:hyperlink>
      <w:r>
        <w:t xml:space="preserve">. International civil partners are now publishing constellation deployment trades for a lunar navigation system from Gateway [9, 28] and constellation studies for monitoring cislunar fragmentation events [10, 30]. Every one of those architecture studies assumes that a calibrated custody-difficulty function exists. None of them produces one. The intellectual debt is now owed in plain view of the agencies that fund both NASA and JPL, and the absence of a calibrated function is no longer a research curiosity. It is a procurement liability.</w:t>
      </w:r>
    </w:p>
    <w:bookmarkEnd w:id="61"/>
    <w:bookmarkStart w:id="62" w:name="Xef6c87a94c7eb8268f1d15f84636cb66419471d"/>
    <w:p>
      <w:pPr>
        <w:pStyle w:val="Heading2"/>
        <w:spacing w:line="480" w:lineRule="auto"/>
      </w:pPr>
      <w:r>
        <w:t xml:space="preserve">1.2 What the Domain Literature Has Done, and What It Has Not</w:t>
      </w:r>
    </w:p>
    <w:p>
      <w:pPr>
        <w:pStyle w:val="FirstParagraph"/>
        <w:spacing w:line="480" w:lineRule="auto"/>
      </w:pPr>
      <w:r>
        <w:t xml:space="preserve">The cislunar OD literature is mature enough that the gap is now visible by inspection. Five threads dominate the canon, and each one contributes evidence to the difficulty problem without closing it.</w:t>
      </w:r>
    </w:p>
    <w:p>
      <w:pPr>
        <w:pStyle w:val="BodyText"/>
        <w:spacing w:line="480" w:lineRule="auto"/>
        <w:ind w:firstLine="720"/>
      </w:pPr>
      <w:r>
        <w:t xml:space="preserve">The first thread is algorithmic. Gutierrez and colleagues classify state uncertainty for Earth-Moon trajectories at a sample of conditions and demonstrate that Gaussian propagation breaks down within hours to days in chaotic regions</w:t>
      </w:r>
      <w:r>
        <w:t xml:space="preserve"> </w:t>
      </w:r>
      <w:hyperlink w:anchor="ref-1">
        <w:r>
          <w:rPr>
            <w:rStyle w:val="Hyperlink"/>
          </w:rPr>
          <w:t xml:space="preserve">[1]</w:t>
        </w:r>
      </w:hyperlink>
      <w:r>
        <w:t xml:space="preserve">. Badura and colleagues introduce uncertainty-aware physics-informed machine learning across stable and chaotic cislunar regions</w:t>
      </w:r>
      <w:r>
        <w:t xml:space="preserve"> </w:t>
      </w:r>
      <w:hyperlink w:anchor="ref-3">
        <w:r>
          <w:rPr>
            <w:rStyle w:val="Hyperlink"/>
          </w:rPr>
          <w:t xml:space="preserve">[3]</w:t>
        </w:r>
      </w:hyperlink>
      <w:r>
        <w:t xml:space="preserve"> </w:t>
      </w:r>
      <w:r>
        <w:t xml:space="preserve">and follow with regularized transfer-learning variants that extend the method to maneuvering arcs</w:t>
      </w:r>
      <w:r>
        <w:t xml:space="preserve"> </w:t>
      </w:r>
      <w:hyperlink w:anchor="ref-15">
        <w:r>
          <w:rPr>
            <w:rStyle w:val="Hyperlink"/>
          </w:rPr>
          <w:t xml:space="preserve">[15]</w:t>
        </w:r>
      </w:hyperlink>
      <w:r>
        <w:t xml:space="preserve">. Heidrich and Holzinger demonstrate nonlinear-programming reconstruction of maneuvering ephemerides bounded by tracking gap and aperture [14, 31]. Chow and colleagues, Billings and colleagues, and Wetterer and colleagues develop and refine Gaussian mixture model and constrained admissible region filters for periodic and quasi-periodic cislunar orbits [21, 22, 33]. The thread is rich, but each contribution is a point demonstration on a chosen trajectory. None of them parametrize achievable accuracy as a function of the local dynamical structure.</w:t>
      </w:r>
    </w:p>
    <w:p>
      <w:pPr>
        <w:pStyle w:val="BodyText"/>
        <w:spacing w:line="480" w:lineRule="auto"/>
        <w:ind w:firstLine="720"/>
      </w:pPr>
      <w:r>
        <w:t xml:space="preserve">The second thread is sensor and architecture. Tucker and colleagues address agile electro-optical custody under reachability constraints</w:t>
      </w:r>
      <w:r>
        <w:t xml:space="preserve"> </w:t>
      </w:r>
      <w:hyperlink w:anchor="ref-8">
        <w:r>
          <w:rPr>
            <w:rStyle w:val="Hyperlink"/>
          </w:rPr>
          <w:t xml:space="preserve">[8]</w:t>
        </w:r>
      </w:hyperlink>
      <w:r>
        <w:t xml:space="preserve">. Griggs and colleagues demonstrate probabilistic initial OD using passive radio-frequency observations</w:t>
      </w:r>
      <w:r>
        <w:t xml:space="preserve"> </w:t>
      </w:r>
      <w:hyperlink w:anchor="ref-2">
        <w:r>
          <w:rPr>
            <w:rStyle w:val="Hyperlink"/>
          </w:rPr>
          <w:t xml:space="preserve">[2]</w:t>
        </w:r>
      </w:hyperlink>
      <w:r>
        <w:t xml:space="preserve">. Mandeville and colleagues, and Doucette and colleagues, develop small-aperture optical and radar tracking schemes for Artemis I and for general cislunar discovery [13, 34, 37]. Kitagawa and colleagues anchor the high-aperture end with a twelve-meter parabola maintaining roughly 500 meter accuracy on lunar orbiter TTC data</w:t>
      </w:r>
      <w:r>
        <w:t xml:space="preserve"> </w:t>
      </w:r>
      <w:hyperlink w:anchor="ref-16">
        <w:r>
          <w:rPr>
            <w:rStyle w:val="Hyperlink"/>
          </w:rPr>
          <w:t xml:space="preserve">[16]</w:t>
        </w:r>
      </w:hyperlink>
      <w:r>
        <w:t xml:space="preserve">. Koblick and Choi, and Thompson and colleagues, treat moon-based and simulated space-based observers respectively [38, 39]. Bolden and colleagues address constellation-stability and the too-short-arc challenge in cislunar geometries</w:t>
      </w:r>
      <w:r>
        <w:t xml:space="preserve"> </w:t>
      </w:r>
      <w:hyperlink w:anchor="ref-20">
        <w:r>
          <w:rPr>
            <w:rStyle w:val="Hyperlink"/>
          </w:rPr>
          <w:t xml:space="preserve">[20]</w:t>
        </w:r>
      </w:hyperlink>
      <w:r>
        <w:t xml:space="preserve">. Fahrner and colleagues, and Klonowski and colleagues, develop capacity-based and Monte Carlo Tree Search architecture optimization for cislunar SDA [23, 24, 35]. The thread maps the architecture trade space but never relates it back to a regime-resolved accuracy outcome.</w:t>
      </w:r>
    </w:p>
    <w:p>
      <w:pPr>
        <w:pStyle w:val="BodyText"/>
        <w:spacing w:line="480" w:lineRule="auto"/>
        <w:ind w:firstLine="720"/>
      </w:pPr>
      <w:r>
        <w:t xml:space="preserve">The third thread is custody itself. O’Neil predicts custody of objects in cislunar space and provides one of the few explicit custody-time treatments in the open literature [17, 32]. Givens and colleagues introduce the CUSTOD-E toolset for custody maintenance and tracking</w:t>
      </w:r>
      <w:r>
        <w:t xml:space="preserve"> </w:t>
      </w:r>
      <w:hyperlink w:anchor="ref-6">
        <w:r>
          <w:rPr>
            <w:rStyle w:val="Hyperlink"/>
          </w:rPr>
          <w:t xml:space="preserve">[6]</w:t>
        </w:r>
      </w:hyperlink>
      <w:r>
        <w:t xml:space="preserve">. Wright and colleagues, and Koblick, develop Poincare-map and tulip-orbit families for space-based SDA detection [18, 19]. The thread names the dependent variable of interest but treats it as a software environment or a case study rather than as a regression-style outcome with regressors that span the dynamical and sensor space.</w:t>
      </w:r>
    </w:p>
    <w:p>
      <w:pPr>
        <w:pStyle w:val="BodyText"/>
        <w:spacing w:line="480" w:lineRule="auto"/>
        <w:ind w:firstLine="720"/>
      </w:pPr>
      <w:r>
        <w:t xml:space="preserve">The fourth thread is survey. Kazemi and colleagues review OD methods for space situational awareness across cooperative and noncooperative regimes [7, 26, 42]. Turan and colleagues survey autonomous deep-space navigation for small satellites [27, 46]. Anilkumar and colleagues frame strategic space traffic management for cislunar and cismartian environments</w:t>
      </w:r>
      <w:r>
        <w:t xml:space="preserve"> </w:t>
      </w:r>
      <w:hyperlink w:anchor="ref-41">
        <w:r>
          <w:rPr>
            <w:rStyle w:val="Hyperlink"/>
          </w:rPr>
          <w:t xml:space="preserve">[41]</w:t>
        </w:r>
      </w:hyperlink>
      <w:r>
        <w:t xml:space="preserve">. The surveys are method-organized and policy-organized respectively. They confirm that the field has reviewed methods extensively but they do not produce the regime-resolved difficulty surface that an acquisition officer can read.</w:t>
      </w:r>
    </w:p>
    <w:p>
      <w:pPr>
        <w:pStyle w:val="BodyText"/>
        <w:spacing w:line="480" w:lineRule="auto"/>
        <w:ind w:firstLine="720"/>
      </w:pPr>
      <w:r>
        <w:t xml:space="preserve">The fifth thread is mission and instrument. NASA navigation reports for CAPSTONE, Lunar Reconnaissance Orbiter, ARTEMIS Lissajous operations, KARI Pathfinder Lunar Orbiter, and LADEE end-of-mission tracking provide the publicly verifiable state histories and tracking residuals that any honest calibration must use as ground truth</w:t>
      </w:r>
      <w:r>
        <w:t xml:space="preserve"> </w:t>
      </w:r>
      <w:hyperlink w:anchor="ref-25">
        <w:r>
          <w:rPr>
            <w:rStyle w:val="Hyperlink"/>
          </w:rPr>
          <w:t xml:space="preserve">[25]</w:t>
        </w:r>
      </w:hyperlink>
      <w:r>
        <w:t xml:space="preserve">. Mission-side reports document the noise envelopes that simulated covariances must match. The thread provides the calibration anchor for the difficulty surface but does not itself construct the surface.</w:t>
      </w:r>
    </w:p>
    <w:p>
      <w:pPr>
        <w:pStyle w:val="BodyText"/>
        <w:spacing w:line="480" w:lineRule="auto"/>
        <w:ind w:firstLine="720"/>
      </w:pPr>
      <w:r>
        <w:t xml:space="preserve">Across all five threads the omission is the same. The literature has produced exemplars. It has not produced a calibrated mapping that relates the dynamical regime of a target and the sensor architecture that observes it to the achievable OD accuracy. The mapping has been assumed by downstream architecture studies. It has been demonstrated for individual trajectories. It has been reviewed at the method level. It has not been estimated.</w:t>
      </w:r>
    </w:p>
    <w:bookmarkEnd w:id="62"/>
    <w:bookmarkStart w:id="63" w:name="Xc56849423420df57f6903c2ababd9b471c3f785"/>
    <w:p>
      <w:pPr>
        <w:pStyle w:val="Heading2"/>
        <w:spacing w:line="480" w:lineRule="auto"/>
      </w:pPr>
      <w:r>
        <w:t xml:space="preserve">1.3 The Method-Side Gap: Econometrics Has Not Met This Problem</w:t>
      </w:r>
    </w:p>
    <w:p>
      <w:pPr>
        <w:pStyle w:val="FirstParagraph"/>
        <w:spacing w:line="480" w:lineRule="auto"/>
      </w:pPr>
      <w:r>
        <w:t xml:space="preserve">The second gap is methodological rather than substantive, and it explains why the first gap has persisted. The cislunar OD canon is a literature of forward simulation and case-by-case demonstration. It is not a literature of estimation. The standard tools of applied econometrics, namely regression with heteroskedasticity-robust inference, panel and quasi-panel designs over heterogeneous sources, survival analysis for time-to-event outcomes, and matched-comparison identification strategies, are essentially absent from the cislunar OD literature even though the underlying empirical structure is well suited to them.</w:t>
      </w:r>
    </w:p>
    <w:p>
      <w:pPr>
        <w:pStyle w:val="BodyText"/>
        <w:spacing w:line="480" w:lineRule="auto"/>
        <w:ind w:firstLine="720"/>
      </w:pPr>
      <w:r>
        <w:t xml:space="preserve">The companion papers to this dissertation, p1 and p2, demonstrate the point. Paper p1 assembles a panel of 35 cislunar observation arcs from the AMOS and mission-report literature [11, 12, 13, 14, 15, 16, 17, 18, 19, 20, 21, 22, 25] and fits an ordinary least squares specification of position-uncertainty growth on tracking gap, sensor aperture, arc length, and a cislunar regime indicator with heteroskedasticity-robust standard errors. The model returns an adjusted coefficient of determination of 0.904 and recovers a cislunar regime penalty of roughly nine kilometers per day after controlling for sensor and arc covariates. Paper p2 reframes the same custody problem as a survival problem and estimates time-to-custody-loss across the same source base. Neither paper is doing anything that would be unusual in applied labor economics, public finance, or industrial organization. Both papers are doing something that is functionally novel in the cislunar OD canon, because the canon has not previously imported either the OLS or the survival framing into its own data.</w:t>
      </w:r>
    </w:p>
    <w:p>
      <w:pPr>
        <w:pStyle w:val="BodyText"/>
        <w:spacing w:line="480" w:lineRule="auto"/>
        <w:ind w:firstLine="720"/>
      </w:pPr>
      <w:r>
        <w:t xml:space="preserve">The gap between the domain literature and the method literature is therefore not a gap of sophistication. It is a gap of translation. The cislunar OD literature has the data and has the physical models. The applied econometrics literature has the estimation framework, the inference apparatus, and the falsification discipline. The combination has not previously been attempted at the regime-resolved scale that NASA and JPL now need. This dissertation closes that translation gap by importing the estimation framework into the cislunar data, with the calibration constraints of the OD canon held fixed.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makes one calibrated mapping and tests one hypothesis on it. The mapping is the Cislunar Custody Difficulty (CCD) surface. Let r denote the target state in the Earth-Moon circular restricted three-body rotating frame, let A denote the sensor architecture vector consisting of sensor count, modality mix, cadence, and ground or space basing, and let C(r, A, t) denote the trace of the position covariance at time t under a standard sequential OD filter using the force and measurement models surveyed by</w:t>
      </w:r>
      <w:r>
        <w:t xml:space="preserve"> </w:t>
      </w:r>
      <w:hyperlink w:anchor="ref-7">
        <w:r>
          <w:rPr>
            <w:rStyle w:val="Hyperlink"/>
          </w:rPr>
          <w:t xml:space="preserve">[7]</w:t>
        </w:r>
      </w:hyperlink>
      <w:r>
        <w:t xml:space="preserve"> </w:t>
      </w:r>
      <w:r>
        <w:t xml:space="preserve">and calibrated against the uncertainty-realism envelopes of</w:t>
      </w:r>
      <w:r>
        <w:t xml:space="preserve"> </w:t>
      </w:r>
      <w:hyperlink w:anchor="ref-4">
        <w:r>
          <w:rPr>
            <w:rStyle w:val="Hyperlink"/>
          </w:rPr>
          <w:t xml:space="preserve">[4]</w:t>
        </w:r>
      </w:hyperlink>
      <w:r>
        <w:t xml:space="preserve">. Define the Custody Difficulty index D(r, A) as the time-integrated growth rate of C over a 14-day horizon, normalized by the equivalent geosynchronous case under matched sensor count.</w:t>
      </w:r>
    </w:p>
    <w:p>
      <w:pPr>
        <w:pStyle w:val="BodyText"/>
        <w:spacing w:line="480" w:lineRule="auto"/>
        <w:ind w:firstLine="720"/>
      </w:pPr>
      <w:r>
        <w:t xml:space="preserve">The hypothesis is stated precisely so that it can be rejected on data. The null H0 holds that after controlling for sensor cadence the variance in D(r, A) across cislunar regimes is explained primarily by sensor count and modality, with the local Lyapunov stretching exponent of the underlying periodic-orbit family contributing less than twenty-five percent of the explained variance. The alternative H1 holds that the local Lyapunov stretching exponent is the dominant explanatory variable for D(r, A), contributing more than fifty percent of the explained variance, and that the marginal return on additional sensors decays sharply in high-stretching regimes. A multivariate regression of D on Lyapunov stretching, sensor count, modality dummies, and cadence with bootstrapped confidence intervals adjudicates H0 against H1, and a robustness battery using finite-time Lyapunov exponents [3, 15] and the local condition number of the state-transition matrix [1, 5, 12] confirms or revises the lead specification.</w:t>
      </w:r>
    </w:p>
    <w:p>
      <w:pPr>
        <w:pStyle w:val="BodyText"/>
        <w:spacing w:line="480" w:lineRule="auto"/>
        <w:ind w:firstLine="720"/>
      </w:pPr>
      <w:r>
        <w:t xml:space="preserve">The acquisition implication of H1 is concrete and is what justifies the falsification framing. If H1 holds, then custody investment in cislunar space should favor regime-aware tasking over additional sensor deployment in high-stretching regions of the volume, and conversely should favor additional sensor deployment over algorithmic effort in low-stretching regions. If H0 holds, the acquisition strategy converges to a sensor-count race independent of regime. The two policies are distinct, both are currently defensible from the existing canon, and the present absence of a calibrated surface is the reason the agencies cannot yet choose between them with confidence. This dissertation provides that surface and tests the hypothesis on it.</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 Chapter 2 surveys the cislunar OD canon in detail and locates the present contribution within it, treating algorithmic, sensor and architecture, custody, survey, and mission threads in turn and tracing the dependency that downstream architecture studies have on the calibrated function that this dissertation produces. Chapter 3 develops the theoretical apparatus, beginning with the Earth-Moon circular restricted three-body problem and the definition of Lyapunov stretching on a periodic-orbit family, continuing through the sequential OD filter and its covariance trace under the force and measurement model conventions of the surveyed canon [4, 7], and closing with the formal definition of the Custody Difficulty index D(r, A) and the structural equation that H0 and H1 will be tested against.</w:t>
      </w:r>
    </w:p>
    <w:p>
      <w:pPr>
        <w:pStyle w:val="BodyText"/>
        <w:spacing w:line="480" w:lineRule="auto"/>
        <w:ind w:firstLine="720"/>
      </w:pPr>
      <w:r>
        <w:t xml:space="preserve">Chapter 4 describes the data. The dynamical grid is constructed from the documented periodic-family catalogs used by [3, 5, 12] and spans L1 and L2 Lyapunov orbits, L2 northern and southern NRHO families, DRO, and Earth-Moon transit trajectories. The factorial sensor-architecture grid covers ground-based optical, ground-based radar plus optical, space-based optical at geosynchronous altitude, and Gateway-hosted space-based optics, consistent with the architectures in [1, 2, 5, 6, 8, 38, 39]. Calibration anchors come from the publicly released ephemerides and tracking residuals associated with the Cislunar Autonomous Positioning System Technology Operations and Navigation Experiment and the supporting NASA mission reports</w:t>
      </w:r>
      <w:r>
        <w:t xml:space="preserve"> </w:t>
      </w:r>
      <w:hyperlink w:anchor="ref-25">
        <w:r>
          <w:rPr>
            <w:rStyle w:val="Hyperlink"/>
          </w:rPr>
          <w:t xml:space="preserve">[25]</w:t>
        </w:r>
      </w:hyperlink>
      <w:r>
        <w:t xml:space="preserve">. Provenance for every cell of the panel and for every calibration anchor is reported at the row level.</w:t>
      </w:r>
    </w:p>
    <w:p>
      <w:pPr>
        <w:pStyle w:val="BodyText"/>
        <w:spacing w:line="480" w:lineRule="auto"/>
        <w:ind w:firstLine="720"/>
      </w:pPr>
      <w:r>
        <w:t xml:space="preserve">Chapter 5 presents the cross-paper empirical evidence assembled from the open cislunar OD literature. The chapter integrates the panel results of paper p1 [11, 12, 13, 14, 15, 16, 17, 18, 19, 20, 21, 22, 25] and the survival results of paper p2, treats them as the magnitude and the duration views of the same underlying physics, and uses them to bound the priors for the regression in Chapter 6. The chapter is the empirical bridge from the existing canon to the new estimation.</w:t>
      </w:r>
    </w:p>
    <w:p>
      <w:pPr>
        <w:pStyle w:val="BodyText"/>
        <w:spacing w:line="480" w:lineRule="auto"/>
        <w:ind w:firstLine="720"/>
      </w:pPr>
      <w:r>
        <w:t xml:space="preserve">Chapter 6 presents the Monte Carlo construction of the CCD surface. For each cell of the dynamical and sensor grid the chapter runs N = 500 sequential OD filter passes using the force model recommended by</w:t>
      </w:r>
      <w:r>
        <w:t xml:space="preserve"> </w:t>
      </w:r>
      <w:hyperlink w:anchor="ref-7">
        <w:r>
          <w:rPr>
            <w:rStyle w:val="Hyperlink"/>
          </w:rPr>
          <w:t xml:space="preserve">[7]</w:t>
        </w:r>
      </w:hyperlink>
      <w:r>
        <w:t xml:space="preserve"> </w:t>
      </w:r>
      <w:r>
        <w:t xml:space="preserve">and the measurement noise envelopes calibrated against</w:t>
      </w:r>
      <w:r>
        <w:t xml:space="preserve"> </w:t>
      </w:r>
      <w:hyperlink w:anchor="ref-4">
        <w:r>
          <w:rPr>
            <w:rStyle w:val="Hyperlink"/>
          </w:rPr>
          <w:t xml:space="preserve">[4]</w:t>
        </w:r>
      </w:hyperlink>
      <w:r>
        <w:t xml:space="preserve"> </w:t>
      </w:r>
      <w:r>
        <w:t xml:space="preserve">and the mission reports of</w:t>
      </w:r>
      <w:r>
        <w:t xml:space="preserve"> </w:t>
      </w:r>
      <w:hyperlink w:anchor="ref-25">
        <w:r>
          <w:rPr>
            <w:rStyle w:val="Hyperlink"/>
          </w:rPr>
          <w:t xml:space="preserve">[25]</w:t>
        </w:r>
      </w:hyperlink>
      <w:r>
        <w:t xml:space="preserve">. The chapter reports the time-integrated covariance trace D(r, A) for every cell with bootstrapped standard errors and presents the surface as a regime-by-architecture mapping that an architecture office can read directly.</w:t>
      </w:r>
    </w:p>
    <w:p>
      <w:pPr>
        <w:pStyle w:val="BodyText"/>
        <w:spacing w:line="480" w:lineRule="auto"/>
        <w:ind w:firstLine="720"/>
      </w:pPr>
      <w:r>
        <w:t xml:space="preserve">Chapter 7 tests the hypothesis. The chapter fits the multivariate regression of D on the Lyapunov stretching, sensor count, modality dummies, and cadence with heteroskedasticity-robust standard errors, reports the point estimate and bootstrapped confidence interval on the Lyapunov coefficient, and adjudicates H0 against H1 on the calibrated mapping. Sensitivity analyses repeat the regression under the finite-time Lyapunov and state-transition-matrix condition-number specifications, under a doubling of the measurement noise envelope, and under alternative custody horizons of seven and twenty-eight days.</w:t>
      </w:r>
    </w:p>
    <w:p>
      <w:pPr>
        <w:pStyle w:val="BodyText"/>
        <w:spacing w:line="480" w:lineRule="auto"/>
        <w:ind w:firstLine="720"/>
      </w:pPr>
      <w:r>
        <w:t xml:space="preserve">Chapter 8 examines threats to validity in the discipline of the prospectus. External validity is bounded by the single-mission calibration and is probed against the Artemis I, KARI Pathfinder Lunar Orbiter, and LADEE residual histories [13, 16, 25, 34]. Construct validity is probed by the alternative dynamical regressors. Statistical validity is probed by the Monte Carlo size and the bootstrap. Conclusion validity is probed by reporting the sensor cost model separately from the central estimand so that the policy claim is conditional on a transparent cost assumption.</w:t>
      </w:r>
    </w:p>
    <w:p>
      <w:pPr>
        <w:pStyle w:val="BodyText"/>
        <w:spacing w:line="480" w:lineRule="auto"/>
        <w:ind w:firstLine="720"/>
      </w:pPr>
      <w:r>
        <w:t xml:space="preserve">Chapter 9 develops the acquisition and architecture implications. The chapter translates the rejected or sustained H0 into a regime-resolved investment prior, contrasts the result with the constellation-deployment trades of [9, 28, 29] and the fragmentation-monitoring constellation studies [10, 30], and locates the result in the strategic space traffic management framing of</w:t>
      </w:r>
      <w:r>
        <w:t xml:space="preserve"> </w:t>
      </w:r>
      <w:hyperlink w:anchor="ref-41">
        <w:r>
          <w:rPr>
            <w:rStyle w:val="Hyperlink"/>
          </w:rPr>
          <w:t xml:space="preserve">[41]</w:t>
        </w:r>
      </w:hyperlink>
      <w:r>
        <w:t xml:space="preserve">. The chapter is written so that a NASA mission designer, a JPL navigation engineer, and a Space Force acquisition officer can each extract the slice that maps to their decision.</w:t>
      </w:r>
    </w:p>
    <w:p>
      <w:pPr>
        <w:pStyle w:val="BodyText"/>
        <w:spacing w:line="480" w:lineRule="auto"/>
        <w:ind w:firstLine="720"/>
      </w:pPr>
      <w:r>
        <w:t xml:space="preserve">Chapter 10 concludes. The chapter restates the single calibrated mapping, restates the single hypothesis and its outcome on the data, and identifies the next questions that the dissertation deliberately did not answer. Three priorities are named for follow-on work: the extension of the surface to the cislunar maneuvering case using the nonlinear-programming reconstruction of [14, 31], the integration of autonomous deep-space navigation as a covariate using the framework of [27, 46], and the export of the surface as an input to a formal space traffic management decision model in the cislunar and cismartian regime under the framing of</w:t>
      </w:r>
      <w:r>
        <w:t xml:space="preserve"> </w:t>
      </w:r>
      <w:hyperlink w:anchor="ref-41">
        <w:r>
          <w:rPr>
            <w:rStyle w:val="Hyperlink"/>
          </w:rPr>
          <w:t xml:space="preserve">[41]</w:t>
        </w:r>
      </w:hyperlink>
      <w:r>
        <w:t xml:space="preserve">. Appendices document the force-model and measurement-model specifications drawn from</w:t>
      </w:r>
      <w:r>
        <w:t xml:space="preserve"> </w:t>
      </w:r>
      <w:hyperlink w:anchor="ref-4">
        <w:r>
          <w:rPr>
            <w:rStyle w:val="Hyperlink"/>
          </w:rPr>
          <w:t xml:space="preserve">[4]</w:t>
        </w:r>
      </w:hyperlink>
      <w:r>
        <w:t xml:space="preserve"> </w:t>
      </w:r>
      <w:r>
        <w:t xml:space="preserve">and</w:t>
      </w:r>
      <w:r>
        <w:t xml:space="preserve"> </w:t>
      </w:r>
      <w:hyperlink w:anchor="ref-7">
        <w:r>
          <w:rPr>
            <w:rStyle w:val="Hyperlink"/>
          </w:rPr>
          <w:t xml:space="preserve">[7]</w:t>
        </w:r>
      </w:hyperlink>
      <w:r>
        <w:t xml:space="preserve">, the provenance table for every row of the calibration panel, the bootstrapped confidence intervals for every reported coefficient, and the cost model used in Chapter 9 so that the policy conclusion can be re-derived under alternative cost assumptions without re-running the OD Monte Carlo.</w:t>
      </w:r>
    </w:p>
    <w:p>
      <w:pPr>
        <w:pStyle w:val="BodyText"/>
        <w:spacing w:line="480" w:lineRule="auto"/>
        <w:ind w:firstLine="720"/>
      </w:pPr>
      <w:r>
        <w:t xml:space="preserve">The dissertation is therefore one contribution stated four ways. It is a calibrated regime-by-architecture mapping. It is a single falsifiable hypothesis on that mapping. It is the import of an estimation framework into a literature that has not previously used one. It is the calibrated answer that NASA, JPL, and their acquisition partners need before the cislunar architecture is locked in for the Artemis decade.</w:t>
      </w:r>
    </w:p>
    <w:bookmarkEnd w:id="65"/>
    <w:bookmarkEnd w:id="66"/>
    <w:bookmarkStart w:id="82" w:name="chapter-2.-literature-review"/>
    <w:p>
      <w:pPr>
        <w:pStyle w:val="Heading1"/>
        <w:spacing w:line="480" w:lineRule="auto"/>
      </w:pPr>
      <w:r>
        <w:t xml:space="preserve">Chapter 2. Literature Review</w:t>
      </w:r>
    </w:p>
    <w:bookmarkStart w:id="67" w:name="purpose-scope-and-organization"/>
    <w:p>
      <w:pPr>
        <w:pStyle w:val="Heading2"/>
        <w:spacing w:line="480" w:lineRule="auto"/>
      </w:pPr>
      <w:r>
        <w:t xml:space="preserve">2.1 Purpose, Scope, and Organization</w:t>
      </w:r>
    </w:p>
    <w:p>
      <w:pPr>
        <w:pStyle w:val="FirstParagraph"/>
        <w:spacing w:line="480" w:lineRule="auto"/>
      </w:pPr>
      <w:r>
        <w:t xml:space="preserve">This chapter reviews two literatures that have evolved largely in parallel and that this dissertation proposes to join. The first is the technical canon on cislunar orbit determination (OD) and space domain awareness (SDA), a body of work that, since approximately 2020, has documented in extraordinary detail the difficulty of holding custody on resident space objects in the Earth-Moon volume. The second is the cliometric and econometric methodology literature on panel regression, survival analysis, and identification under regime heterogeneity, a body of work that has matured since the 1990s into a disciplined set of tools for extracting causal and quasi-causal structure from small, censored, and heterogeneous samples. The chapter argues that the cislunar OD canon has produced an unusually rich pool of quantitative point demonstrations but has not been subjected to the systematic cross-paper estimation that the econometric toolkit would routinely apply in adjacent reliability engineering and acquisition settings. The dissertation gap follows: a calibrated, regime-resolved, sensor-architecture-conditioned mapping from observation geometry to orbit-determination accuracy and to time-to-custody-loss, produced by treating the published cislunar OD literature as a panel rather than as a sequence of independent demonstrations.</w:t>
      </w:r>
    </w:p>
    <w:p>
      <w:pPr>
        <w:pStyle w:val="BodyText"/>
        <w:spacing w:line="480" w:lineRule="auto"/>
        <w:ind w:firstLine="720"/>
      </w:pPr>
      <w:r>
        <w:t xml:space="preserve">The chapter is organized in four parts. Section 2.2 reviews the cislunar OD canon along five sub-threads: initial orbit determination under three-body dynamics, propagation and uncertainty realism, sensor and architecture trades, machine-learned and data-driven methods, and survey and integration work. Section 2.3 reviews the cliometric and econometric methodology literature relevant to the contribution: cross-source panel construction, ordinary least squares with heteroskedasticity-robust inference, the Cox proportional-hazards model, and the identification strategies appropriate when the explanatory regime variable is itself a categorical label drawn from physics. Section 2.4 synthesizes the two and identifies the joint gap that the dissertation fills. Section 2.5 closes with a short statement of the chapter’s claim.</w:t>
      </w:r>
    </w:p>
    <w:bookmarkEnd w:id="67"/>
    <w:bookmarkStart w:id="73" w:name="the-cislunar-orbit-determination-canon"/>
    <w:p>
      <w:pPr>
        <w:pStyle w:val="Heading2"/>
        <w:spacing w:line="480" w:lineRule="auto"/>
      </w:pPr>
      <w:r>
        <w:t xml:space="preserve">2.2 The Cislunar Orbit Determination Canon</w:t>
      </w:r>
    </w:p>
    <w:bookmarkStart w:id="68" w:name="X25340d122d3ef590c1dfcc887ab4ba625938bf3"/>
    <w:p>
      <w:pPr>
        <w:pStyle w:val="Heading3"/>
        <w:spacing w:line="480" w:lineRule="auto"/>
      </w:pPr>
      <w:r>
        <w:t xml:space="preserve">2.2.1 Initial Orbit Determination Under Three-Body Dynamics</w:t>
      </w:r>
    </w:p>
    <w:p>
      <w:pPr>
        <w:pStyle w:val="FirstParagraph"/>
        <w:spacing w:line="480" w:lineRule="auto"/>
      </w:pPr>
      <w:r>
        <w:t xml:space="preserve">The first sub-thread of the canon addresses the problem of forming an initial state estimate from a small number of observations in a regime where the Keplerian assumptions that underwrite classical Gauss and Laplace IOD do not hold. Wishnek, Holzinger, and Handley provided the earliest of the modern treatments, demonstrating robust cislunar initial orbit determination under three-body dynamics and showing that the admissible region admitted by a short cislunar arc is materially broader than the corresponding geocentric admissible region</w:t>
      </w:r>
      <w:r>
        <w:t xml:space="preserve"> </w:t>
      </w:r>
      <w:hyperlink w:anchor="ref-11">
        <w:r>
          <w:rPr>
            <w:rStyle w:val="Hyperlink"/>
          </w:rPr>
          <w:t xml:space="preserve">[11]</w:t>
        </w:r>
      </w:hyperlink>
      <w:r>
        <w:t xml:space="preserve">. The argument has since been extended by Wishnek, Nonweiler, and Tafur, who showed that for periodic cislunar orbits the IOD problem can be reduced to a parameterization over the family rather than a free state estimate, exploiting the manifold structure of the underlying dynamics to recover an orbit from a single observation [5, 12]. The latter result is foundational but is, as the authors themselves note, explicitly restricted to objects already known to be on a member of a documented periodic family. Bolden, Craychee, and Griggs anticipated several of the difficulties this restriction poses, documenting in a 2020 AMOS contribution the dual challenge of low signal-to-noise and too-short arcs in cislunar tracking and showing that observing-constellation stability cannot be assumed when arcs degenerate</w:t>
      </w:r>
      <w:r>
        <w:t xml:space="preserve"> </w:t>
      </w:r>
      <w:hyperlink w:anchor="ref-20">
        <w:r>
          <w:rPr>
            <w:rStyle w:val="Hyperlink"/>
          </w:rPr>
          <w:t xml:space="preserve">[20]</w:t>
        </w:r>
      </w:hyperlink>
      <w:r>
        <w:t xml:space="preserve">.</w:t>
      </w:r>
    </w:p>
    <w:p>
      <w:pPr>
        <w:pStyle w:val="BodyText"/>
        <w:spacing w:line="480" w:lineRule="auto"/>
        <w:ind w:firstLine="720"/>
      </w:pPr>
      <w:r>
        <w:t xml:space="preserve">A second strand of IOD work has addressed probabilistic estimation in the presence of measurement ambiguity. Griggs and colleagues demonstrated probabilistic initial orbit determination from passive radio-frequency observations on representative cislunar cases, propagating the resulting state distribution into a tracking filter and quantifying the rate at which posterior mass concentrates as observations accumulate</w:t>
      </w:r>
      <w:r>
        <w:t xml:space="preserve"> </w:t>
      </w:r>
      <w:hyperlink w:anchor="ref-2">
        <w:r>
          <w:rPr>
            <w:rStyle w:val="Hyperlink"/>
          </w:rPr>
          <w:t xml:space="preserve">[2]</w:t>
        </w:r>
      </w:hyperlink>
      <w:r>
        <w:t xml:space="preserve">. Billings and colleagues, working from a different angle, showed that constrained admissible region multiple hypothesis filtering (CAR-MHF) recovers IOD performance in cislunar volumes that would not be tractable under conventional single-hypothesis treatment</w:t>
      </w:r>
      <w:r>
        <w:t xml:space="preserve"> </w:t>
      </w:r>
      <w:hyperlink w:anchor="ref-22">
        <w:r>
          <w:rPr>
            <w:rStyle w:val="Hyperlink"/>
          </w:rPr>
          <w:t xml:space="preserve">[22]</w:t>
        </w:r>
      </w:hyperlink>
      <w:r>
        <w:t xml:space="preserve">. Heidrich and Holzinger pushed the IOD frontier further by showing that, when an object has maneuvered, nonlinear programming reconstruction of the ephemeris can recover an accurate state even from a relatively coarse observation set, at the cost of a non-trivial computational burden [14, 31]. The closest neighbor to that result in the catalog literature is the contribution of Chow and colleagues on processing periodic-orbit observations with Gaussian-mixture-model filters</w:t>
      </w:r>
      <w:r>
        <w:t xml:space="preserve"> </w:t>
      </w:r>
      <w:hyperlink w:anchor="ref-33">
        <w:r>
          <w:rPr>
            <w:rStyle w:val="Hyperlink"/>
          </w:rPr>
          <w:t xml:space="preserve">[33]</w:t>
        </w:r>
      </w:hyperlink>
      <w:r>
        <w:t xml:space="preserve">, which establishes that the non-Gaussianity of the posterior in cislunar volumes is large enough to motivate mixture-model treatment from the IOD step forward.</w:t>
      </w:r>
    </w:p>
    <w:p>
      <w:pPr>
        <w:pStyle w:val="BodyText"/>
        <w:spacing w:line="480" w:lineRule="auto"/>
        <w:ind w:firstLine="720"/>
      </w:pPr>
      <w:r>
        <w:t xml:space="preserve">The Mandeville and colleagues contribution sits at the intersection of IOD and operational tracking. Working with small-aperture optical observations of Artemis I, they showed that cislunar IOD can succeed with modest aperture but at the cost of broader posterior distributions that grow nonlinearly with the gap between optical arcs [13, 34]. The same group’s work on automated motion-hypothesis methods for cislunar satellite discovery has extended that finding to a discovery setting, demonstrating that custody can be initiated without a known starting orbit if the hypothesis grid is well-designed</w:t>
      </w:r>
      <w:r>
        <w:t xml:space="preserve"> </w:t>
      </w:r>
      <w:hyperlink w:anchor="ref-37">
        <w:r>
          <w:rPr>
            <w:rStyle w:val="Hyperlink"/>
          </w:rPr>
          <w:t xml:space="preserve">[37]</w:t>
        </w:r>
      </w:hyperlink>
      <w:r>
        <w:t xml:space="preserve">.</w:t>
      </w:r>
    </w:p>
    <w:bookmarkEnd w:id="68"/>
    <w:bookmarkStart w:id="69" w:name="X0c3fd4b4c51ae97447d9401645dd215662ea9f9"/>
    <w:p>
      <w:pPr>
        <w:pStyle w:val="Heading3"/>
        <w:spacing w:line="480" w:lineRule="auto"/>
      </w:pPr>
      <w:r>
        <w:t xml:space="preserve">2.2.2 Propagation, Uncertainty Realism, and Custody Maintenance</w:t>
      </w:r>
    </w:p>
    <w:p>
      <w:pPr>
        <w:pStyle w:val="FirstParagraph"/>
        <w:spacing w:line="480" w:lineRule="auto"/>
      </w:pPr>
      <w:r>
        <w:t xml:space="preserve">A second sub-thread addresses what happens to an estimated state once propagation begins. Chow, Baldwin, Wetterer, Dilley, Hill, Billings, Craft, and Frith’s 2022 contribution on uncertainty realism and data fusion remains the canonical reference. The paper shows that the standard Gaussian sequential filter, calibrated to terrestrial-orbit covariance norms, materially under-reports the true posterior spread in cislunar volumes, with the discrepancy growing as a function of the local dynamical sensitivity rather than as a function of time alone [4, 21]. The authors argue, and the subsequent literature has largely accepted, that uncertainty realism is the precondition for any operationally useful custody decision, because both association and tasking depend on a calibrated covariance.</w:t>
      </w:r>
    </w:p>
    <w:p>
      <w:pPr>
        <w:pStyle w:val="BodyText"/>
        <w:spacing w:line="480" w:lineRule="auto"/>
        <w:ind w:firstLine="720"/>
      </w:pPr>
      <w:r>
        <w:t xml:space="preserve">Gutierrez, Hill, Jenson, Scheeres, Bruer, and Coder formalized the classification of state uncertainty for Earth-Moon trajectories in a companion 2022 AMOS contribution, providing the cross-regime mapping that later work has used as a sanity check</w:t>
      </w:r>
      <w:r>
        <w:t xml:space="preserve"> </w:t>
      </w:r>
      <w:hyperlink w:anchor="ref-1">
        <w:r>
          <w:rPr>
            <w:rStyle w:val="Hyperlink"/>
          </w:rPr>
          <w:t xml:space="preserve">[1]</w:t>
        </w:r>
      </w:hyperlink>
      <w:r>
        <w:t xml:space="preserve">. The classification is regime-sensitive in the sense the present dissertation will exploit: the authors show that uncertainty class is correlated with the local dynamical structure, not merely with elapsed time. O’Neil’s 2023 AMOS contribution on predicting custody of cislunar objects formalized the problem at the architecture level, proposing custody predictions as the operational summary statistic and motivating the survival-style framing the present dissertation adopts in its second empirical paper [17, 32].</w:t>
      </w:r>
    </w:p>
    <w:p>
      <w:pPr>
        <w:pStyle w:val="BodyText"/>
        <w:spacing w:line="480" w:lineRule="auto"/>
        <w:ind w:firstLine="720"/>
      </w:pPr>
      <w:r>
        <w:t xml:space="preserve">The Givens, Cortiella, Marlow, Rankowicz, Koehler, Liao, Spurbeck, Cain, and Miga contribution, the CUSTOD-E toolset, is the closest software analog to the proposed dissertation surface. It remains a software environment rather than a calibrated quantitative mapping</w:t>
      </w:r>
      <w:r>
        <w:t xml:space="preserve"> </w:t>
      </w:r>
      <w:hyperlink w:anchor="ref-6">
        <w:r>
          <w:rPr>
            <w:rStyle w:val="Hyperlink"/>
          </w:rPr>
          <w:t xml:space="preserve">[6]</w:t>
        </w:r>
      </w:hyperlink>
      <w:r>
        <w:t xml:space="preserve">. It supports the regime-by-architecture custody question this dissertation asks but does not answer it directly. Doucette, Raub, Mandeville, and McLaughlin’s automation of motion-hypothesis methods for cislunar discovery sits in the same category: an enabling tool rather than a measured difficulty surface</w:t>
      </w:r>
      <w:r>
        <w:t xml:space="preserve"> </w:t>
      </w:r>
      <w:hyperlink w:anchor="ref-37">
        <w:r>
          <w:rPr>
            <w:rStyle w:val="Hyperlink"/>
          </w:rPr>
          <w:t xml:space="preserve">[37]</w:t>
        </w:r>
      </w:hyperlink>
      <w:r>
        <w:t xml:space="preserve">. Koblick and Choi’s work on cislunar orbit determination benefits from moon-based sensors begins to populate the architecture trade-space but does so at a sample of architectures rather than a continuous surface</w:t>
      </w:r>
      <w:r>
        <w:t xml:space="preserve"> </w:t>
      </w:r>
      <w:hyperlink w:anchor="ref-38">
        <w:r>
          <w:rPr>
            <w:rStyle w:val="Hyperlink"/>
          </w:rPr>
          <w:t xml:space="preserve">[38]</w:t>
        </w:r>
      </w:hyperlink>
      <w:r>
        <w:t xml:space="preserve">. Thompson, Parrish Re, Meek, and Cheetham’s simulated space-based measurement study extends the trade to space-based architectures and again documents large regime-conditional effects</w:t>
      </w:r>
      <w:r>
        <w:t xml:space="preserve"> </w:t>
      </w:r>
      <w:hyperlink w:anchor="ref-39">
        <w:r>
          <w:rPr>
            <w:rStyle w:val="Hyperlink"/>
          </w:rPr>
          <w:t xml:space="preserve">[39]</w:t>
        </w:r>
      </w:hyperlink>
      <w:r>
        <w:t xml:space="preserve">.</w:t>
      </w:r>
    </w:p>
    <w:bookmarkEnd w:id="69"/>
    <w:bookmarkStart w:id="70" w:name="sensor-and-architecture-trades"/>
    <w:p>
      <w:pPr>
        <w:pStyle w:val="Heading3"/>
        <w:spacing w:line="480" w:lineRule="auto"/>
      </w:pPr>
      <w:r>
        <w:t xml:space="preserve">2.2.3 Sensor and Architecture Trades</w:t>
      </w:r>
    </w:p>
    <w:p>
      <w:pPr>
        <w:pStyle w:val="FirstParagraph"/>
        <w:spacing w:line="480" w:lineRule="auto"/>
      </w:pPr>
      <w:r>
        <w:t xml:space="preserve">The third sub-thread is the architecture-trade literature. Fahrner, Correa, and Wysack’s 2022 contribution on capacity-based cislunar SDA architecture optimization established the working language: tasking capacity is finite, custody horizons are demanding, and the architecture must allocate scarce sensor-seconds across a heterogeneous target population</w:t>
      </w:r>
      <w:r>
        <w:t xml:space="preserve"> </w:t>
      </w:r>
      <w:hyperlink w:anchor="ref-23">
        <w:r>
          <w:rPr>
            <w:rStyle w:val="Hyperlink"/>
          </w:rPr>
          <w:t xml:space="preserve">[23]</w:t>
        </w:r>
      </w:hyperlink>
      <w:r>
        <w:t xml:space="preserve">. Klonowski, Fahrner, Heidrich, and Holzinger extended the analysis to robust architecture design under cooperative-agent assumptions and showed that the optimal architecture is regime-conditional, with different sensor mixes preferred in libration-point versus halo versus transit regimes [24, 35]. Bolden and colleagues’ earlier observing-constellation stability work is the empirical antecedent of these optimization results</w:t>
      </w:r>
      <w:r>
        <w:t xml:space="preserve"> </w:t>
      </w:r>
      <w:hyperlink w:anchor="ref-20">
        <w:r>
          <w:rPr>
            <w:rStyle w:val="Hyperlink"/>
          </w:rPr>
          <w:t xml:space="preserve">[20]</w:t>
        </w:r>
      </w:hyperlink>
      <w:r>
        <w:t xml:space="preserve">.</w:t>
      </w:r>
    </w:p>
    <w:p>
      <w:pPr>
        <w:pStyle w:val="BodyText"/>
        <w:spacing w:line="480" w:lineRule="auto"/>
        <w:ind w:firstLine="720"/>
      </w:pPr>
      <w:r>
        <w:t xml:space="preserve">Tucker, Aguilar Marsillach, Montgomery, and Holzinger’s contribution on agile space object custody for electro-optical sensors operationalized the tasking side of the trade. It shows that reachability constraints, not raw sensor count, often bind in cislunar custody and that an agile tasking policy can recover substantial custody headroom from a fixed asset base</w:t>
      </w:r>
      <w:r>
        <w:t xml:space="preserve"> </w:t>
      </w:r>
      <w:hyperlink w:anchor="ref-8">
        <w:r>
          <w:rPr>
            <w:rStyle w:val="Hyperlink"/>
          </w:rPr>
          <w:t xml:space="preserve">[8]</w:t>
        </w:r>
      </w:hyperlink>
      <w:r>
        <w:t xml:space="preserve">. The result is consistent with the survival-model finding in the dissertation’s second empirical paper that tracking gap, not aperture, is the dominant lever in the present sample.</w:t>
      </w:r>
    </w:p>
    <w:p>
      <w:pPr>
        <w:pStyle w:val="BodyText"/>
        <w:spacing w:line="480" w:lineRule="auto"/>
        <w:ind w:firstLine="720"/>
      </w:pPr>
      <w:r>
        <w:t xml:space="preserve">On the space-based side, Leonardi, De Angelis, and Pontani’s 2025 Acta Astronautica contribution on Gateway-deployed lunar navigation constellation guidance strategies frames the deployment problem and quantifies the maneuver budgets required to establish a custody-supporting constellation [9, 28]. Malik and Yang’s complementary work on lunar navigation optimization with Earth GPS integration shows that the cislunar navigation problem can be partially solved by extending terrestrial GNSS into cislunar geometry, although the extension is geometrically degenerate in important sub-volumes</w:t>
      </w:r>
      <w:r>
        <w:t xml:space="preserve"> </w:t>
      </w:r>
      <w:hyperlink w:anchor="ref-29">
        <w:r>
          <w:rPr>
            <w:rStyle w:val="Hyperlink"/>
          </w:rPr>
          <w:t xml:space="preserve">[29]</w:t>
        </w:r>
      </w:hyperlink>
      <w:r>
        <w:t xml:space="preserve">. Gambarotto, Grattagliano, De Maria, and Montaruli’s monitoring constellation study for cislunar fragmentation events takes the dual question, the monitoring rather than the custody problem, and reaches a structurally similar conclusion: regime and geometry dominate sensor count [10, 30]. Koblick’s tulip-shaped three-body orbit study and Wright, Owens-Fahrner, Tafur, and Wysack’s Poincare search-map work extend the architecture vocabulary on the space-based side, providing custody-supporting orbit families that exploit the underlying dynamical structure rather than fight it [18, 19].</w:t>
      </w:r>
    </w:p>
    <w:p>
      <w:pPr>
        <w:pStyle w:val="BodyText"/>
        <w:spacing w:line="480" w:lineRule="auto"/>
        <w:ind w:firstLine="720"/>
      </w:pPr>
      <w:r>
        <w:t xml:space="preserve">Two contributions belong with this sub-thread but speak in a different register. Thomas and Cobb’s daytime SWIR modeling study extends the architecture conversation to a wavelength regime that has been underused in cislunar custody</w:t>
      </w:r>
      <w:r>
        <w:t xml:space="preserve"> </w:t>
      </w:r>
      <w:hyperlink w:anchor="ref-36">
        <w:r>
          <w:rPr>
            <w:rStyle w:val="Hyperlink"/>
          </w:rPr>
          <w:t xml:space="preserve">[36]</w:t>
        </w:r>
      </w:hyperlink>
      <w:r>
        <w:t xml:space="preserve">. Kitagawa, Molera Calves, Wakamori, Yamamoto, and Yamatani’s 12-meter parabola long-baseline aperture-synthesis result anchors the high-aperture end of the empirical accuracy distribution, showing that lunar-orbiter accuracy near the 500-meter level can be held over short arcs with a large RF asset</w:t>
      </w:r>
      <w:r>
        <w:t xml:space="preserve"> </w:t>
      </w:r>
      <w:hyperlink w:anchor="ref-16">
        <w:r>
          <w:rPr>
            <w:rStyle w:val="Hyperlink"/>
          </w:rPr>
          <w:t xml:space="preserve">[16]</w:t>
        </w:r>
      </w:hyperlink>
      <w:r>
        <w:t xml:space="preserve">. The Kitagawa anchor is structurally important: it sets the lower bound of the position-uncertainty growth distribution observed across the published canon and therefore disciplines any cross-paper regression, including the one presented in the dissertation’s first empirical paper.</w:t>
      </w:r>
    </w:p>
    <w:bookmarkEnd w:id="70"/>
    <w:bookmarkStart w:id="71" w:name="machine-learned-and-data-driven-methods"/>
    <w:p>
      <w:pPr>
        <w:pStyle w:val="Heading3"/>
        <w:spacing w:line="480" w:lineRule="auto"/>
      </w:pPr>
      <w:r>
        <w:t xml:space="preserve">2.2.4 Machine-Learned and Data-Driven Methods</w:t>
      </w:r>
    </w:p>
    <w:p>
      <w:pPr>
        <w:pStyle w:val="FirstParagraph"/>
        <w:spacing w:line="480" w:lineRule="auto"/>
      </w:pPr>
      <w:r>
        <w:t xml:space="preserve">A fourth sub-thread has emerged in the last three years around physics-informed machine learning for cislunar OD. Badura, Arunkumar, Velez-Reyes, Gunter, and Ho’s 2025 AMOS contribution on uncertainty-aware physics-informed machine learning evaluated the approach across stable and chaotic cislunar regions and documented regime-dependent performance</w:t>
      </w:r>
      <w:r>
        <w:t xml:space="preserve"> </w:t>
      </w:r>
      <w:hyperlink w:anchor="ref-3">
        <w:r>
          <w:rPr>
            <w:rStyle w:val="Hyperlink"/>
          </w:rPr>
          <w:t xml:space="preserve">[3]</w:t>
        </w:r>
      </w:hyperlink>
      <w:r>
        <w:t xml:space="preserve">. The earlier companion paper by Badura, Velez-Reyes, Gunter, Valenta, and Ho on regularizing PINN training via transfer learning showed that the cross-regime transfer is itself non-trivial, with training losses behaving qualitatively differently in libration-point neighborhoods than in transit segments</w:t>
      </w:r>
      <w:r>
        <w:t xml:space="preserve"> </w:t>
      </w:r>
      <w:hyperlink w:anchor="ref-15">
        <w:r>
          <w:rPr>
            <w:rStyle w:val="Hyperlink"/>
          </w:rPr>
          <w:t xml:space="preserve">[15]</w:t>
        </w:r>
      </w:hyperlink>
      <w:r>
        <w:t xml:space="preserve">. Kilduff, Machuca, and Rosengren’s YOLO-based crater detection contribution sits at a different layer of the data pipeline, providing measurement-model inputs for autonomous optical navigation, with characterized angular and area error budgets</w:t>
      </w:r>
      <w:r>
        <w:t xml:space="preserve"> </w:t>
      </w:r>
      <w:hyperlink w:anchor="ref-40">
        <w:r>
          <w:rPr>
            <w:rStyle w:val="Hyperlink"/>
          </w:rPr>
          <w:t xml:space="preserve">[40]</w:t>
        </w:r>
      </w:hyperlink>
      <w:r>
        <w:t xml:space="preserve">. Ma, Dai, and Ni’s review on star sensor attitude accuracy under dynamic conditions provides the analogous reference for the attitude side of the navigation problem</w:t>
      </w:r>
      <w:r>
        <w:t xml:space="preserve"> </w:t>
      </w:r>
      <w:hyperlink w:anchor="ref-47">
        <w:r>
          <w:rPr>
            <w:rStyle w:val="Hyperlink"/>
          </w:rPr>
          <w:t xml:space="preserve">[47]</w:t>
        </w:r>
      </w:hyperlink>
      <w:r>
        <w:t xml:space="preserve">.</w:t>
      </w:r>
    </w:p>
    <w:p>
      <w:pPr>
        <w:pStyle w:val="BodyText"/>
        <w:spacing w:line="480" w:lineRule="auto"/>
        <w:ind w:firstLine="720"/>
      </w:pPr>
      <w:r>
        <w:t xml:space="preserve">The machine-learning sub-thread shares an important structural feature with the rest of the canon: it produces point demonstrations across a small number of regimes rather than continuous difficulty surfaces. A panel-style synthesis of the kind the present dissertation proposes would treat these results as rows in a single dataset rather than as competing methodological claims.</w:t>
      </w:r>
    </w:p>
    <w:bookmarkEnd w:id="71"/>
    <w:bookmarkStart w:id="72" w:name="Xc91fde65e4224adf7aae34288be31bbb370e451"/>
    <w:p>
      <w:pPr>
        <w:pStyle w:val="Heading3"/>
        <w:spacing w:line="480" w:lineRule="auto"/>
      </w:pPr>
      <w:r>
        <w:t xml:space="preserve">2.2.5 Surveys, Mission Records, and Cross-Cutting Frameworks</w:t>
      </w:r>
    </w:p>
    <w:p>
      <w:pPr>
        <w:pStyle w:val="FirstParagraph"/>
        <w:spacing w:line="480" w:lineRule="auto"/>
      </w:pPr>
      <w:r>
        <w:t xml:space="preserve">The fifth sub-thread is the survey, mission, and cross-cutting framework literature. Kazemi, Azad, Scott, Oqab, and Dietrich’s 2024 Acta Astronautica survey on orbit determination for SSA is the canonical secondary reference [7, 26, 42]. The survey is method-organized rather than regime-organized; it inventories Kalman, unscented, particle, and Gaussian-mixture filters and the corresponding measurement-model treatments, but it does not parametrize achievable accuracy as a function of the local dynamical structure. An acquisition officer reading the survey learns what tools exist but does not learn which tool returns what accuracy in which sub-volume of the cislunar regime. Turan, Speretta, and Gill’s 2022 Acta Astronautica survey on autonomous deep-space navigation provides the analogous cross-cut from the spacecraft-autonomy side [27, 46]. Anilkumar and colleagues’ 2025 Acta Astronautica contribution on Moon-to-Mars cislunar and cismartian space traffic management frames the regulatory and operational context, providing the strategic motivation for any custody-difficulty surface</w:t>
      </w:r>
      <w:r>
        <w:t xml:space="preserve"> </w:t>
      </w:r>
      <w:hyperlink w:anchor="ref-41">
        <w:r>
          <w:rPr>
            <w:rStyle w:val="Hyperlink"/>
          </w:rPr>
          <w:t xml:space="preserve">[41]</w:t>
        </w:r>
      </w:hyperlink>
      <w:r>
        <w:t xml:space="preserve">.</w:t>
      </w:r>
    </w:p>
    <w:p>
      <w:pPr>
        <w:pStyle w:val="BodyText"/>
        <w:spacing w:line="480" w:lineRule="auto"/>
        <w:ind w:firstLine="720"/>
      </w:pPr>
      <w:r>
        <w:t xml:space="preserve">The NASA mission navigation record contributes a different kind of evidence. The CAPSTONE mission navigation status updates, the Lunar Reconnaissance Orbiter navigation reports, Mazarico’s NTRS contributions, the Artemis I post-flight navigation summary, the Folta ARTEMIS Lissajous OD paper, the KPLO operations report, and the LADEE end-of-mission DSN timeline together provide an operational corpus of cislunar navigation performance that complements the AMOS conference canon</w:t>
      </w:r>
      <w:r>
        <w:t xml:space="preserve"> </w:t>
      </w:r>
      <w:hyperlink w:anchor="ref-25">
        <w:r>
          <w:rPr>
            <w:rStyle w:val="Hyperlink"/>
          </w:rPr>
          <w:t xml:space="preserve">[25]</w:t>
        </w:r>
      </w:hyperlink>
      <w:r>
        <w:t xml:space="preserve">. These records are particularly important for the survival-analysis treatment in the dissertation’s second empirical paper because they provide right-censored cases: missions whose published horizons closed without a reported custody-loss event. Ishida and colleagues’ SLIM lunar-landing vision-based navigation flight results provide a closely related lunar-surface terminal-navigation reference</w:t>
      </w:r>
      <w:r>
        <w:t xml:space="preserve"> </w:t>
      </w:r>
      <w:hyperlink w:anchor="ref-45">
        <w:r>
          <w:rPr>
            <w:rStyle w:val="Hyperlink"/>
          </w:rPr>
          <w:t xml:space="preserve">[45]</w:t>
        </w:r>
      </w:hyperlink>
      <w:r>
        <w:t xml:space="preserve">, while Kelecy, Lambert, Sunderland, Stauch, Mallik, and Jah’s automated near-real-time validation of optical sensor data provides the analogous reference for operational data exploitation</w:t>
      </w:r>
      <w:r>
        <w:t xml:space="preserve"> </w:t>
      </w:r>
      <w:hyperlink w:anchor="ref-43">
        <w:r>
          <w:rPr>
            <w:rStyle w:val="Hyperlink"/>
          </w:rPr>
          <w:t xml:space="preserve">[43]</w:t>
        </w:r>
      </w:hyperlink>
      <w:r>
        <w:t xml:space="preserve">.</w:t>
      </w:r>
    </w:p>
    <w:p>
      <w:pPr>
        <w:pStyle w:val="BodyText"/>
        <w:spacing w:line="480" w:lineRule="auto"/>
        <w:ind w:firstLine="720"/>
      </w:pPr>
      <w:r>
        <w:t xml:space="preserve">Across all five sub-threads, three structural features of the cislunar OD canon are worth emphasizing for the methodological argument of Section 2.3. First, the canon is unusually quantitative; nearly every cited paper reports either a position-uncertainty figure, a custody-loss horizon, a sensor aperture, or an arc length, in numbers that can be transcribed into a panel. Second, the canon is unusually heterogeneous in its conventions; covariance is reported sometimes as a trace, sometimes as a principal-axis decomposition, sometimes as an along-track-only figure, and sometimes as a multi-day growth rate. Third, the canon is sparse at the level of any single regime or architecture; almost no two papers report on the same regime under the same architecture, which is precisely the condition under which cross-paper panel methods become both necessary and productive.</w:t>
      </w:r>
    </w:p>
    <w:bookmarkEnd w:id="72"/>
    <w:bookmarkEnd w:id="73"/>
    <w:bookmarkStart w:id="79"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methodology literature relevant to the present dissertation has three components: panel construction and identification under cross-source heterogeneity, ordinary least squares with heteroskedasticity-robust inference at small sample sizes, and the Cox proportional-hazards model with right-censoring.</w:t>
      </w:r>
    </w:p>
    <w:bookmarkStart w:id="74" w:name="X90ba565cd3e0619b326cca78f2abbceef8f08f7"/>
    <w:p>
      <w:pPr>
        <w:pStyle w:val="Heading3"/>
        <w:spacing w:line="480" w:lineRule="auto"/>
      </w:pPr>
      <w:r>
        <w:t xml:space="preserve">2.3.1 Panel Construction Under Cross-Source Heterogeneity</w:t>
      </w:r>
    </w:p>
    <w:p>
      <w:pPr>
        <w:pStyle w:val="FirstParagraph"/>
        <w:spacing w:line="480" w:lineRule="auto"/>
      </w:pPr>
      <w:r>
        <w:t xml:space="preserve">The methodological tradition for constructing panels from heterogeneous published sources is well established in the cliometrics literature and in adjacent fields of reliability engineering, evidence synthesis, and meta-analysis. The defining problem is that any single published study reports on a narrow slice of the covariate space, while the analyst’s question is about the joint variation across slices. The standard solution is to assemble a panel in which each row corresponds to a published case, each column corresponds to a covariate transcribed from the source, and a provenance column records the originating citation. The discipline of this style of work consists in three rules: every row must be traceable to a named source; rows that depend on within-envelope interpolation or extrapolation must carry an explicit illustrative flag; and the share of flagged rows must be reported and held below a documented threshold. The dissertation’s first empirical paper applies these rules explicitly, with under fifteen percent of rows flagged as illustrative and the source field carrying a citation for every row [paper 1, Section 3]. The second empirical paper extends the discipline to the survival-analysis context, with the same source-traceability and illustrative-flag conventions [paper 2, Section 3].</w:t>
      </w:r>
    </w:p>
    <w:p>
      <w:pPr>
        <w:pStyle w:val="BodyText"/>
        <w:spacing w:line="480" w:lineRule="auto"/>
        <w:ind w:firstLine="720"/>
      </w:pPr>
      <w:r>
        <w:t xml:space="preserve">The cliometric tradition recognizes a second discipline that is sometimes overlooked in the engineering literature: the unit of observation must be defined before the panel is assembled, and it must be defined to respect the structure of the source literature. In the present case, the natural unit of observation is the published OD case, where a case is a (regime, architecture, arc) tuple for which a paper or mission report has published a covariance growth figure or a custody-loss horizon. This unit is conservative because it does not split single papers into multiple rows except where the paper itself reports multiple cases, and it is honest because it admits the censoring that the source literature produces.</w:t>
      </w:r>
    </w:p>
    <w:bookmarkEnd w:id="74"/>
    <w:bookmarkStart w:id="75" w:name="X87b9df86e560ac39af2e78da782a4e858848c8f"/>
    <w:p>
      <w:pPr>
        <w:pStyle w:val="Heading3"/>
        <w:spacing w:line="480" w:lineRule="auto"/>
      </w:pPr>
      <w:r>
        <w:t xml:space="preserve">2.3.2 Ordinary Least Squares with Heteroskedasticity-Robust Inference at Small Sample Sizes</w:t>
      </w:r>
    </w:p>
    <w:p>
      <w:pPr>
        <w:pStyle w:val="FirstParagraph"/>
        <w:spacing w:line="480" w:lineRule="auto"/>
      </w:pPr>
      <w:r>
        <w:t xml:space="preserve">The first empirical paper of the dissertation fits an ordinary least squares regression of position-uncertainty growth on tracking-gap duration, sensor aperture, arc length, and a binary cislunar indicator, with heteroskedasticity-robust standard errors and a sample size of thirty-five. This specification is the natural starting point in the cliometric and reliability tradition for three reasons. First, the marginal-effects interpretation is transparent: the coefficient on tracking gap is the additional kilometers per day of position-uncertainty growth per additional hour of gap, evaluated at the panel mean. Second, the heteroskedasticity-robust standard error is the appropriate inferential tool when the sample is assembled from heterogeneous published sources whose error variances cannot be assumed equal. Third, the linear-in-covariates specification disciplines the analyst’s claim: any nonlinearity that the data exhibit must be revealed in the residuals before it is modeled, rather than imposed by a flexible functional form that risks over-fitting in a thirty-five-row sample.</w:t>
      </w:r>
    </w:p>
    <w:p>
      <w:pPr>
        <w:pStyle w:val="BodyText"/>
        <w:spacing w:line="480" w:lineRule="auto"/>
        <w:ind w:firstLine="720"/>
      </w:pPr>
      <w:r>
        <w:t xml:space="preserve">The methodological literature on small-sample OLS with robust inference is mature and the cross-paper canon in reliability engineering, learning-curve estimation, and program-evaluation cliometrics has long accepted that adjusted coefficients of determination above 0.9 in such samples are credible only when the covariates are physically motivated and the residuals are well-behaved. The first empirical paper’s reported adjusted coefficient of determination of 0.904 and F-statistic of 70.07 on four covariates and thirty-five observations are consistent with that standard, but only because the covariates are precisely the levers that the cislunar OD canon has identified as physically dominant [paper 1, Section 5]. The methodological discipline is in selecting the covariates from the substantive literature before fitting, not after.</w:t>
      </w:r>
    </w:p>
    <w:bookmarkEnd w:id="75"/>
    <w:bookmarkStart w:id="76" w:name="Xbc2795fad5aa9d75ac3f8f0c3af69e27fbb3b9d"/>
    <w:p>
      <w:pPr>
        <w:pStyle w:val="Heading3"/>
        <w:spacing w:line="480" w:lineRule="auto"/>
      </w:pPr>
      <w:r>
        <w:t xml:space="preserve">2.3.3 The Cox Proportional-Hazards Model and Right-Censoring</w:t>
      </w:r>
    </w:p>
    <w:p>
      <w:pPr>
        <w:pStyle w:val="FirstParagraph"/>
        <w:spacing w:line="480" w:lineRule="auto"/>
      </w:pPr>
      <w:r>
        <w:t xml:space="preserve">The second empirical paper fits a Cox proportional-hazards model on the same panel, with the duration field defined as days from arc close to custody-loss event and the event indicator equal to one for cases that report a loss and zero for right-censored cases. The Cox model has been the workhorse of survival analysis since its introduction in the 1970s, and its application in reliability engineering, clinical trials, and program evaluation cliometrics is now extensive. The reasons it is the right tool for the present setting are three. First, it accommodates right-censoring naturally, which matches the structure of the cislunar OD canon where many published cases report a propagation horizon that closes without a loss event. Second, its partial-likelihood estimator yields hazard ratios on the covariates whose interpretation is operationally meaningful for acquisition: the hazard ratio on tracking-gap hours is the multiplicative change in instantaneous custody-loss risk per additional hour of gap, evaluated at the partial-likelihood reference distribution. Third, the proportional-hazards assumption is plausible across the short propagation horizons that dominate the cislunar literature, although it should be tested formally when sample size permits.</w:t>
      </w:r>
    </w:p>
    <w:p>
      <w:pPr>
        <w:pStyle w:val="BodyText"/>
        <w:spacing w:line="480" w:lineRule="auto"/>
        <w:ind w:firstLine="720"/>
      </w:pPr>
      <w:r>
        <w:t xml:space="preserve">The methodological literature also identifies the failure mode that the second empirical paper explicitly handles: complete separation of the event indicator by a covariate. In the present sample, the cislunar regime indicator perfectly predicts the event, with all fifteen loss events occurring in cislunar cases and no events occurring in GEO, MEO, LEO, or HEO baselines. The standard methodological remedy is to omit the perfectly predicting covariate from the fitted model and to report its effect descriptively, which is precisely the procedure adopted [paper 2, Sections 2 and 3]. The remedy is conservative; it does not extract the cislunar effect from the regression, but it preserves the validity of the fitted hazard ratios on the remaining covariates.</w:t>
      </w:r>
    </w:p>
    <w:bookmarkEnd w:id="76"/>
    <w:bookmarkStart w:id="77" w:name="Xba2b4a238c214adb50205c1966d7bc1b1169c08"/>
    <w:p>
      <w:pPr>
        <w:pStyle w:val="Heading3"/>
        <w:spacing w:line="480" w:lineRule="auto"/>
      </w:pPr>
      <w:r>
        <w:t xml:space="preserve">2.3.4 Identification Under Regime Heterogeneity</w:t>
      </w:r>
    </w:p>
    <w:p>
      <w:pPr>
        <w:pStyle w:val="FirstParagraph"/>
        <w:spacing w:line="480" w:lineRule="auto"/>
      </w:pPr>
      <w:r>
        <w:t xml:space="preserve">The deepest methodological question raised by the dissertation is one of identification. The covariate of substantive interest is the dynamical regime in which the target sits, and the regime is itself a categorical label drawn from the underlying physics. The cliometric tradition handles this kind of identification problem in two complementary ways. The first is to include the regime indicator as a direct covariate, accepting the resulting interpretation as a regime fixed effect rather than as a continuous causal variable. The first empirical paper adopts this approach with its binary cislunar indicator [paper 1, Section 4]. The second is to replace the categorical regime label with a continuous physical quantity that is theoretically the underlying driver of the regime difference, and to let the data speak to whether the continuous variable carries the explanatory weight that the categorical label would. The prospectus extension proposes precisely this move, using the local Lyapunov stretching exponent of the underlying periodic orbit family as the continuous regime variable [prospectus, Sections 3 and 4]. The methodological literature is clear that the second move is more demanding but more informative: if the Lyapunov coefficient carries the explanatory weight, the regime category is shown to be a proxy for the dynamical structure, and the policy implication shifts from</w:t>
      </w:r>
      <w:r>
        <w:t xml:space="preserve"> </w:t>
      </w:r>
      <w:r>
        <w:t xml:space="preserve">“treat cislunar as a special case”</w:t>
      </w:r>
      <w:r>
        <w:t xml:space="preserve"> </w:t>
      </w:r>
      <w:r>
        <w:t xml:space="preserve">to</w:t>
      </w:r>
      <w:r>
        <w:t xml:space="preserve"> </w:t>
      </w:r>
      <w:r>
        <w:t xml:space="preserve">“task assets in proportion to local dynamical sensitivity.”</w:t>
      </w:r>
    </w:p>
    <w:p>
      <w:pPr>
        <w:pStyle w:val="BodyText"/>
        <w:spacing w:line="480" w:lineRule="auto"/>
        <w:ind w:firstLine="720"/>
      </w:pPr>
      <w:r>
        <w:t xml:space="preserve">A related identification concern is observation geometry. The substantive literature has long noted that cislunar observation geometry is structurally degenerate at small phase angles and large ranges, and that this geometric degeneracy is confounded with the dynamical regime in the sense that the regimes most often observed at favorable geometry are not the regimes most often observed at unfavorable geometry [4, 5, 7]. The standard cliometric remedy is to control for the confound by holding cadence fixed within architecture and reporting sensitivity to cadence relaxation. The prospectus identification strategy adopts this remedy directly [prospectus, Sections 4 and 6].</w:t>
      </w:r>
    </w:p>
    <w:bookmarkEnd w:id="77"/>
    <w:bookmarkStart w:id="78" w:name="validity-threats-and-robustness"/>
    <w:p>
      <w:pPr>
        <w:pStyle w:val="Heading3"/>
        <w:spacing w:line="480" w:lineRule="auto"/>
      </w:pPr>
      <w:r>
        <w:t xml:space="preserve">2.3.5 Validity Threats and Robustness</w:t>
      </w:r>
    </w:p>
    <w:p>
      <w:pPr>
        <w:pStyle w:val="FirstParagraph"/>
        <w:spacing w:line="480" w:lineRule="auto"/>
      </w:pPr>
      <w:r>
        <w:t xml:space="preserve">The cliometric and econometric methodology literature also disciplines the validity-threat enumeration that any quantitative claim must offer. The threats relevant to the present setting are external validity, construct validity, statistical validity, and conclusion validity, in the language used by the program-evaluation tradition. External validity addresses whether the calibration on the present sample generalizes to future architectures; construct validity addresses whether Lyapunov stretching is the right measure of regime difficulty; statistical validity addresses whether the Monte Carlo and bootstrap sample sizes support the reported confidence intervals; conclusion validity addresses whether the substantive implication for acquisition follows from the reported coefficients under the assumed sensor cost model. The prospectus enumerates all four explicitly and reports the robustness remedies that the methodological literature would require [prospectus, Section 6].</w:t>
      </w:r>
    </w:p>
    <w:bookmarkEnd w:id="78"/>
    <w:bookmarkEnd w:id="79"/>
    <w:bookmarkStart w:id="80" w:name="synthesis-and-the-joint-gap"/>
    <w:p>
      <w:pPr>
        <w:pStyle w:val="Heading2"/>
        <w:spacing w:line="480" w:lineRule="auto"/>
      </w:pPr>
      <w:r>
        <w:t xml:space="preserve">2.4 Synthesis and the Joint Gap</w:t>
      </w:r>
    </w:p>
    <w:p>
      <w:pPr>
        <w:pStyle w:val="FirstParagraph"/>
        <w:spacing w:line="480" w:lineRule="auto"/>
      </w:pPr>
      <w:r>
        <w:t xml:space="preserve">The two literatures reviewed in Sections 2.2 and 2.3 are largely disjoint in the published record. The cislunar OD canon has produced a quantitative point-demonstration literature whose density and rigor are unusual in early-stage engineering disciplines but whose individual contributions are not designed to be aggregated. The cliometric and econometric methodology literature has produced a disciplined set of cross-source panel estimation tools whose application in adjacent reliability and acquisition settings is routine but whose application in cislunar OD is, as of the date of this chapter, absent.</w:t>
      </w:r>
    </w:p>
    <w:p>
      <w:pPr>
        <w:pStyle w:val="BodyText"/>
        <w:spacing w:line="480" w:lineRule="auto"/>
        <w:ind w:firstLine="720"/>
      </w:pPr>
      <w:r>
        <w:t xml:space="preserve">The synthesis the dissertation proposes is therefore straightforward in principle and demanding in execution. The principle is that the published cislunar OD canon should be treated as the source corpus for a panel, the panel should be assembled with the source-traceability and illustrative-flag conventions of the cliometric tradition, and the panel should be analyzed with the OLS and Cox tools the methodology literature provides. The execution is demanding because the units of observation differ across the source literature, because the covariate conventions are heterogeneous, because the sample is small for a multi-covariate model, and because the substantively interesting covariate, dynamical regime, is itself a categorical label that the identification strategy must connect to a continuous physical quantity.</w:t>
      </w:r>
    </w:p>
    <w:p>
      <w:pPr>
        <w:pStyle w:val="BodyText"/>
        <w:spacing w:line="480" w:lineRule="auto"/>
        <w:ind w:firstLine="720"/>
      </w:pPr>
      <w:r>
        <w:t xml:space="preserve">Five specific gaps in the joint literature follow.</w:t>
      </w:r>
    </w:p>
    <w:p>
      <w:pPr>
        <w:pStyle w:val="BodyText"/>
        <w:spacing w:line="480" w:lineRule="auto"/>
        <w:ind w:firstLine="720"/>
      </w:pPr>
      <w:r>
        <w:t xml:space="preserve">First, no published cross-paper regression of cislunar OD accuracy on architecture covariates exists. The closest neighbors, Kazemi and colleagues’ 2024 survey and Turan and colleagues’ 2022 survey, organize the literature by method rather than by regime [7, 26, 27, 42, 46]. The first empirical paper of this dissertation fills the gap directly [paper 1].</w:t>
      </w:r>
    </w:p>
    <w:p>
      <w:pPr>
        <w:pStyle w:val="BodyText"/>
        <w:spacing w:line="480" w:lineRule="auto"/>
        <w:ind w:firstLine="720"/>
      </w:pPr>
      <w:r>
        <w:t xml:space="preserve">Second, no published survival analysis of cislunar custody-loss has been reported. The closest neighbor, O’Neil’s 2023 AMOS contribution on predicting custody [17, 32], formalizes the problem at the architecture level but does not fit a hazard model on the published canon. The second empirical paper of this dissertation fills the gap directly [paper 2].</w:t>
      </w:r>
    </w:p>
    <w:p>
      <w:pPr>
        <w:pStyle w:val="BodyText"/>
        <w:spacing w:line="480" w:lineRule="auto"/>
        <w:ind w:firstLine="720"/>
      </w:pPr>
      <w:r>
        <w:t xml:space="preserve">Third, no published regression of OD covariance on a continuous local dynamical-difficulty measure has been reported. The closest neighbors, Gutierrez and colleagues’ classification of state uncertainty</w:t>
      </w:r>
      <w:r>
        <w:t xml:space="preserve"> </w:t>
      </w:r>
      <w:hyperlink w:anchor="ref-1">
        <w:r>
          <w:rPr>
            <w:rStyle w:val="Hyperlink"/>
          </w:rPr>
          <w:t xml:space="preserve">[1]</w:t>
        </w:r>
      </w:hyperlink>
      <w:r>
        <w:t xml:space="preserve"> </w:t>
      </w:r>
      <w:r>
        <w:t xml:space="preserve">and Badura and colleagues’ physics-informed machine-learning evaluation across stable and chaotic regions [3, 15], use categorical regime labels rather than continuous Lyapunov-style measures. The prospectus-extension empirical paper proposes this regression and identifies the Lyapunov coefficient as the falsifiable parameter [prospectus, Section 3].</w:t>
      </w:r>
    </w:p>
    <w:p>
      <w:pPr>
        <w:pStyle w:val="BodyText"/>
        <w:spacing w:line="480" w:lineRule="auto"/>
        <w:ind w:firstLine="720"/>
      </w:pPr>
      <w:r>
        <w:t xml:space="preserve">Fourth, the architecture-trade literature [8, 9, 10, 18, 19, 23, 24, 35, 38, 39] has produced sensor-mix recommendations conditional on assumed custody capabilities. None of these contributions feeds back a measured custody-difficulty surface to the trade. The dissertation’s surface is the missing input.</w:t>
      </w:r>
    </w:p>
    <w:p>
      <w:pPr>
        <w:pStyle w:val="BodyText"/>
        <w:spacing w:line="480" w:lineRule="auto"/>
        <w:ind w:firstLine="720"/>
      </w:pPr>
      <w:r>
        <w:t xml:space="preserve">Fifth, the surveys [7, 26, 27, 42, 46] and the cross-cutting framework literature</w:t>
      </w:r>
      <w:r>
        <w:t xml:space="preserve"> </w:t>
      </w:r>
      <w:hyperlink w:anchor="ref-41">
        <w:r>
          <w:rPr>
            <w:rStyle w:val="Hyperlink"/>
          </w:rPr>
          <w:t xml:space="preserve">[41]</w:t>
        </w:r>
      </w:hyperlink>
      <w:r>
        <w:t xml:space="preserve"> </w:t>
      </w:r>
      <w:r>
        <w:t xml:space="preserve">frame the strategic question and inventory the methodological tools, but they do not provide the calibrated quantitative bridge from physics to acquisition. The dissertation’s joint contribution is precisely that bridge.</w:t>
      </w:r>
    </w:p>
    <w:p>
      <w:pPr>
        <w:pStyle w:val="BodyText"/>
        <w:spacing w:line="480" w:lineRule="auto"/>
        <w:ind w:firstLine="720"/>
      </w:pPr>
      <w:r>
        <w:t xml:space="preserve">It is worth emphasizing that the gap is not an oversight of the substantive literature. The cislunar OD canon has been productive in part because its individual contributions are tightly scoped, regime-specific, and architecture-specific. The synthesis would have been premature in 2021. By 2025, however, the cumulative density of point demonstrations is sufficient to support a cross-paper panel of the size and richness required by OLS and Cox estimation, and the substantive literature has converged on a small set of covariates, tracking gap, sensor aperture, arc length, and regime, that the methodological literature can analyze. The dissertation’s claim is therefore not that the substantive literature has overlooked the cliometric question, but that the canon has now reached the density at which the cliometric question is answerable.</w:t>
      </w:r>
    </w:p>
    <w:bookmarkEnd w:id="80"/>
    <w:bookmarkStart w:id="81" w:name="closing-claim"/>
    <w:p>
      <w:pPr>
        <w:pStyle w:val="Heading2"/>
        <w:spacing w:line="480" w:lineRule="auto"/>
      </w:pPr>
      <w:r>
        <w:t xml:space="preserve">2.5 Closing Claim</w:t>
      </w:r>
    </w:p>
    <w:p>
      <w:pPr>
        <w:pStyle w:val="FirstParagraph"/>
        <w:spacing w:line="480" w:lineRule="auto"/>
      </w:pPr>
      <w:r>
        <w:t xml:space="preserve">The literature reviewed in this chapter supports a single claim that frames the rest of the dissertation. The cislunar OD canon has produced enough quantitative point demonstrations to be analyzed as a panel; the cliometric and econometric methodology literature has produced the disciplined tools to do so; and no published work has joined the two. The dissertation joins them. The three empirical contributions, the OLS panel regression of paper 1, the Cox proportional-hazards model of paper 2, and the prospectus-extension regression on local Lyapunov stretching, are the operational deliverables of that joining, and the chapters that follow develop them in detail.</w:t>
      </w:r>
    </w:p>
    <w:bookmarkEnd w:id="81"/>
    <w:bookmarkEnd w:id="82"/>
    <w:bookmarkStart w:id="93" w:name="Xcfcc00a3ded59aed0c781c16bfc121f2a509603"/>
    <w:p>
      <w:pPr>
        <w:pStyle w:val="Heading1"/>
        <w:spacing w:line="480" w:lineRule="auto"/>
      </w:pPr>
      <w:r>
        <w:t xml:space="preserve">Chapter 3. Theoretical Framework and Hypotheses</w:t>
      </w:r>
    </w:p>
    <w:bookmarkStart w:id="83" w:name="purpose-and-scope-of-the-chapter"/>
    <w:p>
      <w:pPr>
        <w:pStyle w:val="Heading2"/>
        <w:spacing w:line="480" w:lineRule="auto"/>
      </w:pPr>
      <w:r>
        <w:t xml:space="preserve">3.1 Purpose and Scope of the Chapter</w:t>
      </w:r>
    </w:p>
    <w:p>
      <w:pPr>
        <w:pStyle w:val="FirstParagraph"/>
        <w:spacing w:line="480" w:lineRule="auto"/>
      </w:pPr>
      <w:r>
        <w:t xml:space="preserve">This chapter develops the theoretical framework that grounds the empirical work of the dissertation and states the formal hypotheses that the subsequent chapters will test. The empirical strategy of the dissertation is to construct a calibrated mapping from dynamical regime and sensor architecture to the achievable accuracy of cislunar orbit determination, and to evaluate whether the dominant explanatory variable is a property of the underlying dynamics rather than a property of the sensor inventory. The two empirical papers that anchor the dissertation, a learning-curve regression of position-uncertainty growth on architectural levers and a Cox proportional-hazards model of time to custody loss, operationalize the same underlying causal claim from a magnitude and a duration perspective. The present chapter articulates that underlying claim, traces its physical mechanism through the cislunar orbit-determination literature, and reduces the claim to a pair of falsifiable hypotheses, H0 and H1, that the rest of the dissertation will attempt to reject.</w:t>
      </w:r>
    </w:p>
    <w:p>
      <w:pPr>
        <w:pStyle w:val="BodyText"/>
        <w:spacing w:line="480" w:lineRule="auto"/>
        <w:ind w:firstLine="720"/>
      </w:pPr>
      <w:r>
        <w:t xml:space="preserve">The argument proceeds in four moves. Section 3.2 lays out the theoretical posture of the dissertation, locating the work within the orbit-determination canon and within the wider custody literature for space situational awareness. Section 3.3 develops the causal mechanism in three linked propositions, beginning with the dynamics of the circular restricted three-body problem and ending with the operational covariance of a sequential filter. Section 3.4 formalizes the construct of Custody Difficulty and defines the regression estimand that the empirical work reports. Section 3.5 states the null and alternative hypotheses and lays out the decision rule that adjudicates between them. Section 3.6 traces the auxiliary predictions of the framework, including those implications that the two empirical papers already address. Section 3.7 closes by relating the framework to threats already documented in the literature and by previewing the controls that the methods chapter will deploy.</w:t>
      </w:r>
    </w:p>
    <w:bookmarkEnd w:id="83"/>
    <w:bookmarkStart w:id="84" w:name="theoretical-posture"/>
    <w:p>
      <w:pPr>
        <w:pStyle w:val="Heading2"/>
        <w:spacing w:line="480" w:lineRule="auto"/>
      </w:pPr>
      <w:r>
        <w:t xml:space="preserve">3.2 Theoretical Posture</w:t>
      </w:r>
    </w:p>
    <w:p>
      <w:pPr>
        <w:pStyle w:val="FirstParagraph"/>
        <w:spacing w:line="480" w:lineRule="auto"/>
      </w:pPr>
      <w:r>
        <w:t xml:space="preserve">The cislunar orbit-determination literature has converged on three propositions that this dissertation takes as starting axioms. The first is that the cislunar volume is dynamically distinct from the geocentric two-body regime in ways that materially harm filter performance. Gutierrez and colleagues, working across a sample of Earth-Moon trajectories, classify state uncertainty in cislunar volumes and demonstrate that Gaussian propagation assumptions break down over operationally short horizons, while uncertainty distributions become non-Gaussian and develop heavy along-track tails</w:t>
      </w:r>
      <w:r>
        <w:t xml:space="preserve"> </w:t>
      </w:r>
      <w:hyperlink w:anchor="ref-1">
        <w:r>
          <w:rPr>
            <w:rStyle w:val="Hyperlink"/>
          </w:rPr>
          <w:t xml:space="preserve">[1]</w:t>
        </w:r>
      </w:hyperlink>
      <w:r>
        <w:t xml:space="preserve">. Badura and colleagues, working with uncertainty-aware physics-informed neural networks across stable and chaotic cislunar regions, document that the same architecture can produce orders-of-magnitude different propagated covariances depending on whether the underlying orbit family sits in a region of low or high local stretching [3, 15]. Kazemi and colleagues, in their survey of orbit determination for space situational awareness, treat this regime dependence as the binding constraint that any cislunar SDA architecture must accommodate [7, 26, 42].</w:t>
      </w:r>
    </w:p>
    <w:p>
      <w:pPr>
        <w:pStyle w:val="BodyText"/>
        <w:spacing w:line="480" w:lineRule="auto"/>
        <w:ind w:firstLine="720"/>
      </w:pPr>
      <w:r>
        <w:t xml:space="preserve">The second proposition is that observation geometry in cislunar space is structurally unfavorable. Ground-based optical and radar assets observe cislunar targets at small phase angles, at high range, and through long round-trip light times, with the result that the triangulation baseline available to a sequential filter is narrow and the along-track component of the covariance grows fastest [2, 11]. Wishnek and colleagues show that even rigorous initial orbit determination from single observation arcs admits broad solution manifolds whose width grows nonlinearly with the time between observations [5, 12]. Mandeville and colleagues, tracking Artemis I with a small-aperture optical instrument, report durable but coarse orbital determination whose uncertainty rises monotonically with the gap between optical arcs [13, 34]. Kitagawa and colleagues, by contrast, demonstrate that a twelve-meter parabolic antenna applying long-baseline aperture synthesis can hold lunar-orbiter accuracy near the five hundred meter level over short arcs, anchoring the high-aperture end of the achievable distribution</w:t>
      </w:r>
      <w:r>
        <w:t xml:space="preserve"> </w:t>
      </w:r>
      <w:hyperlink w:anchor="ref-16">
        <w:r>
          <w:rPr>
            <w:rStyle w:val="Hyperlink"/>
          </w:rPr>
          <w:t xml:space="preserve">[16]</w:t>
        </w:r>
      </w:hyperlink>
      <w:r>
        <w:t xml:space="preserve">. The geometry of the volume is therefore not destiny, but the sensor architecture must work harder against it than in geocentric regimes.</w:t>
      </w:r>
    </w:p>
    <w:p>
      <w:pPr>
        <w:pStyle w:val="BodyText"/>
        <w:spacing w:line="480" w:lineRule="auto"/>
        <w:ind w:firstLine="720"/>
      </w:pPr>
      <w:r>
        <w:t xml:space="preserve">The third proposition is that custody is a covariance-realism problem rather than a detection problem. Chow and colleagues, treating cislunar orbit determination with uncertainty-realism and data-fusion improvements, show that a filter whose reported covariance does not accurately reflect its true error distribution will produce association failures even when the underlying state estimate is acceptable [4, 21, 33]. Billings and colleagues show that initial orbit determination using constrained admissible regions with multiple-hypothesis filters reduces the operational risk of those failures in cislunar conditions</w:t>
      </w:r>
      <w:r>
        <w:t xml:space="preserve"> </w:t>
      </w:r>
      <w:hyperlink w:anchor="ref-22">
        <w:r>
          <w:rPr>
            <w:rStyle w:val="Hyperlink"/>
          </w:rPr>
          <w:t xml:space="preserve">[22]</w:t>
        </w:r>
      </w:hyperlink>
      <w:r>
        <w:t xml:space="preserve">. Givens and colleagues, in the CUSTOD-E toolset, formalize this view by treating custody maintenance as an integrated reasoning loop across detection, association, tracking, and update, in which the covariance is the load-bearing element</w:t>
      </w:r>
      <w:r>
        <w:t xml:space="preserve"> </w:t>
      </w:r>
      <w:hyperlink w:anchor="ref-6">
        <w:r>
          <w:rPr>
            <w:rStyle w:val="Hyperlink"/>
          </w:rPr>
          <w:t xml:space="preserve">[6]</w:t>
        </w:r>
      </w:hyperlink>
      <w:r>
        <w:t xml:space="preserve">. O’Neil, working from a sensor-network perspective, develops a custody-prediction model whose central object is the propagated state covariance against an operationally defined association threshold [17, 32]. The dissertation adopts this view. The dependent variable is not whether a target was acquired. It is whether the operational covariance, propagated forward under the dynamics and updated by the available measurements, remains tight enough to support the next step in the custody loop.</w:t>
      </w:r>
    </w:p>
    <w:p>
      <w:pPr>
        <w:pStyle w:val="BodyText"/>
        <w:spacing w:line="480" w:lineRule="auto"/>
        <w:ind w:firstLine="720"/>
      </w:pPr>
      <w:r>
        <w:t xml:space="preserve">These three propositions, taken together, structure the dissertation’s theoretical posture. The cislunar volume is dynamically harder than the geocentric baseline because of the local properties of the underlying three-body flow. Sensor architectures interact with that flow through measurement noise, cadence, and geometry, and the operational covariance is the variable that integrates dynamical difficulty and architectural response into a single observable. The empirical task of the dissertation is to isolate the contribution of dynamics from the contribution of architecture in that integration.</w:t>
      </w:r>
    </w:p>
    <w:bookmarkEnd w:id="84"/>
    <w:bookmarkStart w:id="88" w:name="causal-mechanism"/>
    <w:p>
      <w:pPr>
        <w:pStyle w:val="Heading2"/>
        <w:spacing w:line="480" w:lineRule="auto"/>
      </w:pPr>
      <w:r>
        <w:t xml:space="preserve">3.3 Causal Mechanism</w:t>
      </w:r>
    </w:p>
    <w:p>
      <w:pPr>
        <w:pStyle w:val="FirstParagraph"/>
        <w:spacing w:line="480" w:lineRule="auto"/>
      </w:pPr>
      <w:r>
        <w:t xml:space="preserve">The causal logic that connects dynamics to covariance proceeds in three linked steps. Each step is grounded in published results from the cislunar canon. The framework is deliberately constructed so that each link in the chain can be examined empirically and could fail independently.</w:t>
      </w:r>
    </w:p>
    <w:bookmarkStart w:id="85" w:name="Xc46088e544eb6522f198ce71154aec0977af708"/>
    <w:p>
      <w:pPr>
        <w:pStyle w:val="Heading3"/>
        <w:spacing w:line="480" w:lineRule="auto"/>
      </w:pPr>
      <w:r>
        <w:t xml:space="preserve">3.3.1 Step One: Dynamical Stretching Sets the Information Decay Rate</w:t>
      </w:r>
    </w:p>
    <w:p>
      <w:pPr>
        <w:pStyle w:val="FirstParagraph"/>
        <w:spacing w:line="480" w:lineRule="auto"/>
      </w:pPr>
      <w:r>
        <w:t xml:space="preserve">The first link runs from the local properties of the three-body flow to the rate at which a filter’s information decays between updates. The Earth-Moon circular restricted three-body problem, evaluated in the rotating synodic frame, admits a Jacobi-conserved structure whose local properties at any point in phase space can be summarized by the eigenvalues of the linearized state-transition matrix. The dominant eigenvalue magnitude, taken over a finite time horizon, is the local Lyapunov stretching exponent. In regions where this exponent is small, small uncertainties propagate slowly. In regions where it is large, small uncertainties grow exponentially with time. Badura and colleagues document this dependence directly by training physics-informed neural networks on stable and chaotic cislunar regions and reporting orders-of-magnitude differences in propagated state covariance for matched initial conditions [3, 15]. Heidrich and Holzinger, working with maneuvering cislunar arcs reconstructed by nonlinear programming, show that accuracy is bounded by the gap between observations and that the binding term is the dynamical regime through which the arc passes [14, 31]. Wright and colleagues, applying Poincare search maps to space-based cislunar SDA detection, document the structural variability of the underlying flow across libration-point families</w:t>
      </w:r>
      <w:r>
        <w:t xml:space="preserve"> </w:t>
      </w:r>
      <w:hyperlink w:anchor="ref-19">
        <w:r>
          <w:rPr>
            <w:rStyle w:val="Hyperlink"/>
          </w:rPr>
          <w:t xml:space="preserve">[19]</w:t>
        </w:r>
      </w:hyperlink>
      <w:r>
        <w:t xml:space="preserve">. Koblick documents the same variability in his three-body Tulip orbit family work, where the geometric structure of the trajectory drives the achievable observability [18, 38]. The dissertation reads this body of work as a consistent empirical claim that the local stretching of the three-body flow is the primary driver of information decay in the propagation step of any cislunar filter.</w:t>
      </w:r>
    </w:p>
    <w:p>
      <w:pPr>
        <w:pStyle w:val="BodyText"/>
        <w:spacing w:line="480" w:lineRule="auto"/>
        <w:ind w:firstLine="720"/>
      </w:pPr>
      <w:r>
        <w:t xml:space="preserve">The implication for the operational filter is direct. Between updates, the propagated covariance grows at a rate that is, to leading order, set by the local stretching. A region of high stretching loses information rapidly; a region of low stretching loses it slowly. Two architecturally identical filters operating in two different regions will therefore exhibit different propagated covariances at the next update, even before any measurement is processed.</w:t>
      </w:r>
    </w:p>
    <w:bookmarkEnd w:id="85"/>
    <w:bookmarkStart w:id="86" w:name="Xf90dd7dc9a50ec65296efd034da171af10ca661"/>
    <w:p>
      <w:pPr>
        <w:pStyle w:val="Heading3"/>
        <w:spacing w:line="480" w:lineRule="auto"/>
      </w:pPr>
      <w:r>
        <w:t xml:space="preserve">3.3.2 Step Two: Architecture Sets the Information Arrival Rate</w:t>
      </w:r>
    </w:p>
    <w:p>
      <w:pPr>
        <w:pStyle w:val="FirstParagraph"/>
        <w:spacing w:line="480" w:lineRule="auto"/>
      </w:pPr>
      <w:r>
        <w:t xml:space="preserve">The second link runs from the architecture vector, defined as the count, modality, cadence, and basing of the available sensors, to the rate at which new information arrives at the filter and reduces the propagated covariance. Tucker and colleagues develop agile space-object custody for electro-optical sensors and show that, within reachability constraints, tasking cadence and slew agility set the upper bound on information arrival</w:t>
      </w:r>
      <w:r>
        <w:t xml:space="preserve"> </w:t>
      </w:r>
      <w:hyperlink w:anchor="ref-8">
        <w:r>
          <w:rPr>
            <w:rStyle w:val="Hyperlink"/>
          </w:rPr>
          <w:t xml:space="preserve">[8]</w:t>
        </w:r>
      </w:hyperlink>
      <w:r>
        <w:t xml:space="preserve">. Fahrner and colleagues develop capacity-based cislunar SDA architecture optimization and report that the binding constraint in many cislunar configurations is tasking capacity rather than raw sensor performance</w:t>
      </w:r>
      <w:r>
        <w:t xml:space="preserve"> </w:t>
      </w:r>
      <w:hyperlink w:anchor="ref-23">
        <w:r>
          <w:rPr>
            <w:rStyle w:val="Hyperlink"/>
          </w:rPr>
          <w:t xml:space="preserve">[23]</w:t>
        </w:r>
      </w:hyperlink>
      <w:r>
        <w:t xml:space="preserve">. Klonowski and colleagues, in a related architecture optimization for cooperative agents, document that the architectural lever with the largest leverage in cislunar custody is the cadence and arrangement of the tasking schedule rather than the introduction of additional individual sensors [24, 35]. Thompson and colleagues, simulating space-based cislunar tracking, show that a well-placed space-based observer can compensate for unfavorable ground geometry</w:t>
      </w:r>
      <w:r>
        <w:t xml:space="preserve"> </w:t>
      </w:r>
      <w:hyperlink w:anchor="ref-39">
        <w:r>
          <w:rPr>
            <w:rStyle w:val="Hyperlink"/>
          </w:rPr>
          <w:t xml:space="preserve">[39]</w:t>
        </w:r>
      </w:hyperlink>
      <w:r>
        <w:t xml:space="preserve">. Koblick and Choi, examining Moon-based sensors, show that location-driven geometry advantages can exceed aperture-driven sensitivity advantages</w:t>
      </w:r>
      <w:r>
        <w:t xml:space="preserve"> </w:t>
      </w:r>
      <w:hyperlink w:anchor="ref-38">
        <w:r>
          <w:rPr>
            <w:rStyle w:val="Hyperlink"/>
          </w:rPr>
          <w:t xml:space="preserve">[38]</w:t>
        </w:r>
      </w:hyperlink>
      <w:r>
        <w:t xml:space="preserve">. Bolden and colleagues identify too-short-arc problems as a binding cadence constraint in cislunar SDA</w:t>
      </w:r>
      <w:r>
        <w:t xml:space="preserve"> </w:t>
      </w:r>
      <w:hyperlink w:anchor="ref-20">
        <w:r>
          <w:rPr>
            <w:rStyle w:val="Hyperlink"/>
          </w:rPr>
          <w:t xml:space="preserve">[20]</w:t>
        </w:r>
      </w:hyperlink>
      <w:r>
        <w:t xml:space="preserve">. Doucette and colleagues develop motion-hypothesis automation for cislunar satellite discovery</w:t>
      </w:r>
      <w:r>
        <w:t xml:space="preserve"> </w:t>
      </w:r>
      <w:hyperlink w:anchor="ref-37">
        <w:r>
          <w:rPr>
            <w:rStyle w:val="Hyperlink"/>
          </w:rPr>
          <w:t xml:space="preserve">[37]</w:t>
        </w:r>
      </w:hyperlink>
      <w:r>
        <w:t xml:space="preserve"> </w:t>
      </w:r>
      <w:r>
        <w:t xml:space="preserve">that addresses the same cadence binding from a different angle. The empirical paper one of the dissertation, which finds a tracking-gap coefficient of 0.632 kilometers per day per hour of gap and a sensor-aperture coefficient of negative 0.783 kilometers per day per meter of aperture on a thirty-five-arc panel, is consistent with this picture. The architectural levers act on the rate at which the operational covariance can be reduced.</w:t>
      </w:r>
    </w:p>
    <w:p>
      <w:pPr>
        <w:pStyle w:val="BodyText"/>
        <w:spacing w:line="480" w:lineRule="auto"/>
        <w:ind w:firstLine="720"/>
      </w:pPr>
      <w:r>
        <w:t xml:space="preserve">Three implications follow. First, the architecture vector enters the filter through both noise and rate. Aperture and modality set the per-measurement noise; cadence sets the rate at which measurements arrive. Second, these levers are not equivalent. The architecture optimization literature treats them as substitutes only over a restricted range, and reports that the substitution rate is regime-dependent [23, 24]. Third, the marginal value of any architectural addition is bounded above by the information decay rate set in step one. A region of very high stretching can defeat any sensor architecture that cannot match it with arrival rate.</w:t>
      </w:r>
    </w:p>
    <w:bookmarkEnd w:id="86"/>
    <w:bookmarkStart w:id="87" w:name="X43c5c33cb1ef6298f2be099a7fc6970c6f8dc44"/>
    <w:p>
      <w:pPr>
        <w:pStyle w:val="Heading3"/>
        <w:spacing w:line="480" w:lineRule="auto"/>
      </w:pPr>
      <w:r>
        <w:t xml:space="preserve">3.3.3 Step Three: Filter Integration Yields the Observed Covariance</w:t>
      </w:r>
    </w:p>
    <w:p>
      <w:pPr>
        <w:pStyle w:val="FirstParagraph"/>
        <w:spacing w:line="480" w:lineRule="auto"/>
      </w:pPr>
      <w:r>
        <w:t xml:space="preserve">The third link runs from the dynamics and the architecture to the operational covariance that the filter actually reports. A sequential filter, whether a Kalman variant or a Gaussian-mixture variant such as the constrained admissible region multiple-hypothesis filter used in cislunar initial orbit determination</w:t>
      </w:r>
      <w:r>
        <w:t xml:space="preserve"> </w:t>
      </w:r>
      <w:hyperlink w:anchor="ref-22">
        <w:r>
          <w:rPr>
            <w:rStyle w:val="Hyperlink"/>
          </w:rPr>
          <w:t xml:space="preserve">[22]</w:t>
        </w:r>
      </w:hyperlink>
      <w:r>
        <w:t xml:space="preserve">, integrates information decay during propagation against information arrival during update. Over a fixed propagation horizon, the time-integrated trace of the position covariance is a scalar summary of how that integration came out. Chow and colleagues’ uncertainty-realism work shows that, when the filter is well-calibrated, this scalar tracks the true error distribution and supports the downstream custody loop [4, 21]. When it is not well-calibrated, the same scalar becomes operationally useless even if the underlying point estimate is acceptable. Turan and colleagues, surveying autonomous deep-space navigation, treat covariance realism as a precondition for autonomous custody [27, 46]. Leonardi and colleagues, examining the guidance strategies for deploying a lunar navigation constellation from Gateway, assume a custody capability whose magnitude is precisely the integrated covariance behavior the present framework attempts to predict [9, 28]. Malik and Yang’s work on lunar navigation optimization with Earth GPS integration assumes a similar custody floor</w:t>
      </w:r>
      <w:r>
        <w:t xml:space="preserve"> </w:t>
      </w:r>
      <w:hyperlink w:anchor="ref-29">
        <w:r>
          <w:rPr>
            <w:rStyle w:val="Hyperlink"/>
          </w:rPr>
          <w:t xml:space="preserve">[29]</w:t>
        </w:r>
      </w:hyperlink>
      <w:r>
        <w:t xml:space="preserve">. Gambarotto and colleagues, monitoring cislunar fragmentation events with a constellation of space-based observers, take the same covariance-realism precondition as given [10, 30].</w:t>
      </w:r>
    </w:p>
    <w:p>
      <w:pPr>
        <w:pStyle w:val="BodyText"/>
        <w:spacing w:line="480" w:lineRule="auto"/>
        <w:ind w:firstLine="720"/>
      </w:pPr>
      <w:r>
        <w:t xml:space="preserve">The integration is therefore the variable that the dissertation observes. Its dependence on the upstream variables, the local stretching exponent and the architecture vector, is the relationship the empirical work measures. The Custody Difficulty index, defined formally in the next section, is the time-integrated covariance trace over a standardized horizon, normalized so that comparisons across regimes and architectures are interpretable.</w:t>
      </w:r>
    </w:p>
    <w:bookmarkEnd w:id="87"/>
    <w:bookmarkEnd w:id="88"/>
    <w:bookmarkStart w:id="89" w:name="constructs-and-the-regression-estimand"/>
    <w:p>
      <w:pPr>
        <w:pStyle w:val="Heading2"/>
        <w:spacing w:line="480" w:lineRule="auto"/>
      </w:pPr>
      <w:r>
        <w:t xml:space="preserve">3.4 Constructs and the Regression Estimand</w:t>
      </w:r>
    </w:p>
    <w:p>
      <w:pPr>
        <w:pStyle w:val="FirstParagraph"/>
        <w:spacing w:line="480" w:lineRule="auto"/>
      </w:pPr>
      <w:r>
        <w:t xml:space="preserve">The framework yields four constructs that the empirical chapters operationalize.</w:t>
      </w:r>
    </w:p>
    <w:p>
      <w:pPr>
        <w:pStyle w:val="BodyText"/>
        <w:spacing w:line="480" w:lineRule="auto"/>
        <w:ind w:firstLine="720"/>
      </w:pPr>
      <w:r>
        <w:t xml:space="preserve">The first construct is the dynamical regime, summarized by the local finite-time Lyapunov stretching exponent of the underlying periodic orbit family. This construct is grounded in the propagation work of Badura and colleagues [3, 15] and the structural mapping work of Wright and colleagues</w:t>
      </w:r>
      <w:r>
        <w:t xml:space="preserve"> </w:t>
      </w:r>
      <w:hyperlink w:anchor="ref-19">
        <w:r>
          <w:rPr>
            <w:rStyle w:val="Hyperlink"/>
          </w:rPr>
          <w:t xml:space="preserve">[19]</w:t>
        </w:r>
      </w:hyperlink>
      <w:r>
        <w:t xml:space="preserve">. It captures the rate at which information decays between updates as a property of the flow, not of the filter.</w:t>
      </w:r>
    </w:p>
    <w:p>
      <w:pPr>
        <w:pStyle w:val="BodyText"/>
        <w:spacing w:line="480" w:lineRule="auto"/>
        <w:ind w:firstLine="720"/>
      </w:pPr>
      <w:r>
        <w:t xml:space="preserve">The second construct is the sensor architecture vector, defined by sensor count, modality mix, cadence, basing, and aperture. This construct is grounded in the architecture-optimization literature [8, 20, 23, 24, 35, 38, 39] and is directly observable from any proposed acquisition baseline.</w:t>
      </w:r>
    </w:p>
    <w:p>
      <w:pPr>
        <w:pStyle w:val="BodyText"/>
        <w:spacing w:line="480" w:lineRule="auto"/>
        <w:ind w:firstLine="720"/>
      </w:pPr>
      <w:r>
        <w:t xml:space="preserve">The third construct is the time-integrated covariance trace under a standardized sequential filter run over a fourteen-day horizon. The dissertation calls this construct the Custody Difficulty index, denoted D, and defines it formally as the integrated trace of the position covariance produced by the filter over the horizon, normalized by the equivalent geosynchronous case under matched sensor count. The normalization is required because the substantive question is the cislunar regime penalty rather than the absolute covariance magnitude, and because the geosynchronous case provides a published benchmark family that the cislunar OD literature uses as a comparator [4, 7, 26, 42].</w:t>
      </w:r>
    </w:p>
    <w:p>
      <w:pPr>
        <w:pStyle w:val="BodyText"/>
        <w:spacing w:line="480" w:lineRule="auto"/>
        <w:ind w:firstLine="720"/>
      </w:pPr>
      <w:r>
        <w:t xml:space="preserve">The fourth construct is the survival of custody, defined as the time at which the propagated covariance first exceeds an operationally defined association threshold, treating cases that reach the propagation horizon without exceeding the threshold as right-censored. This construct, used in the second empirical paper of the dissertation, is the duration analog of the magnitude construct above and is grounded in the censoring patterns documented in the AMOS canon [6, 25].</w:t>
      </w:r>
    </w:p>
    <w:p>
      <w:pPr>
        <w:pStyle w:val="BodyText"/>
        <w:spacing w:line="480" w:lineRule="auto"/>
        <w:ind w:firstLine="720"/>
      </w:pPr>
      <w:r>
        <w:t xml:space="preserve">The central regression estimand of the dissertation is the partial derivative of D with respect to the local Lyapunov stretching exponent, holding sensor count, modality, cadence, and arc length fixed. The same estimand expressed as a share of explained variance is the construct that distinguishes the two hypotheses below. The second empirical paper estimates the analog estimand in the hazard space, where the relevant object is the proportional change in instantaneous custody-loss risk per unit change in the architectural levers, holding regime fixed.</w:t>
      </w:r>
    </w:p>
    <w:bookmarkEnd w:id="89"/>
    <w:bookmarkStart w:id="90" w:name="formal-hypotheses"/>
    <w:p>
      <w:pPr>
        <w:pStyle w:val="Heading2"/>
        <w:spacing w:line="480" w:lineRule="auto"/>
      </w:pPr>
      <w:r>
        <w:t xml:space="preserve">3.5 Formal Hypotheses</w:t>
      </w:r>
    </w:p>
    <w:p>
      <w:pPr>
        <w:pStyle w:val="FirstParagraph"/>
        <w:spacing w:line="480" w:lineRule="auto"/>
      </w:pPr>
      <w:r>
        <w:t xml:space="preserve">The framework yields two falsifiable hypotheses that the empirical chapters will test against the panel of orbit-determination cases described in the data chapter. The hypotheses are stated in terms of explained variance in the Custody Difficulty index D, after controlling for sensor cadence within architecture.</w:t>
      </w:r>
    </w:p>
    <w:p>
      <w:pPr>
        <w:pStyle w:val="BodyText"/>
        <w:spacing w:line="480" w:lineRule="auto"/>
        <w:ind w:firstLine="720"/>
      </w:pPr>
      <w:r>
        <w:t xml:space="preserve">H0, the null hypothesis. After controlling for sensor cadence, the variance in D across cislunar regimes is explained primarily by the sensor architecture vector. The local Lyapunov stretching exponent contributes less than twenty-five percent of the explained variance in a multivariate regression of D on the stretching exponent, sensor count, modality dummies, and cadence. Under H0, the marginal return on additional sensors does not decay sharply in regions of high stretching, and the architecture levers and the dynamical regime are approximately separable.</w:t>
      </w:r>
    </w:p>
    <w:p>
      <w:pPr>
        <w:pStyle w:val="BodyText"/>
        <w:spacing w:line="480" w:lineRule="auto"/>
        <w:ind w:firstLine="720"/>
      </w:pPr>
      <w:r>
        <w:t xml:space="preserve">H1, the alternative hypothesis. After controlling for sensor cadence, the local Lyapunov stretching exponent of the underlying periodic orbit family is the dominant explanatory variable for D, contributing more than fifty percent of the explained variance in the same regression. Under H1, the marginal return on additional sensors decays sharply in regions of high stretching, and the architecture levers and the dynamical regime are not separable. The two hypotheses are mutually exclusive in the sense relevant to the dissertation’s acquisition question: under H0, additional sensor deployment buys nearly linear additional custody across cislunar regions; under H1, additional sensor deployment is subject to a regime-dependent ceiling.</w:t>
      </w:r>
    </w:p>
    <w:p>
      <w:pPr>
        <w:pStyle w:val="BodyText"/>
        <w:spacing w:line="480" w:lineRule="auto"/>
        <w:ind w:firstLine="720"/>
      </w:pPr>
      <w:r>
        <w:t xml:space="preserve">The decision rule is as follows. The coefficient on the local Lyapunov stretching exponent in the multivariate regression is reported with bootstrapped ninety-five percent confidence intervals. If the lower bound of the share of explained variance attributable to the stretching exponent exceeds fifty percent across the primary specification and the two robustness specifications described in the methods chapter, H0 is rejected and H1 is accepted. If the upper bound falls below twenty-five percent across the same set, H1 is rejected and the framework is treated as falsified in its strong form. If neither condition holds, the result is reported as indeterminate at the present sample size and the dissertation reports the implications of that indeterminacy honestly.</w:t>
      </w:r>
    </w:p>
    <w:p>
      <w:pPr>
        <w:pStyle w:val="BodyText"/>
        <w:spacing w:line="480" w:lineRule="auto"/>
        <w:ind w:firstLine="720"/>
      </w:pPr>
      <w:r>
        <w:t xml:space="preserve">The two empirical papers already in hand inform the priors but do not preempt the test. Paper one, the learning-curve regression, returns an adjusted coefficient of determination of 0.904 on the four covariates of tracking-gap duration, sensor aperture, arc length, and a cislunar regime indicator, with a cislunar regime penalty of approximately nine kilometers per day after architectural controls. That coefficient is consistent with a substantial role for the regime variable but does not by itself isolate the Lyapunov mechanism, because the binary cislunar indicator collapses the underlying stretching distribution into a single contrast. Paper two, the Cox proportional-hazards model on the same panel, returns a tracking-gap hazard ratio of approximately 1.31 per hour and a sensor-aperture hazard ratio of approximately 0.96 per meter, with a descriptive observation that no geocentric reference case experiences a custody-loss event in the sample while fifteen of the thirty cislunar cases do. That descriptive separation is consistent with a strong regime effect but again does not by itself adjudicate between H0 and H1 because the binary cislunar indicator perfectly predicts the event and must be omitted from the fitted hazard. The chapter four methodology therefore introduces the continuous Lyapunov regressor that the present framework requires, and that the two completed empirical papers cannot deliver on their existing covariate sets.</w:t>
      </w:r>
    </w:p>
    <w:bookmarkEnd w:id="90"/>
    <w:bookmarkStart w:id="91" w:name="auxiliary-predictions"/>
    <w:p>
      <w:pPr>
        <w:pStyle w:val="Heading2"/>
        <w:spacing w:line="480" w:lineRule="auto"/>
      </w:pPr>
      <w:r>
        <w:t xml:space="preserve">3.6 Auxiliary Predictions</w:t>
      </w:r>
    </w:p>
    <w:p>
      <w:pPr>
        <w:pStyle w:val="FirstParagraph"/>
        <w:spacing w:line="480" w:lineRule="auto"/>
      </w:pPr>
      <w:r>
        <w:t xml:space="preserve">Three auxiliary predictions follow from H1 and are testable on the same dataset.</w:t>
      </w:r>
    </w:p>
    <w:p>
      <w:pPr>
        <w:pStyle w:val="BodyText"/>
        <w:spacing w:line="480" w:lineRule="auto"/>
        <w:ind w:firstLine="720"/>
      </w:pPr>
      <w:r>
        <w:t xml:space="preserve">The first auxiliary prediction is that the marginal effect of additional sensor cadence on D is largest in regions of intermediate stretching, where additional information arrival can still compress the propagated covariance, and is smallest in regions of high stretching, where the decay rate exceeds any feasible arrival rate. The architecture optimization literature already hints at this prediction [23, 24], and the dissertation’s empirical work will report the marginal effect by stretching tercile.</w:t>
      </w:r>
    </w:p>
    <w:p>
      <w:pPr>
        <w:pStyle w:val="BodyText"/>
        <w:spacing w:line="480" w:lineRule="auto"/>
        <w:ind w:firstLine="720"/>
      </w:pPr>
      <w:r>
        <w:t xml:space="preserve">The second auxiliary prediction is that the substitution rate between aperture and cadence varies across regimes. The Mandeville and Kitagawa contrast in paper one of the dissertation already documents a roughly threefold larger absolute aperture coefficient relative to the gap coefficient in native units, but the substitution rate at the regression mean does not reveal whether substitution improves or worsens in higher-stretching regions. The dissertation reports the substitution rate by regime as a follow-on regression.</w:t>
      </w:r>
    </w:p>
    <w:p>
      <w:pPr>
        <w:pStyle w:val="BodyText"/>
        <w:spacing w:line="480" w:lineRule="auto"/>
        <w:ind w:firstLine="720"/>
      </w:pPr>
      <w:r>
        <w:t xml:space="preserve">The third auxiliary prediction is that the survival analog of D, the time to custody loss, exhibits a hazard ratio on the Lyapunov regressor that is materially larger in magnitude than the hazard ratio on the architecture variables once the binary regime indicator is replaced by the continuous stretching exponent. The hazard model of paper two is the natural vehicle for that test, and the dissertation reports the rerun in chapter six.</w:t>
      </w:r>
    </w:p>
    <w:p>
      <w:pPr>
        <w:pStyle w:val="BodyText"/>
        <w:spacing w:line="480" w:lineRule="auto"/>
        <w:ind w:firstLine="720"/>
      </w:pPr>
      <w:r>
        <w:t xml:space="preserve">A fourth, narrower prediction concerns the autonomous-navigation literature. Turan and colleagues’ survey of autonomous deep-space navigation [27, 46] and the star-sensor attitude work surveyed by Ma and colleagues</w:t>
      </w:r>
      <w:r>
        <w:t xml:space="preserve"> </w:t>
      </w:r>
      <w:hyperlink w:anchor="ref-47">
        <w:r>
          <w:rPr>
            <w:rStyle w:val="Hyperlink"/>
          </w:rPr>
          <w:t xml:space="preserve">[47]</w:t>
        </w:r>
      </w:hyperlink>
      <w:r>
        <w:t xml:space="preserve"> </w:t>
      </w:r>
      <w:r>
        <w:t xml:space="preserve">both presume that the per-measurement noise can be improved by sensor and software upgrades. The framework predicts that such improvements deliver substantively larger custody gains in low-stretching regimes and smaller gains in high-stretching regimes. The Anilkumar and colleagues space-traffic-management framing for Moon-to-Mars operations</w:t>
      </w:r>
      <w:r>
        <w:t xml:space="preserve"> </w:t>
      </w:r>
      <w:hyperlink w:anchor="ref-41">
        <w:r>
          <w:rPr>
            <w:rStyle w:val="Hyperlink"/>
          </w:rPr>
          <w:t xml:space="preserve">[41]</w:t>
        </w:r>
      </w:hyperlink>
      <w:r>
        <w:t xml:space="preserve"> </w:t>
      </w:r>
      <w:r>
        <w:t xml:space="preserve">takes a structurally similar position and is consistent with the framework.</w:t>
      </w:r>
    </w:p>
    <w:bookmarkEnd w:id="91"/>
    <w:bookmarkStart w:id="92" w:name="relation-to-threats-to-validity"/>
    <w:p>
      <w:pPr>
        <w:pStyle w:val="Heading2"/>
        <w:spacing w:line="480" w:lineRule="auto"/>
      </w:pPr>
      <w:r>
        <w:t xml:space="preserve">3.7 Relation to Threats to Validity</w:t>
      </w:r>
    </w:p>
    <w:p>
      <w:pPr>
        <w:pStyle w:val="FirstParagraph"/>
        <w:spacing w:line="480" w:lineRule="auto"/>
      </w:pPr>
      <w:r>
        <w:t xml:space="preserve">The framework is built so that the threats to validity documented in the prospectus map cleanly onto the constructs and the estimand. The external-validity threat, that calibration against one mission’s tracking residuals may not generalize to a future Gateway-hosted sensor, is contained by the architectural construct because the architecture vector accommodates new modalities by additional dummy variables and an explicit noise envelope. The construct-validity threat, that the Lyapunov stretching exponent is one of several candidate measures of local difficulty, is addressed by the auxiliary specifications using finite-time Lyapunov exponents and the local condition number of the state-transition matrix. The statistical-validity threat, that the Monte Carlo sample size of five hundred per cell may be insufficient at the tails, is addressed by the bootstrapped confidence interval on the central estimand and the explicit decision rule that treats marginal cases as indeterminate rather than as supporting either hypothesis. The conclusion-validity threat, that the acquisition implication of H1 depends on a cost model the dissertation does not embed in the central estimand, is contained by reporting the cost model in an appendix rather than as part of the test.</w:t>
      </w:r>
    </w:p>
    <w:p>
      <w:pPr>
        <w:pStyle w:val="BodyText"/>
        <w:spacing w:line="480" w:lineRule="auto"/>
        <w:ind w:firstLine="720"/>
      </w:pPr>
      <w:r>
        <w:t xml:space="preserve">The chapter therefore closes with a single load-bearing statement. The dissertation treats Custody Difficulty as the integrated product of a dynamical decay rate and an architectural arrival rate, and tests whether the dynamical term dominates. The hypotheses H0 and H1 above are the operational statement of that test. The remainder of the dissertation builds the panel, fits the regression, fits the hazard, and reports the verdict.</w:t>
      </w:r>
    </w:p>
    <w:bookmarkEnd w:id="92"/>
    <w:bookmarkEnd w:id="93"/>
    <w:bookmarkStart w:id="102" w:name="chapter-4.-data-and-measurement"/>
    <w:p>
      <w:pPr>
        <w:pStyle w:val="Heading1"/>
        <w:spacing w:line="480" w:lineRule="auto"/>
      </w:pPr>
      <w:r>
        <w:t xml:space="preserve">Chapter 4. Data and Measurement</w:t>
      </w:r>
    </w:p>
    <w:bookmarkStart w:id="94" w:name="purpose-and-scope-of-the-chapter-1"/>
    <w:p>
      <w:pPr>
        <w:pStyle w:val="Heading2"/>
        <w:spacing w:line="480" w:lineRule="auto"/>
      </w:pPr>
      <w:r>
        <w:t xml:space="preserve">4.1 Purpose and Scope of the Chapter</w:t>
      </w:r>
    </w:p>
    <w:p>
      <w:pPr>
        <w:pStyle w:val="FirstParagraph"/>
        <w:spacing w:line="480" w:lineRule="auto"/>
      </w:pPr>
      <w:r>
        <w:t xml:space="preserve">This chapter describes the empirical material that the two papers comprising the quantitative core of the dissertation rely upon, names the authoritative sources from which each row in that material derives, fixes the unit of analysis, and documents how each variable is constructed from the primary records. Where the prospectus committed the program to a single calibrated mapping from dynamical regime and sensor architecture onto orbit-determination accuracy, the chapter that follows operationalizes that commitment at the level of individual observation arcs. The dissertation as a whole takes a strict position on data provenance, treating every analytic row as an audited extract from a peer-reviewed conference paper, a peer-reviewed journal article, or a publicly released mission navigation report, with the small exception of within-envelope interpolated rows that are flagged in the record as illustrative. The structure of this chapter follows that position. Section 4.2 fixes the unit of analysis and defines the population of observation arcs from which the two analytic panels are drawn. Section 4.3 catalogs the authoritative documentary sources, organized by stream. Section 4.4 documents Paper 1’s panel, its dependent variable, its four covariates, and the rules by which each was constructed. Section 4.5 documents Paper 2’s panel, its duration and event variables, and the censoring convention. Section 4.6 describes how illustrative rows are handled. Section 4.7 lays out the measurement-validity argument and the auditability of every numeric entry in the data files. Section 4.8 closes with the explicit limitations the data structure imposes on inference, which Chapter 5 then carries forward into the modeling.</w:t>
      </w:r>
    </w:p>
    <w:bookmarkEnd w:id="94"/>
    <w:bookmarkStart w:id="95" w:name="unit-of-analysis-and-population"/>
    <w:p>
      <w:pPr>
        <w:pStyle w:val="Heading2"/>
        <w:spacing w:line="480" w:lineRule="auto"/>
      </w:pPr>
      <w:r>
        <w:t xml:space="preserve">4.2 Unit of Analysis and Population</w:t>
      </w:r>
    </w:p>
    <w:p>
      <w:pPr>
        <w:pStyle w:val="FirstParagraph"/>
        <w:spacing w:line="480" w:lineRule="auto"/>
      </w:pPr>
      <w:r>
        <w:t xml:space="preserve">The unit of analysis throughout the dissertation is the orbit-determination observation arc. An arc, for purposes of this work, is a contiguous sequence of measurements processed by a sequential or batch orbit-determination filter to produce a one-sigma covariance on the target state. An arc carries with it a regime label that situates it dynamically, a tracking gap that separates the close of the arc from the next planned observation, a sensor aperture that summarizes the diameter of the primary collecting element, an arc length that records the total duration of the contributing observations, and either a reported propagation horizon or a reported moment of custody loss. The unit is the arc rather than the spacecraft, the mission, or the filter, because the literature reports its quantitative results at arc granularity. A single Artemis I tracking campaign, for example, contributes multiple distinct arcs to the panel, because the source paper reports separate covariance numbers for separate arcs</w:t>
      </w:r>
      <w:r>
        <w:t xml:space="preserve"> </w:t>
      </w:r>
      <w:hyperlink w:anchor="ref-13">
        <w:r>
          <w:rPr>
            <w:rStyle w:val="Hyperlink"/>
          </w:rPr>
          <w:t xml:space="preserve">[13]</w:t>
        </w:r>
      </w:hyperlink>
      <w:r>
        <w:t xml:space="preserve">. The same convention applies to multi-arc reports for CAPSTONE, Lunar Reconnaissance Orbiter, and the AMOS canon’s synthetic cases.</w:t>
      </w:r>
    </w:p>
    <w:p>
      <w:pPr>
        <w:pStyle w:val="BodyText"/>
        <w:spacing w:line="480" w:lineRule="auto"/>
        <w:ind w:firstLine="720"/>
      </w:pPr>
      <w:r>
        <w:t xml:space="preserve">The population of observation arcs is defined as the universe of arcs reported in the peer-reviewed cislunar orbit-determination literature for the calendar window 2019 through 2025, augmented by the publicly released mission navigation records of NASA Goddard Space Flight Center, the Jet Propulsion Laboratory, Advanced Space LLC for CAPSTONE, KARI for the Korea Pathfinder Lunar Orbiter, and the Artemis I post-flight reporting team. The two analytic panels assembled for Paper 1 and Paper 2 are census-style samples of this universe restricted to records that report sufficient detail for the variable construction described in Sections 4.4 and 4.5, with reference baselines drawn from canonical GEO, MEO, LEO, and HEO records to anchor the regime indicator</w:t>
      </w:r>
      <w:r>
        <w:t xml:space="preserve"> </w:t>
      </w:r>
      <w:hyperlink w:anchor="ref-25">
        <w:r>
          <w:rPr>
            <w:rStyle w:val="Hyperlink"/>
          </w:rPr>
          <w:t xml:space="preserve">[25]</w:t>
        </w:r>
      </w:hyperlink>
      <w:r>
        <w:t xml:space="preserve">.</w:t>
      </w:r>
    </w:p>
    <w:bookmarkEnd w:id="95"/>
    <w:bookmarkStart w:id="96" w:name="authoritative-documentary-sources"/>
    <w:p>
      <w:pPr>
        <w:pStyle w:val="Heading2"/>
        <w:spacing w:line="480" w:lineRule="auto"/>
      </w:pPr>
      <w:r>
        <w:t xml:space="preserve">4.3 Authoritative Documentary Sources</w:t>
      </w:r>
    </w:p>
    <w:p>
      <w:pPr>
        <w:pStyle w:val="FirstParagraph"/>
        <w:spacing w:line="480" w:lineRule="auto"/>
      </w:pPr>
      <w:r>
        <w:t xml:space="preserve">The empirical material is drawn from three documented streams. The streams are independent in their editorial governance and overlapping in their substantive coverage, which is the structural property that justifies treating their union as a credible cross-section of the cislunar orbit-determination state of the art.</w:t>
      </w:r>
    </w:p>
    <w:p>
      <w:pPr>
        <w:pStyle w:val="BodyText"/>
        <w:spacing w:line="480" w:lineRule="auto"/>
        <w:ind w:firstLine="720"/>
      </w:pPr>
      <w:r>
        <w:t xml:space="preserve">The first stream is the Advanced Maui Optical and Space Surveillance Technologies conference proceedings, covering the AMOS volumes from 2020 through 2025. The AMOS canon supplies the largest fraction of the panel rows. The relevant entries include Bolden, Craychee, and Griggs on too-short-arc behavior in cislunar constellations</w:t>
      </w:r>
      <w:r>
        <w:t xml:space="preserve"> </w:t>
      </w:r>
      <w:hyperlink w:anchor="ref-20">
        <w:r>
          <w:rPr>
            <w:rStyle w:val="Hyperlink"/>
          </w:rPr>
          <w:t xml:space="preserve">[20]</w:t>
        </w:r>
      </w:hyperlink>
      <w:r>
        <w:t xml:space="preserve">, Chow and colleagues on uncertainty realism and data fusion for cislunar orbit determination in both the 2021 and 2022 iterations [4, 21, 33], Billings and colleagues on CAR-MHF initial orbit determination</w:t>
      </w:r>
      <w:r>
        <w:t xml:space="preserve"> </w:t>
      </w:r>
      <w:hyperlink w:anchor="ref-22">
        <w:r>
          <w:rPr>
            <w:rStyle w:val="Hyperlink"/>
          </w:rPr>
          <w:t xml:space="preserve">[22]</w:t>
        </w:r>
      </w:hyperlink>
      <w:r>
        <w:t xml:space="preserve">, Fahrner and colleagues on capacity-based architecture optimization</w:t>
      </w:r>
      <w:r>
        <w:t xml:space="preserve"> </w:t>
      </w:r>
      <w:hyperlink w:anchor="ref-23">
        <w:r>
          <w:rPr>
            <w:rStyle w:val="Hyperlink"/>
          </w:rPr>
          <w:t xml:space="preserve">[23]</w:t>
        </w:r>
      </w:hyperlink>
      <w:r>
        <w:t xml:space="preserve">, Klonowski and colleagues on robust architecture design for cooperative agents</w:t>
      </w:r>
      <w:r>
        <w:t xml:space="preserve"> </w:t>
      </w:r>
      <w:hyperlink w:anchor="ref-24">
        <w:r>
          <w:rPr>
            <w:rStyle w:val="Hyperlink"/>
          </w:rPr>
          <w:t xml:space="preserve">[24]</w:t>
        </w:r>
      </w:hyperlink>
      <w:r>
        <w:t xml:space="preserve">, Gutierrez and colleagues on classification of Earth-Moon state uncertainty</w:t>
      </w:r>
      <w:r>
        <w:t xml:space="preserve"> </w:t>
      </w:r>
      <w:hyperlink w:anchor="ref-1">
        <w:r>
          <w:rPr>
            <w:rStyle w:val="Hyperlink"/>
          </w:rPr>
          <w:t xml:space="preserve">[1]</w:t>
        </w:r>
      </w:hyperlink>
      <w:r>
        <w:t xml:space="preserve">, Griggs and colleagues on probabilistic initial orbit determination from passive radio-frequency observations</w:t>
      </w:r>
      <w:r>
        <w:t xml:space="preserve"> </w:t>
      </w:r>
      <w:hyperlink w:anchor="ref-2">
        <w:r>
          <w:rPr>
            <w:rStyle w:val="Hyperlink"/>
          </w:rPr>
          <w:t xml:space="preserve">[2]</w:t>
        </w:r>
      </w:hyperlink>
      <w:r>
        <w:t xml:space="preserve">, Badura and colleagues on uncertainty-aware physics-informed neural networks and on the transfer-learning regularization that follows [3, 15], Wishnek and colleagues on robust initial orbit determination and on single-observation parameterized orbit determination for periodic families [5, 11, 12], Givens and colleagues on the CUSTOD-E custody toolset</w:t>
      </w:r>
      <w:r>
        <w:t xml:space="preserve"> </w:t>
      </w:r>
      <w:hyperlink w:anchor="ref-6">
        <w:r>
          <w:rPr>
            <w:rStyle w:val="Hyperlink"/>
          </w:rPr>
          <w:t xml:space="preserve">[6]</w:t>
        </w:r>
      </w:hyperlink>
      <w:r>
        <w:t xml:space="preserve">, Tucker and colleagues on agile electro-optical custody</w:t>
      </w:r>
      <w:r>
        <w:t xml:space="preserve"> </w:t>
      </w:r>
      <w:hyperlink w:anchor="ref-8">
        <w:r>
          <w:rPr>
            <w:rStyle w:val="Hyperlink"/>
          </w:rPr>
          <w:t xml:space="preserve">[8]</w:t>
        </w:r>
      </w:hyperlink>
      <w:r>
        <w:t xml:space="preserve">, Mandeville and colleagues on Artemis I small-aperture optical tracking [13, 34], Heidrich and Holzinger on maneuvering-arc reconstruction from ephemeris [14, 31], Kitagawa and colleagues on twelve-meter parabola TTC tracking</w:t>
      </w:r>
      <w:r>
        <w:t xml:space="preserve"> </w:t>
      </w:r>
      <w:hyperlink w:anchor="ref-16">
        <w:r>
          <w:rPr>
            <w:rStyle w:val="Hyperlink"/>
          </w:rPr>
          <w:t xml:space="preserve">[16]</w:t>
        </w:r>
      </w:hyperlink>
      <w:r>
        <w:t xml:space="preserve">, O’Neil on cislunar custody prediction [17, 32], Koblick on Tulip-shaped three-body orbits and on moon-based sensor benefits [18, 38], Wright and colleagues on Poincare search maps</w:t>
      </w:r>
      <w:r>
        <w:t xml:space="preserve"> </w:t>
      </w:r>
      <w:hyperlink w:anchor="ref-19">
        <w:r>
          <w:rPr>
            <w:rStyle w:val="Hyperlink"/>
          </w:rPr>
          <w:t xml:space="preserve">[19]</w:t>
        </w:r>
      </w:hyperlink>
      <w:r>
        <w:t xml:space="preserve">, Thompson and colleagues on simulated space-based measurements for Advanced Space</w:t>
      </w:r>
      <w:r>
        <w:t xml:space="preserve"> </w:t>
      </w:r>
      <w:hyperlink w:anchor="ref-39">
        <w:r>
          <w:rPr>
            <w:rStyle w:val="Hyperlink"/>
          </w:rPr>
          <w:t xml:space="preserve">[39]</w:t>
        </w:r>
      </w:hyperlink>
      <w:r>
        <w:t xml:space="preserve">, Doucette and colleagues on automated motion-hypothesis discovery</w:t>
      </w:r>
      <w:r>
        <w:t xml:space="preserve"> </w:t>
      </w:r>
      <w:hyperlink w:anchor="ref-37">
        <w:r>
          <w:rPr>
            <w:rStyle w:val="Hyperlink"/>
          </w:rPr>
          <w:t xml:space="preserve">[37]</w:t>
        </w:r>
      </w:hyperlink>
      <w:r>
        <w:t xml:space="preserve">, and Thomas and Cobb on daytime short-wave infrared custody from ground sensors</w:t>
      </w:r>
      <w:r>
        <w:t xml:space="preserve"> </w:t>
      </w:r>
      <w:hyperlink w:anchor="ref-36">
        <w:r>
          <w:rPr>
            <w:rStyle w:val="Hyperlink"/>
          </w:rPr>
          <w:t xml:space="preserve">[36]</w:t>
        </w:r>
      </w:hyperlink>
      <w:r>
        <w:t xml:space="preserve">. Each AMOS row in the panel is cited in the source field of the corresponding CSV column by author, year, and where assigned by the AMOS records office, by digital object identifier.</w:t>
      </w:r>
    </w:p>
    <w:p>
      <w:pPr>
        <w:pStyle w:val="BodyText"/>
        <w:spacing w:line="480" w:lineRule="auto"/>
        <w:ind w:firstLine="720"/>
      </w:pPr>
      <w:r>
        <w:t xml:space="preserve">The second stream is the journal Acta Astronautica, accessed across volumes 222 through 238 for the calendar window 2022 through 2025. The relevant entries supply the survey ground for the chapter’s measurement framework and the methodological vocabulary for the regression and hazard specifications used in Chapters 5 and 6. Kazemi and colleagues’ 2024 survey of orbit determination for space situational awareness is the canonical reference for the measurement-noise envelopes and the force-model assumptions used in the construction of the covariance variables [7, 26, 42]. Turan, Speretta, and Gill’s 2022 review of autonomous deep-space navigation supplies the modality-and-cadence vocabulary [27, 46]. Leonardi, De Angelis, and Pontani’s 2025 lunar navigation constellation paper [9, 28], Malik and Yang’s 2025 lunar GPS integration paper</w:t>
      </w:r>
      <w:r>
        <w:t xml:space="preserve"> </w:t>
      </w:r>
      <w:hyperlink w:anchor="ref-29">
        <w:r>
          <w:rPr>
            <w:rStyle w:val="Hyperlink"/>
          </w:rPr>
          <w:t xml:space="preserve">[29]</w:t>
        </w:r>
      </w:hyperlink>
      <w:r>
        <w:t xml:space="preserve">, Anilkumar and colleagues’ 2025 Moon-to-Mars space traffic management paper</w:t>
      </w:r>
      <w:r>
        <w:t xml:space="preserve"> </w:t>
      </w:r>
      <w:hyperlink w:anchor="ref-41">
        <w:r>
          <w:rPr>
            <w:rStyle w:val="Hyperlink"/>
          </w:rPr>
          <w:t xml:space="preserve">[41]</w:t>
        </w:r>
      </w:hyperlink>
      <w:r>
        <w:t xml:space="preserve">, Gambarotto and colleagues’ 2025 space-based fragmentation monitoring paper [10, 30], and Kilduff, Machuca, and Rosengren’s 2025 crater-detection paper</w:t>
      </w:r>
      <w:r>
        <w:t xml:space="preserve"> </w:t>
      </w:r>
      <w:hyperlink w:anchor="ref-40">
        <w:r>
          <w:rPr>
            <w:rStyle w:val="Hyperlink"/>
          </w:rPr>
          <w:t xml:space="preserve">[40]</w:t>
        </w:r>
      </w:hyperlink>
      <w:r>
        <w:t xml:space="preserve"> </w:t>
      </w:r>
      <w:r>
        <w:t xml:space="preserve">together populate the journal-side regime and architecture references that anchor the panel beyond the AMOS conference record. Kelecy and colleagues’ 2019 paper on automated near real-time validation of optical data supplies the measurement-validation vocabulary used in Section 4.7</w:t>
      </w:r>
      <w:r>
        <w:t xml:space="preserve"> </w:t>
      </w:r>
      <w:hyperlink w:anchor="ref-43">
        <w:r>
          <w:rPr>
            <w:rStyle w:val="Hyperlink"/>
          </w:rPr>
          <w:t xml:space="preserve">[43]</w:t>
        </w:r>
      </w:hyperlink>
      <w:r>
        <w:t xml:space="preserve">. Ishida and colleagues on SLIM vision-based navigation flight results</w:t>
      </w:r>
      <w:r>
        <w:t xml:space="preserve"> </w:t>
      </w:r>
      <w:hyperlink w:anchor="ref-45">
        <w:r>
          <w:rPr>
            <w:rStyle w:val="Hyperlink"/>
          </w:rPr>
          <w:t xml:space="preserve">[45]</w:t>
        </w:r>
      </w:hyperlink>
      <w:r>
        <w:t xml:space="preserve"> </w:t>
      </w:r>
      <w:r>
        <w:t xml:space="preserve">and Ma, Dai, and Ni on star-sensor attitude accuracy</w:t>
      </w:r>
      <w:r>
        <w:t xml:space="preserve"> </w:t>
      </w:r>
      <w:hyperlink w:anchor="ref-47">
        <w:r>
          <w:rPr>
            <w:rStyle w:val="Hyperlink"/>
          </w:rPr>
          <w:t xml:space="preserve">[47]</w:t>
        </w:r>
      </w:hyperlink>
      <w:r>
        <w:t xml:space="preserve"> </w:t>
      </w:r>
      <w:r>
        <w:t xml:space="preserve">supply complementary measurement-noise context for the modalities adjacent to the panel.</w:t>
      </w:r>
    </w:p>
    <w:p>
      <w:pPr>
        <w:pStyle w:val="BodyText"/>
        <w:spacing w:line="480" w:lineRule="auto"/>
        <w:ind w:firstLine="720"/>
      </w:pPr>
      <w:r>
        <w:t xml:space="preserve">The third stream is the NASA mission navigation literature, which is publicly released and archived on the NASA Technical Reports Server and on the mission operator websites. The relevant entries are aggregated under the program-level citation maintained at</w:t>
      </w:r>
      <w:r>
        <w:t xml:space="preserve"> </w:t>
      </w:r>
      <w:hyperlink w:anchor="ref-25">
        <w:r>
          <w:rPr>
            <w:rStyle w:val="Hyperlink"/>
          </w:rPr>
          <w:t xml:space="preserve">[25]</w:t>
        </w:r>
      </w:hyperlink>
      <w:r>
        <w:t xml:space="preserve">, which records the CAPSTONE mission navigation status updates issued by Advanced Space for the near-rectilinear halo orbit operations, the Lunar Reconnaissance Orbiter mission navigation reports including the Mazarico and colleagues NTRS deposit, the Artemis I post-flight navigation summary deposited at NTRS, the Folta and colleagues report on ARTEMIS Lunar Lissajous trajectory design and orbit determination, the KARI Korea Pathfinder Lunar Orbiter operations report for 2023, and the NASA LADEE end-of-mission Deep Space Network tracking timeline for 2014. Each mission row in the panel cites the parent program through</w:t>
      </w:r>
      <w:r>
        <w:t xml:space="preserve"> </w:t>
      </w:r>
      <w:hyperlink w:anchor="ref-25">
        <w:r>
          <w:rPr>
            <w:rStyle w:val="Hyperlink"/>
          </w:rPr>
          <w:t xml:space="preserve">[25]</w:t>
        </w:r>
      </w:hyperlink>
      <w:r>
        <w:t xml:space="preserve"> </w:t>
      </w:r>
      <w:r>
        <w:t xml:space="preserve">and the specific deposit through the NTRS or operator identifier recorded in the source field. The KARI and Advanced Space entries are governed by mission-operator publication policies rather than agency archival policy, but each entry is publicly retrievable and stable.</w:t>
      </w:r>
    </w:p>
    <w:bookmarkEnd w:id="96"/>
    <w:bookmarkStart w:id="97" w:name="X36989431a3313d3dc2603269875cc572a7a185d"/>
    <w:p>
      <w:pPr>
        <w:pStyle w:val="Heading2"/>
        <w:spacing w:line="480" w:lineRule="auto"/>
      </w:pPr>
      <w:r>
        <w:t xml:space="preserve">4.4 Paper 1 Panel: Variable Construction for the Learning-Curve Regression</w:t>
      </w:r>
    </w:p>
    <w:p>
      <w:pPr>
        <w:pStyle w:val="FirstParagraph"/>
        <w:spacing w:line="480" w:lineRule="auto"/>
      </w:pPr>
      <w:r>
        <w:t xml:space="preserve">Paper 1’s panel comprises thirty-five observation arcs and is recorded canonically as p1/data.csv with one row per arc and one column per variable. The dependent variable, the four covariates, and the source field are each constructed by the rules given below. The construction rules are written so that an external reviewer can in principle reconstruct each numeric entry from the cited primary record.</w:t>
      </w:r>
    </w:p>
    <w:p>
      <w:pPr>
        <w:pStyle w:val="BodyText"/>
        <w:spacing w:line="480" w:lineRule="auto"/>
        <w:ind w:firstLine="720"/>
      </w:pPr>
      <w:r>
        <w:t xml:space="preserve">The dependent variable is position-uncertainty growth in kilometers per day. For each row, the growth value is computed from the one-sigma position covariance reported by the source paper at the close of the observation arc. Where the source paper reports a covariance trace at multiple horizons within the same arc, the growth is computed by ordinary linear difference between the reported horizons, scaled to a per-day rate. Where the source paper reports a covariance at a single horizon, the growth is reported as the covariance divided by the horizon length in days. Where the source paper reports its covariance in a frame other than the inertial Earth-centered J2000 frame favored by the cislunar canon, the value is rotated into that frame before differencing, using the rotation conventions documented in the survey paper [7, 26]. The reported value is therefore an extract from each paper’s own covariance reporting rather than an independent reduction of raw measurements.</w:t>
      </w:r>
    </w:p>
    <w:p>
      <w:pPr>
        <w:pStyle w:val="BodyText"/>
        <w:spacing w:line="480" w:lineRule="auto"/>
        <w:ind w:firstLine="720"/>
      </w:pPr>
      <w:r>
        <w:t xml:space="preserve">The first covariate is tracking-gap duration in hours. For each row, the gap is the time between the close of the contributing observation arc and the next planned observation as reported by the source paper. Where the source paper reports a representative or design tracking gap rather than a single realized gap, that design value is used and the source field carries the design tag. The tracking-gap variable ranges across the panel from approximately one hour to approximately forty-eight hours, which is the operational envelope reported across the AMOS cislunar canon for ground and space-based optical tasking and for radio-frequency follow-up [4, 11, 17].</w:t>
      </w:r>
    </w:p>
    <w:p>
      <w:pPr>
        <w:pStyle w:val="BodyText"/>
        <w:spacing w:line="480" w:lineRule="auto"/>
        <w:ind w:firstLine="720"/>
      </w:pPr>
      <w:r>
        <w:t xml:space="preserve">The second covariate is sensor aperture in meters. For each row, the aperture is the diameter of the primary collecting element of the principal sensor that contributed to the arc, as reported by the source paper or by the mission operator. Where the principal sensor is a parabolic radio antenna, as in the twelve-meter case reported by Kitagawa and colleagues</w:t>
      </w:r>
      <w:r>
        <w:t xml:space="preserve"> </w:t>
      </w:r>
      <w:hyperlink w:anchor="ref-16">
        <w:r>
          <w:rPr>
            <w:rStyle w:val="Hyperlink"/>
          </w:rPr>
          <w:t xml:space="preserve">[16]</w:t>
        </w:r>
      </w:hyperlink>
      <w:r>
        <w:t xml:space="preserve">, the antenna diameter is recorded. Where the principal sensor is an optical telescope, the entrance pupil diameter is recorded. Where the principal sensor is a space-based asset and the source paper does not state the aperture, the operator-reported aperture is recorded and the source field carries the operator citation. The aperture variable ranges across the panel from approximately a half-meter small-aperture optical telescope through a thirty-four-meter Deep Space Network antenna.</w:t>
      </w:r>
    </w:p>
    <w:p>
      <w:pPr>
        <w:pStyle w:val="BodyText"/>
        <w:spacing w:line="480" w:lineRule="auto"/>
        <w:ind w:firstLine="720"/>
      </w:pPr>
      <w:r>
        <w:t xml:space="preserve">The third covariate is arc length in hours. For each row, the arc length is the duration of the contributing observation arc as reported by the source paper. Where the source paper reports a multi-arc campaign, each arc contributes one row, and the arc length is the duration of that arc, not the duration of the campaign.</w:t>
      </w:r>
    </w:p>
    <w:p>
      <w:pPr>
        <w:pStyle w:val="BodyText"/>
        <w:spacing w:line="480" w:lineRule="auto"/>
        <w:ind w:firstLine="720"/>
      </w:pPr>
      <w:r>
        <w:t xml:space="preserve">The fourth covariate is a binary indicator for cislunar regime. The indicator takes the value one for arcs whose target sits in the cislunar volume bounded by geosynchronous altitude and the lunar sphere of influence, and zero for arcs whose target sits in geostationary, medium Earth, low Earth, or highly elliptical orbits. The indicator is recorded from the regime declaration of the source paper; the indicator is not constructed by independent dynamical classification. This convention follows the practice of the survey paper [7, 26] and is faithful to the way the source papers themselves carve the regime question.</w:t>
      </w:r>
    </w:p>
    <w:p>
      <w:pPr>
        <w:pStyle w:val="BodyText"/>
        <w:spacing w:line="480" w:lineRule="auto"/>
        <w:ind w:firstLine="720"/>
      </w:pPr>
      <w:r>
        <w:t xml:space="preserve">The source field records, for each row, the originating paper, the year, and where assigned the digital object identifier. Rows that arise from within-envelope interpolation rather than direct extraction carry the illustrative tag in the source field, as documented in Section 4.6.</w:t>
      </w:r>
    </w:p>
    <w:bookmarkEnd w:id="97"/>
    <w:bookmarkStart w:id="98" w:name="Xacfb9e62379c090f029ac5939dc3e7f5469f90a"/>
    <w:p>
      <w:pPr>
        <w:pStyle w:val="Heading2"/>
        <w:spacing w:line="480" w:lineRule="auto"/>
      </w:pPr>
      <w:r>
        <w:t xml:space="preserve">4.5 Paper 2 Panel: Duration, Event Construction, and Censoring</w:t>
      </w:r>
    </w:p>
    <w:p>
      <w:pPr>
        <w:pStyle w:val="FirstParagraph"/>
        <w:spacing w:line="480" w:lineRule="auto"/>
      </w:pPr>
      <w:r>
        <w:t xml:space="preserve">Paper 2’s panel comprises thirty-five orbit-determination cases recorded canonically as p2/data.csv. The covariate set is identical in name and construction rule to Paper 1’s covariate set. The panel differs from Paper 1’s in two respects. First, it carries a duration variable in days. Second, it carries a binary event variable equal to one for cases in which the source record reports a custody-loss event before the close of the propagation horizon, and zero for cases in which the source record reports custody held through the close of its reported horizon. The latter class is treated as right-censored in the survival framework adopted in Chapter 6.</w:t>
      </w:r>
    </w:p>
    <w:p>
      <w:pPr>
        <w:pStyle w:val="BodyText"/>
        <w:spacing w:line="480" w:lineRule="auto"/>
        <w:ind w:firstLine="720"/>
      </w:pPr>
      <w:r>
        <w:t xml:space="preserve">The duration variable is constructed from the source record by one of two rules. For cases in which the source paper reports an explicit moment of custody loss, the duration is the elapsed time in days between the close of the contributing arc and the reported moment of loss. For cases in which the source paper reports a propagation horizon and a custody-held determination at the close of that horizon, the duration is the horizon length in days and the event indicator is set to zero. The threshold against which custody is adjudicated is the threshold adopted in the source paper, which in the cislunar canon is most commonly an along-track three-sigma value exceeding the resolution cell of the next planned observation [17, 32, 22]. The duration variable accordingly inherits the operational definition of custody used in each source paper rather than imposing a single dissertation-level threshold, which would require a re-reduction of raw covariance traces that the published record does not always make available.</w:t>
      </w:r>
    </w:p>
    <w:p>
      <w:pPr>
        <w:pStyle w:val="BodyText"/>
        <w:spacing w:line="480" w:lineRule="auto"/>
        <w:ind w:firstLine="720"/>
      </w:pPr>
      <w:r>
        <w:t xml:space="preserve">The event indicator follows directly from the source record. Fifteen of the thirty cislunar cases in the assembled sample report a custody-loss event within the reported horizon. The remaining cislunar cases and all of the GEO, MEO, LEO, and HEO reference baselines report custody held through the close of the reported horizon and are coded as right-censored. The cislunar indicator is recorded in the panel for descriptive purposes but is omitted from the fitted Cox model, because in the present sample the indicator perfectly predicts the event status of the non-cislunar baselines, and the resulting separation problem would render the partial-likelihood coefficient on the cislunar dummy uninformative.</w:t>
      </w:r>
    </w:p>
    <w:bookmarkEnd w:id="98"/>
    <w:bookmarkStart w:id="99" w:name="X8312688ed2366bf08d9fcd4d68d4786df56c08d"/>
    <w:p>
      <w:pPr>
        <w:pStyle w:val="Heading2"/>
        <w:spacing w:line="480" w:lineRule="auto"/>
      </w:pPr>
      <w:r>
        <w:t xml:space="preserve">4.6 Illustrative Rows and Within-Envelope Interpolation</w:t>
      </w:r>
    </w:p>
    <w:p>
      <w:pPr>
        <w:pStyle w:val="FirstParagraph"/>
        <w:spacing w:line="480" w:lineRule="auto"/>
      </w:pPr>
      <w:r>
        <w:t xml:space="preserve">A minority of rows in each panel are constructed by within-envelope interpolation rather than by direct extraction. These rows arise when a source paper reports a regime, an aperture, an arc length, and a tracking-gap configuration, but does not report the precise covariance growth or the precise time to custody loss for the configuration recorded in the panel. In each such case, the missing value is interpolated within the envelope reported by the source paper for adjacent configurations, and the row is flagged in the source field with the illustrative tag. Illustrative rows account for under fifteen percent of the panel in each paper, in line with the standing rule for empirical data construction in this dissertation program. They are kept in the analytic sample because excluding them would create a non-random missingness pattern, and because the within-envelope nature of the interpolation makes them informative for cross-regime contrast even where the precise covariance value is not directly extractable from the source. The robustness appendix to Chapter 5 reports the regression results with the illustrative rows excluded, as a sensitivity check.</w:t>
      </w:r>
    </w:p>
    <w:bookmarkEnd w:id="99"/>
    <w:bookmarkStart w:id="100" w:name="measurement-validity-and-auditability"/>
    <w:p>
      <w:pPr>
        <w:pStyle w:val="Heading2"/>
        <w:spacing w:line="480" w:lineRule="auto"/>
      </w:pPr>
      <w:r>
        <w:t xml:space="preserve">4.7 Measurement Validity and Auditability</w:t>
      </w:r>
    </w:p>
    <w:p>
      <w:pPr>
        <w:pStyle w:val="FirstParagraph"/>
        <w:spacing w:line="480" w:lineRule="auto"/>
      </w:pPr>
      <w:r>
        <w:t xml:space="preserve">The measurement-validity argument rests on four properties of the construction described above. First, each variable in each panel is constructed from a single named primary source per row, and the source field in the CSV records that source verbatim. A reviewer who doubts a numeric entry can therefore retrieve the parent document and check the entry against the document. Second, the regime indicator is recorded from the source paper’s own regime declaration, which makes the indicator faithful to the way the cislunar literature itself organizes its regime taxonomy and avoids the construction of a dissertation-level regime classifier that the literature has not yet adopted. Third, the dependent and duration variables are constructed by mechanical rules from the source paper’s reported covariance and reported horizon, not by independent reduction of raw measurements. The rules are documented in Sections 4.4 and 4.5 and are reproducible from each source paper. Fourth, the auditability of each row is preserved through the source field, the illustrative tag, and the canonical CSV file paths, which permit a reviewer or a downstream replication team to walk each numeric entry back to its source.</w:t>
      </w:r>
    </w:p>
    <w:p>
      <w:pPr>
        <w:pStyle w:val="BodyText"/>
        <w:spacing w:line="480" w:lineRule="auto"/>
        <w:ind w:firstLine="720"/>
      </w:pPr>
      <w:r>
        <w:t xml:space="preserve">The measurement-noise envelopes used to interpret the dependent variable are calibrated against the published error characterizations in the data-fusion and uncertainty-realism paper of Chow and colleagues [4, 21, 33] and against the survey ranges in Kazemi and colleagues [7, 26, 42]. The dynamical-grid construction underlying the regime variable follows the periodic-family catalogs used by Badura and colleagues [3, 15] and by Wishnek and colleagues [5, 12]. The validation vocabulary used to discuss measurement quality follows Kelecy and colleagues’ work on automated near real-time validation</w:t>
      </w:r>
      <w:r>
        <w:t xml:space="preserve"> </w:t>
      </w:r>
      <w:hyperlink w:anchor="ref-43">
        <w:r>
          <w:rPr>
            <w:rStyle w:val="Hyperlink"/>
          </w:rPr>
          <w:t xml:space="preserve">[43]</w:t>
        </w:r>
      </w:hyperlink>
      <w:r>
        <w:t xml:space="preserve">. These citations function in the chapter as the audit chain for the measurement decisions, not as additional rows in the panel.</w:t>
      </w:r>
    </w:p>
    <w:bookmarkEnd w:id="100"/>
    <w:bookmarkStart w:id="101" w:name="Xb16a421aa8be701fe77e6cb615cfcc89e9dfed3"/>
    <w:p>
      <w:pPr>
        <w:pStyle w:val="Heading2"/>
        <w:spacing w:line="480" w:lineRule="auto"/>
      </w:pPr>
      <w:r>
        <w:t xml:space="preserve">4.8 Limitations Imposed by the Data Structure</w:t>
      </w:r>
    </w:p>
    <w:p>
      <w:pPr>
        <w:pStyle w:val="FirstParagraph"/>
        <w:spacing w:line="480" w:lineRule="auto"/>
      </w:pPr>
      <w:r>
        <w:t xml:space="preserve">Four limitations follow directly from the data structure documented above and bind the inference reported in Chapters 5 and 6.</w:t>
      </w:r>
    </w:p>
    <w:p>
      <w:pPr>
        <w:pStyle w:val="BodyText"/>
        <w:spacing w:line="480" w:lineRule="auto"/>
        <w:ind w:firstLine="720"/>
      </w:pPr>
      <w:r>
        <w:t xml:space="preserve">First, the panel is small. Thirty-five arcs per paper is sufficient to identify large effects with confidence in an ordinary least squares specification with four covariates and in a Cox proportional-hazards specification with three covariates, but it is not sufficient to fit interaction terms cleanly, and the standard errors should be read as wide rather than narrow credible intervals around the central estimates.</w:t>
      </w:r>
    </w:p>
    <w:p>
      <w:pPr>
        <w:pStyle w:val="BodyText"/>
        <w:spacing w:line="480" w:lineRule="auto"/>
        <w:ind w:firstLine="720"/>
      </w:pPr>
      <w:r>
        <w:t xml:space="preserve">Second, the panel is constructed from reported covariance and reported horizons rather than from re-reduced raw measurements. The dissertation accordingly inherits the measurement decisions of its source papers, including their force-model assumptions and their measurement-noise envelopes. The robustness appendix to Chapter 5 reports a sensitivity check in which the measurement-noise envelope is doubled across all rows, following the precedent in the survey paper</w:t>
      </w:r>
      <w:r>
        <w:t xml:space="preserve"> </w:t>
      </w:r>
      <w:hyperlink w:anchor="ref-7">
        <w:r>
          <w:rPr>
            <w:rStyle w:val="Hyperlink"/>
          </w:rPr>
          <w:t xml:space="preserve">[7]</w:t>
        </w:r>
      </w:hyperlink>
      <w:r>
        <w:t xml:space="preserve">.</w:t>
      </w:r>
    </w:p>
    <w:p>
      <w:pPr>
        <w:pStyle w:val="BodyText"/>
        <w:spacing w:line="480" w:lineRule="auto"/>
        <w:ind w:firstLine="720"/>
      </w:pPr>
      <w:r>
        <w:t xml:space="preserve">Third, the reference baselines from geostationary, medium Earth, low Earth, and highly elliptical orbits are populated only by census-style entries from canonical SSN catalog references aggregated under</w:t>
      </w:r>
      <w:r>
        <w:t xml:space="preserve"> </w:t>
      </w:r>
      <w:hyperlink w:anchor="ref-25">
        <w:r>
          <w:rPr>
            <w:rStyle w:val="Hyperlink"/>
          </w:rPr>
          <w:t xml:space="preserve">[25]</w:t>
        </w:r>
      </w:hyperlink>
      <w:r>
        <w:t xml:space="preserve">, and in the assembled sample contain no custody-loss events by construction. The fitted hazard ratios in Chapter 6 should accordingly not be extrapolated outside the cislunar covariate range without additional data.</w:t>
      </w:r>
    </w:p>
    <w:p>
      <w:pPr>
        <w:pStyle w:val="BodyText"/>
        <w:spacing w:line="480" w:lineRule="auto"/>
        <w:ind w:firstLine="720"/>
      </w:pPr>
      <w:r>
        <w:t xml:space="preserve">Fourth, the cislunar regime indicator is binary by construction and does not record the local Lyapunov stretching exponent that the prospectus posits as the deep regime variable. Chapter 5 carries forward the binary indicator for the learning-curve regression, and Chapter 7 returns to the Lyapunov-stretching reading proposed in the prospectus in the form of a sensitivity surface rather than a panel covariate, because the published cislunar literature does not yet report Lyapunov exponents at the granularity required to populate a thirty-five-row panel.</w:t>
      </w:r>
    </w:p>
    <w:p>
      <w:pPr>
        <w:pStyle w:val="BodyText"/>
        <w:spacing w:line="480" w:lineRule="auto"/>
        <w:ind w:firstLine="720"/>
      </w:pPr>
      <w:r>
        <w:t xml:space="preserve">These limitations are explicit and are taken as binding on the inference. The chapter accordingly closes by reaffirming that the empirical material assembled here is faithful to the published record, is auditable row by row, and is sufficient to support the two falsifiable claims of Paper 1 and Paper 2 without overreaching the documentary base from which it is drawn.</w:t>
      </w:r>
    </w:p>
    <w:bookmarkEnd w:id="101"/>
    <w:bookmarkEnd w:id="102"/>
    <w:bookmarkStart w:id="111" w:name="chapter-5.-methods-and-identification"/>
    <w:p>
      <w:pPr>
        <w:pStyle w:val="Heading1"/>
        <w:spacing w:line="480" w:lineRule="auto"/>
      </w:pPr>
      <w:r>
        <w:t xml:space="preserve">Chapter 5. Methods and Identification</w:t>
      </w:r>
    </w:p>
    <w:bookmarkStart w:id="103" w:name="overview-of-the-estimation-program"/>
    <w:p>
      <w:pPr>
        <w:pStyle w:val="Heading2"/>
        <w:spacing w:line="480" w:lineRule="auto"/>
      </w:pPr>
      <w:r>
        <w:t xml:space="preserve">5.1 Overview of the Estimation Program</w:t>
      </w:r>
    </w:p>
    <w:p>
      <w:pPr>
        <w:pStyle w:val="FirstParagraph"/>
        <w:spacing w:line="480" w:lineRule="auto"/>
      </w:pPr>
      <w:r>
        <w:t xml:space="preserve">This chapter specifies the estimators that produce the Cislunar Custody Difficulty (CCD) surface, the identification strategy that licenses the causal reading of its coefficients, and the threats to validity that bound each inference. The dissertation makes one falsifiable claim. After controlling for sensor cadence, the local Lyapunov stretching of the underlying periodic-orbit family is the dominant explanatory variable for the time-integrated covariance growth of a sequential orbit-determination (OD) filter operating in cislunar space, and the marginal return on additional sensors decays sharply in high-stretching regimes</w:t>
      </w:r>
      <w:r>
        <w:t xml:space="preserve"> </w:t>
      </w:r>
      <w:hyperlink w:anchor="ref-7">
        <w:r>
          <w:rPr>
            <w:rStyle w:val="Hyperlink"/>
          </w:rPr>
          <w:t xml:space="preserve">[7]</w:t>
        </w:r>
      </w:hyperlink>
      <w:r>
        <w:t xml:space="preserve">. Two complementary empirical specifications support that claim. The first, developed in Paper 1, is an ordinary least squares (OLS) learning curve that maps tracking gap, sensor aperture, and a cislunar regime indicator onto the daily growth rate of position uncertainty. The second, developed in Paper 2, is a Cox proportional-hazards (PH) model that maps the same architectural levers onto the time to custody loss. The two estimators are deliberately heterogeneous, so that any inference that survives both does not depend on the parametric assumptions of either.</w:t>
      </w:r>
    </w:p>
    <w:p>
      <w:pPr>
        <w:pStyle w:val="BodyText"/>
        <w:spacing w:line="480" w:lineRule="auto"/>
        <w:ind w:firstLine="720"/>
      </w:pPr>
      <w:r>
        <w:t xml:space="preserve">The methods chapter is organized in three blocks. The first block develops the dynamical and measurement primitives. The second block specifies the three estimators in formal terms: the inner sequential filter that generates each (regime, architecture) cell observation, the OLS specification on the magnitude side, and the Cox PH specification on the duration side. The third block enumerates the threats to validity, classified under the Shadish-Cook-Campbell rubric of statistical conclusion, internal, construct, and external validity, and explains how each threat is bounded by design rather than asserted away.</w:t>
      </w:r>
    </w:p>
    <w:bookmarkEnd w:id="103"/>
    <w:bookmarkStart w:id="104" w:name="dynamical-and-measurement-primitives"/>
    <w:p>
      <w:pPr>
        <w:pStyle w:val="Heading2"/>
        <w:spacing w:line="480" w:lineRule="auto"/>
      </w:pPr>
      <w:r>
        <w:t xml:space="preserve">5.2 Dynamical and Measurement Primitives</w:t>
      </w:r>
    </w:p>
    <w:p>
      <w:pPr>
        <w:pStyle w:val="FirstParagraph"/>
        <w:spacing w:line="480" w:lineRule="auto"/>
      </w:pPr>
      <w:r>
        <w:t xml:space="preserve">The state space is the Earth-Moon circular restricted three-body (CR3BP) rotating frame. Let r in R^6 denote the position and velocity of a resident space object in that frame, and let A denote the sensor architecture, a vector comprising sensor count, modality mix (ground optical, ground radar, space optical, Gateway-hosted), basing, and cadence. The state evolves under the CR3BP equations of motion augmented by the solar gravitational perturbation and by solar radiation pressure, using the force-model recommendations summarized in the OD survey of Kazemi and colleagues</w:t>
      </w:r>
      <w:r>
        <w:t xml:space="preserve"> </w:t>
      </w:r>
      <w:hyperlink w:anchor="ref-7">
        <w:r>
          <w:rPr>
            <w:rStyle w:val="Hyperlink"/>
          </w:rPr>
          <w:t xml:space="preserve">[7]</w:t>
        </w:r>
      </w:hyperlink>
      <w:r>
        <w:t xml:space="preserve"> </w:t>
      </w:r>
      <w:r>
        <w:t xml:space="preserve">and consistent with the working force models in the cislunar OD canon [1, 4, 33]. Maneuvers are excluded from the central estimand; the maneuver-reconstruction case is treated as a robustness specification using the nonlinear-programming approach of Heidrich and Holzinger [14, 31].</w:t>
      </w:r>
    </w:p>
    <w:p>
      <w:pPr>
        <w:pStyle w:val="BodyText"/>
        <w:spacing w:line="480" w:lineRule="auto"/>
        <w:ind w:firstLine="720"/>
      </w:pPr>
      <w:r>
        <w:t xml:space="preserve">The measurement model attaches to each sensor in A a noise envelope drawn from the published characterizations in the cislunar OD literature. Ground optical angles inherit the noise model used by Mandeville and colleagues for small-aperture Artemis I tracking [13, 34] and the daytime SWIR characterization of Thomas and Cobb</w:t>
      </w:r>
      <w:r>
        <w:t xml:space="preserve"> </w:t>
      </w:r>
      <w:hyperlink w:anchor="ref-36">
        <w:r>
          <w:rPr>
            <w:rStyle w:val="Hyperlink"/>
          </w:rPr>
          <w:t xml:space="preserve">[36]</w:t>
        </w:r>
      </w:hyperlink>
      <w:r>
        <w:t xml:space="preserve">. Ground radar inherits the InTrack envelope reported by Doucette and colleagues for cislunar discovery and motion-hypothesis processing</w:t>
      </w:r>
      <w:r>
        <w:t xml:space="preserve"> </w:t>
      </w:r>
      <w:hyperlink w:anchor="ref-37">
        <w:r>
          <w:rPr>
            <w:rStyle w:val="Hyperlink"/>
          </w:rPr>
          <w:t xml:space="preserve">[37]</w:t>
        </w:r>
      </w:hyperlink>
      <w:r>
        <w:t xml:space="preserve">. Space-based optical inherits the Advanced Space simulated measurement envelopes reported by Thompson and colleagues</w:t>
      </w:r>
      <w:r>
        <w:t xml:space="preserve"> </w:t>
      </w:r>
      <w:hyperlink w:anchor="ref-39">
        <w:r>
          <w:rPr>
            <w:rStyle w:val="Hyperlink"/>
          </w:rPr>
          <w:t xml:space="preserve">[39]</w:t>
        </w:r>
      </w:hyperlink>
      <w:r>
        <w:t xml:space="preserve"> </w:t>
      </w:r>
      <w:r>
        <w:t xml:space="preserve">and the moon-based sensor benefit analysis of Koblick and Choi</w:t>
      </w:r>
      <w:r>
        <w:t xml:space="preserve"> </w:t>
      </w:r>
      <w:hyperlink w:anchor="ref-38">
        <w:r>
          <w:rPr>
            <w:rStyle w:val="Hyperlink"/>
          </w:rPr>
          <w:t xml:space="preserve">[38]</w:t>
        </w:r>
      </w:hyperlink>
      <w:r>
        <w:t xml:space="preserve">. Passive RF inherits the noise model of Griggs and colleagues</w:t>
      </w:r>
      <w:r>
        <w:t xml:space="preserve"> </w:t>
      </w:r>
      <w:hyperlink w:anchor="ref-2">
        <w:r>
          <w:rPr>
            <w:rStyle w:val="Hyperlink"/>
          </w:rPr>
          <w:t xml:space="preserve">[2]</w:t>
        </w:r>
      </w:hyperlink>
      <w:r>
        <w:t xml:space="preserve">. Long-baseline RF inherits the Kitagawa twelve-meter parabola characterization</w:t>
      </w:r>
      <w:r>
        <w:t xml:space="preserve"> </w:t>
      </w:r>
      <w:hyperlink w:anchor="ref-16">
        <w:r>
          <w:rPr>
            <w:rStyle w:val="Hyperlink"/>
          </w:rPr>
          <w:t xml:space="preserve">[16]</w:t>
        </w:r>
      </w:hyperlink>
      <w:r>
        <w:t xml:space="preserve">. Every envelope is held fixed across the (regime, architecture) grid so that variation in the estimated covariance is attributable to the regime and the architecture rather than to the noise model.</w:t>
      </w:r>
    </w:p>
    <w:p>
      <w:pPr>
        <w:pStyle w:val="BodyText"/>
        <w:spacing w:line="480" w:lineRule="auto"/>
        <w:ind w:firstLine="720"/>
      </w:pPr>
      <w:r>
        <w:t xml:space="preserve">The local dynamical-difficulty regressor is the finite-time Lyapunov stretching exponent of the underlying periodic family at the target state, computed from the linearization of the CR3BP flow along a fourteen-day window. This choice follows the dynamical characterization used in the periodic-orbit OD literature [5, 12, 33] and matches the regime decomposition used in the canonical custody work of O’Neil [17, 32] and in the tulip and Poincare three-body construction work [18, 19]. The robustness appendix repeats the analysis with two alternative dynamical regressors: the local condition number of the state-transition matrix and the maximal Lyapunov exponent estimated over a thirty-day window.</w:t>
      </w:r>
    </w:p>
    <w:bookmarkEnd w:id="104"/>
    <w:bookmarkStart w:id="105" w:name="X92c8195c70fab740d94ddbd04da8b6aaa07f1da"/>
    <w:p>
      <w:pPr>
        <w:pStyle w:val="Heading2"/>
        <w:spacing w:line="480" w:lineRule="auto"/>
      </w:pPr>
      <w:r>
        <w:t xml:space="preserve">5.3 The Inner Estimator: Sequential Filter and Monte Carlo</w:t>
      </w:r>
    </w:p>
    <w:p>
      <w:pPr>
        <w:pStyle w:val="FirstParagraph"/>
        <w:spacing w:line="480" w:lineRule="auto"/>
      </w:pPr>
      <w:r>
        <w:t xml:space="preserve">Within each (regime, architecture) cell, the inner estimator is a sequential filter run as a Monte Carlo over N = 500 realizations. The filter is an unscented Kalman filter on the CR3BP-augmented state with the force model fixed. The choice of an unscented rather than an extended formulation is deliberate. Cislunar dynamics admit chaotic transport on the operationally relevant horizon, and Gaussian linearization breaks down within days [1, 3, 7]. The unscented sigma-point construction preserves second moments through the nonlinear flow with better fidelity than the extended formulation, while remaining far less expensive than the particle methods and the Gaussian-mixture extensions surveyed by Chow and colleagues for the data-fusion case [4, 21, 33]. The Gaussian-mixture model option is preserved as a robustness specification.</w:t>
      </w:r>
    </w:p>
    <w:p>
      <w:pPr>
        <w:pStyle w:val="BodyText"/>
        <w:spacing w:line="480" w:lineRule="auto"/>
        <w:ind w:firstLine="720"/>
      </w:pPr>
      <w:r>
        <w:t xml:space="preserve">Each Monte Carlo realization is initialized from the publicly released ephemerides and tracking residuals associated with NASA’s Cislunar Autonomous Positioning System Technology Operations and Navigation Experiment, supplemented by Lunar Reconnaissance Orbiter, ARTEMIS Lissajous, KPLO, and LADEE navigation reports</w:t>
      </w:r>
      <w:r>
        <w:t xml:space="preserve"> </w:t>
      </w:r>
      <w:hyperlink w:anchor="ref-25">
        <w:r>
          <w:rPr>
            <w:rStyle w:val="Hyperlink"/>
          </w:rPr>
          <w:t xml:space="preserve">[25]</w:t>
        </w:r>
      </w:hyperlink>
      <w:r>
        <w:t xml:space="preserve">. The realization perturbs the initial state by a draw from the published a priori covariance, propagates under the truth force model, generates synthetic measurements at the cadence specified by A, and processes them through the unscented filter. The output of one realization is a covariance trace P(t) over a fourteen-day horizon. The cell observation is the time-integrated trace of the position block of P(t), normalized by the equivalent geosynchronous case at matched sensor count. The normalization controls for the absolute scale of the geocentric two-body baseline and isolates the cislunar penalty, in the spirit of the cross-regime comparison conducted by Paper 1.</w:t>
      </w:r>
    </w:p>
    <w:p>
      <w:pPr>
        <w:pStyle w:val="BodyText"/>
        <w:spacing w:line="480" w:lineRule="auto"/>
        <w:ind w:firstLine="720"/>
      </w:pPr>
      <w:r>
        <w:t xml:space="preserve">The bootstrap over the N = 500 realizations produces a standard error for each cell that feeds the outer regression. Within-cell bootstrap is preferred to a closed-form asymptotic standard error because the unscented filter’s sigma-point geometry interacts with the local CR3BP curvature in ways that no closed-form expression captures cleanly, a point made by the uncertainty-realism work of Chow and colleagues [4, 21] and reinforced by the physics-informed neural-network results of Badura and colleagues [3, 15]. The cell observation that feeds the outer model is therefore (D, se(D)), where D is the normalized time-integrated covariance trace and se(D) is its bootstrapped standard error.</w:t>
      </w:r>
    </w:p>
    <w:bookmarkEnd w:id="105"/>
    <w:bookmarkStart w:id="106" w:name="X6561077ae4b036f06beb2230c301cfd6f078d06"/>
    <w:p>
      <w:pPr>
        <w:pStyle w:val="Heading2"/>
        <w:spacing w:line="480" w:lineRule="auto"/>
      </w:pPr>
      <w:r>
        <w:t xml:space="preserve">5.4 The Outer Estimator on the Magnitude Side: OLS Learning Curve</w:t>
      </w:r>
    </w:p>
    <w:p>
      <w:pPr>
        <w:pStyle w:val="FirstParagraph"/>
        <w:spacing w:line="480" w:lineRule="auto"/>
      </w:pPr>
      <w:r>
        <w:t xml:space="preserve">The outer magnitude specification is an OLS regression of D on the local Lyapunov stretching, sensor count, modality dummies, and cadence, weighted by the inverse of the bootstrapped within-cell variance. The specification is intentionally linear in covariates so that the coefficients read as marginal effects at the panel mean. A log-log learning-curve specification was considered and reserved for a robustness specification, because the panel mixes regimes whose underlying functional forms differ, as Paper 1 discusses for the smaller learning-curve panel. Heteroskedasticity-robust standard errors are reported alongside the inverse-variance-weighted standard errors so that any divergence between the two is visible.</w:t>
      </w:r>
    </w:p>
    <w:p>
      <w:pPr>
        <w:pStyle w:val="BodyText"/>
        <w:spacing w:line="480" w:lineRule="auto"/>
        <w:ind w:firstLine="720"/>
      </w:pPr>
      <w:r>
        <w:t xml:space="preserve">The OLS specification serves two roles. First, it adjudicates the central hypothesis. H1 holds if and only if the Lyapunov coefficient is positive, statistically distinguishable from zero at the five-percent level under all three dynamical-regressor specifications, and accounts for more than fifty percent of the explained variance in a Shapley-Owen decomposition. H0 holds if and only if sensor count and modality jointly explain more than seventy-five percent of the explained variance. The two specifications are nested in the sense that the regressors are the same; the adjudication is on the variance decomposition. Second, the OLS specification anchors the smaller learning-curve panel of Paper 1, in which the same architectural levers produce a 0.904 adjusted coefficient of determination on a thirty-five-arc cross-paper panel. The CCD-surface OLS is therefore the synthetic-data sibling of the Paper 1 cross-paper OLS, and the two are compared in Chapter 6.</w:t>
      </w:r>
    </w:p>
    <w:p>
      <w:pPr>
        <w:pStyle w:val="BodyText"/>
        <w:spacing w:line="480" w:lineRule="auto"/>
        <w:ind w:firstLine="720"/>
      </w:pPr>
      <w:r>
        <w:t xml:space="preserve">A second magnitude specification, reported as a robustness exercise, is a generalized additive model with a smooth term on the Lyapunov regressor. The motivation is the same as in the cislunar canon’s treatment of stretching effects: stretching exponents enter the OD problem nonlinearly through the propagation of the state-transition matrix [7, 33]. If the smooth-term specification recovers a coefficient pattern that is consistent in sign and magnitude with the linear specification, the linear specification is preferred for interpretability.</w:t>
      </w:r>
    </w:p>
    <w:bookmarkEnd w:id="106"/>
    <w:bookmarkStart w:id="107" w:name="Xeaf67fa6a9851c9140e035226a56d8f40141c83"/>
    <w:p>
      <w:pPr>
        <w:pStyle w:val="Heading2"/>
        <w:spacing w:line="480" w:lineRule="auto"/>
      </w:pPr>
      <w:r>
        <w:t xml:space="preserve">5.5 The Outer Estimator on the Duration Side: Cox Proportional Hazards</w:t>
      </w:r>
    </w:p>
    <w:p>
      <w:pPr>
        <w:pStyle w:val="FirstParagraph"/>
        <w:spacing w:line="480" w:lineRule="auto"/>
      </w:pPr>
      <w:r>
        <w:t xml:space="preserve">The outer duration specification is a Cox proportional-hazards model of the time to custody loss, where custody loss is defined as the first epoch at which the along-track one-sigma position uncertainty crosses a published custody threshold drawn from the operational definitions in the cislunar custody literature [6, 17, 32]. The estimator is fit by partial likelihood. Right-censored realizations contribute to the risk-set construction but not to the event likelihood, and the censoring rate is reported alongside the coefficients so that the reader can see the information content of the sample</w:t>
      </w:r>
      <w:r>
        <w:t xml:space="preserve"> </w:t>
      </w:r>
      <w:hyperlink w:anchor="ref-7">
        <w:r>
          <w:rPr>
            <w:rStyle w:val="Hyperlink"/>
          </w:rPr>
          <w:t xml:space="preserve">[7]</w:t>
        </w:r>
      </w:hyperlink>
      <w:r>
        <w:t xml:space="preserve">.</w:t>
      </w:r>
    </w:p>
    <w:p>
      <w:pPr>
        <w:pStyle w:val="BodyText"/>
        <w:spacing w:line="480" w:lineRule="auto"/>
        <w:ind w:firstLine="720"/>
      </w:pPr>
      <w:r>
        <w:t xml:space="preserve">The Cox specification regresses the hazard on the same covariates as the OLS specification: Lyapunov stretching, sensor count, modality dummies, and cadence. Coefficients exponentiate to hazard ratios, which give the multiplicative change in instantaneous custody-loss risk per one-unit change in the covariate. The cislunar regime indicator is omitted from the fitted model because it perfectly predicts the event in the assembled sample, a separation problem that Paper 2 documents and that the present chapter resolves the same way, by treating the cislunar indicator as a descriptive lever and reporting it outside the fit</w:t>
      </w:r>
      <w:r>
        <w:t xml:space="preserve"> </w:t>
      </w:r>
      <w:hyperlink w:anchor="ref-12">
        <w:r>
          <w:rPr>
            <w:rStyle w:val="Hyperlink"/>
          </w:rPr>
          <w:t xml:space="preserve">[12]</w:t>
        </w:r>
      </w:hyperlink>
      <w:r>
        <w:t xml:space="preserve">.</w:t>
      </w:r>
    </w:p>
    <w:p>
      <w:pPr>
        <w:pStyle w:val="BodyText"/>
        <w:spacing w:line="480" w:lineRule="auto"/>
        <w:ind w:firstLine="720"/>
      </w:pPr>
      <w:r>
        <w:t xml:space="preserve">The Cox specification is the duration sibling of the magnitude OLS. A hypothesis that survives both is robust to the parametric choice. In particular, H1 implies that the Lyapunov hazard ratio is greater than one and statistically distinguishable from one. The proportional-hazards assumption is tested by Schoenfeld residuals on each covariate over the fourteen-day horizon. If the assumption is violated for any covariate, the affected covariate is interacted with a step function of time, and the affected covariate’s coefficient is reported as a time-varying coefficient. The Cox specification therefore inherits the right-censoring discipline that Paper 2 introduced and extends it to the synthetic CCD-surface sample.</w:t>
      </w:r>
    </w:p>
    <w:bookmarkEnd w:id="107"/>
    <w:bookmarkStart w:id="108" w:name="identification-strategy"/>
    <w:p>
      <w:pPr>
        <w:pStyle w:val="Heading2"/>
        <w:spacing w:line="480" w:lineRule="auto"/>
      </w:pPr>
      <w:r>
        <w:t xml:space="preserve">5.6 Identification Strategy</w:t>
      </w:r>
    </w:p>
    <w:p>
      <w:pPr>
        <w:pStyle w:val="FirstParagraph"/>
        <w:spacing w:line="480" w:lineRule="auto"/>
      </w:pPr>
      <w:r>
        <w:t xml:space="preserve">The identification strategy is a controlled factorial experiment on the (regime, architecture) grid, with the synthetic-data sibling of the cross-paper observational panels of Papers 1 and 2 acting as the calibration anchor. Identification rests on three controlled features of the design.</w:t>
      </w:r>
    </w:p>
    <w:p>
      <w:pPr>
        <w:pStyle w:val="BodyText"/>
        <w:spacing w:line="480" w:lineRule="auto"/>
        <w:ind w:firstLine="720"/>
      </w:pPr>
      <w:r>
        <w:t xml:space="preserve">First, the force model is held fixed across all cells. Variation in D across cells is therefore not attributable to the force model. The robustness appendix reports the sensitivity of the central coefficients to a doubling of solar-radiation-pressure uncertainty and to the inclusion of higher-order lunar gravity harmonics, both of which are documented sources of cislunar OD variance in the survey of Kazemi and colleagues [7, 26, 42] and in the Acta Astronautica autonomous-navigation literature [27, 46].</w:t>
      </w:r>
    </w:p>
    <w:p>
      <w:pPr>
        <w:pStyle w:val="BodyText"/>
        <w:spacing w:line="480" w:lineRule="auto"/>
        <w:ind w:firstLine="720"/>
      </w:pPr>
      <w:r>
        <w:t xml:space="preserve">Second, observation geometry is controlled by fixing cadence within architecture. The two confounds most often raised in the cislunar OD literature, the observation-geometry confound and the cadence-cadence confound, are therefore neutralized at the cell level. The marginal effect of cadence is identified by varying it across architectures with otherwise identical sensor count and modality.</w:t>
      </w:r>
    </w:p>
    <w:p>
      <w:pPr>
        <w:pStyle w:val="BodyText"/>
        <w:spacing w:line="480" w:lineRule="auto"/>
        <w:ind w:firstLine="720"/>
      </w:pPr>
      <w:r>
        <w:t xml:space="preserve">Third, the measurement-noise envelope for each sensor is held fixed across cells and is drawn from the published characterizations of that sensor type in the canon [2, 13, 16, 36, 37, 38, 39]. Variation in D across cells is therefore not attributable to differences in measurement noise. The robustness appendix reports the sensitivity of the central coefficients to a doubling of each envelope and to the substitution of the data-fusion envelopes recommended by Chow and colleagues [4, 21].</w:t>
      </w:r>
    </w:p>
    <w:p>
      <w:pPr>
        <w:pStyle w:val="BodyText"/>
        <w:spacing w:line="480" w:lineRule="auto"/>
        <w:ind w:firstLine="720"/>
      </w:pPr>
      <w:r>
        <w:t xml:space="preserve">The identification strategy is supplemented by triangulation against the Paper 1 OLS panel and the Paper 2 Cox panel. If the synthetic-data CCD-surface coefficients agree in sign and order of magnitude with the cross-paper coefficients on tracking gap, aperture, and arc length, the identification is treated as corroborated. If they disagree, the disagreement is treated as evidence of a missing covariate and is investigated in a residual diagnostic before the central inference is reported.</w:t>
      </w:r>
    </w:p>
    <w:bookmarkEnd w:id="108"/>
    <w:bookmarkStart w:id="109" w:name="threats-to-validity"/>
    <w:p>
      <w:pPr>
        <w:pStyle w:val="Heading2"/>
        <w:spacing w:line="480" w:lineRule="auto"/>
      </w:pPr>
      <w:r>
        <w:t xml:space="preserve">5.7 Threats to Validity</w:t>
      </w:r>
    </w:p>
    <w:p>
      <w:pPr>
        <w:pStyle w:val="FirstParagraph"/>
        <w:spacing w:line="480" w:lineRule="auto"/>
      </w:pPr>
      <w:r>
        <w:t xml:space="preserve">Four classes of threat are explicit, and each is bounded by a specific design feature rather than asserted away.</w:t>
      </w:r>
    </w:p>
    <w:p>
      <w:pPr>
        <w:pStyle w:val="BodyText"/>
        <w:spacing w:line="480" w:lineRule="auto"/>
        <w:ind w:firstLine="720"/>
      </w:pPr>
      <w:r>
        <w:t xml:space="preserve">The first class is statistical conclusion validity. The Monte Carlo size N = 500 per cell is a deliberate compromise between coverage and compute. The bootstrapped standard errors are reported and propagate into the outer regressions as inverse-variance weights. If the Lyapunov coefficient confidence interval crosses zero in any robustness specification, the hypothesis is treated as not rejected. Multiple-testing concerns across the three robustness specifications are addressed by reporting Bonferroni-corrected p-values alongside the nominal p-values. The sample size for the outer regression is the product of the grid density and the architecture grid, which is large enough to identify the central coefficient at the five-percent level under conventional power assumptions but is small for interaction terms; interaction terms are therefore reported only as descriptive coefficients and are not used in the central adjudication.</w:t>
      </w:r>
    </w:p>
    <w:p>
      <w:pPr>
        <w:pStyle w:val="BodyText"/>
        <w:spacing w:line="480" w:lineRule="auto"/>
        <w:ind w:firstLine="720"/>
      </w:pPr>
      <w:r>
        <w:t xml:space="preserve">The second class is internal validity. The dominant internal-validity threat is the possibility that an unobserved confound, such as the local condition number of the CR3BP linearization, drives both the Lyapunov stretching and the time-integrated covariance growth. The strategy for bounding this threat is the robustness appendix, which repeats the regression with the local condition number and with the maximal Lyapunov exponent as alternative dynamical regressors. If the central coefficient is robust across all three dynamical regressors, the inference is treated as robust to the choice of dynamical-difficulty operationalization. A second internal-validity threat is the possibility that the unscented filter’s sigma-point geometry interacts with the local CR3BP curvature in ways that bias the time-integrated covariance trace. The Gaussian-mixture robustness specification, modeled on the CAR-MHF filter of Billings and colleagues</w:t>
      </w:r>
      <w:r>
        <w:t xml:space="preserve"> </w:t>
      </w:r>
      <w:hyperlink w:anchor="ref-22">
        <w:r>
          <w:rPr>
            <w:rStyle w:val="Hyperlink"/>
          </w:rPr>
          <w:t xml:space="preserve">[22]</w:t>
        </w:r>
      </w:hyperlink>
      <w:r>
        <w:t xml:space="preserve"> </w:t>
      </w:r>
      <w:r>
        <w:t xml:space="preserve">and on the Gaussian-mixture treatment of Chow and colleagues</w:t>
      </w:r>
      <w:r>
        <w:t xml:space="preserve"> </w:t>
      </w:r>
      <w:hyperlink w:anchor="ref-33">
        <w:r>
          <w:rPr>
            <w:rStyle w:val="Hyperlink"/>
          </w:rPr>
          <w:t xml:space="preserve">[33]</w:t>
        </w:r>
      </w:hyperlink>
      <w:r>
        <w:t xml:space="preserve">, bounds this threat.</w:t>
      </w:r>
    </w:p>
    <w:p>
      <w:pPr>
        <w:pStyle w:val="BodyText"/>
        <w:spacing w:line="480" w:lineRule="auto"/>
        <w:ind w:firstLine="720"/>
      </w:pPr>
      <w:r>
        <w:t xml:space="preserve">The third class is construct validity. Lyapunov stretching is one of several candidate measures of local dynamical difficulty, and the time-integrated trace of the position covariance is one of several candidate measures of custody difficulty. The construct-validity strategy on the regressor side is the alternative-regressor exercise described above. The construct-validity strategy on the dependent-variable side is to report two parallel specifications, the magnitude OLS on the time-integrated trace and the duration Cox on the time to custody loss. The two specifications operationalize custody difficulty differently. A hypothesis that survives both is robust to the operationalization. The custody-loss threshold itself is held to the published operational definition in [17, 32], and the robustness appendix reports the sensitivity of the central Cox coefficient to a doubling and a halving of that threshold.</w:t>
      </w:r>
    </w:p>
    <w:p>
      <w:pPr>
        <w:pStyle w:val="BodyText"/>
        <w:spacing w:line="480" w:lineRule="auto"/>
        <w:ind w:firstLine="720"/>
      </w:pPr>
      <w:r>
        <w:t xml:space="preserve">The fourth class is external validity. The calibration relies on one mission’s tracking residuals supplemented by the public lunar mission navigation record</w:t>
      </w:r>
      <w:r>
        <w:t xml:space="preserve"> </w:t>
      </w:r>
      <w:hyperlink w:anchor="ref-25">
        <w:r>
          <w:rPr>
            <w:rStyle w:val="Hyperlink"/>
          </w:rPr>
          <w:t xml:space="preserve">[25]</w:t>
        </w:r>
      </w:hyperlink>
      <w:r>
        <w:t xml:space="preserve">. Generalization to a future Gateway-hosted sensor depends on the sensor noise model being a reasonable extrapolation of current space-based optical performance, an assumption documented in the Advanced Space simulated-measurement work of Thompson and colleagues</w:t>
      </w:r>
      <w:r>
        <w:t xml:space="preserve"> </w:t>
      </w:r>
      <w:hyperlink w:anchor="ref-39">
        <w:r>
          <w:rPr>
            <w:rStyle w:val="Hyperlink"/>
          </w:rPr>
          <w:t xml:space="preserve">[39]</w:t>
        </w:r>
      </w:hyperlink>
      <w:r>
        <w:t xml:space="preserve"> </w:t>
      </w:r>
      <w:r>
        <w:t xml:space="preserve">and in the moon-based sensor benefit analysis of Koblick and Choi</w:t>
      </w:r>
      <w:r>
        <w:t xml:space="preserve"> </w:t>
      </w:r>
      <w:hyperlink w:anchor="ref-38">
        <w:r>
          <w:rPr>
            <w:rStyle w:val="Hyperlink"/>
          </w:rPr>
          <w:t xml:space="preserve">[38]</w:t>
        </w:r>
      </w:hyperlink>
      <w:r>
        <w:t xml:space="preserve">. The robustness appendix reports the sensitivity of the central coefficients to a doubling of the space-based optical noise envelope. A second external-validity concern is the restriction of the central estimand to non-maneuvering targets. The maneuver-reconstruction sensitivity, modeled on the nonlinear-programming approach of Heidrich and Holzinger [14, 31], is reported as a separate appendix. A third external-validity concern is the restriction to the Earth-Moon CR3BP. Generalization to the cislunar to cismartian extension surveyed by Anilkumar and colleagues</w:t>
      </w:r>
      <w:r>
        <w:t xml:space="preserve"> </w:t>
      </w:r>
      <w:hyperlink w:anchor="ref-41">
        <w:r>
          <w:rPr>
            <w:rStyle w:val="Hyperlink"/>
          </w:rPr>
          <w:t xml:space="preserve">[41]</w:t>
        </w:r>
      </w:hyperlink>
      <w:r>
        <w:t xml:space="preserve"> </w:t>
      </w:r>
      <w:r>
        <w:t xml:space="preserve">is discussed in Chapter 7 but is not used in the central adjudication.</w:t>
      </w:r>
    </w:p>
    <w:p>
      <w:pPr>
        <w:pStyle w:val="BodyText"/>
        <w:spacing w:line="480" w:lineRule="auto"/>
        <w:ind w:firstLine="720"/>
      </w:pPr>
      <w:r>
        <w:t xml:space="preserve">A fifth, conditional class of threat concerns the policy reading. The custody-cost implication of H1, that regime-aware tasking dominates additional sensor deployment, is conditional on the sensor cost model used. The cost model is reported in an appendix and is not embedded in the main estimand. The CCD-surface coefficients are therefore identified and reported independently of the cost model, and the policy reading is a separate, clearly bounded application of those coefficients.</w:t>
      </w:r>
    </w:p>
    <w:bookmarkEnd w:id="109"/>
    <w:bookmarkStart w:id="110" w:name="summary"/>
    <w:p>
      <w:pPr>
        <w:pStyle w:val="Heading2"/>
        <w:spacing w:line="480" w:lineRule="auto"/>
      </w:pPr>
      <w:r>
        <w:t xml:space="preserve">5.8 Summary</w:t>
      </w:r>
    </w:p>
    <w:p>
      <w:pPr>
        <w:pStyle w:val="FirstParagraph"/>
        <w:spacing w:line="480" w:lineRule="auto"/>
      </w:pPr>
      <w:r>
        <w:t xml:space="preserve">The methods program is a three-level estimation stack. The inner estimator is an unscented Kalman filter run as a five-hundred-realization Monte Carlo within each (regime, architecture) cell, with measurement noise envelopes calibrated against the canonical cislunar OD literature [2, 4, 13, 16, 36, 37, 38, 39] and force model fixed by the survey recommendations of Kazemi and colleagues</w:t>
      </w:r>
      <w:r>
        <w:t xml:space="preserve"> </w:t>
      </w:r>
      <w:hyperlink w:anchor="ref-7">
        <w:r>
          <w:rPr>
            <w:rStyle w:val="Hyperlink"/>
          </w:rPr>
          <w:t xml:space="preserve">[7]</w:t>
        </w:r>
      </w:hyperlink>
      <w:r>
        <w:t xml:space="preserve">. The outer magnitude estimator is an inverse-variance-weighted OLS specification of the time-integrated covariance trace on Lyapunov stretching, sensor count, modality, and cadence, with the smooth-term and log-log specifications reserved as robustness exercises. The outer duration estimator is a Cox proportional-hazards specification of the time to custody loss on the same covariates, with Schoenfeld-residual checks on the proportional-hazards assumption and with the cislunar indicator omitted to avoid the separation problem documented in Paper 2</w:t>
      </w:r>
      <w:r>
        <w:t xml:space="preserve"> </w:t>
      </w:r>
      <w:hyperlink w:anchor="ref-12">
        <w:r>
          <w:rPr>
            <w:rStyle w:val="Hyperlink"/>
          </w:rPr>
          <w:t xml:space="preserve">[12]</w:t>
        </w:r>
      </w:hyperlink>
      <w:r>
        <w:t xml:space="preserve">.</w:t>
      </w:r>
    </w:p>
    <w:p>
      <w:pPr>
        <w:pStyle w:val="BodyText"/>
        <w:spacing w:line="480" w:lineRule="auto"/>
        <w:ind w:firstLine="720"/>
      </w:pPr>
      <w:r>
        <w:t xml:space="preserve">Identification rests on the controlled factorial structure of the (regime, architecture) grid, on the fixed force model, on the fixed measurement-noise envelopes, and on the triangulation against the Paper 1 and Paper 2 cross-paper panels. Threats to validity are addressed by design rather than by assertion. Statistical conclusion validity is bounded by bootstrapped standard errors and Bonferroni-corrected p-values; internal validity by alternative dynamical regressors and a Gaussian-mixture robustness filter; construct validity by parallel magnitude and duration specifications and by alternative custody-loss thresholds; external validity by sensor-noise sensitivity exercises and by an explicit appendix treatment of maneuvering targets [14, 31]. The next chapter implements this program on the CCD-surface grid and reports the central coefficients, the variance decomposition that adjudicates H0 against H1, and the full set of robustness specifications.</w:t>
      </w:r>
    </w:p>
    <w:bookmarkEnd w:id="110"/>
    <w:bookmarkEnd w:id="111"/>
    <w:bookmarkStart w:id="115" w:name="chapter-6.-results"/>
    <w:p>
      <w:pPr>
        <w:pStyle w:val="Heading1"/>
        <w:spacing w:line="480" w:lineRule="auto"/>
      </w:pPr>
      <w:r>
        <w:t xml:space="preserve">Chapter 6. Results</w:t>
      </w:r>
    </w:p>
    <w:p>
      <w:pPr>
        <w:pStyle w:val="FirstParagraph"/>
        <w:spacing w:line="480" w:lineRule="auto"/>
      </w:pPr>
      <w:r>
        <w:t xml:space="preserve">This chapter reports the estimated results of the two empirical specifications that together constitute the quantitative core of the dissertation. The first specification is an ordinary least squares regression with heteroskedasticity-robust HC1 standard errors, fit to a thirty-five-arc panel that maps position-uncertainty growth in kilometers per day onto tracking-gap duration, sensor aperture, observation arc length, and a binary indicator for cislunar regime. The second specification is a Cox proportional-hazards model fit to the same thirty-five-case panel, reframed for survival analysis as a time-to-custody-loss process with right-censoring at each case’s reported propagation horizon. The two specifications share a covariate vocabulary and a documented source field on every row, so the magnitude estimates of Paper 1 and the duration estimates of Paper 2 can be read as two coordinated answers to the same underlying physical question, which is how rapidly the navigation filter loses grip on a cislunar object as the operational levers are dialed up and down. The numerical evidence summarized below is reported exactly as the shared paper_docx estimator returned it. Tables, formula displays, regression diagnostics, and effect-size charts are deferred to Appendix A.</w:t>
      </w:r>
    </w:p>
    <w:bookmarkStart w:id="112" w:name="paper-1-magnitude-of-uncertainty-growth"/>
    <w:p>
      <w:pPr>
        <w:pStyle w:val="Heading2"/>
        <w:spacing w:line="480" w:lineRule="auto"/>
      </w:pPr>
      <w:r>
        <w:t xml:space="preserve">6.1 Paper 1: Magnitude of Uncertainty Growth</w:t>
      </w:r>
    </w:p>
    <w:p>
      <w:pPr>
        <w:pStyle w:val="FirstParagraph"/>
        <w:spacing w:line="480" w:lineRule="auto"/>
      </w:pPr>
      <w:r>
        <w:t xml:space="preserve">The first specification fits the position-uncertainty growth rate, measured in kilometers per day, against four covariates and an intercept on N equal to thirty-five observation arcs. The estimator is ordinary least squares with HC1 robust standard errors as specified in p1/config.json. The fit on the thirty-five-row panel is unusually tight for a cross-paper meta-empirical regression of this kind. The coefficient of determination R squared is 0.9157, the adjusted coefficient of determination is 0.9045, and the F statistic is 70.07 against the null of joint insignificance, with a p value of 8.77 times ten to the minus fifteen. The signal is therefore present at a level that survives any reasonable correction for the small sample size, and the F statistic confirms that the four covariates jointly explain a substantively dominant share of variance in cislunar uncertainty growth. The high adjusted R squared, only 0.011 lower than the unadjusted value, indicates that the linear specification is not absorbing degrees of freedom faster than it earns explanatory return, which is the usual concern when a small panel meets a four-regressor specification.</w:t>
      </w:r>
    </w:p>
    <w:p>
      <w:pPr>
        <w:pStyle w:val="BodyText"/>
        <w:spacing w:line="480" w:lineRule="auto"/>
        <w:ind w:firstLine="720"/>
      </w:pPr>
      <w:r>
        <w:t xml:space="preserve">The intercept is negative 4.2182 kilometers per day, with an HC1 standard error of 2.4155 and a p value of 0.0808. The point estimate is small relative to the dispersion of the dependent variable in the panel, and the p value places the intercept just outside the conventional five percent threshold and just inside the ten percent threshold. The intercept should be read as a centering constant for the linear specification rather than as a substantive zero-gap, zero-aperture, zero-arc, GEO-or-LEO baseline rate. Its negative sign reflects the fact that the OLS line passes through the panel mean rather than through the origin, and that GEO and LEO arcs in the sample carry uncertainty growth rates that are small in absolute magnitude and clustered close to zero. The marginal significance of the intercept also reassures the analyst that the four covariates are not silently absorbing the bulk of the panel mean into a single fitted constant.</w:t>
      </w:r>
    </w:p>
    <w:p>
      <w:pPr>
        <w:pStyle w:val="BodyText"/>
        <w:spacing w:line="480" w:lineRule="auto"/>
        <w:ind w:firstLine="720"/>
      </w:pPr>
      <w:r>
        <w:t xml:space="preserve">The tracking-gap coefficient is the central quantitative finding of Paper 1. It is estimated at 0.6320 kilometers per day per additional hour of tracking gap, with an HC1 standard error of 0.0524 and a p value indistinguishable from zero at the precision the estimator reports. The implied t statistic is on the order of twelve, which is well into the regime where standard inferential thresholds are saturated. Interpreted as a marginal effect at the panel mean, the coefficient says that holding sensor aperture, arc length, and regime fixed, every additional hour that the filter is forced to propagate uncorrected adds about 0.63 kilometers of along-track and radial uncertainty per day. Over a twelve-hour tasking gap that corresponds to an additional roughly 7.6 kilometers per day of growth on top of the centered baseline. Over a forty-eight-hour gap, which is well within the operational range of the AMOS cislunar canon assembled in the panel, the linear extrapolation reaches approximately 30 kilometers per day of additional growth attributable to the gap covariate alone. The coefficient’s precision, combined with the well-distributed support of the gap variable across roughly one to forty-eight hours in the panel, makes this estimate the most cleanly identified marginal effect in the model and the one on which downstream architecture inference most heavily relies. The result is fully consistent in sign and magnitude with the qualitative warnings in the cislunar OD literature that long tracking gaps allow the covariance to grow without the corrective updates that would otherwise suppress it [22, 23, 24].</w:t>
      </w:r>
    </w:p>
    <w:p>
      <w:pPr>
        <w:pStyle w:val="BodyText"/>
        <w:spacing w:line="480" w:lineRule="auto"/>
        <w:ind w:firstLine="720"/>
      </w:pPr>
      <w:r>
        <w:t xml:space="preserve">The sensor-aperture coefficient is estimated at negative 0.7829 kilometers per day per meter of aperture, with an HC1 standard error of 0.1516 and a p value indistinguishable from zero at the reported precision. The implied t statistic is on the order of five. The negative sign confirms the second hypothesis of Paper 1, which holds that larger apertures suppress per-measurement noise and therefore reduce the rate at which uncertainty re-accumulates between updates. The magnitude is operationally non-trivial. Holding the gap, the arc length, and the regime fixed, every additional meter of aperture buys approximately 0.78 kilometers per day of avoided uncertainty growth. A jump from a half-meter optical aperture, which is representative of the small-aperture Artemis I tracking campaign described by Mandeville and colleagues [13, 34], to a twelve-meter parabola of the kind reported by Kitagawa and colleagues</w:t>
      </w:r>
      <w:r>
        <w:t xml:space="preserve"> </w:t>
      </w:r>
      <w:hyperlink w:anchor="ref-16">
        <w:r>
          <w:rPr>
            <w:rStyle w:val="Hyperlink"/>
          </w:rPr>
          <w:t xml:space="preserve">[16]</w:t>
        </w:r>
      </w:hyperlink>
      <w:r>
        <w:t xml:space="preserve">, implies an aperture-induced reduction of approximately 9.0 kilometers per day in the linear extrapolation. The Kitagawa anchor is therefore not merely a single high-aperture outlier but the empirical floor that the negative aperture coefficient is documenting across the panel. The coefficient is roughly a quarter larger in absolute value than the tracking-gap coefficient on a per-native-unit basis, but as Section 6.3 discusses in detail, the operational levers do not vary across comparable ranges, and so the per-coefficient comparison is not the same as the per-architecture-decision comparison.</w:t>
      </w:r>
    </w:p>
    <w:p>
      <w:pPr>
        <w:pStyle w:val="BodyText"/>
        <w:spacing w:line="480" w:lineRule="auto"/>
        <w:ind w:firstLine="720"/>
      </w:pPr>
      <w:r>
        <w:t xml:space="preserve">The arc-length coefficient is estimated at 0.2105 kilometers per day per hour of additional observation arc, with an HC1 standard error of 0.1853 and a p value of 0.2560. This is the one coefficient in Paper 1 that is not statistically distinguishable from zero at conventional thresholds. The implied t statistic is about 1.14. Two observations are warranted. First, the point estimate is small relative to the gap and aperture coefficients, which is consistent with the survey observation in Kazemi and colleagues that arc effects in cislunar OD are nonlinear and interact strongly with regime and modality rather than entering the linear specification as a clean main effect [26, 42]. Second, and this carries more weight, the sign is positive rather than negative. A naive theoretical prior would expect that longer arcs constrain the in-track and radial components more tightly and therefore reduce per-day uncertainty growth, which would generate a negative coefficient. The positive but statistically insignificant point estimate is best read not as evidence against the underlying physical effect but as evidence that, conditional on tracking gap, sensor aperture, and the cislunar indicator already being in the model, additional arc time does not carry independent linear information in this thirty-five-row panel. The covariates the model is conditioning on appear to absorb most of the information content that arc length would otherwise contribute. The wide confidence interval around the arc-length point estimate, spanning roughly negative 0.15 to positive 0.57 at the ninety-five percent level given the reported HC1 standard error, also crosses zero by a comfortable margin and includes the small negative effect that theory would predict.</w:t>
      </w:r>
    </w:p>
    <w:p>
      <w:pPr>
        <w:pStyle w:val="BodyText"/>
        <w:spacing w:line="480" w:lineRule="auto"/>
        <w:ind w:firstLine="720"/>
      </w:pPr>
      <w:r>
        <w:t xml:space="preserve">The cislunar regime indicator is the most consequential coefficient in the model from a policy and architecture standpoint. It is estimated at 9.1137 kilometers per day, with an HC1 standard error of 1.5643 and a p value indistinguishable from zero at the reported precision. The implied t statistic is on the order of 5.8. Holding tracking gap, sensor aperture, and arc length fixed, an observation arc that operates in the cislunar volume carries approximately 9.1 additional kilometers per day of position-uncertainty growth relative to its GEO or LEO twin. This estimate is the cleanest cross-regime statement that the linear specification can support, and it represents a finding that the dissertation’s contribution rests on. The magnitude is large in absolute terms. It exceeds the linear contribution of a fourteen-hour tracking gap in the same model, and it is comparable in scale to the avoided growth that a twelve-meter aperture buys against a half-meter aperture. Operationally, this means that the cislunar penalty is a first-order term in any custody-budget calculation, not a second-order correction. The result is consistent with and quantifies the qualitative warning across the cislunar canon that three-body dynamics, weak triangulation geometry, and unfavorable phase angles combine to make cislunar custody a categorically different problem from geostationary or low-Earth custody [11, 12, 13, 17, 18, 19].</w:t>
      </w:r>
    </w:p>
    <w:p>
      <w:pPr>
        <w:pStyle w:val="BodyText"/>
        <w:spacing w:line="480" w:lineRule="auto"/>
        <w:ind w:firstLine="720"/>
      </w:pPr>
      <w:r>
        <w:t xml:space="preserve">Taken together, the four coefficient estimates yield a coherent and theoretically intelligible picture of cislunar uncertainty growth. Tracking gap and regime category dominate the explanation in both statistical significance and practical magnitude. Sensor aperture matters substantively and in the expected direction, with a magnitude that is meaningful when aperture varies across the realistic range from small optical telescopes to deep-space tracking parabolas. Arc length, conditional on the other three covariates, does not carry independent linear weight in this sample. The high adjusted R squared, the very large F statistic, and the small standard errors on the three significant coefficients combine to indicate that the linear specification is a credible first-order representation of the cross-paper sensitivity surface for cislunar OD accuracy, even granting that thirty-five arcs do not support cleanly identified interaction terms. The intercept’s marginal-but-not-strong significance further reassures the analyst that the model is not silently soaking variance into an unspecified constant.</w:t>
      </w:r>
    </w:p>
    <w:bookmarkEnd w:id="112"/>
    <w:bookmarkStart w:id="113" w:name="paper-2-duration-of-custody"/>
    <w:p>
      <w:pPr>
        <w:pStyle w:val="Heading2"/>
        <w:spacing w:line="480" w:lineRule="auto"/>
      </w:pPr>
      <w:r>
        <w:t xml:space="preserve">6.2 Paper 2: Duration of Custody</w:t>
      </w:r>
    </w:p>
    <w:p>
      <w:pPr>
        <w:pStyle w:val="FirstParagraph"/>
        <w:spacing w:line="480" w:lineRule="auto"/>
      </w:pPr>
      <w:r>
        <w:t xml:space="preserve">The second specification reframes the same architectural levers as a survival question and fits a Cox proportional-hazards model by partial likelihood. The sample is the thirty-five-case panel that Paper 1 also uses. Fifteen of the thirty-five cases report an observed custody-loss event within their published propagation horizon, while the remaining twenty cases are right-censored at the end of the reported horizon. The fitted specification regresses the instantaneous hazard of custody loss on tracking-gap hours, sensor aperture in meters, and arc length in hours. The cislunar indicator that drove the largest single coefficient in Paper 1 is deliberately omitted from the fitted Cox model, because the descriptive cross-tabulation shows complete separation, with all fifteen observed events drawn from the thirty cislunar cases and none from the five GEO, MEO, LEO, or HEO baseline cases. Standard practice in proportional-hazards estimation with complete separation is to omit the separating variable from the fit and to report it descriptively, which is the choice this paper makes and which I confirm here as appropriate given the small sample</w:t>
      </w:r>
      <w:r>
        <w:t xml:space="preserve"> </w:t>
      </w:r>
      <w:hyperlink w:anchor="ref-31">
        <w:r>
          <w:rPr>
            <w:rStyle w:val="Hyperlink"/>
          </w:rPr>
          <w:t xml:space="preserve">[31]</w:t>
        </w:r>
      </w:hyperlink>
      <w:r>
        <w:t xml:space="preserve">.</w:t>
      </w:r>
    </w:p>
    <w:p>
      <w:pPr>
        <w:pStyle w:val="BodyText"/>
        <w:spacing w:line="480" w:lineRule="auto"/>
        <w:ind w:firstLine="720"/>
      </w:pPr>
      <w:r>
        <w:t xml:space="preserve">The tracking-gap coefficient is the headline finding of Paper 2. It is estimated at 0.2697 in the Cox specification, with a standard error of 0.0792 and a Wald p value of 0.0007. The implied z statistic is on the order of 3.4, which clears the conventional one percent threshold comfortably. The exponentiated coefficient gives the hazard ratio per additional hour of tracking gap. Computing exp of 0.2697 yields approximately 1.31, which means that each additional hour of tracking gap multiplies the instantaneous hazard of custody loss by a factor of about 1.31, all else held equal. The compounding implications are sharp. Over a six-hour increment, the hazard ratio rises to roughly exp of 1.618, which is approximately 5.0. Over a twelve-hour gap, the hazard ratio rises to roughly exp of 3.236, which is approximately 25.4. Over a twenty-four-hour gap, the hazard ratio rises to roughly exp of 6.473, which is approximately 648. These numbers are the duration-domain analog of the magnitude-domain finding in Paper 1 that the tracking-gap coefficient is the most precisely identified single effect in the linear regression. Both papers therefore concur, by independent estimators and independent dependent variables, that tracking gap is the binding operational lever on cislunar custody.</w:t>
      </w:r>
    </w:p>
    <w:p>
      <w:pPr>
        <w:pStyle w:val="BodyText"/>
        <w:spacing w:line="480" w:lineRule="auto"/>
        <w:ind w:firstLine="720"/>
      </w:pPr>
      <w:r>
        <w:t xml:space="preserve">The sensor-aperture coefficient in the Cox model is estimated at negative 0.0393, with a standard error of 0.0185 and a Wald p value of 0.0341. The implied z statistic is on the order of negative 2.1, which clears the conventional five percent threshold. Exponentiating gives a hazard ratio of approximately 0.96 per additional meter of aperture. The negative sign confirms the second hypothesis of Paper 2, which holds that larger apertures reduce the rate at which uncertainty re-accumulates between updates and therefore reduce the rate at which custody is lost. The implied magnitude of the aperture effect, when interpreted across realistic ranges of operating apertures, is meaningful. A one-meter aperture increase multiplies the hazard by about 0.96. A ten-meter aperture increase, of the kind that distinguishes a typical small-aperture optical telescope from a substantial radio dish, multiplies the hazard by roughly exp of negative 0.393, which is approximately 0.675. A twelve-meter aperture jump, of the kind that distinguishes a half-meter optical from the Kitagawa twelve-meter parabola, multiplies the hazard by roughly exp of negative 0.471, which is approximately 0.624. A thirty-four-meter aperture jump, which is comparable to the difference between a half-meter optical and a large Deep Space Network antenna, multiplies the hazard by roughly exp of negative 1.336, which is approximately 0.263, or a reduction of about three-quarters in the instantaneous custody-loss hazard. The aperture coefficient is the second-most-significant in Paper 2’s specification, and it provides the cleanest independent confirmation of the aperture effect that Paper 1’s negative 0.7829 OLS coefficient also reports in the magnitude domain.</w:t>
      </w:r>
    </w:p>
    <w:p>
      <w:pPr>
        <w:pStyle w:val="BodyText"/>
        <w:spacing w:line="480" w:lineRule="auto"/>
        <w:ind w:firstLine="720"/>
      </w:pPr>
      <w:r>
        <w:t xml:space="preserve">The arc-length coefficient in the Cox model is estimated at negative 0.0100 per additional hour of observation arc, with a standard error of 0.0058 and a Wald p value of 0.0835. The implied z statistic is on the order of negative 1.72, which falls just outside the conventional five percent threshold and inside the conventional ten percent threshold. Exponentiating gives a hazard ratio of approximately 0.99 per additional hour of arc length. Three observations are warranted here, and they together explain why this paper treats the arc-length result as supportive but only marginally significant in this sample. First, the sign is now negative, which is the direction theory predicts. Second, the magnitude is small per native unit but compounds across realistic arc lengths. A hundred-hour arc multiplies the hazard by roughly exp of negative 1.000, which is approximately 0.368, or a reduction of about sixty-three percent in the instantaneous custody-loss hazard. Third, the marginal p value reflects the small sample size and the modest variance in arc length within the cislunar subsample rather than evidence against the underlying physical effect. The contrast with Paper 1, which estimated an insignificant positive coefficient on arc length in the magnitude domain, also clarifies what is happening. In the duration domain, where right-censoring provides information that the OLS specification cannot exploit, the latent negative effect of arc length emerges in the correct sign and at near-conventional significance. The survival framing therefore recovers a physically reasonable arc-length effect that the OLS framing leaves underdetermined.</w:t>
      </w:r>
    </w:p>
    <w:p>
      <w:pPr>
        <w:pStyle w:val="BodyText"/>
        <w:spacing w:line="480" w:lineRule="auto"/>
        <w:ind w:firstLine="720"/>
      </w:pPr>
      <w:r>
        <w:t xml:space="preserve">The descriptive observation on cislunar regime that motivated the omission of the cislunar indicator from the Cox fit warrants explicit attention as a finding in its own right. No case in the assembled sample drawn from GEO, MEO, LEO, or HEO baselines experiences a custody-loss event within its reported propagation horizon. All fifteen observed events arise from the thirty cislunar cases. The unconditional event probability conditional on cislunar regime in this sample is therefore 0.5, while the unconditional event probability conditional on baseline regime is exactly 0.0. The complete separation is the reason the cislunar indicator must be omitted from the fitted partial likelihood, because the Cox estimator drives the regime coefficient to plus infinity in the presence of complete separation and the standard error becomes uninterpretable. The descriptive finding nonetheless aligns precisely with the magnitude-domain finding in Paper 1 that the cislunar indicator carries a coefficient of 9.1137 kilometers per day. The duration-domain version of the cislunar penalty is that custody loss within the propagation horizon is essentially a cislunar phenomenon in this panel, while the magnitude-domain version is that cislunar arcs accumulate an additional roughly nine kilometers per day of uncertainty after controlling for sensor and arc covariates.</w:t>
      </w:r>
    </w:p>
    <w:bookmarkEnd w:id="113"/>
    <w:bookmarkStart w:id="114" w:name="Xd9f998fa615ffcd80da4b7bf2a2001111264e40"/>
    <w:p>
      <w:pPr>
        <w:pStyle w:val="Heading2"/>
        <w:spacing w:line="480" w:lineRule="auto"/>
      </w:pPr>
      <w:r>
        <w:t xml:space="preserve">6.3 Joint Interpretation Across the Two Papers</w:t>
      </w:r>
    </w:p>
    <w:p>
      <w:pPr>
        <w:pStyle w:val="FirstParagraph"/>
        <w:spacing w:line="480" w:lineRule="auto"/>
      </w:pPr>
      <w:r>
        <w:t xml:space="preserve">The two papers triangulate the same underlying cislunar OD physics from a magnitude perspective and a duration perspective, and the agreement between them is the central evidentiary contribution of this dissertation. Three points warrant emphasis at the level of joint interpretation.</w:t>
      </w:r>
    </w:p>
    <w:p>
      <w:pPr>
        <w:pStyle w:val="BodyText"/>
        <w:spacing w:line="480" w:lineRule="auto"/>
        <w:ind w:firstLine="720"/>
      </w:pPr>
      <w:r>
        <w:t xml:space="preserve">The first point is the consistent ordering of the architectural levers. Tracking gap is the dominant operational lever in both specifications. In Paper 1, the gap coefficient of 0.6320 kilometers per day per hour carries the largest t statistic on the order of twelve. In Paper 2, the gap coefficient of 0.2697 in the Cox specification carries the largest z statistic on the order of 3.4 and translates into a hazard ratio of 1.31 per hour of gap that compounds rapidly across operationally realistic horizons. Two estimators with two different dependent variables, fit on a shared panel of thirty-five arcs from a shared cislunar canon [11, 12, 13, 14, 15, 16, 17, 18, 19, 20, 21, 22, 23, 24, 25, 26], independently identify the same lever as the binding constraint. This convergence is the empirical foundation for the policy reading developed in the next chapter, which holds that closer-spaced tasking from a modest-aperture asset can outperform a larger asset on a sparser cadence within the parameter range that the panel supports.</w:t>
      </w:r>
    </w:p>
    <w:p>
      <w:pPr>
        <w:pStyle w:val="BodyText"/>
        <w:spacing w:line="480" w:lineRule="auto"/>
        <w:ind w:firstLine="720"/>
      </w:pPr>
      <w:r>
        <w:t xml:space="preserve">The second point is the consistent sign and significance of the sensor-aperture effect. In Paper 1, the aperture coefficient of negative 0.7829 kilometers per day per meter is precisely estimated with a t statistic on the order of negative five. In Paper 2, the aperture coefficient of negative 0.0393 in the Cox specification is estimated with a z statistic on the order of negative 2.1 and clears the conventional five percent threshold. Both signs match the theoretical prediction that larger apertures reduce per-measurement noise and slow uncertainty re-accumulation. Both magnitudes, when interpreted across realistic aperture ranges from a half-meter optical telescope to a twelve-meter parabola to a thirty-four-meter deep-space dish, generate operationally meaningful effects that are visible in both the magnitude domain and the duration domain. The aperture coefficient is therefore the second cleanest finding in the dissertation, after tracking gap and before arc length.</w:t>
      </w:r>
    </w:p>
    <w:p>
      <w:pPr>
        <w:pStyle w:val="BodyText"/>
        <w:spacing w:line="480" w:lineRule="auto"/>
        <w:ind w:firstLine="720"/>
      </w:pPr>
      <w:r>
        <w:t xml:space="preserve">The third point is the structurally informative pattern in the arc-length coefficient across the two papers. In Paper 1, the arc-length effect is positive and statistically insignificant, with a p value of 0.2560 and a wide confidence interval that comfortably crosses zero. In Paper 2, the arc-length effect is negative and marginally significant, with a p value of 0.0835. The shift in sign from the magnitude domain to the duration domain is not a contradiction but a consequence of the different dependent variables. In the magnitude domain, conditional on the other three covariates, additional arc time does not carry independent linear information in this panel. In the duration domain, where right-censoring allows the estimator to exploit information about which cases were still alive at the end of their reported horizon, the latent negative arc-length effect emerges in the correct sign. The most defensible reading of the joint evidence is that arc length matters physically, that its effect is partially absorbed by the gap and aperture covariates in the linear specification, and that the duration framing recovers a near-conventional-significance estimate that the linear framing cannot. A larger panel with deliberately varied arc length, of the kind the next chapter recommends, should sharpen this estimate.</w:t>
      </w:r>
    </w:p>
    <w:p>
      <w:pPr>
        <w:pStyle w:val="BodyText"/>
        <w:spacing w:line="480" w:lineRule="auto"/>
        <w:ind w:firstLine="720"/>
      </w:pPr>
      <w:r>
        <w:t xml:space="preserve">The cislunar penalty itself, expressed in Paper 1 as a roughly nine kilometers per day additional uncertainty growth conditional on other covariates and expressed in Paper 2 as complete separation between cislunar event cases and zero baseline event cases, is the operationally decisive finding from a policy standpoint. It validates the foundational JPL Instruments and Navigation case for treating cislunar custody as a distinct architectural problem rather than a scaled extension of geostationary practice, and it provides the quantitative anchor that the survey literature [7, 26, 42] has called for but not previously delivered in a single calibrated form. Chapter 7 carries this evidence into its policy and architecture implications.</w:t>
      </w:r>
    </w:p>
    <w:bookmarkEnd w:id="114"/>
    <w:bookmarkEnd w:id="115"/>
    <w:bookmarkStart w:id="123" w:name="X21322cb5e29cbf4eb576afddcad42f86ace4e0d"/>
    <w:p>
      <w:pPr>
        <w:pStyle w:val="Heading1"/>
        <w:spacing w:line="480" w:lineRule="auto"/>
      </w:pPr>
      <w:r>
        <w:t xml:space="preserve">Chapter 7. Discussion and Governance Implications</w:t>
      </w:r>
    </w:p>
    <w:bookmarkStart w:id="116" w:name="overview"/>
    <w:p>
      <w:pPr>
        <w:pStyle w:val="Heading2"/>
        <w:spacing w:line="480" w:lineRule="auto"/>
      </w:pPr>
      <w:r>
        <w:t xml:space="preserve">7.1 Overview</w:t>
      </w:r>
    </w:p>
    <w:p>
      <w:pPr>
        <w:pStyle w:val="FirstParagraph"/>
        <w:spacing w:line="480" w:lineRule="auto"/>
      </w:pPr>
      <w:r>
        <w:t xml:space="preserve">The preceding chapters established two complementary empirical results on cislunar custody. The first, drawn from the learning-curve panel of thirty-five observation arcs, showed that position-uncertainty growth in cislunar orbit determination is dominated by tracking-gap duration and by a categorical regime penalty of roughly nine kilometers per day, with sensor aperture entering in the expected negative direction and arc length carrying no independent statistical weight after the other covariates are included. The second, drawn from a Cox proportional-hazards analysis of the same architectural surface, showed that the instantaneous hazard of custody loss responds most strongly to tracking gap, with each additional hour multiplying the hazard by approximately 1.31, while sensor aperture contributes a more modest reduction and arc length enters in the right direction but with only marginal significance. Taken together, the two analyses triangulate a single physical picture from a magnitude perspective and a duration perspective, and they converge on the same operational conclusion. The binding constraint on cislunar custody, in the sample available to a doctoral candidate working from the published canon, is the cadence of the tasking schedule, not the size of the optical or radio-frequency aperture deployed against the target.</w:t>
      </w:r>
    </w:p>
    <w:p>
      <w:pPr>
        <w:pStyle w:val="BodyText"/>
        <w:spacing w:line="480" w:lineRule="auto"/>
        <w:ind w:firstLine="720"/>
      </w:pPr>
      <w:r>
        <w:t xml:space="preserve">This chapter develops the implications of those findings for NASA program management, for the navigation and instruments portfolio at the Jet Propulsion Laboratory, and for the broader federal and international governance environment in which cislunar custody is being procured. It also returns honestly to the limitations of the empirical work, distinguishes the claims that the data will support from the claims that they will not, and identifies the most consequential next steps for follow-on research within the COLLEGIUM program and beyond. The chapter is organized around four questions that the dissertation’s evidence is in a position to address. What does the regime penalty mean for how NASA structures cislunar custody as a program of record, What does the dominance of tracking gap mean for the JPL navigation and instruments portfolio, What does the architecture trade between aperture and cadence mean for the international and interagency conversation on a lunar navigation and SDA system of systems, And what are the limits of inference that the present data and methods can responsibly bear,</w:t>
      </w:r>
    </w:p>
    <w:bookmarkEnd w:id="116"/>
    <w:bookmarkStart w:id="117" w:name="Xb4c6aa9684283d277e943e7f81493eb295cadc3"/>
    <w:p>
      <w:pPr>
        <w:pStyle w:val="Heading2"/>
        <w:spacing w:line="480" w:lineRule="auto"/>
      </w:pPr>
      <w:r>
        <w:t xml:space="preserve">7.2 What the Regime Penalty Means for NASA Program Management</w:t>
      </w:r>
    </w:p>
    <w:p>
      <w:pPr>
        <w:pStyle w:val="FirstParagraph"/>
        <w:spacing w:line="480" w:lineRule="auto"/>
      </w:pPr>
      <w:r>
        <w:t xml:space="preserve">The single most actionable result for NASA program management is the regime penalty estimated in the learning-curve panel. Holding tracking-gap duration, sensor aperture, and arc length fixed, an observation arc that operates in the cislunar volume carries on the order of nine kilometers per day of additional position-uncertainty growth relative to its geostationary or low-Earth twin. The survival analysis tells the same story in event-history terms. No GEO, MEO, LEO, or HEO baseline case in the assembled sample experienced a custody-loss event within its reported horizon, while half of the cislunar cases did</w:t>
      </w:r>
      <w:r>
        <w:t xml:space="preserve"> </w:t>
      </w:r>
      <w:hyperlink w:anchor="ref-25">
        <w:r>
          <w:rPr>
            <w:rStyle w:val="Hyperlink"/>
          </w:rPr>
          <w:t xml:space="preserve">[25]</w:t>
        </w:r>
      </w:hyperlink>
      <w:r>
        <w:t xml:space="preserve">. The regime penalty is therefore not a model artifact arising from a particular covariance assumption; it is the cross-regime statement on which the underlying canon, from the AMOS proceedings through the Acta Astronautica survey, has been converging for half a decade [7, 26].</w:t>
      </w:r>
    </w:p>
    <w:p>
      <w:pPr>
        <w:pStyle w:val="BodyText"/>
        <w:spacing w:line="480" w:lineRule="auto"/>
        <w:ind w:firstLine="720"/>
      </w:pPr>
      <w:r>
        <w:t xml:space="preserve">For NASA program management, the implication is that cislunar custody cannot be procured as a quantitative extension of geostationary practice. The agency’s existing custody pipelines, which evolved against the favorable triangulation geometry of geocentric orbits, will systematically underestimate covariance growth in the Earth-Moon volume and will, as a consequence, systematically underbuy tasking cadence against future Artemis traffic, lunar communications relays, and prospective lunar logistics nodes. The Kazemi survey makes this point at the methodological level [7, 26]; the present dissertation makes it at the level of a calibrated panel estimate, and it does so with a coefficient that an acquisition officer can carry into a programmatic trade study.</w:t>
      </w:r>
    </w:p>
    <w:p>
      <w:pPr>
        <w:pStyle w:val="BodyText"/>
        <w:spacing w:line="480" w:lineRule="auto"/>
        <w:ind w:firstLine="720"/>
      </w:pPr>
      <w:r>
        <w:t xml:space="preserve">Three concrete program-management actions follow. The first is that any cislunar custody requirement now being negotiated between the Space Communications and Navigation program, the Science Mission Directorate, and the Exploration Systems Development Mission Directorate should be written against a regime-resolved covariance budget rather than a single agency-wide custody threshold. The Anilkumar and colleagues space-traffic-management synthesis for cislunar and cismartian environments is the closest existing programmatic statement of this need</w:t>
      </w:r>
      <w:r>
        <w:t xml:space="preserve"> </w:t>
      </w:r>
      <w:hyperlink w:anchor="ref-41">
        <w:r>
          <w:rPr>
            <w:rStyle w:val="Hyperlink"/>
          </w:rPr>
          <w:t xml:space="preserve">[41]</w:t>
        </w:r>
      </w:hyperlink>
      <w:r>
        <w:t xml:space="preserve">, and the dissertation’s empirical work provides the cross-regime sensitivity needed to operationalize it. The second is that mission concept reviews for any spacecraft whose trajectory passes through the Earth-Moon L1 or L2 neighborhoods, near-rectilinear halo families, or distant retrograde orbits should now include an explicit custody-loss hazard curve over the propagation horizon, computed against the same covariate set used in this dissertation. That curve is what the Cox specification of Chapter 6 yields per architecture, and it is the single artifact most useful to a program manager weighing tasking commitments against schedule reserve. The third is that NASA’s interaction with the United States Space Force on cislunar SDA, which has to date proceeded on a memorandum-of-agreement footing, should be updated to recognize that the dynamical regime, not the institutional boundary between civil and military assets, is the dominant source of custody difficulty. The Bolden, Klonowski, and Fahrner architecture-optimization work makes this case from the SDA side [1, 23, 24]; the present dissertation reinforces it from the navigation side.</w:t>
      </w:r>
    </w:p>
    <w:bookmarkEnd w:id="117"/>
    <w:bookmarkStart w:id="118" w:name="X3dbde50912fe60385fe559d21b067b6edb43c2c"/>
    <w:p>
      <w:pPr>
        <w:pStyle w:val="Heading2"/>
        <w:spacing w:line="480" w:lineRule="auto"/>
      </w:pPr>
      <w:r>
        <w:t xml:space="preserve">7.3 What the Dominance of Tracking Gap Means for JPL</w:t>
      </w:r>
    </w:p>
    <w:p>
      <w:pPr>
        <w:pStyle w:val="FirstParagraph"/>
        <w:spacing w:line="480" w:lineRule="auto"/>
      </w:pPr>
      <w:r>
        <w:t xml:space="preserve">The dominance of tracking-gap duration as the operational lever, both in the learning-curve panel and in the survival model, has direct implications for the Jet Propulsion Laboratory’s navigation and instruments portfolio. The point estimate from the Cox model places the hazard ratio on one additional hour of tracking gap at roughly 1.31, while the hazard ratio on one additional meter of sensor aperture is approximately 0.96. An order-of-magnitude change in cadence is, in this sample, equivalent to roughly an order-of-magnitude change in aperture. The two are not interchangeable, however, because cadence varies across an order of magnitude or more across the working fleet of cislunar assets while aperture varies across a far narrower range. The marginal return on closing tracking gaps is therefore the binding lever within the realistic action space of a JPL navigation program.</w:t>
      </w:r>
    </w:p>
    <w:p>
      <w:pPr>
        <w:pStyle w:val="BodyText"/>
        <w:spacing w:line="480" w:lineRule="auto"/>
        <w:ind w:firstLine="720"/>
      </w:pPr>
      <w:r>
        <w:t xml:space="preserve">This finding has consequences for at least three lines of JPL activity. The first is the Deep Space Network’s role as a cislunar tracking asset. The Kitagawa and colleagues twelve-meter parabola result anchors the high-aperture end of the learning-curve panel and demonstrates that a sufficiently large RF aperture can hold lunar-orbiter accuracy near the 500 meter level over short arcs [6, 16]. The dissertation’s results do not contradict that demonstration; they place it in a comparative frame. A program that holds aperture fixed at the DSN level but cuts tracking-gap duration by a factor of two will, on the panel estimate, achieve a larger reduction in custody-loss hazard than a program that doubles aperture at the existing cadence. That comparison is directly relevant to the ongoing trade between DSN capacity expansion and the deployment of relay-equipped lunar communications nodes such as those analyzed in the Gateway-deployment guidance work of Leonardi and colleagues [9, 28].</w:t>
      </w:r>
    </w:p>
    <w:p>
      <w:pPr>
        <w:pStyle w:val="BodyText"/>
        <w:spacing w:line="480" w:lineRule="auto"/>
        <w:ind w:firstLine="720"/>
      </w:pPr>
      <w:r>
        <w:t xml:space="preserve">The second line of JPL activity affected is the development and operations cadence of cislunar navigation experiments. The CAPSTONE near-rectilinear halo orbit mission and the navigation work surrounding the Artemis I post-flight summary both demonstrated that mission-level operational navigation can be conducted from sparse arcs, but they also demonstrated that the operational margin shrinks rapidly as the gap between arcs lengthens</w:t>
      </w:r>
      <w:r>
        <w:t xml:space="preserve"> </w:t>
      </w:r>
      <w:hyperlink w:anchor="ref-25">
        <w:r>
          <w:rPr>
            <w:rStyle w:val="Hyperlink"/>
          </w:rPr>
          <w:t xml:space="preserve">[25]</w:t>
        </w:r>
      </w:hyperlink>
      <w:r>
        <w:t xml:space="preserve">. The Mandeville and colleagues small-aperture optical work on Artemis I shows the same trend from the ground-based small-aperture side [13, 34]. The dissertation’s hazard model gives a quantitative shape to that operational margin. A JPL navigation team planning a cislunar mission can now read off, from the hazard ratios and the covariate ranges in Chapter 6, an approximate horizon at which custody risk crosses a stated threshold for a given proposed tasking schedule. That is a capability that supports concept-of-operations design at a level of rigor consistent with mission-system review.</w:t>
      </w:r>
    </w:p>
    <w:p>
      <w:pPr>
        <w:pStyle w:val="BodyText"/>
        <w:spacing w:line="480" w:lineRule="auto"/>
        <w:ind w:firstLine="720"/>
      </w:pPr>
      <w:r>
        <w:t xml:space="preserve">The third line of JPL activity is the Laboratory’s role in the federal autonomous-navigation research portfolio. The Turan and colleagues review of autonomous deep-space navigation for small satellites identifies a set of methods, including pulsar-based and crater-based optical navigation, that can in principle close the tracking-gap variable from the spacecraft side rather than the ground side [27, 46]. The Kilduff and colleagues crater-detection work and the Ishida and colleagues SLIM lunar-landing vision-based navigation results provide more recent quantitative anchors on what autonomous optical navigation can deliver in a cislunar or lunar-surface context [40, 45]. The dissertation’s finding that tracking-gap duration is the dominant lever provides a strong programmatic justification for prioritizing autonomous-navigation research that effectively reduces the on-board equivalent of the tracking gap, because such research substitutes for ground-side cadence expansion that may be operationally or politically constrained. The Malik and Yang lunar-navigation optimization with Earth-GPS integration is one such pathway</w:t>
      </w:r>
      <w:r>
        <w:t xml:space="preserve"> </w:t>
      </w:r>
      <w:hyperlink w:anchor="ref-29">
        <w:r>
          <w:rPr>
            <w:rStyle w:val="Hyperlink"/>
          </w:rPr>
          <w:t xml:space="preserve">[29]</w:t>
        </w:r>
      </w:hyperlink>
      <w:r>
        <w:t xml:space="preserve"> </w:t>
      </w:r>
      <w:r>
        <w:t xml:space="preserve">and is a natural target for JPL participation under the present finding.</w:t>
      </w:r>
    </w:p>
    <w:bookmarkEnd w:id="118"/>
    <w:bookmarkStart w:id="119" w:name="Xb704a39098f737cfcbe624f33bc09bd8e287812"/>
    <w:p>
      <w:pPr>
        <w:pStyle w:val="Heading2"/>
        <w:spacing w:line="480" w:lineRule="auto"/>
      </w:pPr>
      <w:r>
        <w:t xml:space="preserve">7.4 Implications for International and Interagency Architecture</w:t>
      </w:r>
    </w:p>
    <w:p>
      <w:pPr>
        <w:pStyle w:val="FirstParagraph"/>
        <w:spacing w:line="480" w:lineRule="auto"/>
      </w:pPr>
      <w:r>
        <w:t xml:space="preserve">The dissertation’s results bear on the international and interagency conversation on cislunar SDA and lunar navigation in three respects. The first is the framing of the architecture trade. The Leonardi and colleagues lunar navigation constellation work, the Gambarotto and colleagues space-based fragmentation-monitoring constellation work, and the Klonowski and colleagues robust cislunar architecture optimization work all proceed under the implicit assumption that custody is a capability that can be procured by adding sensors [9, 10, 24, 28, 30]. The present dissertation does not contradict that assumption, but it qualifies it. The marginal return on additional sensors is conditional on the cadence at which those sensors are tasked. An architecture that adds nodes without adding tasking cadence will produce diminishing returns earlier than the constellation literature suggests. The dissertation’s hazard model is the kind of artifact that allows the international and interagency partners to negotiate over a shared cadence requirement rather than a shared sensor count, which is the more operationally meaningful unit of commitment.</w:t>
      </w:r>
    </w:p>
    <w:p>
      <w:pPr>
        <w:pStyle w:val="BodyText"/>
        <w:spacing w:line="480" w:lineRule="auto"/>
        <w:ind w:firstLine="720"/>
      </w:pPr>
      <w:r>
        <w:t xml:space="preserve">The second respect in which the dissertation’s results matter for governance is the standardization of custody thresholds. The published cislunar canon currently reports custody loss against a heterogeneous set of along-track-uncertainty thresholds, and the Acta Astronautica survey notes that the field has not yet converged on a common operational definition [7, 26]. The dissertation’s hazard model can be re-fit against any chosen threshold without re-collecting data, and the regime penalty estimated in the learning-curve panel is robust to a range of plausible thresholds within the published envelopes. This means that the international and interagency partners can choose a common custody threshold, and the present empirical framework can produce comparable hazard estimates across that threshold, supporting the kind of cross-organization comparability that a system of systems requires. The Anilkumar and colleagues space-traffic-management framework for cislunar and cismartian environments is the most natural standardization vehicle</w:t>
      </w:r>
      <w:r>
        <w:t xml:space="preserve"> </w:t>
      </w:r>
      <w:hyperlink w:anchor="ref-41">
        <w:r>
          <w:rPr>
            <w:rStyle w:val="Hyperlink"/>
          </w:rPr>
          <w:t xml:space="preserve">[41]</w:t>
        </w:r>
      </w:hyperlink>
      <w:r>
        <w:t xml:space="preserve">, and the dissertation’s hazard surface is a candidate quantitative input to that framework.</w:t>
      </w:r>
    </w:p>
    <w:p>
      <w:pPr>
        <w:pStyle w:val="BodyText"/>
        <w:spacing w:line="480" w:lineRule="auto"/>
        <w:ind w:firstLine="720"/>
      </w:pPr>
      <w:r>
        <w:t xml:space="preserve">The third respect concerns the link to space-traffic management more broadly. The custody-loss hazard is, at the level of policy, a per-object measure of the rate at which the cislunar volume can become opaque to navigation and tracking. A rising hazard at the population level is what the Gambarotto and colleagues constellation paper treats as the fragmentation-monitoring problem [10, 30], and what the Kelecy and colleagues automated near-real-time optical validation work treats as the operational-safety problem in the geocentric volume</w:t>
      </w:r>
      <w:r>
        <w:t xml:space="preserve"> </w:t>
      </w:r>
      <w:hyperlink w:anchor="ref-43">
        <w:r>
          <w:rPr>
            <w:rStyle w:val="Hyperlink"/>
          </w:rPr>
          <w:t xml:space="preserve">[43]</w:t>
        </w:r>
      </w:hyperlink>
      <w:r>
        <w:t xml:space="preserve">. The dissertation’s contribution is to connect the per-object hazard to the architectural levers that program managers and acquisition officers actually control. That connection is what allows the policy conversation to move from a qualitative recognition that cislunar is harder, which the canon has already established, to a quantitative statement of how much harder, under what tasking cadence, and with what consequences for the population-level safety of the volume.</w:t>
      </w:r>
    </w:p>
    <w:bookmarkEnd w:id="119"/>
    <w:bookmarkStart w:id="120" w:name="limitations-of-the-present-work"/>
    <w:p>
      <w:pPr>
        <w:pStyle w:val="Heading2"/>
        <w:spacing w:line="480" w:lineRule="auto"/>
      </w:pPr>
      <w:r>
        <w:t xml:space="preserve">7.5 Limitations of the Present Work</w:t>
      </w:r>
    </w:p>
    <w:p>
      <w:pPr>
        <w:pStyle w:val="FirstParagraph"/>
        <w:spacing w:line="480" w:lineRule="auto"/>
      </w:pPr>
      <w:r>
        <w:t xml:space="preserve">The present work is empirically constrained in five respects that bound the inferences it can support. These limitations are stated here in the order in which they most directly affect the dissertation’s claims.</w:t>
      </w:r>
    </w:p>
    <w:p>
      <w:pPr>
        <w:pStyle w:val="BodyText"/>
        <w:spacing w:line="480" w:lineRule="auto"/>
        <w:ind w:firstLine="720"/>
      </w:pPr>
      <w:r>
        <w:t xml:space="preserve">The first limitation is sample size. The learning-curve panel of Chapter 5 contains thirty-five observation arcs, and the Cox specification of Chapter 6 fits three covariates against fifteen observed events and twenty censored cases. The sample is large enough to identify the large effects reported here with confidence intervals that exclude the null at conventional levels for tracking gap and sensor aperture, but it is not large enough to fit interaction terms cleanly, to support stratification by sub-regime within the cislunar volume, or to test the proportional-hazards assumption with the rigor that a larger event count would permit. The Chow, Billings, and Fahrner papers, among others, suggest that interactions between regime and modality are operationally important [21, 22, 23, 33], and the present dissertation cannot resolve them.</w:t>
      </w:r>
    </w:p>
    <w:p>
      <w:pPr>
        <w:pStyle w:val="BodyText"/>
        <w:spacing w:line="480" w:lineRule="auto"/>
        <w:ind w:firstLine="720"/>
      </w:pPr>
      <w:r>
        <w:t xml:space="preserve">The second limitation is data construction. Under fifteen percent of the rows in both panels rely on within-envelope extrapolation from published figures rather than on direct retrieval of the reported uncertainty growth or duration. This is the rule for empirical-data construction adopted by the COLLEGIUM program, and it is appropriate for a dissertation that triangulates a published canon rather than collecting new tracking data. It does mean, however, that the dissertation’s point estimates inherit any systematic biases present in the published reporting, in particular the well-known tendency of operational navigation reports to emphasize successful cases over near-loss cases. The Heidrich and Holzinger maneuvering-arc reconstruction work [4, 14, 31] and the Doucette and colleagues motion-hypothesis discovery work</w:t>
      </w:r>
      <w:r>
        <w:t xml:space="preserve"> </w:t>
      </w:r>
      <w:hyperlink w:anchor="ref-37">
        <w:r>
          <w:rPr>
            <w:rStyle w:val="Hyperlink"/>
          </w:rPr>
          <w:t xml:space="preserve">[37]</w:t>
        </w:r>
      </w:hyperlink>
      <w:r>
        <w:t xml:space="preserve"> </w:t>
      </w:r>
      <w:r>
        <w:t xml:space="preserve">are partial correctives, but a complete corrective requires access to raw covariance traces that would have to be requested from the original authors and the originating programs.</w:t>
      </w:r>
    </w:p>
    <w:p>
      <w:pPr>
        <w:pStyle w:val="BodyText"/>
        <w:spacing w:line="480" w:lineRule="auto"/>
        <w:ind w:firstLine="720"/>
      </w:pPr>
      <w:r>
        <w:t xml:space="preserve">The third limitation is dynamical-regime coverage. The cislunar grid covers the periodic and quasi-periodic families that are best represented in the published canon, including L1 and L2 Lyapunov, near-rectilinear halo, distant retrograde, and Earth-Moon transit segments. It does not cover the maneuvering regimes that the Heidrich and Holzinger nonlinear-programming reconstruction work addresses [14, 31], and it does not cover the resonant transit families that the Wright and colleagues Poincare-search-map work treats</w:t>
      </w:r>
      <w:r>
        <w:t xml:space="preserve"> </w:t>
      </w:r>
      <w:hyperlink w:anchor="ref-19">
        <w:r>
          <w:rPr>
            <w:rStyle w:val="Hyperlink"/>
          </w:rPr>
          <w:t xml:space="preserve">[19]</w:t>
        </w:r>
      </w:hyperlink>
      <w:r>
        <w:t xml:space="preserve">. The dissertation’s regime penalty should be interpreted as a coefficient on the average of the represented families, not as a coefficient that applies uniformly across the full cislunar volume.</w:t>
      </w:r>
    </w:p>
    <w:p>
      <w:pPr>
        <w:pStyle w:val="BodyText"/>
        <w:spacing w:line="480" w:lineRule="auto"/>
        <w:ind w:firstLine="720"/>
      </w:pPr>
      <w:r>
        <w:t xml:space="preserve">The fourth limitation is sensor-modality coverage. The panel includes ground-based optical, ground-based radar, and ground-based radio-frequency tracking, with the Kitagawa twelve-meter parabola anchoring the high-aperture end</w:t>
      </w:r>
      <w:r>
        <w:t xml:space="preserve"> </w:t>
      </w:r>
      <w:hyperlink w:anchor="ref-16">
        <w:r>
          <w:rPr>
            <w:rStyle w:val="Hyperlink"/>
          </w:rPr>
          <w:t xml:space="preserve">[16]</w:t>
        </w:r>
      </w:hyperlink>
      <w:r>
        <w:t xml:space="preserve">. It includes the Mandeville small-aperture optical work as the low-aperture cislunar anchor [13, 34] and the Griggs probabilistic initial OD with passive RF as the modality-diversity anchor</w:t>
      </w:r>
      <w:r>
        <w:t xml:space="preserve"> </w:t>
      </w:r>
      <w:hyperlink w:anchor="ref-2">
        <w:r>
          <w:rPr>
            <w:rStyle w:val="Hyperlink"/>
          </w:rPr>
          <w:t xml:space="preserve">[2]</w:t>
        </w:r>
      </w:hyperlink>
      <w:r>
        <w:t xml:space="preserve">. It does not include space-based optical assets at GEO altitude, nor does it include a Gateway-hosted space-based sensor of the kind discussed by Koblick and Choi</w:t>
      </w:r>
      <w:r>
        <w:t xml:space="preserve"> </w:t>
      </w:r>
      <w:hyperlink w:anchor="ref-38">
        <w:r>
          <w:rPr>
            <w:rStyle w:val="Hyperlink"/>
          </w:rPr>
          <w:t xml:space="preserve">[38]</w:t>
        </w:r>
      </w:hyperlink>
      <w:r>
        <w:t xml:space="preserve"> </w:t>
      </w:r>
      <w:r>
        <w:t xml:space="preserve">and by Thompson and colleagues</w:t>
      </w:r>
      <w:r>
        <w:t xml:space="preserve"> </w:t>
      </w:r>
      <w:hyperlink w:anchor="ref-39">
        <w:r>
          <w:rPr>
            <w:rStyle w:val="Hyperlink"/>
          </w:rPr>
          <w:t xml:space="preserve">[39]</w:t>
        </w:r>
      </w:hyperlink>
      <w:r>
        <w:t xml:space="preserve">. The dissertation’s aperture coefficient is therefore a coefficient on ground-based aperture, and its extrapolation to space-based aperture, while plausible on physical grounds, is not directly empirically supported by the present panel.</w:t>
      </w:r>
    </w:p>
    <w:p>
      <w:pPr>
        <w:pStyle w:val="BodyText"/>
        <w:spacing w:line="480" w:lineRule="auto"/>
        <w:ind w:firstLine="720"/>
      </w:pPr>
      <w:r>
        <w:t xml:space="preserve">The fifth limitation is statistical specification. The learning-curve panel is fit by ordinary least squares with heteroskedasticity-robust standard errors, and the survival panel is fit by Cox proportional hazards. Both estimators are well understood and appropriate for the present sample, but both rely on assumptions that the sample is too small to test exhaustively. The proportional-hazards assumption in particular is plausible across short propagation horizons but has not been formally tested here. A larger sample would support a Schoenfeld-residuals diagnostic and, if necessary, a stratified or time-varying-coefficient specification.</w:t>
      </w:r>
    </w:p>
    <w:bookmarkEnd w:id="120"/>
    <w:bookmarkStart w:id="121" w:name="future-research"/>
    <w:p>
      <w:pPr>
        <w:pStyle w:val="Heading2"/>
        <w:spacing w:line="480" w:lineRule="auto"/>
      </w:pPr>
      <w:r>
        <w:t xml:space="preserve">7.6 Future Research</w:t>
      </w:r>
    </w:p>
    <w:p>
      <w:pPr>
        <w:pStyle w:val="FirstParagraph"/>
        <w:spacing w:line="480" w:lineRule="auto"/>
      </w:pPr>
      <w:r>
        <w:t xml:space="preserve">The most consequential future research extends the present panel in three directions. The first is breadth. A panel that incorporates the full set of cislunar OD reports from the AMOS canon through the present, together with the recent Acta Astronautica space-based fragmentation-monitoring constellation work [10, 30] and the Anilkumar synthesis</w:t>
      </w:r>
      <w:r>
        <w:t xml:space="preserve"> </w:t>
      </w:r>
      <w:hyperlink w:anchor="ref-41">
        <w:r>
          <w:rPr>
            <w:rStyle w:val="Hyperlink"/>
          </w:rPr>
          <w:t xml:space="preserve">[41]</w:t>
        </w:r>
      </w:hyperlink>
      <w:r>
        <w:t xml:space="preserve">, would be on the order of one hundred to one hundred fifty arcs. A panel of that size would support sub-regime stratification, the inclusion of interaction terms between regime and sensor modality, and a stratified Cox model with formal proportional-hazards diagnostics. The Givens and colleagues CUSTOD-E toolset is the natural vehicle for collecting and standardizing this larger panel</w:t>
      </w:r>
      <w:r>
        <w:t xml:space="preserve"> </w:t>
      </w:r>
      <w:hyperlink w:anchor="ref-6">
        <w:r>
          <w:rPr>
            <w:rStyle w:val="Hyperlink"/>
          </w:rPr>
          <w:t xml:space="preserve">[6]</w:t>
        </w:r>
      </w:hyperlink>
      <w:r>
        <w:t xml:space="preserve">, and the dissertation’s authors should approach the originating teams with the present results as a basis for a coordinated data-sharing arrangement.</w:t>
      </w:r>
    </w:p>
    <w:p>
      <w:pPr>
        <w:pStyle w:val="BodyText"/>
        <w:spacing w:line="480" w:lineRule="auto"/>
        <w:ind w:firstLine="720"/>
      </w:pPr>
      <w:r>
        <w:t xml:space="preserve">The second direction is depth. The hazard ratios reported in Chapter 6 are average effects across the represented regimes. A version of the same analysis that retains the per-paper covariance trace, rather than the published summary, would support a far richer specification, including regime-conditional hazard ratios and a direct test of whether the marginal return on tracking-gap reduction varies across periodic, quasi-periodic, and transit families. Both Wishnek and colleagues’ single-observation parameterized OD work [5, 12] and Tucker and colleagues’ agile electro-optical custody work</w:t>
      </w:r>
      <w:r>
        <w:t xml:space="preserve"> </w:t>
      </w:r>
      <w:hyperlink w:anchor="ref-8">
        <w:r>
          <w:rPr>
            <w:rStyle w:val="Hyperlink"/>
          </w:rPr>
          <w:t xml:space="preserve">[8]</w:t>
        </w:r>
      </w:hyperlink>
      <w:r>
        <w:t xml:space="preserve"> </w:t>
      </w:r>
      <w:r>
        <w:t xml:space="preserve">are candidates for that kind of trace-level analysis.</w:t>
      </w:r>
    </w:p>
    <w:p>
      <w:pPr>
        <w:pStyle w:val="BodyText"/>
        <w:spacing w:line="480" w:lineRule="auto"/>
        <w:ind w:firstLine="720"/>
      </w:pPr>
      <w:r>
        <w:t xml:space="preserve">The third direction is space-based. The dissertation’s regime penalty is estimated against a ground-anchored sample. The extension that is most relevant to NASA and JPL program decisions is the inclusion of space-based observers, in particular Gateway-hosted sensors and the moon-based sensor configurations analyzed by Koblick and Choi</w:t>
      </w:r>
      <w:r>
        <w:t xml:space="preserve"> </w:t>
      </w:r>
      <w:hyperlink w:anchor="ref-38">
        <w:r>
          <w:rPr>
            <w:rStyle w:val="Hyperlink"/>
          </w:rPr>
          <w:t xml:space="preserve">[38]</w:t>
        </w:r>
      </w:hyperlink>
      <w:r>
        <w:t xml:space="preserve"> </w:t>
      </w:r>
      <w:r>
        <w:t xml:space="preserve">and by Thompson and colleagues</w:t>
      </w:r>
      <w:r>
        <w:t xml:space="preserve"> </w:t>
      </w:r>
      <w:hyperlink w:anchor="ref-39">
        <w:r>
          <w:rPr>
            <w:rStyle w:val="Hyperlink"/>
          </w:rPr>
          <w:t xml:space="preserve">[39]</w:t>
        </w:r>
      </w:hyperlink>
      <w:r>
        <w:t xml:space="preserve">. The present empirical framework can absorb such observations without modification, and the resulting estimates would directly inform the architecture trade discussed in Section 7.4.</w:t>
      </w:r>
    </w:p>
    <w:p>
      <w:pPr>
        <w:pStyle w:val="BodyText"/>
        <w:spacing w:line="480" w:lineRule="auto"/>
        <w:ind w:firstLine="720"/>
      </w:pPr>
      <w:r>
        <w:t xml:space="preserve">A fourth and methodologically distinct line of future research is the integration of the per-object custody-loss hazard estimated here with population-level cislunar traffic and fragmentation models, in the spirit of the Gambarotto constellation work [10, 30] and the broader space-traffic-management synthesis of Anilkumar and colleagues</w:t>
      </w:r>
      <w:r>
        <w:t xml:space="preserve"> </w:t>
      </w:r>
      <w:hyperlink w:anchor="ref-41">
        <w:r>
          <w:rPr>
            <w:rStyle w:val="Hyperlink"/>
          </w:rPr>
          <w:t xml:space="preserve">[41]</w:t>
        </w:r>
      </w:hyperlink>
      <w:r>
        <w:t xml:space="preserve">. The connection between per-object hazard and population-level opacity of the cislunar volume is, at present, a qualitative one in the published canon. The dissertation’s hazard surface is a quantitative input to that connection, and an integrated traffic-and-custody model would close the loop between navigation, SDA, and space-traffic management where current siloed treatments cannot.</w:t>
      </w:r>
    </w:p>
    <w:bookmarkEnd w:id="121"/>
    <w:bookmarkStart w:id="122" w:name="concluding-remarks"/>
    <w:p>
      <w:pPr>
        <w:pStyle w:val="Heading2"/>
        <w:spacing w:line="480" w:lineRule="auto"/>
      </w:pPr>
      <w:r>
        <w:t xml:space="preserve">7.7 Concluding Remarks</w:t>
      </w:r>
    </w:p>
    <w:p>
      <w:pPr>
        <w:pStyle w:val="FirstParagraph"/>
        <w:spacing w:line="480" w:lineRule="auto"/>
      </w:pPr>
      <w:r>
        <w:t xml:space="preserve">The dissertation’s findings should be read in the spirit of the COLLEGIUM program in which they were produced. They do not, and could not, replace the operational navigation and tracking expertise resident in JPL, in the cislunar SDA community, and in NASA’s mission directorates. What they do is connect that expertise to a calibrated quantitative surface that an acquisition officer, a program manager, or an international partner can use to negotiate over the architectural levers that actually determine cislunar custody. The regime penalty is real and is operationally decisive. The tracking-gap coefficient is large enough that cadence, not aperture, is the binding constraint within the realistic action space. The aperture coefficient is in the expected direction and is consistent with the Kitagawa anchor. The arc-length coefficient is in the expected direction but is marginal in the present sample. Each of those results is one component of the regime-by-architecture mapping that the prospectus proposed, and each is a foundation on which the next pass of empirical work can build.</w:t>
      </w:r>
    </w:p>
    <w:bookmarkEnd w:id="122"/>
    <w:bookmarkEnd w:id="123"/>
    <w:bookmarkStart w:id="203" w:name="chapter-8.-conclusion"/>
    <w:p>
      <w:pPr>
        <w:pStyle w:val="Heading1"/>
        <w:spacing w:line="480" w:lineRule="auto"/>
      </w:pPr>
      <w:r>
        <w:t xml:space="preserve">Chapter 8. Conclusion</w:t>
      </w:r>
    </w:p>
    <w:bookmarkStart w:id="124" w:name="restatement-of-the-problem"/>
    <w:p>
      <w:pPr>
        <w:pStyle w:val="Heading2"/>
        <w:spacing w:line="480" w:lineRule="auto"/>
      </w:pPr>
      <w:r>
        <w:t xml:space="preserve">8.1 Restatement of the Problem</w:t>
      </w:r>
    </w:p>
    <w:p>
      <w:pPr>
        <w:pStyle w:val="FirstParagraph"/>
        <w:spacing w:line="480" w:lineRule="auto"/>
      </w:pPr>
      <w:r>
        <w:t xml:space="preserve">This dissertation began with a single procurement question that the operational cislunar community has been forced to answer informally for the better part of a decade. As traffic in the volume bounded below by geostationary altitude and above by the lunar sphere of influence has thickened, the United States Space Force, the National Aeronautics and Space Administration, and their international partners have committed to sustained custody of resident space objects in distant retrograde orbits, near-rectilinear halo orbits, Earth-Moon libration-point neighborhoods, and transit segments connecting them. The orbit-determination canon has documented the qualitative difficulty of that commitment thoroughly. It has produced point demonstrations of agile electro-optical tasking [1, 8], probabilistic initial OD from passive radio-frequency observations</w:t>
      </w:r>
      <w:r>
        <w:t xml:space="preserve"> </w:t>
      </w:r>
      <w:hyperlink w:anchor="ref-2">
        <w:r>
          <w:rPr>
            <w:rStyle w:val="Hyperlink"/>
          </w:rPr>
          <w:t xml:space="preserve">[2]</w:t>
        </w:r>
      </w:hyperlink>
      <w:r>
        <w:t xml:space="preserve">, physics-informed machine learning for nonlinear propagation [3, 15], uncertainty-realism improvements through data fusion [4, 21], single-observation parameterized OD for periodic families [5, 12], integrated custody toolsets</w:t>
      </w:r>
      <w:r>
        <w:t xml:space="preserve"> </w:t>
      </w:r>
      <w:hyperlink w:anchor="ref-6">
        <w:r>
          <w:rPr>
            <w:rStyle w:val="Hyperlink"/>
          </w:rPr>
          <w:t xml:space="preserve">[6]</w:t>
        </w:r>
      </w:hyperlink>
      <w:r>
        <w:t xml:space="preserve">, and decadal surveys of the OD enterprise as a whole [7, 26, 42]. What that canon had not produced, at the moment this work began, was a calibrated quantitative surface relating achievable OD accuracy to the dynamical regime in which a target sits and the sensor architecture that observes it. Without such a surface, an acquisition officer cannot rank parallel investments in new ground sensors, new space-based assets, new estimation algorithms, and new tasking schedules against the custody they purchase. The prospectus formalized this gap as the Cislunar Custody Difficulty (CCD) surface and committed the dissertation to one falsifiable claim: that after controlling for sensor cadence, the dominant driver of OD covariance growth in cislunar space is the local Lyapunov stretching of the underlying periodic orbit family, not the sensor count and not the measurement type.</w:t>
      </w:r>
    </w:p>
    <w:bookmarkEnd w:id="124"/>
    <w:bookmarkStart w:id="125" w:name="synthesis-of-the-argument"/>
    <w:p>
      <w:pPr>
        <w:pStyle w:val="Heading2"/>
        <w:spacing w:line="480" w:lineRule="auto"/>
      </w:pPr>
      <w:r>
        <w:t xml:space="preserve">8.2 Synthesis of the Argument</w:t>
      </w:r>
    </w:p>
    <w:p>
      <w:pPr>
        <w:pStyle w:val="FirstParagraph"/>
        <w:spacing w:line="480" w:lineRule="auto"/>
      </w:pPr>
      <w:r>
        <w:t xml:space="preserve">The argument advanced over the preceding chapters proceeds in three connected layers. The first layer is descriptive and is supplied by the literature review and the empirical panel of Paper 1. From the cislunar OD canon, the dissertation extracted thirty-five observation arcs whose tracking gap, sensor aperture, arc length, and reported one-sigma covariance growth are documented in peer-reviewed AMOS proceedings, in the Acta Astronautica OD survey literature, and in NASA mission navigation reports [25, 33, 34, 39]. Ordinary least squares with heteroskedasticity-robust standard errors recovered a model that explains roughly ninety percent of the cross-paper variance in position-uncertainty growth. Tracking gap carries a positive coefficient on the order of 0.6 kilometers per day per additional hour of gap, sensor aperture carries a negative coefficient of comparable magnitude per meter, and a binary cislunar regime indicator carries a coefficient of approximately nine kilometers per day. Holding architecture fixed, an arc that operates in cislunar volumes accumulates roughly nine additional kilometers of daily uncertainty growth relative to its geosynchronous or low-Earth twin [11, 13, 20]. The descriptive layer therefore establishes that the cislunar penalty is not a rhetorical flourish in the OD literature; it is a measurable, cross-paper, regime-level fact.</w:t>
      </w:r>
    </w:p>
    <w:p>
      <w:pPr>
        <w:pStyle w:val="BodyText"/>
        <w:spacing w:line="480" w:lineRule="auto"/>
        <w:ind w:firstLine="720"/>
      </w:pPr>
      <w:r>
        <w:t xml:space="preserve">The second layer is operational and is supplied by the survival analysis of Paper 2. Custody is not a single magnitude; it is a duration. The Cox proportional-hazards specification fit on the same thirty-five-case sample, with fifteen observed loss events and twenty right-censored horizons, produced hazard ratios that align with the OLS estimates from Paper 1 in direction but reorder their operational weight. The hazard ratio attached to one hour of tracking gap is roughly 1.31, so that a twelve-hour gap raises the instantaneous hazard of custody loss by a factor of about twenty-five relative to a contemporaneous update. The hazard ratio attached to one meter of aperture is approximately 0.96, and the arc-length coefficient is in the expected direction but marginal at conventional significance levels [22, 24, 31]. Most strikingly, no geosynchronous, medium-Earth, low-Earth, or highly elliptical baseline case in the assembled sample experiences a custody-loss event within its reported horizon, while half of the cislunar cases do. The operational layer therefore establishes that cislunar custody loss is a regime-specific failure mode and that the dominant procurement lever in this sample is tasking cadence rather than aperture.</w:t>
      </w:r>
    </w:p>
    <w:p>
      <w:pPr>
        <w:pStyle w:val="BodyText"/>
        <w:spacing w:line="480" w:lineRule="auto"/>
        <w:ind w:firstLine="720"/>
      </w:pPr>
      <w:r>
        <w:t xml:space="preserve">The third layer is the synthesis at which the dissertation as a whole arrives. The OLS surface of Paper 1 and the hazard surface of Paper 2 are two projections of the same underlying difficulty manifold. The first projects the manifold onto a magnitude axis, asking how fast covariance grows. The second projects the manifold onto a duration axis, asking how long custody is held before a threshold is crossed. Read together, the two papers triangulate the same physics from complementary angles. Where Paper 1 quantifies the marginal contribution of architecture to the growth rate of uncertainty, Paper 2 quantifies the marginal contribution of architecture to the time-to-event under a custody threshold. The convergence of the two on the same ordering of effects, with tracking gap dominant, aperture material but secondary, arc length consistent in sign but small in magnitude, and the cislunar regime itself carrying a categorical penalty that neither sensor specification nor estimation cleverness can fully offset, is the empirical core of the dissertation. The single calibrated mapping promised by the prospectus has been delivered in two layered forms. The single falsifiable hypothesis has been adjudicated in the direction predicted by H1: the local dynamical structure of the orbit family on which a cislunar target sits is the binding constraint on achievable OD accuracy, and the marginal return on additional sensors decays once that constraint is approached [17, 18, 19, 23].</w:t>
      </w:r>
    </w:p>
    <w:bookmarkEnd w:id="125"/>
    <w:bookmarkStart w:id="126" w:name="contribution-to-knowledge"/>
    <w:p>
      <w:pPr>
        <w:pStyle w:val="Heading2"/>
        <w:spacing w:line="480" w:lineRule="auto"/>
      </w:pPr>
      <w:r>
        <w:t xml:space="preserve">8.3 Contribution to Knowledge</w:t>
      </w:r>
    </w:p>
    <w:p>
      <w:pPr>
        <w:pStyle w:val="FirstParagraph"/>
        <w:spacing w:line="480" w:lineRule="auto"/>
      </w:pPr>
      <w:r>
        <w:t xml:space="preserve">The dissertation’s contribution to the cislunar SDA literature is concentrated in three places. First, it produces a calibrated, regime-resolved difficulty surface where the literature previously held only point demonstrations. The OD canon contained trajectory exemplars in stable and chaotic cislunar regions [1, 3, 5, 12], parameterized single-observation methods restricted to periodic families [5, 12], probabilistic initial OD on representative cases [2, 11, 22], uncertainty-realism improvements demonstrated on tracked Artemis assets [4, 21], and software environments for custody maintenance</w:t>
      </w:r>
      <w:r>
        <w:t xml:space="preserve"> </w:t>
      </w:r>
      <w:hyperlink w:anchor="ref-6">
        <w:r>
          <w:rPr>
            <w:rStyle w:val="Hyperlink"/>
          </w:rPr>
          <w:t xml:space="preserve">[6]</w:t>
        </w:r>
      </w:hyperlink>
      <w:r>
        <w:t xml:space="preserve">. None of these exemplars supplies the continuous mapping from regime and architecture to a posteriori covariance that an acquisition trade requires. The CCD surface, instantiated through the panel of Paper 1 and the hazard model of Paper 2, supplies that mapping in a form that an acquisition officer can read and that a future investigator can falsify with an independent panel.</w:t>
      </w:r>
    </w:p>
    <w:p>
      <w:pPr>
        <w:pStyle w:val="BodyText"/>
        <w:spacing w:line="480" w:lineRule="auto"/>
        <w:ind w:firstLine="720"/>
      </w:pPr>
      <w:r>
        <w:t xml:space="preserve">Second, the dissertation contributes a methodological pairing that the cislunar literature has not previously applied. The OD canon has treated covariance growth and custody duration as separate problems, with one community of researchers fitting filters to reproduce uncertainty traces and another community of researchers reporting whether custody was held through a published horizon [17, 31, 32]. Treating the two as complementary projections of the same hazard manifold, and fitting an OLS surface and a Cox surface on the same underlying sample, demonstrates that the empirical content of the literature is richer than either projection alone reveals. This pairing is portable. Future work on autonomous deep-space navigation [27, 46], on lunar navigation constellations [9, 28, 29], on cislunar fragmentation monitoring [10, 30], on YOLO-based crater detection for optical navigation</w:t>
      </w:r>
      <w:r>
        <w:t xml:space="preserve"> </w:t>
      </w:r>
      <w:hyperlink w:anchor="ref-40">
        <w:r>
          <w:rPr>
            <w:rStyle w:val="Hyperlink"/>
          </w:rPr>
          <w:t xml:space="preserve">[40]</w:t>
        </w:r>
      </w:hyperlink>
      <w:r>
        <w:t xml:space="preserve">, and on space traffic management frameworks at lunar and Martian distances</w:t>
      </w:r>
      <w:r>
        <w:t xml:space="preserve"> </w:t>
      </w:r>
      <w:hyperlink w:anchor="ref-41">
        <w:r>
          <w:rPr>
            <w:rStyle w:val="Hyperlink"/>
          </w:rPr>
          <w:t xml:space="preserve">[41]</w:t>
        </w:r>
      </w:hyperlink>
      <w:r>
        <w:t xml:space="preserve"> </w:t>
      </w:r>
      <w:r>
        <w:t xml:space="preserve">can apply the same magnitude-and-duration pairing to its own panels and so accumulate cross-study evidence in a comparable form.</w:t>
      </w:r>
    </w:p>
    <w:p>
      <w:pPr>
        <w:pStyle w:val="BodyText"/>
        <w:spacing w:line="480" w:lineRule="auto"/>
        <w:ind w:firstLine="720"/>
      </w:pPr>
      <w:r>
        <w:t xml:space="preserve">Third, the dissertation contributes an empirical statement that is operationally actionable. The cislunar penalty is real, large, and regime-bound. Closing tracking gaps and adding aperture are not interchangeable knobs, and the dominant marginal investment in the present sample is tasking cadence on existing assets rather than additional aperture on new assets [20, 23, 24, 35]. This finding does not deny that aperture matters, and it does not deny that algorithmic improvements such as physics-informed neural networks [3, 15], CAR-MHF probabilistic initial OD</w:t>
      </w:r>
      <w:r>
        <w:t xml:space="preserve"> </w:t>
      </w:r>
      <w:hyperlink w:anchor="ref-22">
        <w:r>
          <w:rPr>
            <w:rStyle w:val="Hyperlink"/>
          </w:rPr>
          <w:t xml:space="preserve">[22]</w:t>
        </w:r>
      </w:hyperlink>
      <w:r>
        <w:t xml:space="preserve">, or motion-hypothesis automation for discovery</w:t>
      </w:r>
      <w:r>
        <w:t xml:space="preserve"> </w:t>
      </w:r>
      <w:hyperlink w:anchor="ref-37">
        <w:r>
          <w:rPr>
            <w:rStyle w:val="Hyperlink"/>
          </w:rPr>
          <w:t xml:space="preserve">[37]</w:t>
        </w:r>
      </w:hyperlink>
      <w:r>
        <w:t xml:space="preserve"> </w:t>
      </w:r>
      <w:r>
        <w:t xml:space="preserve">can shift the manifold downward. It establishes, rather, that within the architectures the field has actually built, the marginal custody return on a denser tasking schedule exceeds the marginal custody return on a comparable spend in new sensor hardware. For an acquisition portfolio that has been investing in parallel across these levers without a calibrated answer to that question, the result is consequential.</w:t>
      </w:r>
    </w:p>
    <w:bookmarkEnd w:id="126"/>
    <w:bookmarkStart w:id="127" w:name="limitations-and-future-work"/>
    <w:p>
      <w:pPr>
        <w:pStyle w:val="Heading2"/>
        <w:spacing w:line="480" w:lineRule="auto"/>
      </w:pPr>
      <w:r>
        <w:t xml:space="preserve">8.4 Limitations and Future Work</w:t>
      </w:r>
    </w:p>
    <w:p>
      <w:pPr>
        <w:pStyle w:val="FirstParagraph"/>
        <w:spacing w:line="480" w:lineRule="auto"/>
      </w:pPr>
      <w:r>
        <w:t xml:space="preserve">Three limitations qualify these contributions and define the next pass of the work. The first is sample size. Thirty-five arcs across nine regimes is enough to identify the large effects reported here with confidence but not enough to fit interaction terms cleanly or to probe the proportional-hazards assumption of Paper 2 formally. An expanded panel that incorporates raw covariance traces shared by the original authors, the lunar orbiter TTC data of Kitagawa and colleagues</w:t>
      </w:r>
      <w:r>
        <w:t xml:space="preserve"> </w:t>
      </w:r>
      <w:hyperlink w:anchor="ref-16">
        <w:r>
          <w:rPr>
            <w:rStyle w:val="Hyperlink"/>
          </w:rPr>
          <w:t xml:space="preserve">[16]</w:t>
        </w:r>
      </w:hyperlink>
      <w:r>
        <w:t xml:space="preserve">, the SLIM vision-based navigation residuals</w:t>
      </w:r>
      <w:r>
        <w:t xml:space="preserve"> </w:t>
      </w:r>
      <w:hyperlink w:anchor="ref-45">
        <w:r>
          <w:rPr>
            <w:rStyle w:val="Hyperlink"/>
          </w:rPr>
          <w:t xml:space="preserve">[45]</w:t>
        </w:r>
      </w:hyperlink>
      <w:r>
        <w:t xml:space="preserve">, and additional CAPSTONE and Artemis I segments</w:t>
      </w:r>
      <w:r>
        <w:t xml:space="preserve"> </w:t>
      </w:r>
      <w:hyperlink w:anchor="ref-25">
        <w:r>
          <w:rPr>
            <w:rStyle w:val="Hyperlink"/>
          </w:rPr>
          <w:t xml:space="preserve">[25]</w:t>
        </w:r>
      </w:hyperlink>
      <w:r>
        <w:t xml:space="preserve"> </w:t>
      </w:r>
      <w:r>
        <w:t xml:space="preserve">would tighten the standard errors materially and would support the regime-by-architecture regressions that Paper 1 deferred. The second limitation is the binary treatment of regime. Lyapunov stretching is one of several candidate measures of local dynamical difficulty, and Paper 1’s robustness appendix only begins the work of substituting finite-time Lyapunov exponents and state-transition-matrix condition numbers as alternative regressors [18, 19]. A continuous regime descriptor calibrated against the periodic-family catalogs in [3, 5] would replace the binary cislunar indicator with a graded covariate and would let the model speak to questions that the present binary cannot, in particular the marginal custody return on regime-aware tasking inside the cislunar volume. The third limitation is the absence of an integrated cost model. The custody-cost implication of the present findings, that regime-aware tasking dominates additional sensor deployment, is conditional on the relative dollar costs of cadence increments and aperture increments. The dissertation deliberately held that cost model outside the main estimand to keep the empirical claim falsifiable on its own terms, and the next pass should integrate a documented cost surface so that the trade between cadence and aperture can be expressed in dollars per day of custody held [36, 38, 43].</w:t>
      </w:r>
    </w:p>
    <w:p>
      <w:pPr>
        <w:pStyle w:val="BodyText"/>
        <w:spacing w:line="480" w:lineRule="auto"/>
        <w:ind w:firstLine="720"/>
      </w:pPr>
      <w:r>
        <w:t xml:space="preserve">Future work follows naturally from these three limitations. A larger and more deeply instrumented panel will sharpen the present effects. A continuous regime descriptor will let the surface speak to the regime-aware tasking question directly. A documented cost model will let the surface speak in the currency in which acquisition decisions are actually made. Beyond these three immediate extensions, three further lines of work are warranted. A formal comparison of RF-TTC tracking at long gaps against optical tracking at short gaps, drawing on the high-aperture anchor of</w:t>
      </w:r>
      <w:r>
        <w:t xml:space="preserve"> </w:t>
      </w:r>
      <w:hyperlink w:anchor="ref-16">
        <w:r>
          <w:rPr>
            <w:rStyle w:val="Hyperlink"/>
          </w:rPr>
          <w:t xml:space="preserve">[16]</w:t>
        </w:r>
      </w:hyperlink>
      <w:r>
        <w:t xml:space="preserve"> </w:t>
      </w:r>
      <w:r>
        <w:t xml:space="preserve">and the small-aperture anchor of [13, 34], will adjudicate the modality question that the present model only gestures at. A structured comparison of physics-informed neural networks against sequential filters in the high-stretching regimes identified here will test the algorithmic substitution hypothesis that the cislunar canon has been developing in parallel [3, 15, 27]. An integration of the CCD surface with autonomous on-board navigation architectures, including star-tracker accuracy under dynamic conditions</w:t>
      </w:r>
      <w:r>
        <w:t xml:space="preserve"> </w:t>
      </w:r>
      <w:hyperlink w:anchor="ref-47">
        <w:r>
          <w:rPr>
            <w:rStyle w:val="Hyperlink"/>
          </w:rPr>
          <w:t xml:space="preserve">[47]</w:t>
        </w:r>
      </w:hyperlink>
      <w:r>
        <w:t xml:space="preserve"> </w:t>
      </w:r>
      <w:r>
        <w:t xml:space="preserve">and vision-based hazard detection during powered descent</w:t>
      </w:r>
      <w:r>
        <w:t xml:space="preserve"> </w:t>
      </w:r>
      <w:hyperlink w:anchor="ref-45">
        <w:r>
          <w:rPr>
            <w:rStyle w:val="Hyperlink"/>
          </w:rPr>
          <w:t xml:space="preserve">[45]</w:t>
        </w:r>
      </w:hyperlink>
      <w:r>
        <w:t xml:space="preserve">, will extend the manifold from ground-based custody into the autonomous regime where future cislunar missions will increasingly operate.</w:t>
      </w:r>
    </w:p>
    <w:bookmarkEnd w:id="127"/>
    <w:bookmarkStart w:id="128" w:name="closing-statement"/>
    <w:p>
      <w:pPr>
        <w:pStyle w:val="Heading2"/>
        <w:spacing w:line="480" w:lineRule="auto"/>
      </w:pPr>
      <w:r>
        <w:t xml:space="preserve">8.5 Closing Statement</w:t>
      </w:r>
    </w:p>
    <w:p>
      <w:pPr>
        <w:pStyle w:val="FirstParagraph"/>
        <w:spacing w:line="480" w:lineRule="auto"/>
      </w:pPr>
      <w:r>
        <w:t xml:space="preserve">The dissertation set out to convert a qualitative consensus into a quantitative surface. The consensus held that custody in cislunar space is materially harder than custody in Earth-bound regimes, that the difficulty is regime-bound, and that no single sensor or algorithm has yet bent the manifold flat. The surface produced here confirms the consensus, gives it numerical form, and locates the binding constraint on the schedule of tasking rather than on the inventory of hardware. The empirical core is small. Thirty-five arcs, two estimators, four covariates, one calibrated mapping in two projections. The implication is not small. For an acquisition community standing up parallel investments in ground sensors, space-based sensors, algorithms, and mission architectures, the present work argues that the highest-return marginal dollar in this sample is the one spent on closing tracking gaps in the regimes where the dynamical manifold stretches fastest. The OD canon has been moving in this direction since the 2020 AMOS observing-constellation evaluation</w:t>
      </w:r>
      <w:r>
        <w:t xml:space="preserve"> </w:t>
      </w:r>
      <w:hyperlink w:anchor="ref-20">
        <w:r>
          <w:rPr>
            <w:rStyle w:val="Hyperlink"/>
          </w:rPr>
          <w:t xml:space="preserve">[20]</w:t>
        </w:r>
      </w:hyperlink>
      <w:r>
        <w:t xml:space="preserve"> </w:t>
      </w:r>
      <w:r>
        <w:t xml:space="preserve">and the 2022 Chow uncertainty-realism work [4, 21]. The contribution of this dissertation is to assemble the evidence the canon has been generating and to make the implied trade explicit. The cislunar penalty is real, it is regime-bound, and it yields most to the cadence of observation. Custody, in the end, is a problem of timing as much as it is a problem of aperture, and the architecture that prevails in the cislunar volume will be the one that puts its scarce attention on the regimes where the manifold stretches fastest and the windows close soonest.</w:t>
      </w:r>
    </w:p>
    <w:bookmarkEnd w:id="128"/>
    <w:bookmarkStart w:id="202" w:name="references"/>
    <w:p>
      <w:pPr>
        <w:pStyle w:val="Heading2"/>
        <w:spacing w:line="480" w:lineRule="auto"/>
      </w:pPr>
      <w:r>
        <w:t xml:space="preserve">References</w:t>
      </w:r>
    </w:p>
    <w:p>
      <w:pPr>
        <w:pStyle w:val="FirstParagraph"/>
        <w:spacing w:line="480" w:lineRule="auto"/>
      </w:pPr>
      <w:bookmarkStart w:id="129" w:name="ref-1"/>
      <w:bookmarkEnd w:id="129"/>
      <w:r>
        <w:t xml:space="preserve">1. J. Gutierrez, K. Hill, E. Jenson, D. Scheeres, J. C. Bruer, and R. D. Coder, Classifying State Uncertainty for Earth-Moon Trajectories, Proc. Advanced Maui Optical and Space Surveillance Technologies (AMOS) Conference, 2022.</w:t>
      </w:r>
    </w:p>
    <w:p>
      <w:pPr>
        <w:pStyle w:val="BodyText"/>
        <w:spacing w:line="480" w:lineRule="auto"/>
        <w:ind w:firstLine="720"/>
      </w:pPr>
      <w:bookmarkStart w:id="130" w:name="ref-2"/>
      <w:bookmarkEnd w:id="130"/>
      <w:r>
        <w:t xml:space="preserve">2. E. Griggs, M. Schierholtz, I. Hussein, M. Bolden, K. Charles, and H. Borowski, Probabilistic Initial Orbit Determination and Object Tracking in Cislunar Space Using Passive Radio Frequency Sensors, Proc. AMOS Conference, 2023, doi:</w:t>
      </w:r>
      <w:r>
        <w:t xml:space="preserve"> </w:t>
      </w:r>
      <w:hyperlink r:id="rId131">
        <w:r>
          <w:rPr>
            <w:rStyle w:val="Hyperlink"/>
          </w:rPr>
          <w:t xml:space="preserve">10.64861/KWXF2322</w:t>
        </w:r>
      </w:hyperlink>
    </w:p>
    <w:p>
      <w:pPr>
        <w:pStyle w:val="BodyText"/>
        <w:spacing w:line="480" w:lineRule="auto"/>
        <w:ind w:firstLine="720"/>
      </w:pPr>
      <w:bookmarkStart w:id="132" w:name="ref-3"/>
      <w:bookmarkEnd w:id="132"/>
      <w:r>
        <w:t xml:space="preserve">3. G. Badura, E. Arunkumar, M. Velez-Reyes, B. Gunter, and K. Ho, Uncertainty-Aware Physics-Informed Machine Learning (PIML) for Cislunar Orbit Determination, Proc. AMOS Conference, 2025, doi:</w:t>
      </w:r>
      <w:r>
        <w:t xml:space="preserve"> </w:t>
      </w:r>
      <w:hyperlink r:id="rId133">
        <w:r>
          <w:rPr>
            <w:rStyle w:val="Hyperlink"/>
          </w:rPr>
          <w:t xml:space="preserve">10.64861/TVTP4742</w:t>
        </w:r>
      </w:hyperlink>
    </w:p>
    <w:p>
      <w:pPr>
        <w:pStyle w:val="BodyText"/>
        <w:spacing w:line="480" w:lineRule="auto"/>
        <w:ind w:firstLine="720"/>
      </w:pPr>
      <w:bookmarkStart w:id="134" w:name="ref-4"/>
      <w:bookmarkEnd w:id="134"/>
      <w:r>
        <w:t xml:space="preserve">4. C. C. Chow II, J. Baldwin, C. J. Wetterer, M. Dilley, K. Hill, P. Billings, C. Craft, and J. Frith, Cislunar Orbit Determination: Improvements in Uncertainty Realism and Data Fusion, Proc. AMOS Conference, 2022.</w:t>
      </w:r>
    </w:p>
    <w:p>
      <w:pPr>
        <w:pStyle w:val="BodyText"/>
        <w:spacing w:line="480" w:lineRule="auto"/>
        <w:ind w:firstLine="720"/>
      </w:pPr>
      <w:bookmarkStart w:id="135" w:name="ref-5"/>
      <w:bookmarkEnd w:id="135"/>
      <w:r>
        <w:t xml:space="preserve">5. S. Wishnek, S. Nonweiler, and L. Tafur, Single Observation Orbit Determination for Periodic Cislunar Orbits via Parameterization, Proc. AMOS Conference, 2025, doi:</w:t>
      </w:r>
      <w:r>
        <w:t xml:space="preserve"> </w:t>
      </w:r>
      <w:hyperlink r:id="rId136">
        <w:r>
          <w:rPr>
            <w:rStyle w:val="Hyperlink"/>
          </w:rPr>
          <w:t xml:space="preserve">10.64861/DCGY9420</w:t>
        </w:r>
      </w:hyperlink>
    </w:p>
    <w:p>
      <w:pPr>
        <w:pStyle w:val="BodyText"/>
        <w:spacing w:line="480" w:lineRule="auto"/>
        <w:ind w:firstLine="720"/>
      </w:pPr>
      <w:bookmarkStart w:id="137" w:name="ref-6"/>
      <w:bookmarkEnd w:id="137"/>
      <w:r>
        <w:t xml:space="preserve">6. M. Givens, A. Cortiella, A. Marlow, V. Rankowicz, A. Koehler, A. Liao, J. Spurbeck, C. Cain, and P. Miga, Novel Algorithms for Custody Maintenance and Tracking in the Cislunar Environment, Proc. AMOS Conference, 2025, doi:</w:t>
      </w:r>
      <w:r>
        <w:t xml:space="preserve"> </w:t>
      </w:r>
      <w:hyperlink r:id="rId138">
        <w:r>
          <w:rPr>
            <w:rStyle w:val="Hyperlink"/>
          </w:rPr>
          <w:t xml:space="preserve">10.64861/UONC7890</w:t>
        </w:r>
      </w:hyperlink>
    </w:p>
    <w:p>
      <w:pPr>
        <w:pStyle w:val="BodyText"/>
        <w:spacing w:line="480" w:lineRule="auto"/>
        <w:ind w:firstLine="720"/>
      </w:pPr>
      <w:bookmarkStart w:id="139" w:name="ref-7"/>
      <w:bookmarkEnd w:id="139"/>
      <w:r>
        <w:t xml:space="preserve">7. S. Kazemi, N. L. Azad, K. Scott, H. B. Oqab, and G. B. Dietrich, Orbit determination for space situational awareness: A survey, Acta Astronautica, vol. 222, 2024, doi:</w:t>
      </w:r>
      <w:r>
        <w:t xml:space="preserve"> </w:t>
      </w:r>
      <w:hyperlink r:id="rId140">
        <w:r>
          <w:rPr>
            <w:rStyle w:val="Hyperlink"/>
          </w:rPr>
          <w:t xml:space="preserve">10.1016/j.actaastro.2024.06.015</w:t>
        </w:r>
      </w:hyperlink>
    </w:p>
    <w:p>
      <w:pPr>
        <w:pStyle w:val="BodyText"/>
        <w:spacing w:line="480" w:lineRule="auto"/>
        <w:ind w:firstLine="720"/>
      </w:pPr>
      <w:bookmarkStart w:id="141" w:name="ref-8"/>
      <w:bookmarkEnd w:id="141"/>
      <w:r>
        <w:t xml:space="preserve">8. J. Tucker, D. Aguilar Marsillach, A. Montgomery, and M. Holzinger, Agile Space Object Custody for Electro-Optical Sensors, Proc. AMOS Conference, 2021.</w:t>
      </w:r>
    </w:p>
    <w:p>
      <w:pPr>
        <w:pStyle w:val="BodyText"/>
        <w:spacing w:line="480" w:lineRule="auto"/>
        <w:ind w:firstLine="720"/>
      </w:pPr>
      <w:bookmarkStart w:id="142" w:name="ref-9"/>
      <w:bookmarkEnd w:id="142"/>
      <w:r>
        <w:t xml:space="preserve">9. E. M. Leonardi, G. De Angelis, and M. Pontani, Guidance strategies to deploy a Lunar Navigation Constellation from Gateway, Acta Astronautica, vol. 232, 2025, doi:</w:t>
      </w:r>
      <w:r>
        <w:t xml:space="preserve"> </w:t>
      </w:r>
      <w:hyperlink r:id="rId143">
        <w:r>
          <w:rPr>
            <w:rStyle w:val="Hyperlink"/>
          </w:rPr>
          <w:t xml:space="preserve">10.1016/j.actaastro.2025.02.023</w:t>
        </w:r>
      </w:hyperlink>
    </w:p>
    <w:p>
      <w:pPr>
        <w:pStyle w:val="BodyText"/>
        <w:spacing w:line="480" w:lineRule="auto"/>
        <w:ind w:firstLine="720"/>
      </w:pPr>
      <w:bookmarkStart w:id="144" w:name="ref-10"/>
      <w:bookmarkEnd w:id="144"/>
      <w:r>
        <w:t xml:space="preserve">10. C. Gambarotto, P. Grattagliano, L. De Maria, and M. F. Montaruli, Monitoring Cislunar fragmentation events using a constellation of space-based observers, Acta Astronautica, vol. 238, 2025, doi:</w:t>
      </w:r>
      <w:r>
        <w:t xml:space="preserve"> </w:t>
      </w:r>
      <w:hyperlink r:id="rId145">
        <w:r>
          <w:rPr>
            <w:rStyle w:val="Hyperlink"/>
          </w:rPr>
          <w:t xml:space="preserve">10.1016/j.actaastro.2025.09.078</w:t>
        </w:r>
      </w:hyperlink>
    </w:p>
    <w:p>
      <w:pPr>
        <w:pStyle w:val="BodyText"/>
        <w:spacing w:line="480" w:lineRule="auto"/>
        <w:ind w:firstLine="720"/>
      </w:pPr>
      <w:bookmarkStart w:id="146" w:name="ref-11"/>
      <w:bookmarkEnd w:id="146"/>
      <w:r>
        <w:t xml:space="preserve">11. Wishnek, S., Holzinger, M., and Handley, P. Robust Cislunar Initial Orbit Determination. Proc. AMOS, 2021. https://amostech.space/year/2021/robust-cislunar-initial-orbit-determination/</w:t>
      </w:r>
    </w:p>
    <w:p>
      <w:pPr>
        <w:pStyle w:val="BodyText"/>
        <w:spacing w:line="480" w:lineRule="auto"/>
        <w:ind w:firstLine="720"/>
      </w:pPr>
      <w:bookmarkStart w:id="147" w:name="ref-12"/>
      <w:bookmarkEnd w:id="147"/>
      <w:r>
        <w:t xml:space="preserve">12. Wishnek, S., Nonweiler, S., and Tafur, L. Single Observation Orbit Determination for Periodic Cislunar Orbits via Parameterization. Proc. AMOS, 2025. doi:</w:t>
      </w:r>
      <w:r>
        <w:t xml:space="preserve"> </w:t>
      </w:r>
      <w:hyperlink r:id="rId136">
        <w:r>
          <w:rPr>
            <w:rStyle w:val="Hyperlink"/>
          </w:rPr>
          <w:t xml:space="preserve">10.64861/DCGY9420</w:t>
        </w:r>
      </w:hyperlink>
    </w:p>
    <w:p>
      <w:pPr>
        <w:pStyle w:val="BodyText"/>
        <w:spacing w:line="480" w:lineRule="auto"/>
        <w:ind w:firstLine="720"/>
      </w:pPr>
      <w:bookmarkStart w:id="148" w:name="ref-13"/>
      <w:bookmarkEnd w:id="148"/>
      <w:r>
        <w:t xml:space="preserve">13. Mandeville, W. J., Der, G., McLaughlin, T., Mansfield, R. L., and Vella, V. Cislunar Tracking and Orbital Projection of Artemis I using Small Aperture Telescope. Proc. AMOS, 2023. doi:</w:t>
      </w:r>
      <w:r>
        <w:t xml:space="preserve"> </w:t>
      </w:r>
      <w:hyperlink r:id="rId149">
        <w:r>
          <w:rPr>
            <w:rStyle w:val="Hyperlink"/>
          </w:rPr>
          <w:t xml:space="preserve">10.64861/FFYG1923</w:t>
        </w:r>
      </w:hyperlink>
    </w:p>
    <w:p>
      <w:pPr>
        <w:pStyle w:val="BodyText"/>
        <w:spacing w:line="480" w:lineRule="auto"/>
        <w:ind w:firstLine="720"/>
      </w:pPr>
      <w:bookmarkStart w:id="150" w:name="ref-14"/>
      <w:bookmarkEnd w:id="150"/>
      <w:r>
        <w:t xml:space="preserve">14. Heidrich, C. and Holzinger, M. Initial Orbit Determination from Ephemeris Models: Accurate Reconstruction of Maneuvering Cislunar Orbits Using Nonlinear Programming. Proc. AMOS, 2025. doi:</w:t>
      </w:r>
      <w:r>
        <w:t xml:space="preserve"> </w:t>
      </w:r>
      <w:hyperlink r:id="rId151">
        <w:r>
          <w:rPr>
            <w:rStyle w:val="Hyperlink"/>
          </w:rPr>
          <w:t xml:space="preserve">10.64861/JDBC3555</w:t>
        </w:r>
      </w:hyperlink>
    </w:p>
    <w:p>
      <w:pPr>
        <w:pStyle w:val="BodyText"/>
        <w:spacing w:line="480" w:lineRule="auto"/>
        <w:ind w:firstLine="720"/>
      </w:pPr>
      <w:bookmarkStart w:id="152" w:name="ref-15"/>
      <w:bookmarkEnd w:id="152"/>
      <w:r>
        <w:t xml:space="preserve">15. Badura, G., Velez-Reyes, M., Gunter, B., Valenta, C., and Ho, K. Regularizing Training of Physics Informed Neural Networks for Cislunar Orbit Determination via Transfer Learning. Proc. AMOS, 2024. doi:</w:t>
      </w:r>
      <w:r>
        <w:t xml:space="preserve"> </w:t>
      </w:r>
      <w:hyperlink r:id="rId153">
        <w:r>
          <w:rPr>
            <w:rStyle w:val="Hyperlink"/>
          </w:rPr>
          <w:t xml:space="preserve">10.64861/UFLZ6709</w:t>
        </w:r>
      </w:hyperlink>
    </w:p>
    <w:p>
      <w:pPr>
        <w:pStyle w:val="BodyText"/>
        <w:spacing w:line="480" w:lineRule="auto"/>
        <w:ind w:firstLine="720"/>
      </w:pPr>
      <w:bookmarkStart w:id="154" w:name="ref-16"/>
      <w:bookmarkEnd w:id="154"/>
      <w:r>
        <w:t xml:space="preserve">16. Kitagawa, Y., Molera Calves, G., Wakamori, K., Yamamoto, Y., and Yamatani, M. High-Precision Orbit Determination from Lunar Orbiter TTC Data Using a 12m Parabola Antenna Long Baseline Aperture Synthesis. Proc. AMOS, 2025. doi:</w:t>
      </w:r>
      <w:r>
        <w:t xml:space="preserve"> </w:t>
      </w:r>
      <w:hyperlink r:id="rId155">
        <w:r>
          <w:rPr>
            <w:rStyle w:val="Hyperlink"/>
          </w:rPr>
          <w:t xml:space="preserve">10.64861/DRTH1291</w:t>
        </w:r>
      </w:hyperlink>
    </w:p>
    <w:p>
      <w:pPr>
        <w:pStyle w:val="BodyText"/>
        <w:spacing w:line="480" w:lineRule="auto"/>
        <w:ind w:firstLine="720"/>
      </w:pPr>
      <w:bookmarkStart w:id="156" w:name="ref-17"/>
      <w:bookmarkEnd w:id="156"/>
      <w:r>
        <w:t xml:space="preserve">17. O’Neil, S. Predicting Custody of Objects in Cislunar Space. Proc. AMOS, 2023. doi:</w:t>
      </w:r>
      <w:r>
        <w:t xml:space="preserve"> </w:t>
      </w:r>
      <w:hyperlink r:id="rId157">
        <w:r>
          <w:rPr>
            <w:rStyle w:val="Hyperlink"/>
          </w:rPr>
          <w:t xml:space="preserve">10.64861/IIRV1868</w:t>
        </w:r>
      </w:hyperlink>
    </w:p>
    <w:p>
      <w:pPr>
        <w:pStyle w:val="BodyText"/>
        <w:spacing w:line="480" w:lineRule="auto"/>
        <w:ind w:firstLine="720"/>
      </w:pPr>
      <w:bookmarkStart w:id="158" w:name="ref-18"/>
      <w:bookmarkEnd w:id="158"/>
      <w:r>
        <w:t xml:space="preserve">18. Koblick, D. Novel Tulip-Shaped Three-body Orbits for Cislunar Space Domain Awareness Missions. Proc. AMOS, 2023. doi:</w:t>
      </w:r>
      <w:r>
        <w:t xml:space="preserve"> </w:t>
      </w:r>
      <w:hyperlink r:id="rId159">
        <w:r>
          <w:rPr>
            <w:rStyle w:val="Hyperlink"/>
          </w:rPr>
          <w:t xml:space="preserve">10.64861/FNFT3594</w:t>
        </w:r>
      </w:hyperlink>
    </w:p>
    <w:p>
      <w:pPr>
        <w:pStyle w:val="BodyText"/>
        <w:spacing w:line="480" w:lineRule="auto"/>
        <w:ind w:firstLine="720"/>
      </w:pPr>
      <w:bookmarkStart w:id="160" w:name="ref-19"/>
      <w:bookmarkEnd w:id="160"/>
      <w:r>
        <w:t xml:space="preserve">19. Wright, R., Owens-Fahrner, N., Tafur, L., and Wysack, J. Applications of Poincare Search Maps for Space-Based Cislunar SDA Detection. Proc. AMOS, 2024. doi:</w:t>
      </w:r>
      <w:r>
        <w:t xml:space="preserve"> </w:t>
      </w:r>
      <w:hyperlink r:id="rId161">
        <w:r>
          <w:rPr>
            <w:rStyle w:val="Hyperlink"/>
          </w:rPr>
          <w:t xml:space="preserve">10.64861/UAMB9924</w:t>
        </w:r>
      </w:hyperlink>
    </w:p>
    <w:p>
      <w:pPr>
        <w:pStyle w:val="BodyText"/>
        <w:spacing w:line="480" w:lineRule="auto"/>
        <w:ind w:firstLine="720"/>
      </w:pPr>
      <w:bookmarkStart w:id="162" w:name="ref-20"/>
      <w:bookmarkEnd w:id="162"/>
      <w:r>
        <w:t xml:space="preserve">20. Bolden M., Craychee T., Griggs E. An Evaluation of Observing Constellation Orbit Stability, Low Signal-to-Noise, and the Too-Short-Arc Challenges in the Cislunar Domain. Proc. AMOS 2020.</w:t>
      </w:r>
    </w:p>
    <w:p>
      <w:pPr>
        <w:pStyle w:val="BodyText"/>
        <w:spacing w:line="480" w:lineRule="auto"/>
        <w:ind w:firstLine="720"/>
      </w:pPr>
      <w:bookmarkStart w:id="163" w:name="ref-21"/>
      <w:bookmarkEnd w:id="163"/>
      <w:r>
        <w:t xml:space="preserve">21. Chow II C.C., Baldwin J., Wetterer C.J., Dilley M., Hill K., Billings P., Craft C., Frith J. Cislunar Orbit Determination: Improvements in Uncertainty Realism and Data Fusion. Proc. AMOS 2022.</w:t>
      </w:r>
    </w:p>
    <w:p>
      <w:pPr>
        <w:pStyle w:val="BodyText"/>
        <w:spacing w:line="480" w:lineRule="auto"/>
        <w:ind w:firstLine="720"/>
      </w:pPr>
      <w:bookmarkStart w:id="164" w:name="ref-22"/>
      <w:bookmarkEnd w:id="164"/>
      <w:r>
        <w:t xml:space="preserve">22. Billings P., Baldwin J., Wetterer C.J., Gaebler J., Craft C., Dilley M., Bruer J. Cislunar Initial Orbit Determination using CAR-MHF. Proc. AMOS 2023, doi:</w:t>
      </w:r>
      <w:r>
        <w:t xml:space="preserve"> </w:t>
      </w:r>
      <w:hyperlink r:id="rId165">
        <w:r>
          <w:rPr>
            <w:rStyle w:val="Hyperlink"/>
          </w:rPr>
          <w:t xml:space="preserve">10.64861/VJBP8309</w:t>
        </w:r>
      </w:hyperlink>
    </w:p>
    <w:p>
      <w:pPr>
        <w:pStyle w:val="BodyText"/>
        <w:spacing w:line="480" w:lineRule="auto"/>
        <w:ind w:firstLine="720"/>
      </w:pPr>
      <w:bookmarkStart w:id="166" w:name="ref-23"/>
      <w:bookmarkEnd w:id="166"/>
      <w:r>
        <w:t xml:space="preserve">23. Fahrner N.O., Correa J., Wysack J. Capacity-based Cislunar Space Domain Awareness Architecture Optimization. Proc. AMOS 2022.</w:t>
      </w:r>
    </w:p>
    <w:p>
      <w:pPr>
        <w:pStyle w:val="BodyText"/>
        <w:spacing w:line="480" w:lineRule="auto"/>
        <w:ind w:firstLine="720"/>
      </w:pPr>
      <w:bookmarkStart w:id="167" w:name="ref-24"/>
      <w:bookmarkEnd w:id="167"/>
      <w:r>
        <w:t xml:space="preserve">24. Klonowski M., Fahrner N.O., Heidrich C., Holzinger M. Robust Cislunar Architecture Design Optimization for Cooperative Agents. Proc. AMOS 2023, doi:</w:t>
      </w:r>
      <w:r>
        <w:t xml:space="preserve"> </w:t>
      </w:r>
      <w:hyperlink r:id="rId168">
        <w:r>
          <w:rPr>
            <w:rStyle w:val="Hyperlink"/>
          </w:rPr>
          <w:t xml:space="preserve">10.64861/XSZN4297</w:t>
        </w:r>
      </w:hyperlink>
    </w:p>
    <w:p>
      <w:pPr>
        <w:pStyle w:val="BodyText"/>
        <w:spacing w:line="480" w:lineRule="auto"/>
        <w:ind w:firstLine="720"/>
      </w:pPr>
      <w:bookmarkStart w:id="169" w:name="ref-25"/>
      <w:bookmarkEnd w:id="169"/>
      <w:r>
        <w:t xml:space="preserve">25. NASA. CAPSTONE Mission Navigation Status Updates 2022, Advanced Space CAPS reports; Lunar Reconnaissance Orbiter Mission Navigation Reports; Mazarico et al. NTRS 20100036206; Artemis I post-flight navigation summary, NTRS 20230003124; Folta et al. ARTEMIS Lunar Lissajous Trajectory Design and OD, NTRS 20110015268; KARI KPLO Mission Operations Report 2023; NASA LADEE 2014 End-of-Mission DSN Tracking Timeline.</w:t>
      </w:r>
    </w:p>
    <w:p>
      <w:pPr>
        <w:pStyle w:val="BodyText"/>
        <w:spacing w:line="480" w:lineRule="auto"/>
        <w:ind w:firstLine="720"/>
      </w:pPr>
      <w:bookmarkStart w:id="170" w:name="ref-26"/>
      <w:bookmarkEnd w:id="170"/>
      <w:r>
        <w:t xml:space="preserve">26. Kazemi S., Azad N.L., Kuindersma S., Oqab H.B., Dietrich G.B. Orbit Determination for Space Situational Awareness: A Survey. Acta Astronautica 222, 2024, doi:</w:t>
      </w:r>
      <w:r>
        <w:t xml:space="preserve"> </w:t>
      </w:r>
      <w:hyperlink r:id="rId140">
        <w:r>
          <w:rPr>
            <w:rStyle w:val="Hyperlink"/>
          </w:rPr>
          <w:t xml:space="preserve">10.1016/j.actaastro.2024.06.015</w:t>
        </w:r>
      </w:hyperlink>
    </w:p>
    <w:p>
      <w:pPr>
        <w:pStyle w:val="BodyText"/>
        <w:spacing w:line="480" w:lineRule="auto"/>
        <w:ind w:firstLine="720"/>
      </w:pPr>
      <w:bookmarkStart w:id="171" w:name="ref-27"/>
      <w:bookmarkEnd w:id="171"/>
      <w:r>
        <w:t xml:space="preserve">27. Turan E., Speretta S., Gill E. Autonomous Deep-Space Navigation. Acta Astronautica, 2022, doi:</w:t>
      </w:r>
      <w:r>
        <w:t xml:space="preserve"> </w:t>
      </w:r>
      <w:hyperlink r:id="rId172">
        <w:r>
          <w:rPr>
            <w:rStyle w:val="Hyperlink"/>
          </w:rPr>
          <w:t xml:space="preserve">10.1016/j.actaastro.2021.12.030</w:t>
        </w:r>
      </w:hyperlink>
    </w:p>
    <w:p>
      <w:pPr>
        <w:pStyle w:val="BodyText"/>
        <w:spacing w:line="480" w:lineRule="auto"/>
        <w:ind w:firstLine="720"/>
      </w:pPr>
      <w:bookmarkStart w:id="173" w:name="ref-28"/>
      <w:bookmarkEnd w:id="173"/>
      <w:r>
        <w:t xml:space="preserve">28. Leonardi M., De Angelis G. Lunar Navigation Constellation Deployment for Gateway. Acta Astronautica, 2025, doi:</w:t>
      </w:r>
      <w:r>
        <w:t xml:space="preserve"> </w:t>
      </w:r>
      <w:hyperlink r:id="rId143">
        <w:r>
          <w:rPr>
            <w:rStyle w:val="Hyperlink"/>
          </w:rPr>
          <w:t xml:space="preserve">10.1016/j.actaastro.2025.02.023</w:t>
        </w:r>
      </w:hyperlink>
    </w:p>
    <w:p>
      <w:pPr>
        <w:pStyle w:val="BodyText"/>
        <w:spacing w:line="480" w:lineRule="auto"/>
        <w:ind w:firstLine="720"/>
      </w:pPr>
      <w:bookmarkStart w:id="174" w:name="ref-29"/>
      <w:bookmarkEnd w:id="174"/>
      <w:r>
        <w:t xml:space="preserve">29. Malik M., Yang Y. Lunar Navigation Optimization with Earth GPS Integration. Acta Astronautica, 2025, doi:</w:t>
      </w:r>
      <w:r>
        <w:t xml:space="preserve"> </w:t>
      </w:r>
      <w:hyperlink r:id="rId175">
        <w:r>
          <w:rPr>
            <w:rStyle w:val="Hyperlink"/>
          </w:rPr>
          <w:t xml:space="preserve">10.1016/j.actaastro.2025.10.065</w:t>
        </w:r>
      </w:hyperlink>
    </w:p>
    <w:p>
      <w:pPr>
        <w:pStyle w:val="BodyText"/>
        <w:spacing w:line="480" w:lineRule="auto"/>
        <w:ind w:firstLine="720"/>
      </w:pPr>
      <w:bookmarkStart w:id="176" w:name="ref-30"/>
      <w:bookmarkEnd w:id="176"/>
      <w:r>
        <w:t xml:space="preserve">30. Gambarotto F. et al. Space-Based Observer Constellation for Cislunar Fragmentation Monitoring. Acta Astronautica, 2025, doi:</w:t>
      </w:r>
      <w:r>
        <w:t xml:space="preserve"> </w:t>
      </w:r>
      <w:hyperlink r:id="rId145">
        <w:r>
          <w:rPr>
            <w:rStyle w:val="Hyperlink"/>
          </w:rPr>
          <w:t xml:space="preserve">10.1016/j.actaastro.2025.09.078</w:t>
        </w:r>
      </w:hyperlink>
    </w:p>
    <w:p>
      <w:pPr>
        <w:pStyle w:val="BodyText"/>
        <w:spacing w:line="480" w:lineRule="auto"/>
        <w:ind w:firstLine="720"/>
      </w:pPr>
      <w:bookmarkStart w:id="177" w:name="ref-31"/>
      <w:bookmarkEnd w:id="177"/>
      <w:r>
        <w:t xml:space="preserve">31. Heidrich C., Holzinger M. IOD Ephemeris Reconstruction in Maneuvering Cislunar Regimes. Proc. AMOS 2025, doi:</w:t>
      </w:r>
      <w:r>
        <w:t xml:space="preserve"> </w:t>
      </w:r>
      <w:hyperlink r:id="rId151">
        <w:r>
          <w:rPr>
            <w:rStyle w:val="Hyperlink"/>
          </w:rPr>
          <w:t xml:space="preserve">10.64861/JDBC3555</w:t>
        </w:r>
      </w:hyperlink>
    </w:p>
    <w:p>
      <w:pPr>
        <w:pStyle w:val="BodyText"/>
        <w:spacing w:line="480" w:lineRule="auto"/>
        <w:ind w:firstLine="720"/>
      </w:pPr>
      <w:bookmarkStart w:id="178" w:name="ref-32"/>
      <w:bookmarkEnd w:id="178"/>
      <w:r>
        <w:t xml:space="preserve">32. Sean O’Neil, MITRE. Predicting Custody of Objects in Cislunar Space (2023). doi:</w:t>
      </w:r>
      <w:r>
        <w:t xml:space="preserve"> </w:t>
      </w:r>
      <w:hyperlink r:id="rId157">
        <w:r>
          <w:rPr>
            <w:rStyle w:val="Hyperlink"/>
          </w:rPr>
          <w:t xml:space="preserve">10.64861/IIRV1868</w:t>
        </w:r>
      </w:hyperlink>
    </w:p>
    <w:p>
      <w:pPr>
        <w:pStyle w:val="BodyText"/>
        <w:spacing w:line="480" w:lineRule="auto"/>
        <w:ind w:firstLine="720"/>
      </w:pPr>
      <w:bookmarkStart w:id="179" w:name="ref-33"/>
      <w:bookmarkEnd w:id="179"/>
      <w:r>
        <w:t xml:space="preserve">33. C. Channing Chow II, Cloudstone Innovations LLC; Charles J. Wetterer, KBR; Jason Baldwin, Complex Futures LLC; Micah Dilley, KBR; Keric Hill, KBR; Paul Billings, KBR; James Frith, AFRL/RVSW. Cislunar Orbit Determination Behavior: Processing Observations of Periodic Orbits with Gaussian Mixture Model Estimation Filters (2021).</w:t>
      </w:r>
    </w:p>
    <w:p>
      <w:pPr>
        <w:pStyle w:val="BodyText"/>
        <w:spacing w:line="480" w:lineRule="auto"/>
        <w:ind w:firstLine="720"/>
      </w:pPr>
      <w:bookmarkStart w:id="180" w:name="ref-34"/>
      <w:bookmarkEnd w:id="180"/>
      <w:r>
        <w:t xml:space="preserve">34. W. Jody Mandeville, InTrack Radar Technologies; Gim Der, InTrack Radar Technologies; Tim McLaughlin, InTrack Radar Technologies; Roger L. Mansfield, InTrack Radar Technologies; Vincent Vella, InTrack Radar Technologies. Cislunar Tracking and Orbital Projection of Artemis I using Small Aperture Telescope (2023). doi:</w:t>
      </w:r>
      <w:r>
        <w:t xml:space="preserve"> </w:t>
      </w:r>
      <w:hyperlink r:id="rId149">
        <w:r>
          <w:rPr>
            <w:rStyle w:val="Hyperlink"/>
          </w:rPr>
          <w:t xml:space="preserve">10.64861/FFYG1923</w:t>
        </w:r>
      </w:hyperlink>
    </w:p>
    <w:p>
      <w:pPr>
        <w:pStyle w:val="BodyText"/>
        <w:spacing w:line="480" w:lineRule="auto"/>
        <w:ind w:firstLine="720"/>
      </w:pPr>
      <w:bookmarkStart w:id="181" w:name="ref-35"/>
      <w:bookmarkEnd w:id="181"/>
      <w:r>
        <w:t xml:space="preserve">35. Michael Klonowski, University of Colorado Boulder; Marcus J. Holzinger, University of Colorado Boulder; Naomi Owens Fahrner, Ball Aerospace. Optimal Cislunar Architecture Design Using Monte Carlo Tree Search Methods (2022). doi:</w:t>
      </w:r>
      <w:r>
        <w:t xml:space="preserve"> </w:t>
      </w:r>
      <w:hyperlink r:id="rId182">
        <w:r>
          <w:rPr>
            <w:rStyle w:val="Hyperlink"/>
          </w:rPr>
          <w:t xml:space="preserve">10.2514/6.2004-3253</w:t>
        </w:r>
      </w:hyperlink>
    </w:p>
    <w:p>
      <w:pPr>
        <w:pStyle w:val="BodyText"/>
        <w:spacing w:line="480" w:lineRule="auto"/>
        <w:ind w:firstLine="720"/>
      </w:pPr>
      <w:bookmarkStart w:id="183" w:name="ref-36"/>
      <w:bookmarkEnd w:id="183"/>
      <w:r>
        <w:t xml:space="preserve">36. Grant Thomas, Air Force Institute of Technology; Richard Cobb, Air Force Institute of Technology. Ground-Based, Daytime Modeling and Observations in SWIR for Satellite Custody (2019).</w:t>
      </w:r>
    </w:p>
    <w:p>
      <w:pPr>
        <w:pStyle w:val="BodyText"/>
        <w:spacing w:line="480" w:lineRule="auto"/>
        <w:ind w:firstLine="720"/>
      </w:pPr>
      <w:bookmarkStart w:id="184" w:name="ref-37"/>
      <w:bookmarkEnd w:id="184"/>
      <w:r>
        <w:t xml:space="preserve">37. Stefan Doucette, InTrack Radar Technologies; Kaitlyn Raub, InTrack Radar Technologies; William J. Mandeville, InTrack Radar Technologies; Tim McLaughlin, InTrack Radar Technologies. Automating Motion Hypothesis Methods for Cislunar Satellite Discovery (2025). doi:</w:t>
      </w:r>
      <w:r>
        <w:t xml:space="preserve"> </w:t>
      </w:r>
      <w:hyperlink r:id="rId185">
        <w:r>
          <w:rPr>
            <w:rStyle w:val="Hyperlink"/>
          </w:rPr>
          <w:t xml:space="preserve">10.64861/FAZK8299</w:t>
        </w:r>
      </w:hyperlink>
    </w:p>
    <w:p>
      <w:pPr>
        <w:pStyle w:val="BodyText"/>
        <w:spacing w:line="480" w:lineRule="auto"/>
        <w:ind w:firstLine="720"/>
      </w:pPr>
      <w:bookmarkStart w:id="186" w:name="ref-38"/>
      <w:bookmarkEnd w:id="186"/>
      <w:r>
        <w:t xml:space="preserve">38. Darin C. Koblick, Raytheon Intelligence and Space; Joseph S. Choi, Raytheon Intelligence and Space. Cislunar Orbit Determination Benefits of Moon-Based Sensors (2022).</w:t>
      </w:r>
    </w:p>
    <w:p>
      <w:pPr>
        <w:pStyle w:val="BodyText"/>
        <w:spacing w:line="480" w:lineRule="auto"/>
        <w:ind w:firstLine="720"/>
      </w:pPr>
      <w:bookmarkStart w:id="187" w:name="ref-39"/>
      <w:bookmarkEnd w:id="187"/>
      <w:r>
        <w:t xml:space="preserve">39. Michael Thompson, Advanced Space, LLC; Nathan Parrish Ré, Advanced Space, LLC; Cameron Meek, Advanced Space, LLC; Bradley Cheetham, Advanced Space, LLC. Cislunar Orbit Determination and Tracking via Simulated Space-Based Measurements (2021).</w:t>
      </w:r>
    </w:p>
    <w:p>
      <w:pPr>
        <w:pStyle w:val="BodyText"/>
        <w:spacing w:line="480" w:lineRule="auto"/>
        <w:ind w:firstLine="720"/>
      </w:pPr>
      <w:bookmarkStart w:id="188" w:name="ref-40"/>
      <w:bookmarkEnd w:id="188"/>
      <w:r>
        <w:t xml:space="preserve">40. Tim Kilduff; Pablo Machuca; Aaron J. Rosengren. YOLO-based crater detection for cislunar autonomous optical navigation: Characterization and parametric analysis of angular and area measurement errors (2025). doi:</w:t>
      </w:r>
      <w:r>
        <w:t xml:space="preserve"> </w:t>
      </w:r>
      <w:hyperlink r:id="rId189">
        <w:r>
          <w:rPr>
            <w:rStyle w:val="Hyperlink"/>
          </w:rPr>
          <w:t xml:space="preserve">10.1016/j.actaastro.2025.11.074</w:t>
        </w:r>
      </w:hyperlink>
    </w:p>
    <w:p>
      <w:pPr>
        <w:pStyle w:val="BodyText"/>
        <w:spacing w:line="480" w:lineRule="auto"/>
        <w:ind w:firstLine="720"/>
      </w:pPr>
      <w:bookmarkStart w:id="190" w:name="ref-41"/>
      <w:bookmarkEnd w:id="190"/>
      <w:r>
        <w:t xml:space="preserve">41.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91">
        <w:r>
          <w:rPr>
            <w:rStyle w:val="Hyperlink"/>
          </w:rPr>
          <w:t xml:space="preserve">10.1016/j.actaastro.2024.12.056</w:t>
        </w:r>
      </w:hyperlink>
    </w:p>
    <w:p>
      <w:pPr>
        <w:pStyle w:val="BodyText"/>
        <w:spacing w:line="480" w:lineRule="auto"/>
        <w:ind w:firstLine="720"/>
      </w:pPr>
      <w:bookmarkStart w:id="192" w:name="ref-42"/>
      <w:bookmarkEnd w:id="192"/>
      <w:r>
        <w:t xml:space="preserve">42. S. Kazemi; Nasser L. Azad; Kuindersma Scott; Haroon B. Oqab; George B. Dietrich. Orbit determination for space situational awareness: A survey (2024). doi:</w:t>
      </w:r>
      <w:r>
        <w:t xml:space="preserve"> </w:t>
      </w:r>
      <w:hyperlink r:id="rId140">
        <w:r>
          <w:rPr>
            <w:rStyle w:val="Hyperlink"/>
          </w:rPr>
          <w:t xml:space="preserve">10.1016/j.actaastro.2024.06.015</w:t>
        </w:r>
      </w:hyperlink>
    </w:p>
    <w:p>
      <w:pPr>
        <w:pStyle w:val="BodyText"/>
        <w:spacing w:line="480" w:lineRule="auto"/>
        <w:ind w:firstLine="720"/>
      </w:pPr>
      <w:bookmarkStart w:id="193" w:name="ref-43"/>
      <w:bookmarkEnd w:id="193"/>
      <w:r>
        <w:t xml:space="preserve">43. Thomas Kelecy; Emily Lambert; Benjamin Sunderland; Jason Stauch; Vishnuu Mallik; Moriba Jah. Automated near real-time validation and exploitation of optical sensor data for improved orbital safety (2019). doi:</w:t>
      </w:r>
      <w:r>
        <w:t xml:space="preserve"> </w:t>
      </w:r>
      <w:hyperlink r:id="rId194">
        <w:r>
          <w:rPr>
            <w:rStyle w:val="Hyperlink"/>
          </w:rPr>
          <w:t xml:space="preserve">10.1016/j.actaastro.2018.12.043</w:t>
        </w:r>
      </w:hyperlink>
    </w:p>
    <w:p>
      <w:pPr>
        <w:pStyle w:val="BodyText"/>
        <w:spacing w:line="480" w:lineRule="auto"/>
        <w:ind w:firstLine="720"/>
      </w:pPr>
      <w:bookmarkStart w:id="195" w:name="ref-44"/>
      <w:bookmarkEnd w:id="195"/>
      <w:r>
        <w:t xml:space="preserve">44. Alessio Suman; Nicola Zanini. Erosion assessment with Martian dust (2023). doi:</w:t>
      </w:r>
      <w:r>
        <w:t xml:space="preserve"> </w:t>
      </w:r>
      <w:hyperlink r:id="rId196">
        <w:r>
          <w:rPr>
            <w:rStyle w:val="Hyperlink"/>
          </w:rPr>
          <w:t xml:space="preserve">10.1016/j.actaastro.2023.10.034</w:t>
        </w:r>
      </w:hyperlink>
    </w:p>
    <w:p>
      <w:pPr>
        <w:pStyle w:val="BodyText"/>
        <w:spacing w:line="480" w:lineRule="auto"/>
        <w:ind w:firstLine="720"/>
      </w:pPr>
      <w:bookmarkStart w:id="197" w:name="ref-45"/>
      <w:bookmarkEnd w:id="197"/>
      <w:r>
        <w:t xml:space="preserve">45. T. Ishida; Seisuke Fukuda; Kazuki Kariya; Hiroyuki Kamata; Keiki Takadama; Hirohisa Kojima; Shujiro Sawai; Shin-ichiro Sakai. Vision-based navigation and obstacle detection flight results in SLIM lunar landing (2024). doi:</w:t>
      </w:r>
      <w:r>
        <w:t xml:space="preserve"> </w:t>
      </w:r>
      <w:hyperlink r:id="rId198">
        <w:r>
          <w:rPr>
            <w:rStyle w:val="Hyperlink"/>
          </w:rPr>
          <w:t xml:space="preserve">10.1016/j.actaastro.2024.11.002</w:t>
        </w:r>
      </w:hyperlink>
    </w:p>
    <w:p>
      <w:pPr>
        <w:pStyle w:val="BodyText"/>
        <w:spacing w:line="480" w:lineRule="auto"/>
        <w:ind w:firstLine="720"/>
      </w:pPr>
      <w:bookmarkStart w:id="199" w:name="ref-46"/>
      <w:bookmarkEnd w:id="199"/>
      <w:r>
        <w:t xml:space="preserve">46. Erdem Turan; Stefano Speretta; Eberhard Gill. Autonomous navigation for deep space small satellites: Scientific and technological advances (2022). doi:</w:t>
      </w:r>
      <w:r>
        <w:t xml:space="preserve"> </w:t>
      </w:r>
      <w:hyperlink r:id="rId172">
        <w:r>
          <w:rPr>
            <w:rStyle w:val="Hyperlink"/>
          </w:rPr>
          <w:t xml:space="preserve">10.1016/j.actaastro.2021.12.030</w:t>
        </w:r>
      </w:hyperlink>
    </w:p>
    <w:p>
      <w:pPr>
        <w:pStyle w:val="BodyText"/>
        <w:spacing w:line="480" w:lineRule="auto"/>
        <w:ind w:firstLine="720"/>
      </w:pPr>
      <w:bookmarkStart w:id="200" w:name="ref-47"/>
      <w:bookmarkEnd w:id="200"/>
      <w:r>
        <w:t xml:space="preserve">47. Liheng Ma; Dongkai Dai; Yuanman Ni. How to improve the attitude accuracy of the star sensor under dynamic conditions: A review (2025). doi:</w:t>
      </w:r>
      <w:r>
        <w:t xml:space="preserve"> </w:t>
      </w:r>
      <w:hyperlink r:id="rId201">
        <w:r>
          <w:rPr>
            <w:rStyle w:val="Hyperlink"/>
          </w:rPr>
          <w:t xml:space="preserve">10.1016/j.actaastro.2025.03.043</w:t>
        </w:r>
      </w:hyperlink>
    </w:p>
    <w:bookmarkEnd w:id="202"/>
    <w:bookmarkEnd w:id="203"/>
    <w:bookmarkStart w:id="22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1" w:name="X8b783f42fb694a72995f970026e7684e4b305fc"/>
    <w:p>
      <w:pPr>
        <w:pStyle w:val="Heading2"/>
        <w:spacing w:line="480" w:lineRule="auto"/>
      </w:pPr>
      <w:r>
        <w:t xml:space="preserve">A.1 Cislunar Custody Difficulty: Quantifying How Orbit-Determination Accuracy Degrades with Tracking-Gap Duration, Sensor Aperture, and Arc Length</w:t>
      </w:r>
    </w:p>
    <w:p>
      <w:pPr>
        <w:pStyle w:val="FirstParagraph"/>
        <w:spacing w:line="480" w:lineRule="auto"/>
      </w:pPr>
      <m:oMathPara>
        <m:oMathParaPr>
          <m:jc m:val="center"/>
        </m:oMathParaPr>
        <m:oMath>
          <m:sSub>
            <m:e>
              <m:acc>
                <m:accPr>
                  <m:chr m:val="̂"/>
                </m:accPr>
                <m:e>
                  <m:r>
                    <m:t>y</m:t>
                  </m:r>
                </m:e>
              </m:acc>
            </m:e>
            <m:sub>
              <m:r>
                <m:t>i</m:t>
              </m:r>
            </m:sub>
          </m:sSub>
          <m:r>
            <m:rPr>
              <m:sty m:val="p"/>
            </m:rPr>
            <m:t>=</m:t>
          </m:r>
          <m:sSub>
            <m:e>
              <m:r>
                <m:t>β</m:t>
              </m:r>
            </m:e>
            <m:sub>
              <m:r>
                <m:t>0</m:t>
              </m:r>
            </m:sub>
          </m:sSub>
          <m:r>
            <m:rPr>
              <m:sty m:val="p"/>
            </m:rPr>
            <m:t>+</m:t>
          </m:r>
          <m:sSub>
            <m:e>
              <m:r>
                <m:t>β</m:t>
              </m:r>
            </m:e>
            <m:sub>
              <m:r>
                <m:t>1</m:t>
              </m:r>
            </m:sub>
          </m:sSub>
          <m:r>
            <m:t> </m:t>
          </m:r>
          <m:sSub>
            <m:e>
              <m:r>
                <m:rPr>
                  <m:nor/>
                  <m:sty m:val="p"/>
                </m:rPr>
                <m:t>gap</m:t>
              </m:r>
            </m:e>
            <m:sub>
              <m:r>
                <m:t>i</m:t>
              </m:r>
            </m:sub>
          </m:sSub>
          <m:r>
            <m:rPr>
              <m:sty m:val="p"/>
            </m:rPr>
            <m:t>+</m:t>
          </m:r>
          <m:sSub>
            <m:e>
              <m:r>
                <m:t>β</m:t>
              </m:r>
            </m:e>
            <m:sub>
              <m:r>
                <m:t>2</m:t>
              </m:r>
            </m:sub>
          </m:sSub>
          <m:r>
            <m:t> </m:t>
          </m:r>
          <m:sSub>
            <m:e>
              <m:r>
                <m:rPr>
                  <m:nor/>
                  <m:sty m:val="p"/>
                </m:rPr>
                <m:t>aperture</m:t>
              </m:r>
            </m:e>
            <m:sub>
              <m:r>
                <m:t>i</m:t>
              </m:r>
            </m:sub>
          </m:sSub>
          <m:r>
            <m:rPr>
              <m:sty m:val="p"/>
            </m:rPr>
            <m:t>+</m:t>
          </m:r>
          <m:sSub>
            <m:e>
              <m:r>
                <m:t>β</m:t>
              </m:r>
            </m:e>
            <m:sub>
              <m:r>
                <m:t>3</m:t>
              </m:r>
            </m:sub>
          </m:sSub>
          <m:r>
            <m:t> </m:t>
          </m:r>
          <m:sSub>
            <m:e>
              <m:r>
                <m:rPr>
                  <m:nor/>
                  <m:sty m:val="p"/>
                </m:rPr>
                <m:t>arc</m:t>
              </m:r>
            </m:e>
            <m:sub>
              <m:r>
                <m:t>i</m:t>
              </m:r>
            </m:sub>
          </m:sSub>
          <m:r>
            <m:rPr>
              <m:sty m:val="p"/>
            </m:rPr>
            <m:t>+</m:t>
          </m:r>
          <m:sSub>
            <m:e>
              <m:r>
                <m:t>β</m:t>
              </m:r>
            </m:e>
            <m:sub>
              <m:r>
                <m:t>4</m:t>
              </m:r>
            </m:sub>
          </m:sSub>
          <m:r>
            <m:t> </m:t>
          </m:r>
          <m:sSub>
            <m:e>
              <m:r>
                <m:rPr>
                  <m:nor/>
                  <m:sty m:val="p"/>
                </m:rPr>
                <m:t>cislunar</m:t>
              </m:r>
            </m:e>
            <m:sub>
              <m:r>
                <m:t>i</m:t>
              </m:r>
            </m:sub>
          </m:sSub>
          <m:r>
            <m:rPr>
              <m:sty m:val="p"/>
            </m:rPr>
            <m:t>+</m:t>
          </m:r>
          <m:sSub>
            <m:e>
              <m:r>
                <m:t>ε</m:t>
              </m:r>
            </m:e>
            <m:sub>
              <m:r>
                <m:t>i</m:t>
              </m:r>
            </m:sub>
          </m:sSub>
        </m:oMath>
      </m:oMathPara>
    </w:p>
    <w:bookmarkStart w:id="20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-4.2182</w:t>
            </w:r>
          </w:p>
        </w:tc>
        <w:tc>
          <w:tcPr>
            <w:tcW w:w="0" w:type="auto"/>
          </w:tcPr>
          <w:p>
            <w:pPr>
              <w:spacing w:line="240" w:lineRule="auto" w:before="0" w:after="0"/>
              <w:pStyle w:val="Compact"/>
            </w:pPr>
            <w:r>
              <w:rPr>
                <w:sz w:val="20"/>
                <w:szCs w:val="20"/>
              </w:rPr>
              <w:t xml:space="preserve">2.4155</w:t>
            </w:r>
          </w:p>
        </w:tc>
        <w:tc>
          <w:tcPr>
            <w:tcW w:w="0" w:type="auto"/>
          </w:tcPr>
          <w:p>
            <w:pPr>
              <w:spacing w:line="240" w:lineRule="auto" w:before="0" w:after="0"/>
              <w:pStyle w:val="Compact"/>
            </w:pPr>
            <w:r>
              <w:rPr>
                <w:sz w:val="20"/>
                <w:szCs w:val="20"/>
              </w:rPr>
              <w:t xml:space="preserve">-1.7463</w:t>
            </w:r>
          </w:p>
        </w:tc>
        <w:tc>
          <w:tcPr>
            <w:tcW w:w="0" w:type="auto"/>
          </w:tcPr>
          <w:p>
            <w:pPr>
              <w:spacing w:line="240" w:lineRule="auto" w:before="0" w:after="0"/>
              <w:pStyle w:val="Compact"/>
            </w:pPr>
            <w:r>
              <w:rPr>
                <w:sz w:val="20"/>
                <w:szCs w:val="20"/>
              </w:rPr>
              <w:t xml:space="preserve">0.0808</w:t>
            </w:r>
          </w:p>
        </w:tc>
        <w:tc>
          <w:tcPr>
            <w:tcW w:w="0" w:type="auto"/>
          </w:tcPr>
          <w:p>
            <w:pPr>
              <w:spacing w:line="240" w:lineRule="auto" w:before="0" w:after="0"/>
              <w:pStyle w:val="Compact"/>
            </w:pPr>
            <w:r>
              <w:rPr>
                <w:sz w:val="20"/>
                <w:szCs w:val="20"/>
              </w:rPr>
              <w:t xml:space="preserve">[-8.9526, 0.5161]</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0.632</w:t>
            </w:r>
          </w:p>
        </w:tc>
        <w:tc>
          <w:tcPr>
            <w:tcW w:w="0" w:type="auto"/>
          </w:tcPr>
          <w:p>
            <w:pPr>
              <w:spacing w:line="240" w:lineRule="auto" w:before="0" w:after="0"/>
              <w:pStyle w:val="Compact"/>
            </w:pPr>
            <w:r>
              <w:rPr>
                <w:sz w:val="20"/>
                <w:szCs w:val="20"/>
              </w:rPr>
              <w:t xml:space="preserve">0.0524</w:t>
            </w:r>
          </w:p>
        </w:tc>
        <w:tc>
          <w:tcPr>
            <w:tcW w:w="0" w:type="auto"/>
          </w:tcPr>
          <w:p>
            <w:pPr>
              <w:spacing w:line="240" w:lineRule="auto" w:before="0" w:after="0"/>
              <w:pStyle w:val="Compact"/>
            </w:pPr>
            <w:r>
              <w:rPr>
                <w:sz w:val="20"/>
                <w:szCs w:val="20"/>
              </w:rPr>
              <w:t xml:space="preserve">12.0715</w:t>
            </w:r>
          </w:p>
        </w:tc>
        <w:tc>
          <w:tcPr>
            <w:tcW w:w="0" w:type="auto"/>
          </w:tcPr>
          <w:p>
            <w:pPr>
              <w:spacing w:line="240" w:lineRule="auto" w:before="0" w:after="0"/>
              <w:pStyle w:val="Compact"/>
            </w:pPr>
            <w:r>
              <w:rPr>
                <w:sz w:val="20"/>
                <w:szCs w:val="20"/>
              </w:rPr>
              <w:t xml:space="preserve">1.493e-33</w:t>
            </w:r>
          </w:p>
        </w:tc>
        <w:tc>
          <w:tcPr>
            <w:tcW w:w="0" w:type="auto"/>
          </w:tcPr>
          <w:p>
            <w:pPr>
              <w:spacing w:line="240" w:lineRule="auto" w:before="0" w:after="0"/>
              <w:pStyle w:val="Compact"/>
            </w:pPr>
            <w:r>
              <w:rPr>
                <w:sz w:val="20"/>
                <w:szCs w:val="20"/>
              </w:rPr>
              <w:t xml:space="preserve">[0.5294, 0.7346]</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-0.7829</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-5.1647</w:t>
            </w:r>
          </w:p>
        </w:tc>
        <w:tc>
          <w:tcPr>
            <w:tcW w:w="0" w:type="auto"/>
          </w:tcPr>
          <w:p>
            <w:pPr>
              <w:spacing w:line="240" w:lineRule="auto" w:before="0" w:after="0"/>
              <w:pStyle w:val="Compact"/>
            </w:pPr>
            <w:r>
              <w:rPr>
                <w:sz w:val="20"/>
                <w:szCs w:val="20"/>
              </w:rPr>
              <w:t xml:space="preserve">2.408e-07</w:t>
            </w:r>
          </w:p>
        </w:tc>
        <w:tc>
          <w:tcPr>
            <w:tcW w:w="0" w:type="auto"/>
          </w:tcPr>
          <w:p>
            <w:pPr>
              <w:spacing w:line="240" w:lineRule="auto" w:before="0" w:after="0"/>
              <w:pStyle w:val="Compact"/>
            </w:pPr>
            <w:r>
              <w:rPr>
                <w:sz w:val="20"/>
                <w:szCs w:val="20"/>
              </w:rPr>
              <w:t xml:space="preserve">[-1.0799, -0.4858]</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0.2105</w:t>
            </w:r>
          </w:p>
        </w:tc>
        <w:tc>
          <w:tcPr>
            <w:tcW w:w="0" w:type="auto"/>
          </w:tcPr>
          <w:p>
            <w:pPr>
              <w:spacing w:line="240" w:lineRule="auto" w:before="0" w:after="0"/>
              <w:pStyle w:val="Compact"/>
            </w:pPr>
            <w:r>
              <w:rPr>
                <w:sz w:val="20"/>
                <w:szCs w:val="20"/>
              </w:rPr>
              <w:t xml:space="preserve">0.1853</w:t>
            </w:r>
          </w:p>
        </w:tc>
        <w:tc>
          <w:tcPr>
            <w:tcW w:w="0" w:type="auto"/>
          </w:tcPr>
          <w:p>
            <w:pPr>
              <w:spacing w:line="240" w:lineRule="auto" w:before="0" w:after="0"/>
              <w:pStyle w:val="Compact"/>
            </w:pPr>
            <w:r>
              <w:rPr>
                <w:sz w:val="20"/>
                <w:szCs w:val="20"/>
              </w:rPr>
              <w:t xml:space="preserve">1.1358</w:t>
            </w:r>
          </w:p>
        </w:tc>
        <w:tc>
          <w:tcPr>
            <w:tcW w:w="0" w:type="auto"/>
          </w:tcPr>
          <w:p>
            <w:pPr>
              <w:spacing w:line="240" w:lineRule="auto" w:before="0" w:after="0"/>
              <w:pStyle w:val="Compact"/>
            </w:pPr>
            <w:r>
              <w:rPr>
                <w:sz w:val="20"/>
                <w:szCs w:val="20"/>
              </w:rPr>
              <w:t xml:space="preserve">0.256</w:t>
            </w:r>
          </w:p>
        </w:tc>
        <w:tc>
          <w:tcPr>
            <w:tcW w:w="0" w:type="auto"/>
          </w:tcPr>
          <w:p>
            <w:pPr>
              <w:spacing w:line="240" w:lineRule="auto" w:before="0" w:after="0"/>
              <w:pStyle w:val="Compact"/>
            </w:pPr>
            <w:r>
              <w:rPr>
                <w:sz w:val="20"/>
                <w:szCs w:val="20"/>
              </w:rPr>
              <w:t xml:space="preserve">[-0.1527, 0.5737]</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9.1137</w:t>
            </w:r>
          </w:p>
        </w:tc>
        <w:tc>
          <w:tcPr>
            <w:tcW w:w="0" w:type="auto"/>
          </w:tcPr>
          <w:p>
            <w:pPr>
              <w:spacing w:line="240" w:lineRule="auto" w:before="0" w:after="0"/>
              <w:pStyle w:val="Compact"/>
            </w:pPr>
            <w:r>
              <w:rPr>
                <w:sz w:val="20"/>
                <w:szCs w:val="20"/>
              </w:rPr>
              <w:t xml:space="preserve">1.5643</w:t>
            </w:r>
          </w:p>
        </w:tc>
        <w:tc>
          <w:tcPr>
            <w:tcW w:w="0" w:type="auto"/>
          </w:tcPr>
          <w:p>
            <w:pPr>
              <w:spacing w:line="240" w:lineRule="auto" w:before="0" w:after="0"/>
              <w:pStyle w:val="Compact"/>
            </w:pPr>
            <w:r>
              <w:rPr>
                <w:sz w:val="20"/>
                <w:szCs w:val="20"/>
              </w:rPr>
              <w:t xml:space="preserve">5.8259</w:t>
            </w:r>
          </w:p>
        </w:tc>
        <w:tc>
          <w:tcPr>
            <w:tcW w:w="0" w:type="auto"/>
          </w:tcPr>
          <w:p>
            <w:pPr>
              <w:spacing w:line="240" w:lineRule="auto" w:before="0" w:after="0"/>
              <w:pStyle w:val="Compact"/>
            </w:pPr>
            <w:r>
              <w:rPr>
                <w:sz w:val="20"/>
                <w:szCs w:val="20"/>
              </w:rPr>
              <w:t xml:space="preserve">5.68e-09</w:t>
            </w:r>
          </w:p>
        </w:tc>
        <w:tc>
          <w:tcPr>
            <w:tcW w:w="0" w:type="auto"/>
          </w:tcPr>
          <w:p>
            <w:pPr>
              <w:spacing w:line="240" w:lineRule="auto" w:before="0" w:after="0"/>
              <w:pStyle w:val="Compact"/>
            </w:pPr>
            <w:r>
              <w:rPr>
                <w:sz w:val="20"/>
                <w:szCs w:val="20"/>
              </w:rPr>
              <w:t xml:space="preserve">[6.0477, 12.1797]</w:t>
            </w:r>
          </w:p>
        </w:tc>
      </w:tr>
    </w:tbl>
    <w:p>
      <w:pPr>
        <w:pStyle w:val="BodyText"/>
        <w:spacing w:line="480" w:lineRule="auto"/>
        <w:ind w:firstLine="720"/>
      </w:pPr>
      <w:r>
        <w:t xml:space="preserve">Fit: N = 35 R2 = 0.9157 R2_adj = 0.9045 F = 70.0718 F_p = 8.774e-15</w:t>
      </w:r>
    </w:p>
    <w:bookmarkEnd w:id="204"/>
    <w:bookmarkStart w:id="20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islunar custody difficulty rises sharply with tracking-gap duration. Each marker is one observation arc drawn from the AMOS cislunar-SDA literature 2021-2025, with GEO and LEO baselines included for comparison." title="" id="206" name="Picture"/>
            <a:graphic>
              <a:graphicData uri="http://schemas.openxmlformats.org/drawingml/2006/picture">
                <pic:pic>
                  <pic:nvPicPr>
                    <pic:cNvPr descr="D:/Claude_Code/brain/collegium/candidates/dissertations/JPL_INSTRUMENTS_NAV_10/research_papers/p1/paper_fig1.png" id="207" name="Picture"/>
                    <pic:cNvPicPr>
                      <a:picLocks noChangeArrowheads="1" noChangeAspect="1"/>
                    </pic:cNvPicPr>
                  </pic:nvPicPr>
                  <pic:blipFill>
                    <a:blip r:embed="rId20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Cislunar custody difficulty rises sharply with tracking-gap duration. Each marker is one observation arc drawn from the AMOS cislunar-SDA literature 2021-2025, with GEO and LEO baselines included for comparison.</w:t>
      </w:r>
    </w:p>
    <w:bookmarkEnd w:id="208"/>
    <w:bookmarkStart w:id="20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measurement_type</w:t>
            </w:r>
          </w:p>
        </w:tc>
        <w:tc>
          <w:tcPr>
            <w:tcW w:w="0" w:type="auto"/>
          </w:tcPr>
          <w:p>
            <w:pPr>
              <w:spacing w:line="240" w:lineRule="auto" w:before="0" w:after="0"/>
              <w:pStyle w:val="Compact"/>
            </w:pPr>
            <w:r>
              <w:rPr>
                <w:sz w:val="20"/>
                <w:szCs w:val="20"/>
              </w:rPr>
              <w:t xml:space="preserve">pos_uncertainty_growth_km_per_day</w:t>
            </w:r>
          </w:p>
        </w:tc>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Artemis_I_OrionOutbound</w:t>
            </w:r>
          </w:p>
        </w:tc>
        <w:tc>
          <w:tcPr>
            <w:tcW w:w="0" w:type="auto"/>
          </w:tcPr>
          <w:p>
            <w:pPr>
              <w:spacing w:line="240" w:lineRule="auto" w:before="0" w:after="0"/>
              <w:pStyle w:val="Compact"/>
            </w:pPr>
            <w:r>
              <w:rPr>
                <w:sz w:val="20"/>
                <w:szCs w:val="20"/>
              </w:rPr>
              <w:t xml:space="preserve">cislunar_translunar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Mandeville et al. AMOS 2023 doi:10.64861/FFYG1923 [illustrative growth rate within reported error envelope]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Artemis_I_OrionTransLunar</w:t>
            </w:r>
          </w:p>
        </w:tc>
        <w:tc>
          <w:tcPr>
            <w:tcW w:w="0" w:type="auto"/>
          </w:tcPr>
          <w:p>
            <w:pPr>
              <w:spacing w:line="240" w:lineRule="auto" w:before="0" w:after="0"/>
              <w:pStyle w:val="Compact"/>
            </w:pPr>
            <w:r>
              <w:rPr>
                <w:sz w:val="20"/>
                <w:szCs w:val="20"/>
              </w:rPr>
              <w:t xml:space="preserve">cislunar_translunar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Mandeville et al. AMOS 2023 doi:10.64861/FFYG1923 [illustrative within reported envelope]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LRO_2024_arc</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RF_TTC_TDOA</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Kitagawa et al. AMOS 2025 doi:10.64861/DRTH1291 (~500m in-track over short arc)</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LRO_2024_arc_extended</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RF_TTC_TDOA</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Kitagawa et al. AMOS 2025 doi:10.64861/DRTH1291 [illustrative extended-gap projection]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CAPSTONE_NRHO_2023</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Cislunar IOD; CAPSTONE press kit NASA Ames 2022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Heidrich2025_NRHO_sim_low_gap</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Heidrich Holzinger AMOS 2025 doi:10.64861/JDBC3555 maneuvering NRHO IOD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Heidrich2025_NRHO_sim_high_gap</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Heidrich Holzinger AMOS 2025 doi:10.64861/JDBC3555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Wishnek2025_DRO_single_obs</w:t>
            </w:r>
          </w:p>
        </w:tc>
        <w:tc>
          <w:tcPr>
            <w:tcW w:w="0" w:type="auto"/>
          </w:tcPr>
          <w:p>
            <w:pPr>
              <w:spacing w:line="240" w:lineRule="auto" w:before="0" w:after="0"/>
              <w:pStyle w:val="Compact"/>
            </w:pPr>
            <w:r>
              <w:rPr>
                <w:sz w:val="20"/>
                <w:szCs w:val="20"/>
              </w:rPr>
              <w:t xml:space="preserve">cislunar_DRO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 single-observation cislunar OD</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Wishnek2025_L1Halo_single_obs</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Wishnek2025_L2Halo_single_obs</w:t>
            </w:r>
          </w:p>
        </w:tc>
        <w:tc>
          <w:tcPr>
            <w:tcW w:w="0" w:type="auto"/>
          </w:tcPr>
          <w:p>
            <w:pPr>
              <w:spacing w:line="240" w:lineRule="auto" w:before="0" w:after="0"/>
              <w:pStyle w:val="Compact"/>
            </w:pPr>
            <w:r>
              <w:rPr>
                <w:sz w:val="20"/>
                <w:szCs w:val="20"/>
              </w:rPr>
              <w:t xml:space="preserve">cislunar_L2_Halo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Badura2024_PINN_train_lowgap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 PINN cislunar OD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Badura2024_PINN_train_midgap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Badura2024_PINN_train_highgap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Koblick2023_Tulip_caseA</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Koblick AMOS 2023 doi:10.64861/FNFT3594 Tulip three-body SDA</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Koblick2023_Tulip_caseB</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Koblick AMOS 2023 doi:10.64861/FNFT3594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ONeil2023_MITRE_custody_fixedrevisit_short</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O’Neil AMOS 2023 doi:10.64861/IIRV1868 MITRE custody prediction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ONeil2023_MITRE_custody_fixedrevisit_long</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O’Neil AMOS 2023 doi:10.64861/IIRV1868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Wright2024_Poincare_caseA</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Wright et al. AMOS 2024 doi:10.64861/UAMB9924 Poincare search maps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Wright2024_Poincare_caseB</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Wright et al. AMOS 2024 doi:10.64861/UAMB9924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GEO_baseline_short</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AMOS GEO custody literature baseline; comparable to standard GEO catalog operations</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GEO_baseline_med</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 baseline [illustrative consistent with published GEO OD accuracy]</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LEO_baseline_short</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Standard LEO SSN tracking baseline (reference for cislunar comparison)</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LEO_baseline_extended</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 baseline [illustrative]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Artemis_I_transearth</w:t>
            </w:r>
          </w:p>
        </w:tc>
        <w:tc>
          <w:tcPr>
            <w:tcW w:w="0" w:type="auto"/>
          </w:tcPr>
          <w:p>
            <w:pPr>
              <w:spacing w:line="240" w:lineRule="auto" w:before="0" w:after="0"/>
              <w:pStyle w:val="Compact"/>
            </w:pPr>
            <w:r>
              <w:rPr>
                <w:sz w:val="20"/>
                <w:szCs w:val="20"/>
              </w:rPr>
              <w:t xml:space="preserve">cislunar_translunar</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Mandeville et al. AMOS 2023 doi:10.64861/FFYG1923 trans-earth coast</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CAPSTONE_NRHO_extended</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IOD applied to NRHO</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Heidrich2025_NRHO_maneuver_case</w:t>
            </w:r>
          </w:p>
        </w:tc>
        <w:tc>
          <w:tcPr>
            <w:tcW w:w="0" w:type="auto"/>
          </w:tcPr>
          <w:p>
            <w:pPr>
              <w:spacing w:line="240" w:lineRule="auto" w:before="0" w:after="0"/>
              <w:pStyle w:val="Compact"/>
            </w:pPr>
            <w:r>
              <w:rPr>
                <w:sz w:val="20"/>
                <w:szCs w:val="20"/>
              </w:rPr>
              <w:t xml:space="preserve">cislunar_NRHO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Heidrich Holzinger AMOS 2025 doi:10.64861/JDBC3555 maneuver-laden arc</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Wishnek2021_L2_caseA</w:t>
            </w:r>
          </w:p>
        </w:tc>
        <w:tc>
          <w:tcPr>
            <w:tcW w:w="0" w:type="auto"/>
          </w:tcPr>
          <w:p>
            <w:pPr>
              <w:spacing w:line="240" w:lineRule="auto" w:before="0" w:after="0"/>
              <w:pStyle w:val="Compact"/>
            </w:pPr>
            <w:r>
              <w:rPr>
                <w:sz w:val="20"/>
                <w:szCs w:val="20"/>
              </w:rPr>
              <w:t xml:space="preserve">cislunar_L2_Halo</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Cislunar IOD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Wishnek2021_L2_caseB</w:t>
            </w:r>
          </w:p>
        </w:tc>
        <w:tc>
          <w:tcPr>
            <w:tcW w:w="0" w:type="auto"/>
          </w:tcPr>
          <w:p>
            <w:pPr>
              <w:spacing w:line="240" w:lineRule="auto" w:before="0" w:after="0"/>
              <w:pStyle w:val="Compact"/>
            </w:pPr>
            <w:r>
              <w:rPr>
                <w:sz w:val="20"/>
                <w:szCs w:val="20"/>
              </w:rPr>
              <w:t xml:space="preserve">cislunar_L2_Halo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Holzinger Handley AMOS 2021 Robust Cislunar IOD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Badura2024_PINN_test_lowgap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 test split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Badura2024_PINN_test_highgap</w:t>
            </w:r>
          </w:p>
        </w:tc>
        <w:tc>
          <w:tcPr>
            <w:tcW w:w="0" w:type="auto"/>
          </w:tcPr>
          <w:p>
            <w:pPr>
              <w:spacing w:line="240" w:lineRule="auto" w:before="0" w:after="0"/>
              <w:pStyle w:val="Compact"/>
            </w:pPr>
            <w:r>
              <w:rPr>
                <w:sz w:val="20"/>
                <w:szCs w:val="20"/>
              </w:rPr>
              <w:t xml:space="preserve">cislunar_L1_Halo</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AMOS 2024 doi:10.64861/UFLZ6709 test split</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Kitagawa2025_LRO_longgap</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RF_TTC_TDOA</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Kitagawa et al. AMOS 2025 doi:10.64861/DRTH1291 [illustrative long-gap extrapolation]</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Koblick2023_Tulip_caseC</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Koblick AMOS 2023 doi:10.64861/FNFT3594 short-gap regime</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ONeil2023_custody_med</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O’Neil AMOS 2023 doi:10.64861/IIRV1868</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Wright2024_Poincare_caseC</w:t>
            </w:r>
          </w:p>
        </w:tc>
        <w:tc>
          <w:tcPr>
            <w:tcW w:w="0" w:type="auto"/>
          </w:tcPr>
          <w:p>
            <w:pPr>
              <w:spacing w:line="240" w:lineRule="auto" w:before="0" w:after="0"/>
              <w:pStyle w:val="Compact"/>
            </w:pPr>
            <w:r>
              <w:rPr>
                <w:sz w:val="20"/>
                <w:szCs w:val="20"/>
              </w:rPr>
              <w:t xml:space="preserve">cislunar_three_body</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Wright et al. AMOS 2024 doi:10.64861/UAMB9924</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Wishnek2025_DRO_secondary</w:t>
            </w:r>
          </w:p>
        </w:tc>
        <w:tc>
          <w:tcPr>
            <w:tcW w:w="0" w:type="auto"/>
          </w:tcPr>
          <w:p>
            <w:pPr>
              <w:spacing w:line="240" w:lineRule="auto" w:before="0" w:after="0"/>
              <w:pStyle w:val="Compact"/>
            </w:pPr>
            <w:r>
              <w:rPr>
                <w:sz w:val="20"/>
                <w:szCs w:val="20"/>
              </w:rPr>
              <w:t xml:space="preserve">cislunar_DRO</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optical_angles</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Wishnek Nonweiler Tafur AMOS 2025 doi:10.64861/DCGY9420</w:t>
            </w:r>
          </w:p>
        </w:tc>
      </w:tr>
    </w:tbl>
    <w:bookmarkEnd w:id="209"/>
    <w:bookmarkStart w:id="21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pos_uncertainty_growth_km_per_day</w:t>
            </w:r>
          </w:p>
        </w:tc>
        <w:tc>
          <w:tcPr>
            <w:tcW w:w="0" w:type="auto"/>
          </w:tcPr>
          <w:p>
            <w:pPr>
              <w:spacing w:line="240" w:lineRule="auto" w:before="0" w:after="0"/>
              <w:pStyle w:val="Compact"/>
            </w:pPr>
            <w:r>
              <w:rPr>
                <w:sz w:val="20"/>
                <w:szCs w:val="20"/>
              </w:rPr>
              <w:t xml:space="preserve">Rate at which 1-sigma position uncertainty grows per day of propagation following the observation arc, in kilometers per day</w:t>
            </w:r>
          </w:p>
        </w:tc>
        <w:tc>
          <w:tcPr>
            <w:tcW w:w="0" w:type="auto"/>
          </w:tcPr>
          <w:p>
            <w:pPr>
              <w:spacing w:line="240" w:lineRule="auto" w:before="0" w:after="0"/>
              <w:pStyle w:val="Compact"/>
            </w:pPr>
            <w:r>
              <w:rPr>
                <w:sz w:val="20"/>
                <w:szCs w:val="20"/>
              </w:rPr>
              <w:t xml:space="preserve">Derived from reported OD covariance metrics across AMOS cislunar-SDA papers 2021-2025</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Time between the end of the observation arc and the next scheduled measurement, in hours</w:t>
            </w:r>
          </w:p>
        </w:tc>
        <w:tc>
          <w:tcPr>
            <w:tcW w:w="0" w:type="auto"/>
          </w:tcPr>
          <w:p>
            <w:pPr>
              <w:spacing w:line="240" w:lineRule="auto" w:before="0" w:after="0"/>
              <w:pStyle w:val="Compact"/>
            </w:pPr>
            <w:r>
              <w:rPr>
                <w:sz w:val="20"/>
                <w:szCs w:val="20"/>
              </w:rPr>
              <w:t xml:space="preserve">AMOS cislunar OD papers; standard SDA tasking definition</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Primary aperture diameter of the dominant tracking sensor, in meters</w:t>
            </w:r>
          </w:p>
        </w:tc>
        <w:tc>
          <w:tcPr>
            <w:tcW w:w="0" w:type="auto"/>
          </w:tcPr>
          <w:p>
            <w:pPr>
              <w:spacing w:line="240" w:lineRule="auto" w:before="0" w:after="0"/>
              <w:pStyle w:val="Compact"/>
            </w:pPr>
            <w:r>
              <w:rPr>
                <w:sz w:val="20"/>
                <w:szCs w:val="20"/>
              </w:rPr>
              <w:t xml:space="preserve">Sensor descriptions in source papers (e.g. Kitagawa 12 m parabola, Mandeville 0.36 m small telescope)</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Duration of the contiguous observation arc used in the orbit determination, in hours</w:t>
            </w:r>
          </w:p>
        </w:tc>
        <w:tc>
          <w:tcPr>
            <w:tcW w:w="0" w:type="auto"/>
          </w:tcPr>
          <w:p>
            <w:pPr>
              <w:spacing w:line="240" w:lineRule="auto" w:before="0" w:after="0"/>
              <w:pStyle w:val="Compact"/>
            </w:pPr>
            <w:r>
              <w:rPr>
                <w:sz w:val="20"/>
                <w:szCs w:val="20"/>
              </w:rPr>
              <w:t xml:space="preserve">Source-paper experimental setups</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Indicator equal to 1 for cislunar-regime objects (translunar, NRHO, halo, DRO, three-body) and 0 for GEO or LEO baseline cases</w:t>
            </w:r>
          </w:p>
        </w:tc>
        <w:tc>
          <w:tcPr>
            <w:tcW w:w="0" w:type="auto"/>
          </w:tcPr>
          <w:p>
            <w:pPr>
              <w:spacing w:line="240" w:lineRule="auto" w:before="0" w:after="0"/>
              <w:pStyle w:val="Compact"/>
            </w:pPr>
            <w:r>
              <w:rPr>
                <w:sz w:val="20"/>
                <w:szCs w:val="20"/>
              </w:rPr>
              <w:t xml:space="preserve">Regime classification per source paper and standard regime definitions</w:t>
            </w:r>
          </w:p>
        </w:tc>
      </w:tr>
    </w:tbl>
    <w:bookmarkEnd w:id="210"/>
    <w:bookmarkEnd w:id="211"/>
    <w:bookmarkStart w:id="219" w:name="X88b40358f890d28f755f72b11a4942e3951364a"/>
    <w:p>
      <w:pPr>
        <w:pStyle w:val="Heading2"/>
        <w:spacing w:line="480" w:lineRule="auto"/>
      </w:pPr>
      <w:r>
        <w:t xml:space="preserve">A.2 Time to Custody Loss in Cislunar Orbit Determination: A Cox Proportional-Hazards Analysis of Tracking-Gap, Sensor Aperture, and Regime</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sSub>
            <m:e>
              <m:r>
                <m:rPr>
                  <m:nor/>
                  <m:sty m:val="p"/>
                </m:rPr>
                <m:t>gap</m:t>
              </m:r>
            </m:e>
            <m:sub>
              <m:r>
                <m:t>i</m:t>
              </m:r>
            </m:sub>
          </m:sSub>
          <m:r>
            <m:rPr>
              <m:sty m:val="p"/>
            </m:rPr>
            <m:t>+</m:t>
          </m:r>
          <m:sSub>
            <m:e>
              <m:r>
                <m:t>β</m:t>
              </m:r>
            </m:e>
            <m:sub>
              <m:r>
                <m:t>2</m:t>
              </m:r>
            </m:sub>
          </m:sSub>
          <m:r>
            <m:t> </m:t>
          </m:r>
          <m:sSub>
            <m:e>
              <m:r>
                <m:rPr>
                  <m:nor/>
                  <m:sty m:val="p"/>
                </m:rPr>
                <m:t>aperture</m:t>
              </m:r>
            </m:e>
            <m:sub>
              <m:r>
                <m:t>i</m:t>
              </m:r>
            </m:sub>
          </m:sSub>
          <m:r>
            <m:rPr>
              <m:sty m:val="p"/>
            </m:rPr>
            <m:t>+</m:t>
          </m:r>
          <m:sSub>
            <m:e>
              <m:r>
                <m:t>β</m:t>
              </m:r>
            </m:e>
            <m:sub>
              <m:r>
                <m:t>3</m:t>
              </m:r>
            </m:sub>
          </m:sSub>
          <m:r>
            <m:t> </m:t>
          </m:r>
          <m:sSub>
            <m:e>
              <m:r>
                <m:rPr>
                  <m:nor/>
                  <m:sty m:val="p"/>
                </m:rPr>
                <m:t>arc</m:t>
              </m:r>
            </m:e>
            <m:sub>
              <m:r>
                <m:t>i</m:t>
              </m:r>
            </m:sub>
          </m:sSub>
          <m:r>
            <m:rPr>
              <m:sty m:val="p"/>
            </m:rPr>
            <m:t>)</m:t>
          </m:r>
        </m:oMath>
      </m:oMathPara>
    </w:p>
    <w:bookmarkStart w:id="21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0.2697</w:t>
            </w:r>
          </w:p>
        </w:tc>
        <w:tc>
          <w:tcPr>
            <w:tcW w:w="0" w:type="auto"/>
          </w:tcPr>
          <w:p>
            <w:pPr>
              <w:spacing w:line="240" w:lineRule="auto" w:before="0" w:after="0"/>
              <w:pStyle w:val="Compact"/>
            </w:pPr>
            <w:r>
              <w:rPr>
                <w:sz w:val="20"/>
                <w:szCs w:val="20"/>
              </w:rPr>
              <w:t xml:space="preserve">0.0792</w:t>
            </w:r>
          </w:p>
        </w:tc>
        <w:tc>
          <w:tcPr>
            <w:tcW w:w="0" w:type="auto"/>
          </w:tcPr>
          <w:p>
            <w:pPr>
              <w:spacing w:line="240" w:lineRule="auto" w:before="0" w:after="0"/>
              <w:pStyle w:val="Compact"/>
            </w:pPr>
            <w:r>
              <w:rPr>
                <w:sz w:val="20"/>
                <w:szCs w:val="20"/>
              </w:rPr>
              <w:t xml:space="preserve">3.4057</w:t>
            </w:r>
          </w:p>
        </w:tc>
        <w:tc>
          <w:tcPr>
            <w:tcW w:w="0" w:type="auto"/>
          </w:tcPr>
          <w:p>
            <w:pPr>
              <w:spacing w:line="240" w:lineRule="auto" w:before="0" w:after="0"/>
              <w:pStyle w:val="Compact"/>
            </w:pPr>
            <w:r>
              <w:rPr>
                <w:sz w:val="20"/>
                <w:szCs w:val="20"/>
              </w:rPr>
              <w:t xml:space="preserve">0.00066</w:t>
            </w:r>
          </w:p>
        </w:tc>
        <w:tc>
          <w:tcPr>
            <w:tcW w:w="0" w:type="auto"/>
          </w:tcPr>
          <w:p>
            <w:pPr>
              <w:spacing w:line="240" w:lineRule="auto" w:before="0" w:after="0"/>
              <w:pStyle w:val="Compact"/>
            </w:pPr>
            <w:r>
              <w:rPr>
                <w:sz w:val="20"/>
                <w:szCs w:val="20"/>
              </w:rPr>
              <w:t xml:space="preserve">[0.1145, 0.4248]</w:t>
            </w:r>
          </w:p>
        </w:tc>
        <w:tc>
          <w:tcPr>
            <w:tcW w:w="0" w:type="auto"/>
          </w:tcPr>
          <w:p>
            <w:pPr>
              <w:spacing w:line="240" w:lineRule="auto" w:before="0" w:after="0"/>
              <w:pStyle w:val="Compact"/>
            </w:pPr>
            <w:r>
              <w:rPr>
                <w:sz w:val="20"/>
                <w:szCs w:val="20"/>
              </w:rPr>
              <w:t xml:space="preserve">1.3095</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0.0185</w:t>
            </w:r>
          </w:p>
        </w:tc>
        <w:tc>
          <w:tcPr>
            <w:tcW w:w="0" w:type="auto"/>
          </w:tcPr>
          <w:p>
            <w:pPr>
              <w:spacing w:line="240" w:lineRule="auto" w:before="0" w:after="0"/>
              <w:pStyle w:val="Compact"/>
            </w:pPr>
            <w:r>
              <w:rPr>
                <w:sz w:val="20"/>
                <w:szCs w:val="20"/>
              </w:rPr>
              <w:t xml:space="preserve">-2.1185</w:t>
            </w:r>
          </w:p>
        </w:tc>
        <w:tc>
          <w:tcPr>
            <w:tcW w:w="0" w:type="auto"/>
          </w:tcPr>
          <w:p>
            <w:pPr>
              <w:spacing w:line="240" w:lineRule="auto" w:before="0" w:after="0"/>
              <w:pStyle w:val="Compact"/>
            </w:pPr>
            <w:r>
              <w:rPr>
                <w:sz w:val="20"/>
                <w:szCs w:val="20"/>
              </w:rPr>
              <w:t xml:space="preserve">0.0341</w:t>
            </w:r>
          </w:p>
        </w:tc>
        <w:tc>
          <w:tcPr>
            <w:tcW w:w="0" w:type="auto"/>
          </w:tcPr>
          <w:p>
            <w:pPr>
              <w:spacing w:line="240" w:lineRule="auto" w:before="0" w:after="0"/>
              <w:pStyle w:val="Compact"/>
            </w:pPr>
            <w:r>
              <w:rPr>
                <w:sz w:val="20"/>
                <w:szCs w:val="20"/>
              </w:rPr>
              <w:t xml:space="preserve">[-0.0756, -0.0029]</w:t>
            </w:r>
          </w:p>
        </w:tc>
        <w:tc>
          <w:tcPr>
            <w:tcW w:w="0" w:type="auto"/>
          </w:tcPr>
          <w:p>
            <w:pPr>
              <w:spacing w:line="240" w:lineRule="auto" w:before="0" w:after="0"/>
              <w:pStyle w:val="Compact"/>
            </w:pPr>
            <w:r>
              <w:rPr>
                <w:sz w:val="20"/>
                <w:szCs w:val="20"/>
              </w:rPr>
              <w:t xml:space="preserve">0.9615</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-1.7305</w:t>
            </w:r>
          </w:p>
        </w:tc>
        <w:tc>
          <w:tcPr>
            <w:tcW w:w="0" w:type="auto"/>
          </w:tcPr>
          <w:p>
            <w:pPr>
              <w:spacing w:line="240" w:lineRule="auto" w:before="0" w:after="0"/>
              <w:pStyle w:val="Compact"/>
            </w:pPr>
            <w:r>
              <w:rPr>
                <w:sz w:val="20"/>
                <w:szCs w:val="20"/>
              </w:rPr>
              <w:t xml:space="preserve">0.0835</w:t>
            </w:r>
          </w:p>
        </w:tc>
        <w:tc>
          <w:tcPr>
            <w:tcW w:w="0" w:type="auto"/>
          </w:tcPr>
          <w:p>
            <w:pPr>
              <w:spacing w:line="240" w:lineRule="auto" w:before="0" w:after="0"/>
              <w:pStyle w:val="Compact"/>
            </w:pPr>
            <w:r>
              <w:rPr>
                <w:sz w:val="20"/>
                <w:szCs w:val="20"/>
              </w:rPr>
              <w:t xml:space="preserve">[-0.0214, 0.0013]</w:t>
            </w:r>
          </w:p>
        </w:tc>
        <w:tc>
          <w:tcPr>
            <w:tcW w:w="0" w:type="auto"/>
          </w:tcPr>
          <w:p>
            <w:pPr>
              <w:spacing w:line="240" w:lineRule="auto" w:before="0" w:after="0"/>
              <w:pStyle w:val="Compact"/>
            </w:pPr>
            <w:r>
              <w:rPr>
                <w:sz w:val="20"/>
                <w:szCs w:val="20"/>
              </w:rPr>
              <w:t xml:space="preserve">0.99</w:t>
            </w:r>
          </w:p>
        </w:tc>
      </w:tr>
    </w:tbl>
    <w:p>
      <w:pPr>
        <w:pStyle w:val="BodyText"/>
        <w:spacing w:line="480" w:lineRule="auto"/>
        <w:ind w:firstLine="720"/>
      </w:pPr>
      <w:r>
        <w:t xml:space="preserve">Fit: N = 35 events = 15</w:t>
      </w:r>
    </w:p>
    <w:bookmarkEnd w:id="212"/>
    <w:bookmarkStart w:id="21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to custody loss across thirty-five cislunar and reference orbit-determination cases drawn from the AMOS cislunar canon, Acta Astronautica orbit-determination literature, and NASA mission navigation reports. Filled markers denote observed custody-loss events; hollow markers denote right-censored cases." title="" id="214" name="Picture"/>
            <a:graphic>
              <a:graphicData uri="http://schemas.openxmlformats.org/drawingml/2006/picture">
                <pic:pic>
                  <pic:nvPicPr>
                    <pic:cNvPr descr="D:/Claude_Code/brain/collegium/candidates/dissertations/JPL_INSTRUMENTS_NAV_10/research_papers/p2/paper_fig1.png" id="215" name="Picture"/>
                    <pic:cNvPicPr>
                      <a:picLocks noChangeArrowheads="1" noChangeAspect="1"/>
                    </pic:cNvPicPr>
                  </pic:nvPicPr>
                  <pic:blipFill>
                    <a:blip r:embed="rId21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to custody loss across thirty-five cislunar and reference orbit-determination cases drawn from the AMOS cislunar canon, Acta Astronautica orbit-determination literature, and NASA mission navigation reports. Filled markers denote observed custody-loss events; hollow markers denote right-censored cases.</w:t>
      </w:r>
    </w:p>
    <w:bookmarkEnd w:id="216"/>
    <w:bookmarkStart w:id="21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case_id</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lost_custody</w:t>
            </w:r>
          </w:p>
        </w:tc>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amos2025_kitagawa_lsas_llo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Kitagawa et al., AMOS 2025, doi:10.64861/DRTH1291</w:t>
            </w:r>
          </w:p>
        </w:tc>
      </w:tr>
      <w:tr>
        <w:tc>
          <w:tcPr>
            <w:tcW w:w="0" w:type="auto"/>
          </w:tcPr>
          <w:p>
            <w:pPr>
              <w:spacing w:line="240" w:lineRule="auto" w:before="0" w:after="0"/>
              <w:pStyle w:val="Compact"/>
            </w:pPr>
            <w:r>
              <w:rPr>
                <w:sz w:val="20"/>
                <w:szCs w:val="20"/>
              </w:rPr>
              <w:t xml:space="preserve">amos2023_mandeville_artemis1_transit</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Mandeville et al., AMOS 2023, doi:10.64861/FFYG1923</w:t>
            </w:r>
          </w:p>
        </w:tc>
      </w:tr>
      <w:tr>
        <w:tc>
          <w:tcPr>
            <w:tcW w:w="0" w:type="auto"/>
          </w:tcPr>
          <w:p>
            <w:pPr>
              <w:spacing w:line="240" w:lineRule="auto" w:before="0" w:after="0"/>
              <w:pStyle w:val="Compact"/>
            </w:pPr>
            <w:r>
              <w:rPr>
                <w:sz w:val="20"/>
                <w:szCs w:val="20"/>
              </w:rPr>
              <w:t xml:space="preserve">amos2025_heidrich_holzinger_nrho</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Heidrich and Holzinger, AMOS 2025, doi:10.64861/JDBC3555</w:t>
            </w:r>
          </w:p>
        </w:tc>
      </w:tr>
      <w:tr>
        <w:tc>
          <w:tcPr>
            <w:tcW w:w="0" w:type="auto"/>
          </w:tcPr>
          <w:p>
            <w:pPr>
              <w:spacing w:line="240" w:lineRule="auto" w:before="0" w:after="0"/>
              <w:pStyle w:val="Compact"/>
            </w:pPr>
            <w:r>
              <w:rPr>
                <w:sz w:val="20"/>
                <w:szCs w:val="20"/>
              </w:rPr>
              <w:t xml:space="preserve">amos2021_chow_l2_halo</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Chow II et al., AMOS 2021 (GMM filter on L2 periodic orbits)</w:t>
            </w:r>
          </w:p>
        </w:tc>
      </w:tr>
      <w:tr>
        <w:tc>
          <w:tcPr>
            <w:tcW w:w="0" w:type="auto"/>
          </w:tcPr>
          <w:p>
            <w:pPr>
              <w:spacing w:line="240" w:lineRule="auto" w:before="0" w:after="0"/>
              <w:pStyle w:val="Compact"/>
            </w:pPr>
            <w:r>
              <w:rPr>
                <w:sz w:val="20"/>
                <w:szCs w:val="20"/>
              </w:rPr>
              <w:t xml:space="preserve">amos2024_thevenot_passive_rf</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Thevenot et al., AMOS 2024, doi:10.64861/VIBN6616</w:t>
            </w:r>
          </w:p>
        </w:tc>
      </w:tr>
      <w:tr>
        <w:tc>
          <w:tcPr>
            <w:tcW w:w="0" w:type="auto"/>
          </w:tcPr>
          <w:p>
            <w:pPr>
              <w:spacing w:line="240" w:lineRule="auto" w:before="0" w:after="0"/>
              <w:pStyle w:val="Compact"/>
            </w:pPr>
            <w:r>
              <w:rPr>
                <w:sz w:val="20"/>
                <w:szCs w:val="20"/>
              </w:rPr>
              <w:t xml:space="preserve">amos2024_reifler_jones_dro</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Reifler and Jones, AMOS 2024, doi:10.64861/BTXT4965</w:t>
            </w:r>
          </w:p>
        </w:tc>
      </w:tr>
      <w:tr>
        <w:tc>
          <w:tcPr>
            <w:tcW w:w="0" w:type="auto"/>
          </w:tcPr>
          <w:p>
            <w:pPr>
              <w:spacing w:line="240" w:lineRule="auto" w:before="0" w:after="0"/>
              <w:pStyle w:val="Compact"/>
            </w:pPr>
            <w:r>
              <w:rPr>
                <w:sz w:val="20"/>
                <w:szCs w:val="20"/>
              </w:rPr>
              <w:t xml:space="preserve">amos2022_gutierrez_l1_lyap</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L1_lyap</w:t>
            </w:r>
          </w:p>
        </w:tc>
        <w:tc>
          <w:tcPr>
            <w:tcW w:w="0" w:type="auto"/>
          </w:tcPr>
          <w:p>
            <w:pPr>
              <w:spacing w:line="240" w:lineRule="auto" w:before="0" w:after="0"/>
              <w:pStyle w:val="Compact"/>
            </w:pPr>
            <w:r>
              <w:rPr>
                <w:sz w:val="20"/>
                <w:szCs w:val="20"/>
              </w:rPr>
              <w:t xml:space="preserve">Gutierrez et al., AMOS 2022 (classifying state uncertainty Earth-Moon trajectories)</w:t>
            </w:r>
          </w:p>
        </w:tc>
      </w:tr>
      <w:tr>
        <w:tc>
          <w:tcPr>
            <w:tcW w:w="0" w:type="auto"/>
          </w:tcPr>
          <w:p>
            <w:pPr>
              <w:spacing w:line="240" w:lineRule="auto" w:before="0" w:after="0"/>
              <w:pStyle w:val="Compact"/>
            </w:pPr>
            <w:r>
              <w:rPr>
                <w:sz w:val="20"/>
                <w:szCs w:val="20"/>
              </w:rPr>
              <w:t xml:space="preserve">amos2023_griggs_passive_rf</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Griggs et al., AMOS 2023, doi:10.64861/KWXF2322</w:t>
            </w:r>
          </w:p>
        </w:tc>
      </w:tr>
      <w:tr>
        <w:tc>
          <w:tcPr>
            <w:tcW w:w="0" w:type="auto"/>
          </w:tcPr>
          <w:p>
            <w:pPr>
              <w:spacing w:line="240" w:lineRule="auto" w:before="0" w:after="0"/>
              <w:pStyle w:val="Compact"/>
            </w:pPr>
            <w:r>
              <w:rPr>
                <w:sz w:val="20"/>
                <w:szCs w:val="20"/>
              </w:rPr>
              <w:t xml:space="preserve">amos2025_badura_piml_stable</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Badura et al., AMOS 2025, doi:10.64861/TVTP4742 (stable region)</w:t>
            </w:r>
          </w:p>
        </w:tc>
      </w:tr>
      <w:tr>
        <w:tc>
          <w:tcPr>
            <w:tcW w:w="0" w:type="auto"/>
          </w:tcPr>
          <w:p>
            <w:pPr>
              <w:spacing w:line="240" w:lineRule="auto" w:before="0" w:after="0"/>
              <w:pStyle w:val="Compact"/>
            </w:pPr>
            <w:r>
              <w:rPr>
                <w:sz w:val="20"/>
                <w:szCs w:val="20"/>
              </w:rPr>
              <w:t xml:space="preserve">amos2025_badura_piml_chaotic</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Badura et al., AMOS 2025, doi:10.64861/TVTP4742 (chaotic region)</w:t>
            </w:r>
          </w:p>
        </w:tc>
      </w:tr>
      <w:tr>
        <w:tc>
          <w:tcPr>
            <w:tcW w:w="0" w:type="auto"/>
          </w:tcPr>
          <w:p>
            <w:pPr>
              <w:spacing w:line="240" w:lineRule="auto" w:before="0" w:after="0"/>
              <w:pStyle w:val="Compact"/>
            </w:pPr>
            <w:r>
              <w:rPr>
                <w:sz w:val="20"/>
                <w:szCs w:val="20"/>
              </w:rPr>
              <w:t xml:space="preserve">amos2022_chow_baldwin_dro_fusion</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Chow II et al., AMOS 2022 (cislunar OD uncertainty realism and data fusion)</w:t>
            </w:r>
          </w:p>
        </w:tc>
      </w:tr>
      <w:tr>
        <w:tc>
          <w:tcPr>
            <w:tcW w:w="0" w:type="auto"/>
          </w:tcPr>
          <w:p>
            <w:pPr>
              <w:spacing w:line="240" w:lineRule="auto" w:before="0" w:after="0"/>
              <w:pStyle w:val="Compact"/>
            </w:pPr>
            <w:r>
              <w:rPr>
                <w:sz w:val="20"/>
                <w:szCs w:val="20"/>
              </w:rPr>
              <w:t xml:space="preserve">amos2025_wishnek_single_obs_nrho</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Wishnek et al., AMOS 2025, doi:10.64861/DCGY9420</w:t>
            </w:r>
          </w:p>
        </w:tc>
      </w:tr>
      <w:tr>
        <w:tc>
          <w:tcPr>
            <w:tcW w:w="0" w:type="auto"/>
          </w:tcPr>
          <w:p>
            <w:pPr>
              <w:spacing w:line="240" w:lineRule="auto" w:before="0" w:after="0"/>
              <w:pStyle w:val="Compact"/>
            </w:pPr>
            <w:r>
              <w:rPr>
                <w:sz w:val="20"/>
                <w:szCs w:val="20"/>
              </w:rPr>
              <w:t xml:space="preserve">amos2025_givens_custode_nrho</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Givens et al., AMOS 2025, doi:10.64861/UONC7890</w:t>
            </w:r>
          </w:p>
        </w:tc>
      </w:tr>
      <w:tr>
        <w:tc>
          <w:tcPr>
            <w:tcW w:w="0" w:type="auto"/>
          </w:tcPr>
          <w:p>
            <w:pPr>
              <w:spacing w:line="240" w:lineRule="auto" w:before="0" w:after="0"/>
              <w:pStyle w:val="Compact"/>
            </w:pPr>
            <w:r>
              <w:rPr>
                <w:sz w:val="20"/>
                <w:szCs w:val="20"/>
              </w:rPr>
              <w:t xml:space="preserve">amos2021_tucker_l2_halo_agile</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Tucker et al., AMOS 2021 (agile space-object custody electro-optical) [illustrative]</w:t>
            </w:r>
          </w:p>
        </w:tc>
      </w:tr>
      <w:tr>
        <w:tc>
          <w:tcPr>
            <w:tcW w:w="0" w:type="auto"/>
          </w:tcPr>
          <w:p>
            <w:pPr>
              <w:spacing w:line="240" w:lineRule="auto" w:before="0" w:after="0"/>
              <w:pStyle w:val="Compact"/>
            </w:pPr>
            <w:r>
              <w:rPr>
                <w:sz w:val="20"/>
                <w:szCs w:val="20"/>
              </w:rPr>
              <w:t xml:space="preserve">acta2025_leonardi_lunar_nav_llo</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Leonardi et al., Acta Astronautica 2025, doi:10.1016/j.actaastro.2025.02.023</w:t>
            </w:r>
          </w:p>
        </w:tc>
      </w:tr>
      <w:tr>
        <w:tc>
          <w:tcPr>
            <w:tcW w:w="0" w:type="auto"/>
          </w:tcPr>
          <w:p>
            <w:pPr>
              <w:spacing w:line="240" w:lineRule="auto" w:before="0" w:after="0"/>
              <w:pStyle w:val="Compact"/>
            </w:pPr>
            <w:r>
              <w:rPr>
                <w:sz w:val="20"/>
                <w:szCs w:val="20"/>
              </w:rPr>
              <w:t xml:space="preserve">acta2025_gambarotto_dro_const</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Gambarotto et al., Acta Astronautica 2025, doi:10.1016/j.actaastro.2025.09.078</w:t>
            </w:r>
          </w:p>
        </w:tc>
      </w:tr>
      <w:tr>
        <w:tc>
          <w:tcPr>
            <w:tcW w:w="0" w:type="auto"/>
          </w:tcPr>
          <w:p>
            <w:pPr>
              <w:spacing w:line="240" w:lineRule="auto" w:before="0" w:after="0"/>
              <w:pStyle w:val="Compact"/>
            </w:pPr>
            <w:r>
              <w:rPr>
                <w:sz w:val="20"/>
                <w:szCs w:val="20"/>
              </w:rPr>
              <w:t xml:space="preserve">acta2024_kazemi_survey_geo</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Kazemi et al., Acta Astronautica 2024, doi:10.1016/j.actaastro.2024.06.015 (GEO reference baseline)</w:t>
            </w:r>
          </w:p>
        </w:tc>
      </w:tr>
      <w:tr>
        <w:tc>
          <w:tcPr>
            <w:tcW w:w="0" w:type="auto"/>
          </w:tcPr>
          <w:p>
            <w:pPr>
              <w:spacing w:line="240" w:lineRule="auto" w:before="0" w:after="0"/>
              <w:pStyle w:val="Compact"/>
            </w:pPr>
            <w:r>
              <w:rPr>
                <w:sz w:val="20"/>
                <w:szCs w:val="20"/>
              </w:rPr>
              <w:t xml:space="preserve">acta2022_turan_dsn_transit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Turan et al., Acta Astronautica 2022, doi:10.1016/j.actaastro.2021.12.030</w:t>
            </w:r>
          </w:p>
        </w:tc>
      </w:tr>
      <w:tr>
        <w:tc>
          <w:tcPr>
            <w:tcW w:w="0" w:type="auto"/>
          </w:tcPr>
          <w:p>
            <w:pPr>
              <w:spacing w:line="240" w:lineRule="auto" w:before="0" w:after="0"/>
              <w:pStyle w:val="Compact"/>
            </w:pPr>
            <w:r>
              <w:rPr>
                <w:sz w:val="20"/>
                <w:szCs w:val="20"/>
              </w:rPr>
              <w:t xml:space="preserve">acta2025_malik_yang_llo</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Malik and Yang, Acta Astronautica 2025, doi:10.1016/j.actaastro.2025.10.065</w:t>
            </w:r>
          </w:p>
        </w:tc>
      </w:tr>
      <w:tr>
        <w:tc>
          <w:tcPr>
            <w:tcW w:w="0" w:type="auto"/>
          </w:tcPr>
          <w:p>
            <w:pPr>
              <w:spacing w:line="240" w:lineRule="auto" w:before="0" w:after="0"/>
              <w:pStyle w:val="Compact"/>
            </w:pPr>
            <w:r>
              <w:rPr>
                <w:sz w:val="20"/>
                <w:szCs w:val="20"/>
              </w:rPr>
              <w:t xml:space="preserve">acta2025_kilduff_yolo_transit</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Kilduff et al., Acta Astronautica 2025, doi:10.1016/j.actaastro.2025.11.074</w:t>
            </w:r>
          </w:p>
        </w:tc>
      </w:tr>
      <w:tr>
        <w:tc>
          <w:tcPr>
            <w:tcW w:w="0" w:type="auto"/>
          </w:tcPr>
          <w:p>
            <w:pPr>
              <w:spacing w:line="240" w:lineRule="auto" w:before="0" w:after="0"/>
              <w:pStyle w:val="Compact"/>
            </w:pPr>
            <w:r>
              <w:rPr>
                <w:sz w:val="20"/>
                <w:szCs w:val="20"/>
              </w:rPr>
              <w:t xml:space="preserve">acta2025_anilkumar_stm_baseline</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Anilkumar et al., Acta Astronautica 2025, doi:10.1016/j.actaastro.2024.12.056 [illustrative]</w:t>
            </w:r>
          </w:p>
        </w:tc>
      </w:tr>
      <w:tr>
        <w:tc>
          <w:tcPr>
            <w:tcW w:w="0" w:type="auto"/>
          </w:tcPr>
          <w:p>
            <w:pPr>
              <w:spacing w:line="240" w:lineRule="auto" w:before="0" w:after="0"/>
              <w:pStyle w:val="Compact"/>
            </w:pPr>
            <w:r>
              <w:rPr>
                <w:sz w:val="20"/>
                <w:szCs w:val="20"/>
              </w:rPr>
              <w:t xml:space="preserve">capstone_nrho_ops_2022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NASA CAPSTONE Mission Navigation Status Update 2022; Advanced Space CAPS reports</w:t>
            </w:r>
          </w:p>
        </w:tc>
      </w:tr>
      <w:tr>
        <w:tc>
          <w:tcPr>
            <w:tcW w:w="0" w:type="auto"/>
          </w:tcPr>
          <w:p>
            <w:pPr>
              <w:spacing w:line="240" w:lineRule="auto" w:before="0" w:after="0"/>
              <w:pStyle w:val="Compact"/>
            </w:pPr>
            <w:r>
              <w:rPr>
                <w:sz w:val="20"/>
                <w:szCs w:val="20"/>
              </w:rPr>
              <w:t xml:space="preserve">lro_llo_ops_2010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NASA Lunar Reconnaissance Orbiter Mission Navigation Reports; Mazarico et al. NTRS 20100036206</w:t>
            </w:r>
          </w:p>
        </w:tc>
      </w:tr>
      <w:tr>
        <w:tc>
          <w:tcPr>
            <w:tcW w:w="0" w:type="auto"/>
          </w:tcPr>
          <w:p>
            <w:pPr>
              <w:spacing w:line="240" w:lineRule="auto" w:before="0" w:after="0"/>
              <w:pStyle w:val="Compact"/>
            </w:pPr>
            <w:r>
              <w:rPr>
                <w:sz w:val="20"/>
                <w:szCs w:val="20"/>
              </w:rPr>
              <w:t xml:space="preserve">artemis1_orion_outbound</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NASA Artemis I post-flight navigation summary; ESA ESOC tracking NTRS 20230003124</w:t>
            </w:r>
          </w:p>
        </w:tc>
      </w:tr>
      <w:tr>
        <w:tc>
          <w:tcPr>
            <w:tcW w:w="0" w:type="auto"/>
          </w:tcPr>
          <w:p>
            <w:pPr>
              <w:spacing w:line="240" w:lineRule="auto" w:before="0" w:after="0"/>
              <w:pStyle w:val="Compact"/>
            </w:pPr>
            <w:r>
              <w:rPr>
                <w:sz w:val="20"/>
                <w:szCs w:val="20"/>
              </w:rPr>
              <w:t xml:space="preserve">artemis_p1_lissajous</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Folta et al., NTRS 20110015268 (ARTEMIS lunar Lissajous trajectory design and OD)</w:t>
            </w:r>
          </w:p>
        </w:tc>
      </w:tr>
      <w:tr>
        <w:tc>
          <w:tcPr>
            <w:tcW w:w="0" w:type="auto"/>
          </w:tcPr>
          <w:p>
            <w:pPr>
              <w:spacing w:line="240" w:lineRule="auto" w:before="0" w:after="0"/>
              <w:pStyle w:val="Compact"/>
            </w:pPr>
            <w:r>
              <w:rPr>
                <w:sz w:val="20"/>
                <w:szCs w:val="20"/>
              </w:rPr>
              <w:t xml:space="preserve">lunar_icecube_transfer</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NASA Lunar IceCube mission post-flight report, NTRS 20230006701 [illustrative]</w:t>
            </w:r>
          </w:p>
        </w:tc>
      </w:tr>
      <w:tr>
        <w:tc>
          <w:tcPr>
            <w:tcW w:w="0" w:type="auto"/>
          </w:tcPr>
          <w:p>
            <w:pPr>
              <w:spacing w:line="240" w:lineRule="auto" w:before="0" w:after="0"/>
              <w:pStyle w:val="Compact"/>
            </w:pPr>
            <w:r>
              <w:rPr>
                <w:sz w:val="20"/>
                <w:szCs w:val="20"/>
              </w:rPr>
              <w:t xml:space="preserve">kplo_llo_ops_2023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KARI KPLO Mission Operations Report 2023; KARI-NASA DSN cross-support documentation</w:t>
            </w:r>
          </w:p>
        </w:tc>
      </w:tr>
      <w:tr>
        <w:tc>
          <w:tcPr>
            <w:tcW w:w="0" w:type="auto"/>
          </w:tcPr>
          <w:p>
            <w:pPr>
              <w:spacing w:line="240" w:lineRule="auto" w:before="0" w:after="0"/>
              <w:pStyle w:val="Compact"/>
            </w:pPr>
            <w:r>
              <w:rPr>
                <w:sz w:val="20"/>
                <w:szCs w:val="20"/>
              </w:rPr>
              <w:t xml:space="preserve">change5t1_dro_test</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Chang’e 5T1 mission descriptions in Acta Astronautica reviews (Anilkumar et al. 2025) [illustrative]</w:t>
            </w:r>
          </w:p>
        </w:tc>
      </w:tr>
      <w:tr>
        <w:tc>
          <w:tcPr>
            <w:tcW w:w="0" w:type="auto"/>
          </w:tcPr>
          <w:p>
            <w:pPr>
              <w:spacing w:line="240" w:lineRule="auto" w:before="0" w:after="0"/>
              <w:pStyle w:val="Compact"/>
            </w:pPr>
            <w:r>
              <w:rPr>
                <w:sz w:val="20"/>
                <w:szCs w:val="20"/>
              </w:rPr>
              <w:t xml:space="preserve">equuleus_l2_cubesat</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JAXA EQUULEUS post-flight summary in Acta Astronautica (Turan et al. 2022 baseline) [illustrative]</w:t>
            </w:r>
          </w:p>
        </w:tc>
      </w:tr>
      <w:tr>
        <w:tc>
          <w:tcPr>
            <w:tcW w:w="0" w:type="auto"/>
          </w:tcPr>
          <w:p>
            <w:pPr>
              <w:spacing w:line="240" w:lineRule="auto" w:before="0" w:after="0"/>
              <w:pStyle w:val="Compact"/>
            </w:pPr>
            <w:r>
              <w:rPr>
                <w:sz w:val="20"/>
                <w:szCs w:val="20"/>
              </w:rPr>
              <w:t xml:space="preserve">orion_em1_flyby</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NASA Artemis I Orion navigation post-flight summary; Houston FCR-1 tracking NTRS 20230003124</w:t>
            </w:r>
          </w:p>
        </w:tc>
      </w:tr>
      <w:tr>
        <w:tc>
          <w:tcPr>
            <w:tcW w:w="0" w:type="auto"/>
          </w:tcPr>
          <w:p>
            <w:pPr>
              <w:spacing w:line="240" w:lineRule="auto" w:before="0" w:after="0"/>
              <w:pStyle w:val="Compact"/>
            </w:pPr>
            <w:r>
              <w:rPr>
                <w:sz w:val="20"/>
                <w:szCs w:val="20"/>
              </w:rPr>
              <w:t xml:space="preserve">ladee_lunar_eol_2014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NASA LADEE 2014 end-of-mission DSN tracking timeline</w:t>
            </w:r>
          </w:p>
        </w:tc>
      </w:tr>
      <w:tr>
        <w:tc>
          <w:tcPr>
            <w:tcW w:w="0" w:type="auto"/>
          </w:tcPr>
          <w:p>
            <w:pPr>
              <w:spacing w:line="240" w:lineRule="auto" w:before="0" w:after="0"/>
              <w:pStyle w:val="Compact"/>
            </w:pPr>
            <w:r>
              <w:rPr>
                <w:sz w:val="20"/>
                <w:szCs w:val="20"/>
              </w:rPr>
              <w:t xml:space="preserve">themis_artemis_p2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NASA ARTEMIS THEMIS lunar mission DSN reports [illustrative]</w:t>
            </w:r>
          </w:p>
        </w:tc>
      </w:tr>
      <w:tr>
        <w:tc>
          <w:tcPr>
            <w:tcW w:w="0" w:type="auto"/>
          </w:tcPr>
          <w:p>
            <w:pPr>
              <w:spacing w:line="240" w:lineRule="auto" w:before="0" w:after="0"/>
              <w:pStyle w:val="Compact"/>
            </w:pPr>
            <w:r>
              <w:rPr>
                <w:sz w:val="20"/>
                <w:szCs w:val="20"/>
              </w:rPr>
              <w:t xml:space="preserve">ibex_heo_baseline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NASA IBEX high-apogee mission DSN tracking schedule</w:t>
            </w:r>
          </w:p>
        </w:tc>
      </w:tr>
      <w:tr>
        <w:tc>
          <w:tcPr>
            <w:tcW w:w="0" w:type="auto"/>
          </w:tcPr>
          <w:p>
            <w:pPr>
              <w:spacing w:line="240" w:lineRule="auto" w:before="0" w:after="0"/>
              <w:pStyle w:val="Compact"/>
            </w:pPr>
            <w:r>
              <w:rPr>
                <w:sz w:val="20"/>
                <w:szCs w:val="20"/>
              </w:rPr>
              <w:t xml:space="preserve">tess_p2_baseline</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NASA TESS P/2 lunar-resonant orbit DSN tracking summaries</w:t>
            </w:r>
          </w:p>
        </w:tc>
      </w:tr>
      <w:tr>
        <w:tc>
          <w:tcPr>
            <w:tcW w:w="0" w:type="auto"/>
          </w:tcPr>
          <w:p>
            <w:pPr>
              <w:spacing w:line="240" w:lineRule="auto" w:before="0" w:after="0"/>
              <w:pStyle w:val="Compact"/>
            </w:pPr>
            <w:r>
              <w:rPr>
                <w:sz w:val="20"/>
                <w:szCs w:val="20"/>
              </w:rPr>
              <w:t xml:space="preserve">acta2024_kazemi_leo_baseline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Kazemi et al., Acta Astronautica 2024, doi:10.1016/j.actaastro.2024.06.015 (LEO reference baseline)</w:t>
            </w:r>
          </w:p>
        </w:tc>
      </w:tr>
    </w:tbl>
    <w:bookmarkEnd w:id="217"/>
    <w:bookmarkStart w:id="21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Days from end of observation arc until the operational filter reports loss of custody (1-sigma along-track uncertainty exceeds the published custody threshold) or until the study censors the case</w:t>
            </w:r>
          </w:p>
        </w:tc>
        <w:tc>
          <w:tcPr>
            <w:tcW w:w="0" w:type="auto"/>
          </w:tcPr>
          <w:p>
            <w:pPr>
              <w:spacing w:line="240" w:lineRule="auto" w:before="0" w:after="0"/>
              <w:pStyle w:val="Compact"/>
            </w:pPr>
            <w:r>
              <w:rPr>
                <w:sz w:val="20"/>
                <w:szCs w:val="20"/>
              </w:rPr>
              <w:t xml:space="preserve">Derived from reported propagation horizons in AMOS cislunar OD papers 2020-2025 and DSN tracking timelines in NASA mission navigation reports</w:t>
            </w:r>
          </w:p>
        </w:tc>
      </w:tr>
      <w:tr>
        <w:tc>
          <w:tcPr>
            <w:tcW w:w="0" w:type="auto"/>
          </w:tcPr>
          <w:p>
            <w:pPr>
              <w:spacing w:line="240" w:lineRule="auto" w:before="0" w:after="0"/>
              <w:pStyle w:val="Compact"/>
            </w:pPr>
            <w:r>
              <w:rPr>
                <w:sz w:val="20"/>
                <w:szCs w:val="20"/>
              </w:rPr>
              <w:t xml:space="preserve">lost_custody</w:t>
            </w:r>
          </w:p>
        </w:tc>
        <w:tc>
          <w:tcPr>
            <w:tcW w:w="0" w:type="auto"/>
          </w:tcPr>
          <w:p>
            <w:pPr>
              <w:spacing w:line="240" w:lineRule="auto" w:before="0" w:after="0"/>
              <w:pStyle w:val="Compact"/>
            </w:pPr>
            <w:r>
              <w:rPr>
                <w:sz w:val="20"/>
                <w:szCs w:val="20"/>
              </w:rPr>
              <w:t xml:space="preserve">Event indicator equal to 1 when the case reports a custody-loss event within the study horizon, 0 when the case is right-censored (custody held through the reported horizon)</w:t>
            </w:r>
          </w:p>
        </w:tc>
        <w:tc>
          <w:tcPr>
            <w:tcW w:w="0" w:type="auto"/>
          </w:tcPr>
          <w:p>
            <w:pPr>
              <w:spacing w:line="240" w:lineRule="auto" w:before="0" w:after="0"/>
              <w:pStyle w:val="Compact"/>
            </w:pPr>
            <w:r>
              <w:rPr>
                <w:sz w:val="20"/>
                <w:szCs w:val="20"/>
              </w:rPr>
              <w:t xml:space="preserve">Cited papers and mission reports; censoring follows the published horizon</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Hours between the end of the observation arc and the next scheduled measurement update</w:t>
            </w:r>
          </w:p>
        </w:tc>
        <w:tc>
          <w:tcPr>
            <w:tcW w:w="0" w:type="auto"/>
          </w:tcPr>
          <w:p>
            <w:pPr>
              <w:spacing w:line="240" w:lineRule="auto" w:before="0" w:after="0"/>
              <w:pStyle w:val="Compact"/>
            </w:pPr>
            <w:r>
              <w:rPr>
                <w:sz w:val="20"/>
                <w:szCs w:val="20"/>
              </w:rPr>
              <w:t xml:space="preserve">AMOS cislunar OD papers and standard SDA tasking definitions</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Primary aperture diameter of the dominant tracking sensor in meters (DSN 34 m, Kitagawa 12 m parabola, mid-class 0.5 to 1 m optical, small 0.36 m baseline)</w:t>
            </w:r>
          </w:p>
        </w:tc>
        <w:tc>
          <w:tcPr>
            <w:tcW w:w="0" w:type="auto"/>
          </w:tcPr>
          <w:p>
            <w:pPr>
              <w:spacing w:line="240" w:lineRule="auto" w:before="0" w:after="0"/>
              <w:pStyle w:val="Compact"/>
            </w:pPr>
            <w:r>
              <w:rPr>
                <w:sz w:val="20"/>
                <w:szCs w:val="20"/>
              </w:rPr>
              <w:t xml:space="preserve">Sensor descriptions in source papers and DSN documentation</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Duration of the contiguous observation arc used in orbit determination, in hours</w:t>
            </w:r>
          </w:p>
        </w:tc>
        <w:tc>
          <w:tcPr>
            <w:tcW w:w="0" w:type="auto"/>
          </w:tcPr>
          <w:p>
            <w:pPr>
              <w:spacing w:line="240" w:lineRule="auto" w:before="0" w:after="0"/>
              <w:pStyle w:val="Compact"/>
            </w:pPr>
            <w:r>
              <w:rPr>
                <w:sz w:val="20"/>
                <w:szCs w:val="20"/>
              </w:rPr>
              <w:t xml:space="preserve">Source-paper experimental setups and DSN tracking schedules</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Indicator equal to 1 for cislunar-regime targets (NRHO, halo, DRO, transit, low lunar orbit) and 0 for GEO, MEO, LEO, and high-Earth baselines; reported descriptively, omitted from the fitted Cox model because the cislunar subset perfectly predicts the event in this sample</w:t>
            </w:r>
          </w:p>
        </w:tc>
        <w:tc>
          <w:tcPr>
            <w:tcW w:w="0" w:type="auto"/>
          </w:tcPr>
          <w:p>
            <w:pPr>
              <w:spacing w:line="240" w:lineRule="auto" w:before="0" w:after="0"/>
              <w:pStyle w:val="Compact"/>
            </w:pPr>
            <w:r>
              <w:rPr>
                <w:sz w:val="20"/>
                <w:szCs w:val="20"/>
              </w:rPr>
              <w:t xml:space="preserve">Regime classification per source paper and standard regime definitions</w:t>
            </w:r>
          </w:p>
        </w:tc>
      </w:tr>
    </w:tbl>
    <w:bookmarkEnd w:id="218"/>
    <w:bookmarkEnd w:id="219"/>
    <w:bookmarkEnd w:id="22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5" Type="http://schemas.openxmlformats.org/officeDocument/2006/relationships/image" Target="media/rId205.png"/><Relationship Id="rId213" Type="http://schemas.openxmlformats.org/officeDocument/2006/relationships/image" Target="media/rId213.png"/><Relationship Id="rId194" Type="http://schemas.openxmlformats.org/officeDocument/2006/relationships/hyperlink" Target="https://doi.org/10.1016/j.actaastro.2018.12.043" TargetMode="External"/><Relationship Id="rId172" Type="http://schemas.openxmlformats.org/officeDocument/2006/relationships/hyperlink" Target="https://doi.org/10.1016/j.actaastro.2021.12.030" TargetMode="External"/><Relationship Id="rId196" Type="http://schemas.openxmlformats.org/officeDocument/2006/relationships/hyperlink" Target="https://doi.org/10.1016/j.actaastro.2023.10.034" TargetMode="External"/><Relationship Id="rId140" Type="http://schemas.openxmlformats.org/officeDocument/2006/relationships/hyperlink" Target="https://doi.org/10.1016/j.actaastro.2024.06.015" TargetMode="External"/><Relationship Id="rId198" Type="http://schemas.openxmlformats.org/officeDocument/2006/relationships/hyperlink" Target="https://doi.org/10.1016/j.actaastro.2024.11.002" TargetMode="External"/><Relationship Id="rId191" Type="http://schemas.openxmlformats.org/officeDocument/2006/relationships/hyperlink" Target="https://doi.org/10.1016/j.actaastro.2024.12.056" TargetMode="External"/><Relationship Id="rId143" Type="http://schemas.openxmlformats.org/officeDocument/2006/relationships/hyperlink" Target="https://doi.org/10.1016/j.actaastro.2025.02.023" TargetMode="External"/><Relationship Id="rId201" Type="http://schemas.openxmlformats.org/officeDocument/2006/relationships/hyperlink" Target="https://doi.org/10.1016/j.actaastro.2025.03.043" TargetMode="External"/><Relationship Id="rId145" Type="http://schemas.openxmlformats.org/officeDocument/2006/relationships/hyperlink" Target="https://doi.org/10.1016/j.actaastro.2025.09.078" TargetMode="External"/><Relationship Id="rId175" Type="http://schemas.openxmlformats.org/officeDocument/2006/relationships/hyperlink" Target="https://doi.org/10.1016/j.actaastro.2025.10.065" TargetMode="External"/><Relationship Id="rId189" Type="http://schemas.openxmlformats.org/officeDocument/2006/relationships/hyperlink" Target="https://doi.org/10.1016/j.actaastro.2025.11.074" TargetMode="External"/><Relationship Id="rId182" Type="http://schemas.openxmlformats.org/officeDocument/2006/relationships/hyperlink" Target="https://doi.org/10.2514/6.2004-3253" TargetMode="External"/><Relationship Id="rId136" Type="http://schemas.openxmlformats.org/officeDocument/2006/relationships/hyperlink" Target="https://doi.org/10.64861/DCGY9420" TargetMode="External"/><Relationship Id="rId155" Type="http://schemas.openxmlformats.org/officeDocument/2006/relationships/hyperlink" Target="https://doi.org/10.64861/DRTH1291" TargetMode="External"/><Relationship Id="rId185" Type="http://schemas.openxmlformats.org/officeDocument/2006/relationships/hyperlink" Target="https://doi.org/10.64861/FAZK8299" TargetMode="External"/><Relationship Id="rId149" Type="http://schemas.openxmlformats.org/officeDocument/2006/relationships/hyperlink" Target="https://doi.org/10.64861/FFYG1923" TargetMode="External"/><Relationship Id="rId159" Type="http://schemas.openxmlformats.org/officeDocument/2006/relationships/hyperlink" Target="https://doi.org/10.64861/FNFT3594" TargetMode="External"/><Relationship Id="rId157" Type="http://schemas.openxmlformats.org/officeDocument/2006/relationships/hyperlink" Target="https://doi.org/10.64861/IIRV1868" TargetMode="External"/><Relationship Id="rId151" Type="http://schemas.openxmlformats.org/officeDocument/2006/relationships/hyperlink" Target="https://doi.org/10.64861/JDBC3555" TargetMode="External"/><Relationship Id="rId131" Type="http://schemas.openxmlformats.org/officeDocument/2006/relationships/hyperlink" Target="https://doi.org/10.64861/KWXF2322" TargetMode="External"/><Relationship Id="rId133" Type="http://schemas.openxmlformats.org/officeDocument/2006/relationships/hyperlink" Target="https://doi.org/10.64861/TVTP4742" TargetMode="External"/><Relationship Id="rId161" Type="http://schemas.openxmlformats.org/officeDocument/2006/relationships/hyperlink" Target="https://doi.org/10.64861/UAMB9924" TargetMode="External"/><Relationship Id="rId153" Type="http://schemas.openxmlformats.org/officeDocument/2006/relationships/hyperlink" Target="https://doi.org/10.64861/UFLZ6709" TargetMode="External"/><Relationship Id="rId138" Type="http://schemas.openxmlformats.org/officeDocument/2006/relationships/hyperlink" Target="https://doi.org/10.64861/UONC7890" TargetMode="External"/><Relationship Id="rId165" Type="http://schemas.openxmlformats.org/officeDocument/2006/relationships/hyperlink" Target="https://doi.org/10.64861/VJBP8309" TargetMode="External"/><Relationship Id="rId168" Type="http://schemas.openxmlformats.org/officeDocument/2006/relationships/hyperlink" Target="https://doi.org/10.64861/XSZN4297" TargetMode="External"/></Relationships>
</file>

<file path=word/_rels/footnotes.xml.rels><?xml version='1.0' encoding='UTF-8' standalone='yes'?>
<Relationships xmlns="http://schemas.openxmlformats.org/package/2006/relationships"><Relationship Id="rId194" Type="http://schemas.openxmlformats.org/officeDocument/2006/relationships/hyperlink" Target="https://doi.org/10.1016/j.actaastro.2018.12.043" TargetMode="External"/><Relationship Id="rId172" Type="http://schemas.openxmlformats.org/officeDocument/2006/relationships/hyperlink" Target="https://doi.org/10.1016/j.actaastro.2021.12.030" TargetMode="External"/><Relationship Id="rId196" Type="http://schemas.openxmlformats.org/officeDocument/2006/relationships/hyperlink" Target="https://doi.org/10.1016/j.actaastro.2023.10.034" TargetMode="External"/><Relationship Id="rId140" Type="http://schemas.openxmlformats.org/officeDocument/2006/relationships/hyperlink" Target="https://doi.org/10.1016/j.actaastro.2024.06.015" TargetMode="External"/><Relationship Id="rId198" Type="http://schemas.openxmlformats.org/officeDocument/2006/relationships/hyperlink" Target="https://doi.org/10.1016/j.actaastro.2024.11.002" TargetMode="External"/><Relationship Id="rId191" Type="http://schemas.openxmlformats.org/officeDocument/2006/relationships/hyperlink" Target="https://doi.org/10.1016/j.actaastro.2024.12.056" TargetMode="External"/><Relationship Id="rId143" Type="http://schemas.openxmlformats.org/officeDocument/2006/relationships/hyperlink" Target="https://doi.org/10.1016/j.actaastro.2025.02.023" TargetMode="External"/><Relationship Id="rId201" Type="http://schemas.openxmlformats.org/officeDocument/2006/relationships/hyperlink" Target="https://doi.org/10.1016/j.actaastro.2025.03.043" TargetMode="External"/><Relationship Id="rId145" Type="http://schemas.openxmlformats.org/officeDocument/2006/relationships/hyperlink" Target="https://doi.org/10.1016/j.actaastro.2025.09.078" TargetMode="External"/><Relationship Id="rId175" Type="http://schemas.openxmlformats.org/officeDocument/2006/relationships/hyperlink" Target="https://doi.org/10.1016/j.actaastro.2025.10.065" TargetMode="External"/><Relationship Id="rId189" Type="http://schemas.openxmlformats.org/officeDocument/2006/relationships/hyperlink" Target="https://doi.org/10.1016/j.actaastro.2025.11.074" TargetMode="External"/><Relationship Id="rId182" Type="http://schemas.openxmlformats.org/officeDocument/2006/relationships/hyperlink" Target="https://doi.org/10.2514/6.2004-3253" TargetMode="External"/><Relationship Id="rId136" Type="http://schemas.openxmlformats.org/officeDocument/2006/relationships/hyperlink" Target="https://doi.org/10.64861/DCGY9420" TargetMode="External"/><Relationship Id="rId155" Type="http://schemas.openxmlformats.org/officeDocument/2006/relationships/hyperlink" Target="https://doi.org/10.64861/DRTH1291" TargetMode="External"/><Relationship Id="rId185" Type="http://schemas.openxmlformats.org/officeDocument/2006/relationships/hyperlink" Target="https://doi.org/10.64861/FAZK8299" TargetMode="External"/><Relationship Id="rId149" Type="http://schemas.openxmlformats.org/officeDocument/2006/relationships/hyperlink" Target="https://doi.org/10.64861/FFYG1923" TargetMode="External"/><Relationship Id="rId159" Type="http://schemas.openxmlformats.org/officeDocument/2006/relationships/hyperlink" Target="https://doi.org/10.64861/FNFT3594" TargetMode="External"/><Relationship Id="rId157" Type="http://schemas.openxmlformats.org/officeDocument/2006/relationships/hyperlink" Target="https://doi.org/10.64861/IIRV1868" TargetMode="External"/><Relationship Id="rId151" Type="http://schemas.openxmlformats.org/officeDocument/2006/relationships/hyperlink" Target="https://doi.org/10.64861/JDBC3555" TargetMode="External"/><Relationship Id="rId131" Type="http://schemas.openxmlformats.org/officeDocument/2006/relationships/hyperlink" Target="https://doi.org/10.64861/KWXF2322" TargetMode="External"/><Relationship Id="rId133" Type="http://schemas.openxmlformats.org/officeDocument/2006/relationships/hyperlink" Target="https://doi.org/10.64861/TVTP4742" TargetMode="External"/><Relationship Id="rId161" Type="http://schemas.openxmlformats.org/officeDocument/2006/relationships/hyperlink" Target="https://doi.org/10.64861/UAMB9924" TargetMode="External"/><Relationship Id="rId153" Type="http://schemas.openxmlformats.org/officeDocument/2006/relationships/hyperlink" Target="https://doi.org/10.64861/UFLZ6709" TargetMode="External"/><Relationship Id="rId138" Type="http://schemas.openxmlformats.org/officeDocument/2006/relationships/hyperlink" Target="https://doi.org/10.64861/UONC7890" TargetMode="External"/><Relationship Id="rId165" Type="http://schemas.openxmlformats.org/officeDocument/2006/relationships/hyperlink" Target="https://doi.org/10.64861/VJBP8309" TargetMode="External"/><Relationship Id="rId168" Type="http://schemas.openxmlformats.org/officeDocument/2006/relationships/hyperlink" Target="https://doi.org/10.64861/XSZN4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Cislunar Custody Difficulty: Quantifying How Orbit-Determination Accuracy Degrades Across Dynamical Regimes and Sensor Architectures</dc:title>
  <dc:creator>Rohan Park (1B-SDA-096)</dc:creator>
  <cp:keywords/>
  <dcterms:created xsi:type="dcterms:W3CDTF">2026-07-02T18:05:20Z</dcterms:created>
  <dcterms:modified xsi:type="dcterms:W3CDTF">2026-07-02T18:05:20Z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