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0.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8" w:name="X96262b0470faa9c43ff15aaee8663559345c1fc"/>
    <w:p>
      <w:pPr>
        <w:pStyle w:val="Heading1"/>
      </w:pPr>
      <w:r>
        <w:t xml:space="preserve">Signal Intensity in Cislunar Tracking Geometry and the Marginal Value of Each Added Ground or Relay: An Ordinary Least Squares Test of Recency, Citation Attention, and Venue</w:t>
      </w:r>
    </w:p>
    <w:bookmarkStart w:id="61" w:name="introduction"/>
    <w:p>
      <w:pPr>
        <w:pStyle w:val="Heading2"/>
      </w:pPr>
      <w:r>
        <w:t xml:space="preserve">1. Introduction</w:t>
      </w:r>
    </w:p>
    <w:p>
      <w:pPr>
        <w:pStyle w:val="FirstParagraph"/>
      </w:pPr>
      <w:r>
        <w:t xml:space="preserve">This empirical paper supports Yuki Eze (1B-SDA-182) and the dissertation project</w:t>
      </w:r>
      <w:r>
        <w:t xml:space="preserve"> </w:t>
      </w:r>
      <w:r>
        <w:rPr>
          <w:i/>
          <w:iCs/>
        </w:rPr>
        <w:t xml:space="preserve">Cislunar Tracking Geometry and the Marginal Value of Each Added Ground or Relay</w:t>
      </w:r>
      <w:r>
        <w:t xml:space="preserve">. The model tests whether topic-signal intensity varies with publication recency, citation attention, and venue family.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ordinary least squares with robust HC1 standard errors. The exact fit summary is: N=30, R2=0.3364972618409182, R2_adj=0.2599392535917934, F=6.048543338279323, F_p=0.0028871827346189575. The exact term summary is: const coef=3.7708477722781457 p=0.056059284727344984; recency_index coef=0.28788329468432566 p=0.020816597011907412; cites_num coef=-0.0012018723942851725 p=0.9104721826385096; venue_score coef=-1.9866693968256235 p=0.0005984367120330383.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78" w:name="references"/>
    <w:p>
      <w:pPr>
        <w:pStyle w:val="Heading2"/>
      </w:pPr>
      <w:r>
        <w:t xml:space="preserve">References</w:t>
      </w:r>
    </w:p>
    <w:p>
      <w:pPr>
        <w:pStyle w:val="FirstParagraph"/>
      </w:pPr>
      <w:bookmarkStart w:id="67" w:name="ref-1"/>
      <w:bookmarkEnd w:id="67"/>
      <w:r>
        <w:t xml:space="preserve">1. Anil Chaudhary (Applied Optimization, Inc.), Tamara Payne (Applied Optimization, Inc.), Keith Lucas (Applied Optimization, Inc.), Kimberly Kinateder (Wright State University), Phan Dao (Air Force Research Laboratory/RV Kirtland AFB, NM), Jeremy Murray-Krezan (Air Force Research Laboratory/RV Kirtland AFB, NM). Propagation of Bayesian Belief for Near-real Time Statistical Assessment of Geosynchronous Satellite Status Based on Non-Resolved Photometry Data (2014). [AMOS]</w:t>
      </w:r>
      <w:r>
        <w:t xml:space="preserve"> </w:t>
      </w:r>
      <w:bookmarkStart w:id="68" w:name="ref-2"/>
      <w:bookmarkEnd w:id="68"/>
      <w:r>
        <w:t xml:space="preserve">2. Matthew Popplewell, Advanced Space; Matthew Givens, Advanced Space; Frank Centinello, Advanced Space; Michael Caudill, Advanced Space; Benjamin Tatman, Advanced Space; Nathan Parrish Ré, Advanced Space. Tracking Small Debris Using Probabilistic Methods (2025). doi:</w:t>
      </w:r>
      <w:r>
        <w:t xml:space="preserve"> </w:t>
      </w:r>
      <w:hyperlink r:id="rId69">
        <w:r>
          <w:rPr>
            <w:rStyle w:val="Hyperlink"/>
          </w:rPr>
          <w:t xml:space="preserve">10.64861/AJDV3259</w:t>
        </w:r>
      </w:hyperlink>
      <w:r>
        <w:t xml:space="preserve"> </w:t>
      </w:r>
      <w:bookmarkStart w:id="70" w:name="ref-3"/>
      <w:bookmarkEnd w:id="70"/>
      <w:r>
        <w:t xml:space="preserve">3. Michael Thompson, Advanced Space, LLC; Nathan Parrish Ré, Advanced Space, LLC; Cameron Meek, Advanced Space, LLC; Bradley Cheetham, Advanced Space, LLC. Cislunar Orbit Determination and Tracking via Simulated Space-Based Measurements (2021). [AMOS]</w:t>
      </w:r>
      <w:r>
        <w:t xml:space="preserve"> </w:t>
      </w:r>
      <w:bookmarkStart w:id="71" w:name="ref-4"/>
      <w:bookmarkEnd w:id="71"/>
      <w:r>
        <w:t xml:space="preserve">4. François Thevenot, Safran Data Systems; Baptiste Guillot, Safran Data Systems; Sebastien Herbiniere, Safran Data Systems. Cislunar Orbit Determination with Passive RF Sensors (2024). doi:</w:t>
      </w:r>
      <w:r>
        <w:t xml:space="preserve"> </w:t>
      </w:r>
      <w:hyperlink r:id="rId72">
        <w:r>
          <w:rPr>
            <w:rStyle w:val="Hyperlink"/>
          </w:rPr>
          <w:t xml:space="preserve">10.64861/VIBN6616</w:t>
        </w:r>
      </w:hyperlink>
      <w:r>
        <w:t xml:space="preserve"> </w:t>
      </w:r>
      <w:bookmarkStart w:id="73" w:name="ref-5"/>
      <w:bookmarkEnd w:id="73"/>
      <w:r>
        <w:t xml:space="preserve">5. Brian Weeden (Secure World Foundation). Development of an Architecture of Sun-Synchronous Orbital Slots to Minimize Conjunctions (2008). [AMOS]</w:t>
      </w:r>
      <w:r>
        <w:t xml:space="preserve"> </w:t>
      </w:r>
      <w:bookmarkStart w:id="74" w:name="ref-6"/>
      <w:bookmarkEnd w:id="74"/>
      <w:r>
        <w:t xml:space="preserve">6. Daniel Hopkins, University of Canterbury; Richard Clare, University of Canterbury; Le Yang, University of Canterbury; Steve Weddell, University of Canterbury. Comparison of atmospheric tomography basis functions for point spread function reproduction (2023). doi:</w:t>
      </w:r>
      <w:r>
        <w:t xml:space="preserve"> </w:t>
      </w:r>
      <w:hyperlink r:id="rId75">
        <w:r>
          <w:rPr>
            <w:rStyle w:val="Hyperlink"/>
          </w:rPr>
          <w:t xml:space="preserve">10.64861/KHVZ4947</w:t>
        </w:r>
      </w:hyperlink>
      <w:r>
        <w:t xml:space="preserve"> </w:t>
      </w:r>
      <w:bookmarkStart w:id="76" w:name="ref-7"/>
      <w:bookmarkEnd w:id="76"/>
      <w:r>
        <w:t xml:space="preserve">7. Greg Martin, Pacific Defense Solutions – a Centauri Company; Charles J. “Jack” Wetterer, Pacific Defense Solutions, A Centauri Company; Jenna Lau, Pacific Defense Solutions, A Centauri Company; Jeremy Case, Pacific Defense Solutions; Nathan Toner, Pacific Defense Solutions, a Centauri Company; C. Channing Chow, Pacific Defense Solutions, a Centauri Company; Phan Dao, AFRL. Cislunar Periodic Orbit Family Classification from Astrometric and Photometric Observations Using Machine-Learning (2020). [AMOS]</w:t>
      </w:r>
      <w:r>
        <w:t xml:space="preserve"> </w:t>
      </w:r>
      <w:bookmarkStart w:id="77" w:name="ref-8"/>
      <w:bookmarkEnd w:id="77"/>
      <w:r>
        <w:t xml:space="preserve">8. Mark Bolden, Trusted Space, Inc.; Tim Craychee, Trusted Space, Inc.; Erin Griggs, Trusted Space, Inc.. An Evaluation of Observing Constellation Orbit Stability, Low Signal-to-Noise, and the Too-Short-Arc Challenges in the Cislunar Domain (2020). [AMOS]</w:t>
      </w:r>
    </w:p>
    <w:bookmarkEnd w:id="78"/>
    <w:bookmarkStart w:id="79" w:name="specification"/>
    <w:p>
      <w:pPr>
        <w:pStyle w:val="Heading2"/>
      </w:pPr>
      <w:r>
        <w:t xml:space="preserve">Specification</w:t>
      </w:r>
    </w:p>
    <w:p>
      <w:pPr>
        <w:pStyle w:val="FirstParagraph"/>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End w:id="79"/>
    <w:bookmarkStart w:id="83"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3.7708</w:t>
            </w:r>
          </w:p>
        </w:tc>
        <w:tc>
          <w:tcPr>
            <w:tcW w:w="0" w:type="auto"/>
          </w:tcPr>
          <w:p>
            <w:pPr>
              <w:spacing w:line="240" w:lineRule="auto" w:before="0" w:after="0"/>
              <w:pStyle w:val="Compact"/>
            </w:pPr>
            <w:r>
              <w:rPr>
                <w:sz w:val="20"/>
                <w:szCs w:val="20"/>
              </w:rPr>
              <w:t xml:space="preserve">1.9737</w:t>
            </w:r>
          </w:p>
        </w:tc>
        <w:tc>
          <w:tcPr>
            <w:tcW w:w="0" w:type="auto"/>
          </w:tcPr>
          <w:p>
            <w:pPr>
              <w:spacing w:line="240" w:lineRule="auto" w:before="0" w:after="0"/>
              <w:pStyle w:val="Compact"/>
            </w:pPr>
            <w:r>
              <w:rPr>
                <w:sz w:val="20"/>
                <w:szCs w:val="20"/>
              </w:rPr>
              <w:t xml:space="preserve">1.9106</w:t>
            </w:r>
          </w:p>
        </w:tc>
        <w:tc>
          <w:tcPr>
            <w:tcW w:w="0" w:type="auto"/>
          </w:tcPr>
          <w:p>
            <w:pPr>
              <w:spacing w:line="240" w:lineRule="auto" w:before="0" w:after="0"/>
              <w:pStyle w:val="Compact"/>
            </w:pPr>
            <w:r>
              <w:rPr>
                <w:sz w:val="20"/>
                <w:szCs w:val="20"/>
              </w:rPr>
              <w:t xml:space="preserve">0.0561</w:t>
            </w:r>
          </w:p>
        </w:tc>
        <w:tc>
          <w:tcPr>
            <w:tcW w:w="0" w:type="auto"/>
          </w:tcPr>
          <w:p>
            <w:pPr>
              <w:spacing w:line="240" w:lineRule="auto" w:before="0" w:after="0"/>
              <w:pStyle w:val="Compact"/>
            </w:pPr>
            <w:r>
              <w:rPr>
                <w:sz w:val="20"/>
                <w:szCs w:val="20"/>
              </w:rPr>
              <w:t xml:space="preserve">[-0.0975, 7.6392]</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0.2879</w:t>
            </w:r>
          </w:p>
        </w:tc>
        <w:tc>
          <w:tcPr>
            <w:tcW w:w="0" w:type="auto"/>
          </w:tcPr>
          <w:p>
            <w:pPr>
              <w:spacing w:line="240" w:lineRule="auto" w:before="0" w:after="0"/>
              <w:pStyle w:val="Compact"/>
            </w:pPr>
            <w:r>
              <w:rPr>
                <w:sz w:val="20"/>
                <w:szCs w:val="20"/>
              </w:rPr>
              <w:t xml:space="preserve">0.1246</w:t>
            </w:r>
          </w:p>
        </w:tc>
        <w:tc>
          <w:tcPr>
            <w:tcW w:w="0" w:type="auto"/>
          </w:tcPr>
          <w:p>
            <w:pPr>
              <w:spacing w:line="240" w:lineRule="auto" w:before="0" w:after="0"/>
              <w:pStyle w:val="Compact"/>
            </w:pPr>
            <w:r>
              <w:rPr>
                <w:sz w:val="20"/>
                <w:szCs w:val="20"/>
              </w:rPr>
              <w:t xml:space="preserve">2.3113</w:t>
            </w:r>
          </w:p>
        </w:tc>
        <w:tc>
          <w:tcPr>
            <w:tcW w:w="0" w:type="auto"/>
          </w:tcPr>
          <w:p>
            <w:pPr>
              <w:spacing w:line="240" w:lineRule="auto" w:before="0" w:after="0"/>
              <w:pStyle w:val="Compact"/>
            </w:pPr>
            <w:r>
              <w:rPr>
                <w:sz w:val="20"/>
                <w:szCs w:val="20"/>
              </w:rPr>
              <w:t xml:space="preserve">0.0208</w:t>
            </w:r>
          </w:p>
        </w:tc>
        <w:tc>
          <w:tcPr>
            <w:tcW w:w="0" w:type="auto"/>
          </w:tcPr>
          <w:p>
            <w:pPr>
              <w:spacing w:line="240" w:lineRule="auto" w:before="0" w:after="0"/>
              <w:pStyle w:val="Compact"/>
            </w:pPr>
            <w:r>
              <w:rPr>
                <w:sz w:val="20"/>
                <w:szCs w:val="20"/>
              </w:rPr>
              <w:t xml:space="preserve">[0.0438, 0.532]</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-0.0012</w:t>
            </w:r>
          </w:p>
        </w:tc>
        <w:tc>
          <w:tcPr>
            <w:tcW w:w="0" w:type="auto"/>
          </w:tcPr>
          <w:p>
            <w:pPr>
              <w:spacing w:line="240" w:lineRule="auto" w:before="0" w:after="0"/>
              <w:pStyle w:val="Compact"/>
            </w:pPr>
            <w:r>
              <w:rPr>
                <w:sz w:val="20"/>
                <w:szCs w:val="20"/>
              </w:rPr>
              <w:t xml:space="preserve">0.0107</w:t>
            </w:r>
          </w:p>
        </w:tc>
        <w:tc>
          <w:tcPr>
            <w:tcW w:w="0" w:type="auto"/>
          </w:tcPr>
          <w:p>
            <w:pPr>
              <w:spacing w:line="240" w:lineRule="auto" w:before="0" w:after="0"/>
              <w:pStyle w:val="Compact"/>
            </w:pPr>
            <w:r>
              <w:rPr>
                <w:sz w:val="20"/>
                <w:szCs w:val="20"/>
              </w:rPr>
              <w:t xml:space="preserve">-0.1124</w:t>
            </w:r>
          </w:p>
        </w:tc>
        <w:tc>
          <w:tcPr>
            <w:tcW w:w="0" w:type="auto"/>
          </w:tcPr>
          <w:p>
            <w:pPr>
              <w:spacing w:line="240" w:lineRule="auto" w:before="0" w:after="0"/>
              <w:pStyle w:val="Compact"/>
            </w:pPr>
            <w:r>
              <w:rPr>
                <w:sz w:val="20"/>
                <w:szCs w:val="20"/>
              </w:rPr>
              <w:t xml:space="preserve">0.9105</w:t>
            </w:r>
          </w:p>
        </w:tc>
        <w:tc>
          <w:tcPr>
            <w:tcW w:w="0" w:type="auto"/>
          </w:tcPr>
          <w:p>
            <w:pPr>
              <w:spacing w:line="240" w:lineRule="auto" w:before="0" w:after="0"/>
              <w:pStyle w:val="Compact"/>
            </w:pPr>
            <w:r>
              <w:rPr>
                <w:sz w:val="20"/>
                <w:szCs w:val="20"/>
              </w:rPr>
              <w:t xml:space="preserve">[-0.0222, 0.0197]</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-1.9867</w:t>
            </w:r>
          </w:p>
        </w:tc>
        <w:tc>
          <w:tcPr>
            <w:tcW w:w="0" w:type="auto"/>
          </w:tcPr>
          <w:p>
            <w:pPr>
              <w:spacing w:line="240" w:lineRule="auto" w:before="0" w:after="0"/>
              <w:pStyle w:val="Compact"/>
            </w:pPr>
            <w:r>
              <w:rPr>
                <w:sz w:val="20"/>
                <w:szCs w:val="20"/>
              </w:rPr>
              <w:t xml:space="preserve">0.5788</w:t>
            </w:r>
          </w:p>
        </w:tc>
        <w:tc>
          <w:tcPr>
            <w:tcW w:w="0" w:type="auto"/>
          </w:tcPr>
          <w:p>
            <w:pPr>
              <w:spacing w:line="240" w:lineRule="auto" w:before="0" w:after="0"/>
              <w:pStyle w:val="Compact"/>
            </w:pPr>
            <w:r>
              <w:rPr>
                <w:sz w:val="20"/>
                <w:szCs w:val="20"/>
              </w:rPr>
              <w:t xml:space="preserve">-3.4323</w:t>
            </w:r>
          </w:p>
        </w:tc>
        <w:tc>
          <w:tcPr>
            <w:tcW w:w="0" w:type="auto"/>
          </w:tcPr>
          <w:p>
            <w:pPr>
              <w:spacing w:line="240" w:lineRule="auto" w:before="0" w:after="0"/>
              <w:pStyle w:val="Compact"/>
            </w:pPr>
            <w:r>
              <w:rPr>
                <w:sz w:val="20"/>
                <w:szCs w:val="20"/>
              </w:rPr>
              <w:t xml:space="preserve">0.0005984</w:t>
            </w:r>
          </w:p>
        </w:tc>
        <w:tc>
          <w:tcPr>
            <w:tcW w:w="0" w:type="auto"/>
          </w:tcPr>
          <w:p>
            <w:pPr>
              <w:spacing w:line="240" w:lineRule="auto" w:before="0" w:after="0"/>
              <w:pStyle w:val="Compact"/>
            </w:pPr>
            <w:r>
              <w:rPr>
                <w:sz w:val="20"/>
                <w:szCs w:val="20"/>
              </w:rPr>
              <w:t xml:space="preserve">[-3.1211, -0.8522]</w:t>
            </w:r>
          </w:p>
        </w:tc>
      </w:tr>
    </w:tbl>
    <w:p>
      <w:pPr>
        <w:pStyle w:val="BodyText"/>
      </w:pPr>
      <w:r>
        <w:t xml:space="preserve">Fit: N = 30 R2 = 0.3365 R2_adj = 0.2599 F = 6.0485 F_p = 0.0029</w:t>
      </w:r>
    </w:p>
    <w:p>
      <w:pPr>
        <w:pStyle w:val="CaptionedFigure"/>
      </w:pPr>
      <w:r>
        <w:drawing>
          <wp:inline>
            <wp:extent cx="5669280" cy="3657600"/>
            <wp:effectExtent b="0" l="0" r="0" t="0"/>
            <wp:docPr descr="Figure 1. Topic-signal score by publication recency, conditioning on citation attention and venue family." title="" id="81" name="Picture"/>
            <a:graphic>
              <a:graphicData uri="http://schemas.openxmlformats.org/drawingml/2006/picture">
                <pic:pic>
                  <pic:nvPicPr>
                    <pic:cNvPr descr="D:\Claude_Code\brain\collegium\candidates\dissertations\JPL_INSTRUMENTS_NAV_09\research_papers\p1\paper_fig1.png" id="82" name="Picture"/>
                    <pic:cNvPicPr>
                      <a:picLocks noChangeArrowheads="1" noChangeAspect="1"/>
                    </pic:cNvPicPr>
                  </pic:nvPicPr>
                  <pic:blipFill>
                    <a:blip r:embed="rId80"/>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Topic-signal score by publication recency, conditioning on citation attention and venue family.</w:t>
      </w:r>
    </w:p>
    <w:bookmarkEnd w:id="83"/>
    <w:bookmarkStart w:id="87"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4"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https://amostech.space/year/2021/hiding-in-plain-sight-observing-objects-in-low-lunar-orbit-and-the-l2-dark-cone-from-a-lunar-surface-observatory/</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https://amostech.space/year/2020/payload-and-constellation-design-for-a-solar-exclusion-avoiding-cislunar-ssa-fleet/</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10.64861/IKOD8008</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https://amostech.space/year/2022/delay-disruption-tolerant-reinforcement-learning-aurora-based-communication-system-dreams/</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https://amostech.space/year/2014/propagation-of-bayesian-belief-for-near-real-time-statistical-assessment-of-geosynchronous-satellite-status-based-on-non-resolved-photometry-data/</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10.64861/AJDV3259</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https://amostech.space/year/2021/cislunar-orbit-determination-and-tracking-via-simulated-space-based-measurements/</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10.64861/VIBN6616</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https://amostech.space/year/2008/development-of-an-architecture-of-sun-synchronous-orbital-slots-to-minimize-conjunctions/</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10.64861/KHVZ4947</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https://amostech.space/year/2020/cislunar-periodic-orbit-family-classification-from-astrometric-and-photometric-observations-using-machine-learning/</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https://amostech.space/year/2018/advanced-atmospheric-mitigation-decision-aids-for-space-imaging-and-laser-communications/</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130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10.1016/j.actaastro.2021.12.030</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10.1016/j.actaastro.2023.01.040</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10.1016/j.actaastro.2017.11.026</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10.1016/j.actaastro.2020.07.043</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10.1016/j.actaastro.2017.04.002</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10.1016/j.actaastro.2024.12.056</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10.1016/j.actaastro.2025.01.038</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10.1016/j.actaastro.2021.04.022</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10.1016/j.actaastro.2020.11.045</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10.1016/j.actaastro.2019.07.029</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10.1016/j.actaastro.2025.12.019</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10.1016/j.actaastro.2023.05.042</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OCEA Forecasting the Space Economy</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Leveraging Circular Economy for Space Sustainability</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A 2021 Johns Hopkins SAIS doctoral thesis by Nathaniel Dailey proposing an International Space Reference Architecture (ISRA) as a socio-technological transformative mechanism to resolve contemporary space governance failures – orbital debris, policy fragmentation, and space traffic management – by coupling enterprise architecture methodology with international relations constructivist theory, blockchain-enabled information sharing, and norms entrepreneurship.</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Role of Space in Driving Sustainability, Security, and Development</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OCEA/MITRE study critically evaluates major space economy forecasts, finds them systematically overstated due to CAGR methodology, double counting, and overreliance on nascent sectors; AR(1) time-series modeling projects a 2040 global space economy of $453-$511 billion, far below the widely cited $1 trillion figure, with $1 trillion not reachable before 2075.</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DISE: Dynamic Integrated Space-Economy Model</w:t>
            </w:r>
          </w:p>
        </w:tc>
      </w:tr>
    </w:tbl>
    <w:bookmarkEnd w:id="84"/>
    <w:bookmarkStart w:id="85"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85"/>
    <w:bookmarkStart w:id="86"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3.7708</w:t>
            </w:r>
          </w:p>
        </w:tc>
        <w:tc>
          <w:tcPr>
            <w:tcW w:w="0" w:type="auto"/>
          </w:tcPr>
          <w:p>
            <w:pPr>
              <w:spacing w:line="240" w:lineRule="auto" w:before="0" w:after="0"/>
              <w:pStyle w:val="Compact"/>
            </w:pPr>
            <w:r>
              <w:rPr>
                <w:sz w:val="20"/>
                <w:szCs w:val="20"/>
              </w:rPr>
              <w:t xml:space="preserve">1.9737</w:t>
            </w:r>
          </w:p>
        </w:tc>
        <w:tc>
          <w:tcPr>
            <w:tcW w:w="0" w:type="auto"/>
          </w:tcPr>
          <w:p>
            <w:pPr>
              <w:spacing w:line="240" w:lineRule="auto" w:before="0" w:after="0"/>
              <w:pStyle w:val="Compact"/>
            </w:pPr>
            <w:r>
              <w:rPr>
                <w:sz w:val="20"/>
                <w:szCs w:val="20"/>
              </w:rPr>
              <w:t xml:space="preserve">1.9106</w:t>
            </w:r>
          </w:p>
        </w:tc>
        <w:tc>
          <w:tcPr>
            <w:tcW w:w="0" w:type="auto"/>
          </w:tcPr>
          <w:p>
            <w:pPr>
              <w:spacing w:line="240" w:lineRule="auto" w:before="0" w:after="0"/>
              <w:pStyle w:val="Compact"/>
            </w:pPr>
            <w:r>
              <w:rPr>
                <w:sz w:val="20"/>
                <w:szCs w:val="20"/>
              </w:rPr>
              <w:t xml:space="preserve">0.0561</w:t>
            </w:r>
          </w:p>
        </w:tc>
        <w:tc>
          <w:tcPr>
            <w:tcW w:w="0" w:type="auto"/>
          </w:tcPr>
          <w:p>
            <w:pPr>
              <w:spacing w:line="240" w:lineRule="auto" w:before="0" w:after="0"/>
              <w:pStyle w:val="Compact"/>
            </w:pPr>
            <w:r>
              <w:rPr>
                <w:sz w:val="20"/>
                <w:szCs w:val="20"/>
              </w:rPr>
              <w:t xml:space="preserve">[-0.0975, 7.6392]</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0.2879</w:t>
            </w:r>
          </w:p>
        </w:tc>
        <w:tc>
          <w:tcPr>
            <w:tcW w:w="0" w:type="auto"/>
          </w:tcPr>
          <w:p>
            <w:pPr>
              <w:spacing w:line="240" w:lineRule="auto" w:before="0" w:after="0"/>
              <w:pStyle w:val="Compact"/>
            </w:pPr>
            <w:r>
              <w:rPr>
                <w:sz w:val="20"/>
                <w:szCs w:val="20"/>
              </w:rPr>
              <w:t xml:space="preserve">0.1246</w:t>
            </w:r>
          </w:p>
        </w:tc>
        <w:tc>
          <w:tcPr>
            <w:tcW w:w="0" w:type="auto"/>
          </w:tcPr>
          <w:p>
            <w:pPr>
              <w:spacing w:line="240" w:lineRule="auto" w:before="0" w:after="0"/>
              <w:pStyle w:val="Compact"/>
            </w:pPr>
            <w:r>
              <w:rPr>
                <w:sz w:val="20"/>
                <w:szCs w:val="20"/>
              </w:rPr>
              <w:t xml:space="preserve">2.3113</w:t>
            </w:r>
          </w:p>
        </w:tc>
        <w:tc>
          <w:tcPr>
            <w:tcW w:w="0" w:type="auto"/>
          </w:tcPr>
          <w:p>
            <w:pPr>
              <w:spacing w:line="240" w:lineRule="auto" w:before="0" w:after="0"/>
              <w:pStyle w:val="Compact"/>
            </w:pPr>
            <w:r>
              <w:rPr>
                <w:sz w:val="20"/>
                <w:szCs w:val="20"/>
              </w:rPr>
              <w:t xml:space="preserve">0.0208</w:t>
            </w:r>
          </w:p>
        </w:tc>
        <w:tc>
          <w:tcPr>
            <w:tcW w:w="0" w:type="auto"/>
          </w:tcPr>
          <w:p>
            <w:pPr>
              <w:spacing w:line="240" w:lineRule="auto" w:before="0" w:after="0"/>
              <w:pStyle w:val="Compact"/>
            </w:pPr>
            <w:r>
              <w:rPr>
                <w:sz w:val="20"/>
                <w:szCs w:val="20"/>
              </w:rPr>
              <w:t xml:space="preserve">[0.0438, 0.532]</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-0.0012</w:t>
            </w:r>
          </w:p>
        </w:tc>
        <w:tc>
          <w:tcPr>
            <w:tcW w:w="0" w:type="auto"/>
          </w:tcPr>
          <w:p>
            <w:pPr>
              <w:spacing w:line="240" w:lineRule="auto" w:before="0" w:after="0"/>
              <w:pStyle w:val="Compact"/>
            </w:pPr>
            <w:r>
              <w:rPr>
                <w:sz w:val="20"/>
                <w:szCs w:val="20"/>
              </w:rPr>
              <w:t xml:space="preserve">0.0107</w:t>
            </w:r>
          </w:p>
        </w:tc>
        <w:tc>
          <w:tcPr>
            <w:tcW w:w="0" w:type="auto"/>
          </w:tcPr>
          <w:p>
            <w:pPr>
              <w:spacing w:line="240" w:lineRule="auto" w:before="0" w:after="0"/>
              <w:pStyle w:val="Compact"/>
            </w:pPr>
            <w:r>
              <w:rPr>
                <w:sz w:val="20"/>
                <w:szCs w:val="20"/>
              </w:rPr>
              <w:t xml:space="preserve">-0.1124</w:t>
            </w:r>
          </w:p>
        </w:tc>
        <w:tc>
          <w:tcPr>
            <w:tcW w:w="0" w:type="auto"/>
          </w:tcPr>
          <w:p>
            <w:pPr>
              <w:spacing w:line="240" w:lineRule="auto" w:before="0" w:after="0"/>
              <w:pStyle w:val="Compact"/>
            </w:pPr>
            <w:r>
              <w:rPr>
                <w:sz w:val="20"/>
                <w:szCs w:val="20"/>
              </w:rPr>
              <w:t xml:space="preserve">0.9105</w:t>
            </w:r>
          </w:p>
        </w:tc>
        <w:tc>
          <w:tcPr>
            <w:tcW w:w="0" w:type="auto"/>
          </w:tcPr>
          <w:p>
            <w:pPr>
              <w:spacing w:line="240" w:lineRule="auto" w:before="0" w:after="0"/>
              <w:pStyle w:val="Compact"/>
            </w:pPr>
            <w:r>
              <w:rPr>
                <w:sz w:val="20"/>
                <w:szCs w:val="20"/>
              </w:rPr>
              <w:t xml:space="preserve">[-0.0222, 0.0197]</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-1.9867</w:t>
            </w:r>
          </w:p>
        </w:tc>
        <w:tc>
          <w:tcPr>
            <w:tcW w:w="0" w:type="auto"/>
          </w:tcPr>
          <w:p>
            <w:pPr>
              <w:spacing w:line="240" w:lineRule="auto" w:before="0" w:after="0"/>
              <w:pStyle w:val="Compact"/>
            </w:pPr>
            <w:r>
              <w:rPr>
                <w:sz w:val="20"/>
                <w:szCs w:val="20"/>
              </w:rPr>
              <w:t xml:space="preserve">0.5788</w:t>
            </w:r>
          </w:p>
        </w:tc>
        <w:tc>
          <w:tcPr>
            <w:tcW w:w="0" w:type="auto"/>
          </w:tcPr>
          <w:p>
            <w:pPr>
              <w:spacing w:line="240" w:lineRule="auto" w:before="0" w:after="0"/>
              <w:pStyle w:val="Compact"/>
            </w:pPr>
            <w:r>
              <w:rPr>
                <w:sz w:val="20"/>
                <w:szCs w:val="20"/>
              </w:rPr>
              <w:t xml:space="preserve">-3.4323</w:t>
            </w:r>
          </w:p>
        </w:tc>
        <w:tc>
          <w:tcPr>
            <w:tcW w:w="0" w:type="auto"/>
          </w:tcPr>
          <w:p>
            <w:pPr>
              <w:spacing w:line="240" w:lineRule="auto" w:before="0" w:after="0"/>
              <w:pStyle w:val="Compact"/>
            </w:pPr>
            <w:r>
              <w:rPr>
                <w:sz w:val="20"/>
                <w:szCs w:val="20"/>
              </w:rPr>
              <w:t xml:space="preserve">0.0005984</w:t>
            </w:r>
          </w:p>
        </w:tc>
        <w:tc>
          <w:tcPr>
            <w:tcW w:w="0" w:type="auto"/>
          </w:tcPr>
          <w:p>
            <w:pPr>
              <w:spacing w:line="240" w:lineRule="auto" w:before="0" w:after="0"/>
              <w:pStyle w:val="Compact"/>
            </w:pPr>
            <w:r>
              <w:rPr>
                <w:sz w:val="20"/>
                <w:szCs w:val="20"/>
              </w:rPr>
              <w:t xml:space="preserve">[-3.1211, -0.8522]</w:t>
            </w:r>
          </w:p>
        </w:tc>
      </w:tr>
    </w:tbl>
    <w:p>
      <w:pPr>
        <w:pStyle w:val="BodyText"/>
      </w:pPr>
      <w:r>
        <w:t xml:space="preserve">Fit: N = 30 R2 = 0.3365 R2_adj = 0.2599 F = 6.0485 F_p = 0.0029</w:t>
      </w:r>
    </w:p>
    <w:bookmarkEnd w:id="86"/>
    <w:bookmarkEnd w:id="87"/>
    <w:bookmarkEnd w:id="88"/>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0" Target="media/rId80.png" /><Relationship Type="http://schemas.openxmlformats.org/officeDocument/2006/relationships/hyperlink" Id="rId69" Target="https://doi.org/10.64861/AJDV3259" TargetMode="External" /><Relationship Type="http://schemas.openxmlformats.org/officeDocument/2006/relationships/hyperlink" Id="rId75" Target="https://doi.org/10.64861/KHVZ4947" TargetMode="External" /><Relationship Type="http://schemas.openxmlformats.org/officeDocument/2006/relationships/hyperlink" Id="rId72" Target="https://doi.org/10.64861/VIBN6616" TargetMode="External" /></Relationships>
</file>

<file path=word/_rels/footnotes.xml.rels><?xml version="1.0" encoding="UTF-8"?><Relationships xmlns="http://schemas.openxmlformats.org/package/2006/relationships"><Relationship Type="http://schemas.openxmlformats.org/officeDocument/2006/relationships/hyperlink" Id="rId69" Target="https://doi.org/10.64861/AJDV3259" TargetMode="External" /><Relationship Type="http://schemas.openxmlformats.org/officeDocument/2006/relationships/hyperlink" Id="rId75" Target="https://doi.org/10.64861/KHVZ4947" TargetMode="External" /><Relationship Type="http://schemas.openxmlformats.org/officeDocument/2006/relationships/hyperlink" Id="rId72" Target="https://doi.org/10.64861/VIBN6616"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2026-06-28T19:57:07Z</dcterms:created>
  <dcterms:modified xsi:type="dcterms:W3CDTF">2026-06-28T19:57:07Z</dcterms:modified>
</cp:coreProperties>
</file>

<file path=docProps/custom.xml><?xml version="1.0" encoding="utf-8"?>
<Properties xmlns="http://schemas.openxmlformats.org/officeDocument/2006/custom-properties" xmlns:vt="http://schemas.openxmlformats.org/officeDocument/2006/docPropsVTypes"/>
</file>