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CISLUNAR TRACKING GEOMETRY AND THE MARGINAL VALUE OF EACH ADDED GROUND OR RELAY</w:t>
      </w:r>
    </w:p>
    <w:p>
      <w:pPr>
        <w:jc w:val="center"/>
      </w:pPr>
    </w:p>
    <w:p>
      <w:pPr>
        <w:jc w:val="center"/>
      </w:pPr>
      <w:r>
        <w:rPr>
          <w:rFonts w:ascii="Times New Roman" w:hAnsi="Times New Roman"/>
          <w:sz w:val="24"/>
        </w:rPr>
        <w:t>by</w:t>
      </w:r>
    </w:p>
    <w:p>
      <w:pPr>
        <w:jc w:val="center"/>
      </w:pPr>
      <w:r>
        <w:rPr>
          <w:rFonts w:ascii="Times New Roman" w:hAnsi="Times New Roman"/>
          <w:b/>
          <w:sz w:val="28"/>
        </w:rPr>
        <w:t>Yuki Eze</w:t>
      </w:r>
    </w:p>
    <w:p>
      <w:pPr>
        <w:jc w:val="center"/>
      </w:pPr>
      <w:r>
        <w:rPr>
          <w:rFonts w:ascii="Times New Roman" w:hAnsi="Times New Roman"/>
          <w:sz w:val="24"/>
        </w:rPr>
        <w:t>1B-SDA-182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introduction"/>
    <w:p>
      <w:pPr>
        <w:pStyle w:val="Heading1"/>
        <w:spacing w:line="480" w:lineRule="auto"/>
      </w:pPr>
      <w:r>
        <w:t xml:space="preserve">Introduction</w:t>
      </w:r>
    </w:p>
    <w:p>
      <w:pPr>
        <w:pStyle w:val="FirstParagraph"/>
        <w:spacing w:line="480" w:lineRule="auto"/>
      </w:pPr>
      <w:r>
        <w:t xml:space="preserve">Cislunar space is filling faster than the machinery built to watch it. Between the Earth and the Moon, and out past the Moon into the volume that gravitational libration makes stable, spacecraft now travel routes that no legacy ground network was designed to hold. The tracking geometry of that region is unforgiving. Distances stretch past four hundred thousand kilometers, illumination conditions swing from glare to darkness across a single arc, and the periodic orbit families that make the domain attractive for operations also make objects hard to reacquire once a sensor loses them</w:t>
      </w:r>
      <w:r>
        <w:t xml:space="preserve"> </w:t>
      </w:r>
      <w:hyperlink w:anchor="ref-3">
        <w:r>
          <w:rPr>
            <w:rStyle w:val="Hyperlink"/>
          </w:rPr>
          <w:t xml:space="preserve">[3]</w:t>
        </w:r>
      </w:hyperlink>
      <w:r>
        <w:t xml:space="preserve"> </w:t>
      </w:r>
      <w:hyperlink w:anchor="ref-8">
        <w:r>
          <w:rPr>
            <w:rStyle w:val="Hyperlink"/>
          </w:rPr>
          <w:t xml:space="preserve">[8]</w:t>
        </w:r>
      </w:hyperlink>
      <w:r>
        <w:t xml:space="preserve">. Each new ground station or relay node that an agency proposes to add carries a cost, and the question that governs the entire architecture is deceptively plain. What is the marginal value of the next asset?</w:t>
      </w:r>
    </w:p>
    <w:p>
      <w:pPr>
        <w:pStyle w:val="BodyText"/>
        <w:spacing w:line="480" w:lineRule="auto"/>
        <w:ind w:firstLine="720"/>
      </w:pPr>
      <w:r>
        <w:t xml:space="preserve">This dissertation takes that question seriously. It does not answer it by simulation, and it does not answer it by asserting a policy preference. It asks a narrower and more honest thing. Before an agency can reason about the marginal value of an added ground or relay, it needs to know whether the topic of cislunar tracking geometry is even legible in the evidence that agencies actually consult: the conference proceedings, the archival journals, the study reports that circulate through the community and shape which architectures get funded. Legibility is not a given. That is the crux. A topic can matter operationally and still be scattered, thin, or unevenly attended in the documentary record. If the record is structured, that structure is a resource for reasoning. If it is noise, then the community is building expensive infrastructure on intuition dressed as consensus.</w:t>
      </w:r>
    </w:p>
    <w:p>
      <w:pPr>
        <w:pStyle w:val="BodyText"/>
        <w:spacing w:line="480" w:lineRule="auto"/>
        <w:ind w:firstLine="720"/>
      </w:pPr>
      <w:r>
        <w:t xml:space="preserve">The candidate for this project is Yuki Eze (1B-SDA-182), working inside the COLLEGIUM cislunar infrastructure and space domain awareness track. The design is deliberately modest in its empirical reach and deliberately strict in its provenance. Every observation is a retrieved source record. Every variable is derived from that record by a rule a reader can inspect and rerun. The empirical spine is two workbooks, an ordinary least squares screen and a log-log learning-curve screen, and the dissertation reports exactly what those workbooks produced, no more.</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The near-term operational picture is not abstract. Cislunar orbit determination has already been demonstrated with simulated space-based measurements, showing that relay-borne geometry can recover state where ground-only geometry fails</w:t>
      </w:r>
      <w:r>
        <w:t xml:space="preserve"> </w:t>
      </w:r>
      <w:hyperlink w:anchor="ref-3">
        <w:r>
          <w:rPr>
            <w:rStyle w:val="Hyperlink"/>
          </w:rPr>
          <w:t xml:space="preserve">[3]</w:t>
        </w:r>
      </w:hyperlink>
      <w:r>
        <w:t xml:space="preserve">. Passive radio-frequency sensing has been pushed into the cislunar regime as a lower-cost alternative to optical tracking</w:t>
      </w:r>
      <w:r>
        <w:t xml:space="preserve"> </w:t>
      </w:r>
      <w:hyperlink w:anchor="ref-4">
        <w:r>
          <w:rPr>
            <w:rStyle w:val="Hyperlink"/>
          </w:rPr>
          <w:t xml:space="preserve">[4]</w:t>
        </w:r>
      </w:hyperlink>
      <w:r>
        <w:t xml:space="preserve">. Constellation designers have wrestled with solar exclusion, signal-to-noise floors, and the too-short-arc problem that plagues any attempt to build a persistent watch over the volume</w:t>
      </w:r>
      <w:r>
        <w:t xml:space="preserve"> </w:t>
      </w:r>
      <w:hyperlink w:anchor="ref-8">
        <w:r>
          <w:rPr>
            <w:rStyle w:val="Hyperlink"/>
          </w:rPr>
          <w:t xml:space="preserve">[8]</w:t>
        </w:r>
      </w:hyperlink>
      <w:r>
        <w:t xml:space="preserve">. These are engineering results, and they are real. What they do not settle is the allocation question. Given a fixed budget, should the next dollar buy a ground aperture, a relay, or nothing at all because the marginal object it would catch is already caught?</w:t>
      </w:r>
    </w:p>
    <w:p>
      <w:pPr>
        <w:pStyle w:val="BodyText"/>
        <w:spacing w:line="480" w:lineRule="auto"/>
        <w:ind w:firstLine="720"/>
      </w:pPr>
      <w:r>
        <w:t xml:space="preserve">Allocation questions of this kind are usually answered by advocacy. A center wants a station; a contractor wants a constellation; a study concludes that more is better. The chain from claim to recommendation is rarely inspectable. This project treats that opacity as the thing to fix. It builds a small, auditable bridge from source retrieval to variables to estimator output to interpretation, so a reader can see where a conclusion comes from and where it stops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is a governance contribution as much as a technical one. Infrastructure decisions in a contested domain deserve reasoning that survives an audit.</w:t>
      </w:r>
    </w:p>
    <w:p>
      <w:pPr>
        <w:pStyle w:val="BodyText"/>
        <w:spacing w:line="480" w:lineRule="auto"/>
        <w:ind w:firstLine="720"/>
      </w:pPr>
      <w:r>
        <w:t xml:space="preserve">A measurement problem hides inside the policy problem. Machine-learning classifiers have begun to sort cislunar periodic orbit families from astrometric and photometric observations, which means the community is generating structured attention around specific sub-topics</w:t>
      </w:r>
      <w:r>
        <w:t xml:space="preserve"> </w:t>
      </w:r>
      <w:hyperlink w:anchor="ref-7">
        <w:r>
          <w:rPr>
            <w:rStyle w:val="Hyperlink"/>
          </w:rPr>
          <w:t xml:space="preserve">[7]</w:t>
        </w:r>
      </w:hyperlink>
      <w:r>
        <w:t xml:space="preserve">. Bayesian belief propagation has been used to assess satellite status from non-resolved photometry, a technique that migrates naturally toward the low-signal cislunar case</w:t>
      </w:r>
      <w:r>
        <w:t xml:space="preserve"> </w:t>
      </w:r>
      <w:hyperlink w:anchor="ref-1">
        <w:r>
          <w:rPr>
            <w:rStyle w:val="Hyperlink"/>
          </w:rPr>
          <w:t xml:space="preserve">[1]</w:t>
        </w:r>
      </w:hyperlink>
      <w:r>
        <w:t xml:space="preserve">. When attention concentrates like this, it leaves a footprint in publication timing, in citation counts, and in the venues that carry the work. The footprint is measurable. The record leaves a trace. Whether it is meaningful is the empirical question this dissertation puts on the table.</w:t>
      </w:r>
    </w:p>
    <w:bookmarkEnd w:id="61"/>
    <w:bookmarkStart w:id="62" w:name="the-stakes-for-a-contested-domain"/>
    <w:p>
      <w:pPr>
        <w:pStyle w:val="Heading2"/>
        <w:spacing w:line="480" w:lineRule="auto"/>
      </w:pPr>
      <w:r>
        <w:t xml:space="preserve">The stakes for a contested domain</w:t>
      </w:r>
    </w:p>
    <w:p>
      <w:pPr>
        <w:pStyle w:val="FirstParagraph"/>
        <w:spacing w:line="480" w:lineRule="auto"/>
      </w:pPr>
      <w:r>
        <w:t xml:space="preserve">The urgency behind the allocation question is not academic. Cislunar space is becoming crowded and contested at the same time, and the two trends reinforce each other. Crowding raises the number of objects that need tracking; contestation raises the consequence of losing track of any one of them. A spacecraft whose state is uncertain in the cislunar volume is a spacecraft that cannot be distinguished from a threat, and the too-short-arc problem means that uncertainty is the default condition rather than the exception until enough observing geometry is brought to bear</w:t>
      </w:r>
      <w:r>
        <w:t xml:space="preserve"> </w:t>
      </w:r>
      <w:hyperlink w:anchor="ref-8">
        <w:r>
          <w:rPr>
            <w:rStyle w:val="Hyperlink"/>
          </w:rPr>
          <w:t xml:space="preserve">[8]</w:t>
        </w:r>
      </w:hyperlink>
      <w:r>
        <w:t xml:space="preserve">. The demand for tracking assets is therefore not speculative. It is a direct function of how many objects are operating in the volume and how badly the community wants to keep confident custody of them.</w:t>
      </w:r>
    </w:p>
    <w:p>
      <w:pPr>
        <w:pStyle w:val="BodyText"/>
        <w:spacing w:line="480" w:lineRule="auto"/>
        <w:ind w:firstLine="720"/>
      </w:pPr>
      <w:r>
        <w:t xml:space="preserve">Against that rising demand sits a hard budget. Ground apertures cost money to build and staff; relays cost money to launch and operate; and every dollar spent on one is a dollar not spent on the other or on the missions the tracking is meant to protect. The demonstrations in the literature widen the menu of things that could be bought, but they do not price the menu, and pricing is where the marginal-value question lives</w:t>
      </w:r>
      <w:r>
        <w:t xml:space="preserve"> </w:t>
      </w:r>
      <w:hyperlink w:anchor="ref-3">
        <w:r>
          <w:rPr>
            <w:rStyle w:val="Hyperlink"/>
          </w:rPr>
          <w:t xml:space="preserve">[3]</w:t>
        </w:r>
      </w:hyperlink>
      <w:r>
        <w:t xml:space="preserve"> </w:t>
      </w:r>
      <w:hyperlink w:anchor="ref-4">
        <w:r>
          <w:rPr>
            <w:rStyle w:val="Hyperlink"/>
          </w:rPr>
          <w:t xml:space="preserve">[4]</w:t>
        </w:r>
      </w:hyperlink>
      <w:r>
        <w:t xml:space="preserve">. An architecture that cannot say what the next asset is worth is an architecture that will either overbuild, wasting money on redundant coverage, or underbuild, leaving objects uncustodied. Both failures are expensive, and both are avoidable if the reasoning behind the build decision can be made inspectable.</w:t>
      </w:r>
    </w:p>
    <w:p>
      <w:pPr>
        <w:pStyle w:val="BodyText"/>
        <w:spacing w:line="480" w:lineRule="auto"/>
        <w:ind w:firstLine="720"/>
      </w:pPr>
      <w:r>
        <w:t xml:space="preserve">That inspectability is the stake this dissertation actually touches. It does not price the next asset. It asks whether the evidence that a pricing study would draw on is organized enough to support one, which is the question that has to be answered first. If the cislunar tracking literature turns out to be a legible, time-structured field, then the community has a foundation to reason from. If it turns out to be scattered, then the community knows it must build that foundation before trusting any marginal-value claim. Either way, the answer is worth having, and having it in an auditable form is worth more than having a confident guess.</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This dissertation makes one claim that can be proven wrong. The claim concerns whether the cislunar tracking topic signal, measured as a deterministic count of theme-relevant terms across a retrieved source record, is systematically related to three observable features of that record: how recent the publication is, how much citation attention it has drawn, and which venue family carries it.</w:t>
      </w:r>
    </w:p>
    <w:p>
      <w:pPr>
        <w:pStyle w:val="BodyText"/>
        <w:spacing w:line="480" w:lineRule="auto"/>
        <w:ind w:firstLine="720"/>
      </w:pPr>
      <w:r>
        <w:t xml:space="preserve">The null hypothesis holds that the topic signal is unrelated to recency, citation attention, and venue family in the retrieved corpus. The alternative holds that the signal is systematically related to at least one of these features. The test is a document-level regression, reported in Chapter 6 exactly as the workbook produced it, and it is falsifiable in the strict sense. A different corpus, coded by the same rules, could return coefficients that fail to reject the null. Nothing in the design guarantees a positive result. One of the two screens in fact returns a near-flat, imprecise estimate that argues against a strong reading. That asymmetry is the point. A design that can only confirm itself is not a test.</w:t>
      </w:r>
    </w:p>
    <w:p>
      <w:pPr>
        <w:pStyle w:val="BodyText"/>
        <w:spacing w:line="480" w:lineRule="auto"/>
        <w:ind w:firstLine="720"/>
      </w:pPr>
      <w:r>
        <w:t xml:space="preserve">The contribution is not a claim about how many ground stations to build. It is a claim about whether the documentary evidence around the building decision has recoverable structure, and it is deliberately bounded so the answer means something. Prior cislunar tracking work has been technical and demonstrative; it shows that a method works on a case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This project sits one level up. It asks whether the literature that surrounds those demonstrations is organized in a way a reasoning agency could use.</w:t>
      </w:r>
    </w:p>
    <w:bookmarkEnd w:id="63"/>
    <w:bookmarkStart w:id="64" w:name="X064a80e7b4bed1bb6c5b16ca258c3b1fa611a64"/>
    <w:p>
      <w:pPr>
        <w:pStyle w:val="Heading2"/>
        <w:spacing w:line="480" w:lineRule="auto"/>
      </w:pPr>
      <w:r>
        <w:t xml:space="preserve">The audit standard as a scholarly commitment</w:t>
      </w:r>
    </w:p>
    <w:p>
      <w:pPr>
        <w:pStyle w:val="FirstParagraph"/>
        <w:spacing w:line="480" w:lineRule="auto"/>
      </w:pPr>
      <w:r>
        <w:t xml:space="preserve">The phrase auditable appears often in this dissertation, and it names a commitment rather than a decoration. To say a finding is auditable is to say that a skeptical reader, given the same source records and the same construction rules, could reproduce every number in Chapter 6 without recourse to the author’s judgment. That standard is demanding, and it drives design choices that a less strict project would skip. It is why the topic-signal measure is a deterministic term count rather than a hand-coded salience rating, because a hand rating cannot be reproduced by a second reader without importing the first reader’s judgment.</w:t>
      </w:r>
    </w:p>
    <w:p>
      <w:pPr>
        <w:pStyle w:val="BodyText"/>
        <w:spacing w:line="480" w:lineRule="auto"/>
        <w:ind w:firstLine="720"/>
      </w:pPr>
      <w:r>
        <w:t xml:space="preserve">It is why each record carries a source column that names its origin, so that any row can be traced back to the document it summarizes</w:t>
      </w:r>
      <w:r>
        <w:t xml:space="preserve"> </w:t>
      </w:r>
      <w:hyperlink w:anchor="ref-1">
        <w:r>
          <w:rPr>
            <w:rStyle w:val="Hyperlink"/>
          </w:rPr>
          <w:t xml:space="preserve">[1]</w:t>
        </w:r>
      </w:hyperlink>
      <w:r>
        <w:t xml:space="preserve"> </w:t>
      </w:r>
      <w:hyperlink w:anchor="ref-2">
        <w:r>
          <w:rPr>
            <w:rStyle w:val="Hyperlink"/>
          </w:rPr>
          <w:t xml:space="preserve">[2]</w:t>
        </w:r>
      </w:hyperlink>
      <w:r>
        <w:t xml:space="preserve">. It is why the estimator output is reported to full precision rather than rounded to a comfortable summary, so that a re-estimation can be checked digit by digit.</w:t>
      </w:r>
    </w:p>
    <w:p>
      <w:pPr>
        <w:pStyle w:val="BodyText"/>
        <w:spacing w:line="480" w:lineRule="auto"/>
        <w:ind w:firstLine="720"/>
      </w:pPr>
      <w:r>
        <w:t xml:space="preserve">The commitment has a cost, and the cost is worth naming because it shapes what the dissertation can find. A deterministic term count is blunter than an expert reading; it will miss salience that an expert would catch and catch noise an expert would discard. The audit standard accepts that bluntness deliberately, trading sensitivity for reproducibility, on the judgment that a reproducible modest measure serves a governance audience better than a sensitive but unreproducible one. In a domain where infrastructure decisions attract advocacy, a finding that survives independent reproduction is worth more than a finding that requires trust in the analyst, and the whole design is bent toward producing the former</w:t>
      </w:r>
      <w:r>
        <w:t xml:space="preserve"> </w:t>
      </w:r>
      <w:hyperlink w:anchor="ref-5">
        <w:r>
          <w:rPr>
            <w:rStyle w:val="Hyperlink"/>
          </w:rPr>
          <w:t xml:space="preserve">[5]</w:t>
        </w:r>
      </w:hyperlink>
      <w:r>
        <w:t xml:space="preserve">.</w:t>
      </w:r>
    </w:p>
    <w:p>
      <w:pPr>
        <w:pStyle w:val="BodyText"/>
        <w:spacing w:line="480" w:lineRule="auto"/>
        <w:ind w:firstLine="720"/>
      </w:pPr>
      <w:r>
        <w:t xml:space="preserve">This commitment also disciplines the prose. Every substantive claim in the chapters that follow is tied to either a source record, a construction rule, or an estimator output, and where a claim rests on interpretation rather than on one of those three, the interpretation is flagged openly. The reader is never asked to accept a conclusion on the author’s authority. That is the scholarly posture the audit standard demands, and it is the posture the dissertation tries to hold from the first chapter to the last</w:t>
      </w:r>
      <w:r>
        <w:t xml:space="preserve"> </w:t>
      </w:r>
      <w:hyperlink w:anchor="ref-9">
        <w:r>
          <w:rPr>
            <w:rStyle w:val="Hyperlink"/>
          </w:rPr>
          <w:t xml:space="preserve">[9]</w:t>
        </w:r>
      </w:hyperlink>
      <w:r>
        <w:t xml:space="preserve">.</w:t>
      </w:r>
    </w:p>
    <w:bookmarkEnd w:id="64"/>
    <w:bookmarkStart w:id="65" w:name="Xc91f37994a9fd84d395b1dda484f25f2248d43c"/>
    <w:p>
      <w:pPr>
        <w:pStyle w:val="Heading2"/>
        <w:spacing w:line="480" w:lineRule="auto"/>
      </w:pPr>
      <w:r>
        <w:t xml:space="preserve">Scope and what this project does not claim</w:t>
      </w:r>
    </w:p>
    <w:p>
      <w:pPr>
        <w:pStyle w:val="FirstParagraph"/>
        <w:spacing w:line="480" w:lineRule="auto"/>
      </w:pPr>
      <w:r>
        <w:t xml:space="preserve">Honesty about scope is part of the method. This is a design-stage dissertation. It tests corpus structure, not final causal policy impact. The citation counts are local index measures pulled from a brain search field, not universal citation counts reconciled across databases, and they should be read as attention proxies rather than ground truth. The venue-family score is ordinal, a three-level ranking from conference proceedings to archival journal to study report, and it must not be overread as a quality scale. Source-pack noise can weaken topic fit, and the design accepts that risk openly rather than hiding it behind a large sample it does not have.</w:t>
      </w:r>
    </w:p>
    <w:p>
      <w:pPr>
        <w:pStyle w:val="BodyText"/>
        <w:spacing w:line="480" w:lineRule="auto"/>
        <w:ind w:firstLine="720"/>
      </w:pPr>
      <w:r>
        <w:t xml:space="preserve">What the project will not do is convert a metadata screen into a mission recommendation. The distance between a signed coefficient on recency and a decision to fund a relay is enormous, and pretending otherwise would betray the entire premise. The autonomous-navigation literature for deep-space small satellites is instructive here. It advances real capability, yet its authors are careful to separate demonstrated performance from operational readiness</w:t>
      </w:r>
      <w:r>
        <w:t xml:space="preserve"> </w:t>
      </w:r>
      <w:hyperlink w:anchor="ref-9">
        <w:r>
          <w:rPr>
            <w:rStyle w:val="Hyperlink"/>
          </w:rPr>
          <w:t xml:space="preserve">[9]</w:t>
        </w:r>
      </w:hyperlink>
      <w:r>
        <w:t xml:space="preserve">. This dissertation borrows that discipline. It reports structure where it finds it and refuses to report more.</w:t>
      </w:r>
    </w:p>
    <w:bookmarkEnd w:id="65"/>
    <w:bookmarkStart w:id="66" w:name="Xfcab46b48d3e811d788dae84355c0b29636a02e"/>
    <w:p>
      <w:pPr>
        <w:pStyle w:val="Heading2"/>
        <w:spacing w:line="480" w:lineRule="auto"/>
      </w:pPr>
      <w:r>
        <w:t xml:space="preserve">Why the marginal-asset framing is the right one</w:t>
      </w:r>
    </w:p>
    <w:p>
      <w:pPr>
        <w:pStyle w:val="FirstParagraph"/>
        <w:spacing w:line="480" w:lineRule="auto"/>
      </w:pPr>
      <w:r>
        <w:t xml:space="preserve">The word marginal is doing heavy lifting in the title, and it deserves an argument. An architecture question can be posed in two ways. One asks whether a capability is worth having at all, a total-value question. The other asks whether the next increment of that capability is worth its cost, a marginal-value question. The two diverge sharply in a domain like cislunar tracking, where early assets catch the easy objects and each additional asset catches progressively harder ones. A first ground aperture might dramatically improve coverage; a fifth might improve it barely at all, because the objects it would catch are already held by the existing network. Total value stays positive while marginal value collapses toward zero, and an architecture optimized on total value will overbuild.</w:t>
      </w:r>
    </w:p>
    <w:p>
      <w:pPr>
        <w:pStyle w:val="BodyText"/>
        <w:spacing w:line="480" w:lineRule="auto"/>
        <w:ind w:firstLine="720"/>
      </w:pPr>
      <w:r>
        <w:t xml:space="preserve">The cislunar tracking literature makes this concrete without naming it as an economics problem. The too-short-arc studies show that the hard cases, faint objects glimpsed briefly against a bright lunar background, resist capture no matter how many conventional sensors are added, because the limiting factor is geometry rather than aperture count</w:t>
      </w:r>
      <w:r>
        <w:t xml:space="preserve"> </w:t>
      </w:r>
      <w:hyperlink w:anchor="ref-8">
        <w:r>
          <w:rPr>
            <w:rStyle w:val="Hyperlink"/>
          </w:rPr>
          <w:t xml:space="preserve">[8]</w:t>
        </w:r>
      </w:hyperlink>
      <w:r>
        <w:t xml:space="preserve">. Relay-based orbit determination changes the geometry rather than the count, which is why it can succeed where adding ground stations would not</w:t>
      </w:r>
      <w:r>
        <w:t xml:space="preserve"> </w:t>
      </w:r>
      <w:hyperlink w:anchor="ref-3">
        <w:r>
          <w:rPr>
            <w:rStyle w:val="Hyperlink"/>
          </w:rPr>
          <w:t xml:space="preserve">[3]</w:t>
        </w:r>
      </w:hyperlink>
      <w:r>
        <w:t xml:space="preserve">. That distinction, between an asset that adds redundant coverage and an asset that changes the observing geometry, is exactly a marginal-value distinction, and it is the reason the allocation question cannot be answered by summing capabilities. It has to be answered at the margin, asset by asset, and answering it well requires evidence that is organized rather than anecdotal.</w:t>
      </w:r>
    </w:p>
    <w:p>
      <w:pPr>
        <w:pStyle w:val="BodyText"/>
        <w:spacing w:line="480" w:lineRule="auto"/>
        <w:ind w:firstLine="720"/>
      </w:pPr>
      <w:r>
        <w:t xml:space="preserve">This dissertation does not compute that marginal value. It establishes something logically prior: whether the evidence a marginal-value analysis would draw on is itself structured enough to support one. If the literature around cislunar tracking is a legible, time-structured field, then a marginal-value study has a foundation. If it is scattered noise, then any marginal-value number built on it inherits that noise. Testing the foundation before building on it is the humble but necessary move, and it is where a document-level design earns its place.</w:t>
      </w:r>
    </w:p>
    <w:bookmarkEnd w:id="66"/>
    <w:bookmarkStart w:id="67" w:name="X0623c8082b6f757dc1c1cfbf491b3694d8f1a0d"/>
    <w:p>
      <w:pPr>
        <w:pStyle w:val="Heading2"/>
        <w:spacing w:line="480" w:lineRule="auto"/>
      </w:pPr>
      <w:r>
        <w:t xml:space="preserve">The candidate design as an instance of a general problem</w:t>
      </w:r>
    </w:p>
    <w:p>
      <w:pPr>
        <w:pStyle w:val="FirstParagraph"/>
        <w:spacing w:line="480" w:lineRule="auto"/>
      </w:pPr>
      <w:r>
        <w:t xml:space="preserve">The specific topic is cislunar tracking, but the design pattern generalizes to a class of space-governance questions that share a structure. In each, a technical community has produced demonstrations, a policy community needs to make an allocation or regulatory decision, and the bridge between them is a body of literature whose organization is assumed rather than measured. Debris remediation faces this pattern; so does spectrum coordination; so does the standing-up of any new surveillance architecture</w:t>
      </w:r>
      <w:r>
        <w:t xml:space="preserve"> </w:t>
      </w:r>
      <w:hyperlink w:anchor="ref-2">
        <w:r>
          <w:rPr>
            <w:rStyle w:val="Hyperlink"/>
          </w:rPr>
          <w:t xml:space="preserve">[2]</w:t>
        </w:r>
      </w:hyperlink>
      <w:r>
        <w:t xml:space="preserve"> </w:t>
      </w:r>
      <w:hyperlink w:anchor="ref-11">
        <w:r>
          <w:rPr>
            <w:rStyle w:val="Hyperlink"/>
          </w:rPr>
          <w:t xml:space="preserve">[11]</w:t>
        </w:r>
      </w:hyperlink>
      <w:r>
        <w:t xml:space="preserve">. In every case the temptation is to treat the literature as settled consensus and to reason from it directly to policy, and in every case the honest first step is to ask whether the literature has the structure that such reasoning presumes.</w:t>
      </w:r>
    </w:p>
    <w:p>
      <w:pPr>
        <w:pStyle w:val="BodyText"/>
        <w:spacing w:line="480" w:lineRule="auto"/>
        <w:ind w:firstLine="720"/>
      </w:pPr>
      <w:r>
        <w:t xml:space="preserve">Reading the corpus as an object with measurable structure is therefore not a quirk of this project. It is a transferable method. The autonomous-navigation review for deep-space small satellites already reads its own field this way, mapping advances over time as a trajectory rather than a heap</w:t>
      </w:r>
      <w:r>
        <w:t xml:space="preserve"> </w:t>
      </w:r>
      <w:hyperlink w:anchor="ref-9">
        <w:r>
          <w:rPr>
            <w:rStyle w:val="Hyperlink"/>
          </w:rPr>
          <w:t xml:space="preserve">[9]</w:t>
        </w:r>
      </w:hyperlink>
      <w:r>
        <w:t xml:space="preserve">. This dissertation formalizes that reading into two estimable screens and applies them to a single well-defined topic, so that the method can be checked against a case before it is trusted more broadly. The narrowness is a feature. A method proven on one auditable corpus is worth more than a sweeping claim proven on none.</w:t>
      </w:r>
    </w:p>
    <w:bookmarkEnd w:id="67"/>
    <w:bookmarkStart w:id="68" w:name="roadmap"/>
    <w:p>
      <w:pPr>
        <w:pStyle w:val="Heading2"/>
        <w:spacing w:line="480" w:lineRule="auto"/>
      </w:pPr>
      <w:r>
        <w:t xml:space="preserve">Roadmap</w:t>
      </w:r>
    </w:p>
    <w:p>
      <w:pPr>
        <w:pStyle w:val="FirstParagraph"/>
        <w:spacing w:line="480" w:lineRule="auto"/>
      </w:pPr>
      <w:r>
        <w:t xml:space="preserve">The argument proceeds in eight chapters. This introduction has stated the problem, the stakes, the one falsifiable contribution, and the boundary of the claim. Chapter 2 situates the project against the prior cislunar tracking and space domain awareness literature, drawing the two gaps that motivate a document-level design: the gap between technical demonstration and institutional explanation, and the gap between policy salience and measurement</w:t>
      </w:r>
      <w:r>
        <w:t xml:space="preserve"> </w:t>
      </w:r>
      <w:hyperlink w:anchor="ref-1">
        <w:r>
          <w:rPr>
            <w:rStyle w:val="Hyperlink"/>
          </w:rPr>
          <w:t xml:space="preserve">[1]</w:t>
        </w:r>
      </w:hyperlink>
      <w:r>
        <w:t xml:space="preserve"> </w:t>
      </w:r>
      <w:hyperlink w:anchor="ref-5">
        <w:r>
          <w:rPr>
            <w:rStyle w:val="Hyperlink"/>
          </w:rPr>
          <w:t xml:space="preserve">[5]</w:t>
        </w:r>
      </w:hyperlink>
      <w:r>
        <w:t xml:space="preserve">. Chapter 3 lays out the mechanism and the testable predictions, explaining why recency, attention, and venue should carry signal if the topic is consolidating.</w:t>
      </w:r>
    </w:p>
    <w:p>
      <w:pPr>
        <w:pStyle w:val="BodyText"/>
        <w:spacing w:line="480" w:lineRule="auto"/>
        <w:ind w:firstLine="720"/>
      </w:pPr>
      <w:r>
        <w:t xml:space="preserve">The middle chapters build the empirical spine. Chapter 4 presents the two estimators and argues why each identifies what it claims to identify, including the reasons a learning-curve specification is the right frame for citation growth</w:t>
      </w:r>
      <w:r>
        <w:t xml:space="preserve"> </w:t>
      </w:r>
      <w:hyperlink w:anchor="ref-9">
        <w:r>
          <w:rPr>
            <w:rStyle w:val="Hyperlink"/>
          </w:rPr>
          <w:t xml:space="preserve">[9]</w:t>
        </w:r>
      </w:hyperlink>
      <w:r>
        <w:t xml:space="preserve">. Chapter 5 describes the real dataset: thirty retrieved source records, the variable construction rules, the provenance columns, and the sources that populate the corpus. Chapter 6 reports the estimator output exactly, the ordinary least squares fit and the log-log fit, and interprets the signs and magnitudes without inflating them.</w:t>
      </w:r>
    </w:p>
    <w:p>
      <w:pPr>
        <w:pStyle w:val="BodyText"/>
        <w:spacing w:line="480" w:lineRule="auto"/>
        <w:ind w:firstLine="720"/>
      </w:pPr>
      <w:r>
        <w:t xml:space="preserve">The closing chapters turn outward. Chapter 7 takes up discussion and limitations, naming the threats to validity and the questions the data cannot answer. Chapter 8 states the contribution, connects it to cislunar infrastructure governance, and sets out what a follow-on document-coding design would need to do. The through-line is constant. A reader should be able to trace every conclusion back to a source record and a rule.</w:t>
      </w:r>
    </w:p>
    <w:p>
      <w:pPr>
        <w:pStyle w:val="BodyText"/>
        <w:spacing w:line="480" w:lineRule="auto"/>
        <w:ind w:firstLine="720"/>
      </w:pPr>
      <w:r>
        <w:t xml:space="preserve">A final orienting note about what kind of document this is. It is a design-stage dissertation, which means its ambition is calibrated to the evidence it can obtain rather than to the size of the underlying policy problem. The cislunar tracking allocation question is large; the corpus that can be assembled to study its documentary footprint is small, thirty records, and the honesty of the project depends on keeping those two facts in their proper places. A large problem does not license large claims from small data. The response is to make the small data do exactly what small data can do, structure detection, and to report the result with a precision that a reviewer can verify line by line.</w:t>
      </w:r>
    </w:p>
    <w:p>
      <w:pPr>
        <w:pStyle w:val="BodyText"/>
        <w:spacing w:line="480" w:lineRule="auto"/>
        <w:ind w:firstLine="720"/>
      </w:pPr>
      <w:r>
        <w:t xml:space="preserve">That is the standard the following chapters hold themselves to, and it is the reason the dissertation reads as a measurement instrument rather than a manifesto. The debris-tracking and traffic-management literatures set the same standard for their own demonstrations, stating their resolution limits plainly, and this project treats that restraint as the model to follow rather than the exception to explain away</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bookmarkEnd w:id="68"/>
    <w:bookmarkEnd w:id="69"/>
    <w:bookmarkStart w:id="78" w:name="literature-review"/>
    <w:p>
      <w:pPr>
        <w:pStyle w:val="Heading1"/>
        <w:spacing w:line="480" w:lineRule="auto"/>
      </w:pPr>
      <w:r>
        <w:t xml:space="preserve">Literature Review</w:t>
      </w:r>
    </w:p>
    <w:p>
      <w:pPr>
        <w:pStyle w:val="FirstParagraph"/>
        <w:spacing w:line="480" w:lineRule="auto"/>
      </w:pPr>
      <w:r>
        <w:t xml:space="preserve">Two bodies of work bear on this dissertation, and they rarely talk to each other. One is the technical literature on cislunar tracking, orbit determination, and space domain awareness, which establishes that watching the volume between the Earth and the Moon is hard and that particular methods can make it less hard. The other is a smaller, more diffuse literature on how documentary attention itself can be measured, on treating publications and citations and venues as data rather than as background. This review reads both and marks where they fail to connect, because that disconnection is the opening this project works in.</w:t>
      </w:r>
    </w:p>
    <w:bookmarkStart w:id="70" w:name="X708cac2b50bbdf737fbc11b08661872d47dce42"/>
    <w:p>
      <w:pPr>
        <w:pStyle w:val="Heading2"/>
        <w:spacing w:line="480" w:lineRule="auto"/>
      </w:pPr>
      <w:r>
        <w:t xml:space="preserve">The cislunar tracking problem as the domain literature frames it</w:t>
      </w:r>
    </w:p>
    <w:p>
      <w:pPr>
        <w:pStyle w:val="FirstParagraph"/>
        <w:spacing w:line="480" w:lineRule="auto"/>
      </w:pPr>
      <w:r>
        <w:t xml:space="preserve">The domain literature is unambiguous about difficulty. Observing objects in low lunar orbit and in the L2 dark cone forces sensors to contend with geometry that legacy ground networks were never sized for, and early studies of lunar-surface observatories confront exactly this reacquisition problem</w:t>
      </w:r>
      <w:r>
        <w:t xml:space="preserve"> </w:t>
      </w:r>
      <w:hyperlink w:anchor="ref-8">
        <w:r>
          <w:rPr>
            <w:rStyle w:val="Hyperlink"/>
          </w:rPr>
          <w:t xml:space="preserve">[8]</w:t>
        </w:r>
      </w:hyperlink>
      <w:r>
        <w:t xml:space="preserve">. The too-short-arc challenge is not a nuisance detail. When an object is visible for only a brief span before geometry or illumination breaks the track, orbit determination becomes fragile, and the fragility compounds across the periodic orbit families that populate the cislunar regime</w:t>
      </w:r>
      <w:r>
        <w:t xml:space="preserve"> </w:t>
      </w:r>
      <w:hyperlink w:anchor="ref-8">
        <w:r>
          <w:rPr>
            <w:rStyle w:val="Hyperlink"/>
          </w:rPr>
          <w:t xml:space="preserve">[8]</w:t>
        </w:r>
      </w:hyperlink>
      <w:r>
        <w:t xml:space="preserve">. Constellation designers respond by adding assets, but adding assets is precisely the decision whose value this dissertation wants to interrogate.</w:t>
      </w:r>
    </w:p>
    <w:p>
      <w:pPr>
        <w:pStyle w:val="BodyText"/>
        <w:spacing w:line="480" w:lineRule="auto"/>
        <w:ind w:firstLine="720"/>
      </w:pPr>
      <w:r>
        <w:t xml:space="preserve">Relay geometry is one answer the literature offers. Cislunar orbit determination and tracking has been demonstrated using simulated space-based measurements, and the demonstration matters because it shows that a relay positioned in the volume can recover state that a ground-only architecture would miss</w:t>
      </w:r>
      <w:r>
        <w:t xml:space="preserve"> </w:t>
      </w:r>
      <w:hyperlink w:anchor="ref-3">
        <w:r>
          <w:rPr>
            <w:rStyle w:val="Hyperlink"/>
          </w:rPr>
          <w:t xml:space="preserve">[3]</w:t>
        </w:r>
      </w:hyperlink>
      <w:r>
        <w:t xml:space="preserve">. The result is constructive rather than allocative. It proves that the added relay can help; it does not weigh that help against its cost or against the help a cheaper ground aperture would provide. Passive radio-frequency sensing extends the option set in a similar spirit, offering cislunar orbit determination without the expense of a dedicated optical campaign</w:t>
      </w:r>
      <w:r>
        <w:t xml:space="preserve"> </w:t>
      </w:r>
      <w:hyperlink w:anchor="ref-4">
        <w:r>
          <w:rPr>
            <w:rStyle w:val="Hyperlink"/>
          </w:rPr>
          <w:t xml:space="preserve">[4]</w:t>
        </w:r>
      </w:hyperlink>
      <w:r>
        <w:t xml:space="preserve">. Each of these contributions widens the menu of assets an agency might add. None of them ranks the menu.</w:t>
      </w:r>
    </w:p>
    <w:p>
      <w:pPr>
        <w:pStyle w:val="BodyText"/>
        <w:spacing w:line="480" w:lineRule="auto"/>
        <w:ind w:firstLine="720"/>
      </w:pPr>
      <w:r>
        <w:t xml:space="preserve">Sensing technique adds a further layer. Bayesian belief propagation for near-real-time status assessment, developed for geosynchronous satellites observed through non-resolved photometry, is directly relevant to the low-signal cislunar case because it squeezes state information out of sparse, noisy returns</w:t>
      </w:r>
      <w:r>
        <w:t xml:space="preserve"> </w:t>
      </w:r>
      <w:hyperlink w:anchor="ref-1">
        <w:r>
          <w:rPr>
            <w:rStyle w:val="Hyperlink"/>
          </w:rPr>
          <w:t xml:space="preserve">[1]</w:t>
        </w:r>
      </w:hyperlink>
      <w:r>
        <w:t xml:space="preserve">. Machine-learning classification of cislunar periodic orbit families from astrometric and photometric observations shows the community building structured inference on top of raw detections, sorting objects into dynamical categories that a human analyst would struggle to separate</w:t>
      </w:r>
      <w:r>
        <w:t xml:space="preserve"> </w:t>
      </w:r>
      <w:hyperlink w:anchor="ref-7">
        <w:r>
          <w:rPr>
            <w:rStyle w:val="Hyperlink"/>
          </w:rPr>
          <w:t xml:space="preserve">[7]</w:t>
        </w:r>
      </w:hyperlink>
      <w:r>
        <w:t xml:space="preserve">. These are attention-concentrating results. When a technique proves out, it draws follow-on work, and that follow-on work is the footprint this dissertation tries to measure.</w:t>
      </w:r>
    </w:p>
    <w:p>
      <w:pPr>
        <w:pStyle w:val="BodyText"/>
        <w:spacing w:line="480" w:lineRule="auto"/>
        <w:ind w:firstLine="720"/>
      </w:pPr>
      <w:r>
        <w:t xml:space="preserve">The debris and object-tracking literature broadens the frame beyond cooperative spacecraft. Probabilistic methods for tracking small debris show that the tracking problem does not stop at large, cataloged objects, and that the same geometric constraints tighten further when targets are faint</w:t>
      </w:r>
      <w:r>
        <w:t xml:space="preserve"> </w:t>
      </w:r>
      <w:hyperlink w:anchor="ref-2">
        <w:r>
          <w:rPr>
            <w:rStyle w:val="Hyperlink"/>
          </w:rPr>
          <w:t xml:space="preserve">[2]</w:t>
        </w:r>
      </w:hyperlink>
      <w:r>
        <w:t xml:space="preserve">. Space-based debris trajectory estimation using vision sensors and track-based data fusion pushes the sensing platform off the ground entirely, which is the same architectural move that relay-based cislunar tracking makes</w:t>
      </w:r>
      <w:r>
        <w:t xml:space="preserve"> </w:t>
      </w:r>
      <w:hyperlink w:anchor="ref-11">
        <w:r>
          <w:rPr>
            <w:rStyle w:val="Hyperlink"/>
          </w:rPr>
          <w:t xml:space="preserve">[11]</w:t>
        </w:r>
      </w:hyperlink>
      <w:r>
        <w:t xml:space="preserve">. Read together, these works establish that the marginal-asset question generalizes. Whether the target is a spacecraft, a rocket body, or a debris fragment, the decision to add a sensor is a decision about geometry and cost.</w:t>
      </w:r>
    </w:p>
    <w:bookmarkEnd w:id="70"/>
    <w:bookmarkStart w:id="71" w:name="Xc737425b7ea59f145d8d914b6ab434f85854a7d"/>
    <w:p>
      <w:pPr>
        <w:pStyle w:val="Heading2"/>
        <w:spacing w:line="480" w:lineRule="auto"/>
      </w:pPr>
      <w:r>
        <w:t xml:space="preserve">Cross-domain tracking as a shared geometric problem</w:t>
      </w:r>
    </w:p>
    <w:p>
      <w:pPr>
        <w:pStyle w:val="FirstParagraph"/>
        <w:spacing w:line="480" w:lineRule="auto"/>
      </w:pPr>
      <w:r>
        <w:t xml:space="preserve">The cislunar case is best understood as one instance of a broader tracking-geometry problem that the wider literature has been working on from several directions, and reading those directions together clarifies what is genuinely new about the cislunar regime and what is inherited. Inter-satellite ranging for orbit determination, developed for regional navigation constellations, established that observations taken between spacecraft can sharpen a state estimate that ground stations alone would leave loose, and the contribution analysis of such ranging quantified exactly how much each added observation type buys</w:t>
      </w:r>
      <w:r>
        <w:t xml:space="preserve"> </w:t>
      </w:r>
      <w:hyperlink w:anchor="ref-13">
        <w:r>
          <w:rPr>
            <w:rStyle w:val="Hyperlink"/>
          </w:rPr>
          <w:t xml:space="preserve">[13]</w:t>
        </w:r>
      </w:hyperlink>
      <w:r>
        <w:t xml:space="preserve">. That is a marginal-value analysis in miniature, conducted for an Earth-orbit constellation, and its logic transfers directly to the cislunar question of what an added relay is worth.</w:t>
      </w:r>
    </w:p>
    <w:p>
      <w:pPr>
        <w:pStyle w:val="BodyText"/>
        <w:spacing w:line="480" w:lineRule="auto"/>
        <w:ind w:firstLine="720"/>
      </w:pPr>
      <w:r>
        <w:t xml:space="preserve">Optical observation of spacecraft as proxies for harder targets is another transferable thread. Tracking the BepiColombo spacecraft optically, treating it as a stand-in for a potentially threatening asteroid, showed that a cooperative object can be used to calibrate the sensing chain that will later face uncooperative ones</w:t>
      </w:r>
      <w:r>
        <w:t xml:space="preserve"> </w:t>
      </w:r>
      <w:hyperlink w:anchor="ref-12">
        <w:r>
          <w:rPr>
            <w:rStyle w:val="Hyperlink"/>
          </w:rPr>
          <w:t xml:space="preserve">[12]</w:t>
        </w:r>
      </w:hyperlink>
      <w:r>
        <w:t xml:space="preserve">. The cislunar tracking literature makes the same move when it validates orbit determination on simulated or known objects before facing the general case</w:t>
      </w:r>
      <w:r>
        <w:t xml:space="preserve"> </w:t>
      </w:r>
      <w:hyperlink w:anchor="ref-3">
        <w:r>
          <w:rPr>
            <w:rStyle w:val="Hyperlink"/>
          </w:rPr>
          <w:t xml:space="preserve">[3]</w:t>
        </w:r>
      </w:hyperlink>
      <w:r>
        <w:t xml:space="preserve">. What the cross-domain reading reveals is that the cislunar problem is not sui generis in its methods; it inherits ranging, optical, and fusion techniques from mature Earth-orbit and deep-space practice, and its novelty lies in the geometry rather than the toolkit</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matters for the measurement question at the center of this dissertation. If cislunar tracking inherits its methods from adjacent domains, then its literature should show the vocabulary of those domains bleeding in, and the topic-signal counter has to be read with that inheritance in mind. A record can be deeply about cislunar tracking while spending much of its vocabulary on the ranging or fusion technique it borrows, which is one reason theme density and true salience can diverge, a divergence the later chapters treat as a live limitation</w:t>
      </w:r>
      <w:r>
        <w:t xml:space="preserve"> </w:t>
      </w:r>
      <w:hyperlink w:anchor="ref-6">
        <w:r>
          <w:rPr>
            <w:rStyle w:val="Hyperlink"/>
          </w:rPr>
          <w:t xml:space="preserve">[6]</w:t>
        </w:r>
      </w:hyperlink>
      <w:r>
        <w:t xml:space="preserve">.</w:t>
      </w:r>
    </w:p>
    <w:bookmarkEnd w:id="71"/>
    <w:bookmarkStart w:id="72" w:name="X90f76b3e6ff8451bbc50a536d0a0910c821966e"/>
    <w:p>
      <w:pPr>
        <w:pStyle w:val="Heading2"/>
        <w:spacing w:line="480" w:lineRule="auto"/>
      </w:pPr>
      <w:r>
        <w:t xml:space="preserve">Governance and architecture as the wider setting</w:t>
      </w:r>
    </w:p>
    <w:p>
      <w:pPr>
        <w:pStyle w:val="FirstParagraph"/>
        <w:spacing w:line="480" w:lineRule="auto"/>
      </w:pPr>
      <w:r>
        <w:t xml:space="preserve">Tracking is never the whole story. It is an input to a larger coordination problem, and the record shows that clearly.</w:t>
      </w:r>
    </w:p>
    <w:p>
      <w:pPr>
        <w:pStyle w:val="BodyText"/>
        <w:spacing w:line="480" w:lineRule="auto"/>
        <w:ind w:firstLine="720"/>
      </w:pPr>
      <w:r>
        <w:t xml:space="preserve">Cislunar tracking does not sit in a governance vacuum. Space traffic management for the cislunar and cismartian environment has been laid out as a strategic framework problem, one that couples technical surveillance capacity to institutional coordination, and the framing makes clear that tracking infrastructure is an input to governance, not an end in itself</w:t>
      </w:r>
      <w:r>
        <w:t xml:space="preserve"> </w:t>
      </w:r>
      <w:hyperlink w:anchor="ref-10">
        <w:r>
          <w:rPr>
            <w:rStyle w:val="Hyperlink"/>
          </w:rPr>
          <w:t xml:space="preserve">[10]</w:t>
        </w:r>
      </w:hyperlink>
      <w:r>
        <w:t xml:space="preserve">. That connection is where the domain literature starts to strain. Technical papers identify operational risk with precision, but they seldom explain why governance language around that risk hardens in one venue and stays loose in another</w:t>
      </w:r>
      <w:r>
        <w:t xml:space="preserve"> </w:t>
      </w:r>
      <w:hyperlink w:anchor="ref-3">
        <w:r>
          <w:rPr>
            <w:rStyle w:val="Hyperlink"/>
          </w:rPr>
          <w:t xml:space="preserve">[3]</w:t>
        </w:r>
      </w:hyperlink>
      <w:r>
        <w:t xml:space="preserve"> </w:t>
      </w:r>
      <w:hyperlink w:anchor="ref-5">
        <w:r>
          <w:rPr>
            <w:rStyle w:val="Hyperlink"/>
          </w:rPr>
          <w:t xml:space="preserve">[5]</w:t>
        </w:r>
      </w:hyperlink>
      <w:r>
        <w:t xml:space="preserve">. An architecture study can recommend a set of orbital slots to minimize conjunctions, yet the recommendation lives at a different altitude than the sensor-level demonstrations it depends on</w:t>
      </w:r>
      <w:r>
        <w:t xml:space="preserve"> </w:t>
      </w:r>
      <w:hyperlink w:anchor="ref-5">
        <w:r>
          <w:rPr>
            <w:rStyle w:val="Hyperlink"/>
          </w:rPr>
          <w:t xml:space="preserve">[5]</w:t>
        </w:r>
      </w:hyperlink>
      <w:r>
        <w:t xml:space="preserve">.</w:t>
      </w:r>
    </w:p>
    <w:p>
      <w:pPr>
        <w:pStyle w:val="BodyText"/>
        <w:spacing w:line="480" w:lineRule="auto"/>
        <w:ind w:firstLine="720"/>
      </w:pPr>
      <w:r>
        <w:t xml:space="preserve">This is the first gap. Between the technical demonstration and the institutional explanation there is an unbridged space. A paper can show that a relay recovers state, and a framework can argue that governance needs better surveillance, but the connective tissue, the account of how demonstrated capability becomes institutional consensus, is thin</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gap is not a failure of any single author. It is structural, a product of the fact that engineering venues and policy venues reward different kinds of claims.</w:t>
      </w:r>
    </w:p>
    <w:bookmarkEnd w:id="72"/>
    <w:bookmarkStart w:id="73" w:name="X24b749ec893b57c3ca01b131c14b9615160fa11"/>
    <w:p>
      <w:pPr>
        <w:pStyle w:val="Heading2"/>
        <w:spacing w:line="480" w:lineRule="auto"/>
      </w:pPr>
      <w:r>
        <w:t xml:space="preserve">Measurement of attention as the thinner literature</w:t>
      </w:r>
    </w:p>
    <w:p>
      <w:pPr>
        <w:pStyle w:val="FirstParagraph"/>
        <w:spacing w:line="480" w:lineRule="auto"/>
      </w:pPr>
      <w:r>
        <w:t xml:space="preserve">The second body of work is harder to point to because it is spread across method rather than concentrated in a topic. The underlying idea is that documentary attention has observable structure. Publication timing, citation accumulation, and venue placement are not random; they respond to how a field consolidates. The autonomous-navigation review for deep-space small satellites is a useful exemplar because it explicitly maps scientific and technological advances over time, treating the literature itself as an object with a trajectory rather than a flat pile of results</w:t>
      </w:r>
      <w:r>
        <w:t xml:space="preserve"> </w:t>
      </w:r>
      <w:hyperlink w:anchor="ref-9">
        <w:r>
          <w:rPr>
            <w:rStyle w:val="Hyperlink"/>
          </w:rPr>
          <w:t xml:space="preserve">[9]</w:t>
        </w:r>
      </w:hyperlink>
      <w:r>
        <w:t xml:space="preserve">. That move, reading the corpus as a maturing thing, is the move this dissertation formalizes.</w:t>
      </w:r>
    </w:p>
    <w:p>
      <w:pPr>
        <w:pStyle w:val="BodyText"/>
        <w:spacing w:line="480" w:lineRule="auto"/>
        <w:ind w:firstLine="720"/>
      </w:pPr>
      <w:r>
        <w:t xml:space="preserve">Citation dynamics carry a particular kind of information. A single highly cited paper and a broad base of moderately cited papers mean different things for how settled a topic is, and the difference is legible in the numbers if one bothers to model it. The learning-curve tradition, imported here from its origins in production economics, treats accumulation against age as a structured process with an estimable elasticity. The autonomous-navigation literature again supplies the intuition: technological advance in a niche follows a recognizable arc, and the arc leaves a citation signature</w:t>
      </w:r>
      <w:r>
        <w:t xml:space="preserve"> </w:t>
      </w:r>
      <w:hyperlink w:anchor="ref-9">
        <w:r>
          <w:rPr>
            <w:rStyle w:val="Hyperlink"/>
          </w:rPr>
          <w:t xml:space="preserve">[9]</w:t>
        </w:r>
      </w:hyperlink>
      <w:r>
        <w:t xml:space="preserve">. Whether that signature is present in a thirty-record cislunar corpus is an open question, and one of this dissertation’s two screens returns a flat, imprecise answer that is itself informative.</w:t>
      </w:r>
    </w:p>
    <w:p>
      <w:pPr>
        <w:pStyle w:val="BodyText"/>
        <w:spacing w:line="480" w:lineRule="auto"/>
        <w:ind w:firstLine="720"/>
      </w:pPr>
      <w:r>
        <w:t xml:space="preserve">Venue structure completes the measurement triad. Conference proceedings, archival journals, and study reports occupy different positions in a field’s attention economy, and where a topic clusters says something about its maturity. Much of the foundational cislunar tracking work appears in conference proceedings</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while the debris and traffic-management literature has migrated toward archival journals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That migration pattern is exactly the kind of ordinal structure a venue-family variable is built to capture, provided it is read as position rather than quality.</w:t>
      </w:r>
    </w:p>
    <w:bookmarkEnd w:id="73"/>
    <w:bookmarkStart w:id="74" w:name="Xb2d05dd3934cec5fa7f396a48bb7b1689321291"/>
    <w:p>
      <w:pPr>
        <w:pStyle w:val="Heading2"/>
        <w:spacing w:line="480" w:lineRule="auto"/>
      </w:pPr>
      <w:r>
        <w:t xml:space="preserve">What a maturing field looks like in its own record</w:t>
      </w:r>
    </w:p>
    <w:p>
      <w:pPr>
        <w:pStyle w:val="FirstParagraph"/>
        <w:spacing w:line="480" w:lineRule="auto"/>
      </w:pPr>
      <w:r>
        <w:t xml:space="preserve">The measurement literature offers a picture of what field maturation leaves behind in the documentary record, and assembling that picture clarifies what this dissertation is testing for. A maturing field shows three signatures. Its recent work grows denser in the field’s characteristic vocabulary, because the frontier is where the field names itself most explicitly. Its citations concentrate onto a stabilizing set of foundational results, producing an accumulation arc that a learning-curve model can recover. And its publications migrate from the announcement venues toward the consolidation venues, tracing the ordinal path from proceedings to journals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 field showing all three signatures is one whose literature a reasoning process can trust as organized.</w:t>
      </w:r>
    </w:p>
    <w:p>
      <w:pPr>
        <w:pStyle w:val="BodyText"/>
        <w:spacing w:line="480" w:lineRule="auto"/>
        <w:ind w:firstLine="720"/>
      </w:pPr>
      <w:r>
        <w:t xml:space="preserve">The cislunar tracking corpus is a candidate for immaturity on this picture, and that candidacy is what makes it a genuine test. It is young; much of its foundational work is recent and still in proceedings</w:t>
      </w:r>
      <w:r>
        <w:t xml:space="preserve"> </w:t>
      </w:r>
      <w:hyperlink w:anchor="ref-7">
        <w:r>
          <w:rPr>
            <w:rStyle w:val="Hyperlink"/>
          </w:rPr>
          <w:t xml:space="preserve">[7]</w:t>
        </w:r>
      </w:hyperlink>
      <w:r>
        <w:t xml:space="preserve"> </w:t>
      </w:r>
      <w:hyperlink w:anchor="ref-8">
        <w:r>
          <w:rPr>
            <w:rStyle w:val="Hyperlink"/>
          </w:rPr>
          <w:t xml:space="preserve">[8]</w:t>
        </w:r>
      </w:hyperlink>
      <w:r>
        <w:t xml:space="preserve">. Its citation record is sparse, dominated by uncited items, which is the profile of a field whose canon has not yet stabilized. The measurement literature predicts that such a field would show the recency signature, because its frontier is being actively named, while failing to show the accumulation signature, because its citations have not concentrated</w:t>
      </w:r>
      <w:r>
        <w:t xml:space="preserve"> </w:t>
      </w:r>
      <w:hyperlink w:anchor="ref-9">
        <w:r>
          <w:rPr>
            <w:rStyle w:val="Hyperlink"/>
          </w:rPr>
          <w:t xml:space="preserve">[9]</w:t>
        </w:r>
      </w:hyperlink>
      <w:r>
        <w:t xml:space="preserve">. That paired prediction, present recency structure and absent accumulation structure, is exactly the pattern the two screens are built to detect, and it is why running both is more informative than running either alone.</w:t>
      </w:r>
    </w:p>
    <w:p>
      <w:pPr>
        <w:pStyle w:val="BodyText"/>
        <w:spacing w:line="480" w:lineRule="auto"/>
        <w:ind w:firstLine="720"/>
      </w:pPr>
      <w:r>
        <w:t xml:space="preserve">Reading the two literatures together therefore does more than survey prior work. It generates the specific empirical expectation that the rest of the dissertation tests: a young technical field should leave a legible cross-sectional footprint and an illegible temporal one. The domain literature supplies the field; the measurement literature supplies the expected signatures; the gap between them is the space where a formal test can adjudicate</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74"/>
    <w:bookmarkStart w:id="75" w:name="X3727da79297d3ab71a12346b13792d73801f3e4"/>
    <w:p>
      <w:pPr>
        <w:pStyle w:val="Heading2"/>
        <w:spacing w:line="480" w:lineRule="auto"/>
      </w:pPr>
      <w:r>
        <w:t xml:space="preserve">The second gap and how this project answers it</w:t>
      </w:r>
    </w:p>
    <w:p>
      <w:pPr>
        <w:pStyle w:val="FirstParagraph"/>
        <w:spacing w:line="480" w:lineRule="auto"/>
      </w:pPr>
      <w:r>
        <w:t xml:space="preserve">Here is the second gap. Policy salience and measurement remain only loosely coupled. Citation attention, publication recency, and venue family can reveal how a topic is distributed across a retrieved corpus, but those signals are not self-interpreting, and the domain literature almost never turns them into variables and tests them</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Attention is discussed; it is seldom measured. That silence is the opening. The atmospheric-tomography and point-spread-function work that sits at the sensing edge of this corpus is a reminder that even highly technical contributions carry metadata, and that metadata can be coded</w:t>
      </w:r>
      <w:r>
        <w:t xml:space="preserve"> </w:t>
      </w:r>
      <w:hyperlink w:anchor="ref-6">
        <w:r>
          <w:rPr>
            <w:rStyle w:val="Hyperlink"/>
          </w:rPr>
          <w:t xml:space="preserve">[6]</w:t>
        </w:r>
      </w:hyperlink>
      <w:r>
        <w:t xml:space="preserve">.</w:t>
      </w:r>
    </w:p>
    <w:p>
      <w:pPr>
        <w:pStyle w:val="BodyText"/>
        <w:spacing w:line="480" w:lineRule="auto"/>
        <w:ind w:firstLine="720"/>
      </w:pPr>
      <w:r>
        <w:t xml:space="preserve">This dissertation answers both gaps with the same move. It converts the literature into an auditable design. Source records become rows. Variables come from observable fields under stated rules. Interpretation stays inside the estimator output, reported exactly in Chapter 6, so no conclusion outruns its evidence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two screens divide the labor cleanly. A cross-sectional regression asks whether the topic signal is structured by recency, attention, and venue in the retrieved corpus. A learning-curve model asks whether citation accumulation follows an age-based arc. Neither screen settles the marginal-value policy question that the domain literature raises, and neither pretends to. What they do is discipline the bridge from a scattered technical literature to a governance-relevant claim, which is precisely the bridge the two gaps leave unbuilt</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75"/>
    <w:bookmarkStart w:id="76" w:name="X29cf057d365fbaf219aac6ed8c5c332ac67cd3f"/>
    <w:p>
      <w:pPr>
        <w:pStyle w:val="Heading2"/>
        <w:spacing w:line="480" w:lineRule="auto"/>
      </w:pPr>
      <w:r>
        <w:t xml:space="preserve">Sensing at the physical edge of the problem</w:t>
      </w:r>
    </w:p>
    <w:p>
      <w:pPr>
        <w:pStyle w:val="FirstParagraph"/>
        <w:spacing w:line="480" w:lineRule="auto"/>
      </w:pPr>
      <w:r>
        <w:t xml:space="preserve">Beneath the tracking and governance layers sits a sensing-physics literature that constrains everything above it, and it belongs in this review because the topic-signal variable in this dissertation reaches down to catch it. Point-spread-function reproduction and atmospheric-tomography basis functions are the kind of low-level optical work that determines whether a faint cislunar object can be resolved at all, and the comparison of tomography basis functions for that reproduction is a direct instance</w:t>
      </w:r>
      <w:r>
        <w:t xml:space="preserve"> </w:t>
      </w:r>
      <w:hyperlink w:anchor="ref-6">
        <w:r>
          <w:rPr>
            <w:rStyle w:val="Hyperlink"/>
          </w:rPr>
          <w:t xml:space="preserve">[6]</w:t>
        </w:r>
      </w:hyperlink>
      <w:r>
        <w:t xml:space="preserve">. This work rarely mentions cislunar governance, and it would be a mistake to force it into that frame. Its relevance is that it sets the resolution floor. When a study demonstrates cislunar orbit determination, the demonstration rests on the assumption that the underlying detections are good enough, and that assumption is exactly what the sensing-physics literature interrogates.</w:t>
      </w:r>
    </w:p>
    <w:p>
      <w:pPr>
        <w:pStyle w:val="BodyText"/>
        <w:spacing w:line="480" w:lineRule="auto"/>
        <w:ind w:firstLine="720"/>
      </w:pPr>
      <w:r>
        <w:t xml:space="preserve">The attitude and pointing literature adds a further constraint that the tracking discussions often take for granted. Attitude profiles for ground-path pointing and the alignment of instrument footprints determine where a sensor can actually look, and work on radar-footprint alignment for a precipitation mission illustrates how tightly pointing and observing geometry are coupled</w:t>
      </w:r>
      <w:r>
        <w:t xml:space="preserve"> </w:t>
      </w:r>
      <w:hyperlink w:anchor="ref-14">
        <w:r>
          <w:rPr>
            <w:rStyle w:val="Hyperlink"/>
          </w:rPr>
          <w:t xml:space="preserve">[14]</w:t>
        </w:r>
      </w:hyperlink>
      <w:r>
        <w:t xml:space="preserve">. A cislunar relay is only as useful as its ability to point at the objects it is meant to track, and pointing is a solved problem in low Earth orbit that becomes hard again in the cislunar volume. The literature has not fully closed that gap, and the omission is one of the places where technical demonstration and operational readiness part company.</w:t>
      </w:r>
    </w:p>
    <w:bookmarkEnd w:id="76"/>
    <w:bookmarkStart w:id="77" w:name="why-the-two-literatures-have-not-merged"/>
    <w:p>
      <w:pPr>
        <w:pStyle w:val="Heading2"/>
        <w:spacing w:line="480" w:lineRule="auto"/>
      </w:pPr>
      <w:r>
        <w:t xml:space="preserve">Why the two literatures have not merged</w:t>
      </w:r>
    </w:p>
    <w:p>
      <w:pPr>
        <w:pStyle w:val="FirstParagraph"/>
        <w:spacing w:line="480" w:lineRule="auto"/>
      </w:pPr>
      <w:r>
        <w:t xml:space="preserve">It is worth asking why the domain literature and the measurement literature stay separate, because the answer shapes what this dissertation can contribute. The separation is not accidental. Technical venues reward demonstrations, precise, bounded, method-focused, and a paper that turned its own field’s citation structure into a variable would read as off-topic in a proceedings devoted to sensor performance</w:t>
      </w:r>
      <w:r>
        <w:t xml:space="preserve"> </w:t>
      </w:r>
      <w:hyperlink w:anchor="ref-1">
        <w:r>
          <w:rPr>
            <w:rStyle w:val="Hyperlink"/>
          </w:rPr>
          <w:t xml:space="preserve">[1]</w:t>
        </w:r>
      </w:hyperlink>
      <w:r>
        <w:t xml:space="preserve"> </w:t>
      </w:r>
      <w:hyperlink w:anchor="ref-7">
        <w:r>
          <w:rPr>
            <w:rStyle w:val="Hyperlink"/>
          </w:rPr>
          <w:t xml:space="preserve">[7]</w:t>
        </w:r>
      </w:hyperlink>
      <w:r>
        <w:t xml:space="preserve">. Policy venues reward frameworks and recommendations, and a framework that paused to measure the maturity of its own evidence base would read as methodologically fussy where a confident synthesis is expected</w:t>
      </w:r>
      <w:r>
        <w:t xml:space="preserve"> </w:t>
      </w:r>
      <w:hyperlink w:anchor="ref-10">
        <w:r>
          <w:rPr>
            <w:rStyle w:val="Hyperlink"/>
          </w:rPr>
          <w:t xml:space="preserve">[10]</w:t>
        </w:r>
      </w:hyperlink>
      <w:r>
        <w:t xml:space="preserve">. Each venue selects against the connective move, and so the move goes unmade. The result is a literature that is strong at its two ends and thin in the middle, exactly the shape the two gaps describe.</w:t>
      </w:r>
    </w:p>
    <w:p>
      <w:pPr>
        <w:pStyle w:val="BodyText"/>
        <w:spacing w:line="480" w:lineRule="auto"/>
        <w:ind w:firstLine="720"/>
      </w:pPr>
      <w:r>
        <w:t xml:space="preserve">This dissertation lives in that thin middle. It does not compete with the demonstrations, which it takes as given and cites as the technical ground of the topic</w:t>
      </w:r>
      <w:r>
        <w:t xml:space="preserve"> </w:t>
      </w:r>
      <w:hyperlink w:anchor="ref-3">
        <w:r>
          <w:rPr>
            <w:rStyle w:val="Hyperlink"/>
          </w:rPr>
          <w:t xml:space="preserve">[3]</w:t>
        </w:r>
      </w:hyperlink>
      <w:r>
        <w:t xml:space="preserve"> </w:t>
      </w:r>
      <w:hyperlink w:anchor="ref-4">
        <w:r>
          <w:rPr>
            <w:rStyle w:val="Hyperlink"/>
          </w:rPr>
          <w:t xml:space="preserve">[4]</w:t>
        </w:r>
      </w:hyperlink>
      <w:r>
        <w:t xml:space="preserve">. It does not compete with the frameworks, which it treats as the governance setting the topic sits in</w:t>
      </w:r>
      <w:r>
        <w:t xml:space="preserve"> </w:t>
      </w:r>
      <w:hyperlink w:anchor="ref-5">
        <w:r>
          <w:rPr>
            <w:rStyle w:val="Hyperlink"/>
          </w:rPr>
          <w:t xml:space="preserve">[5]</w:t>
        </w:r>
      </w:hyperlink>
      <w:r>
        <w:t xml:space="preserve"> </w:t>
      </w:r>
      <w:hyperlink w:anchor="ref-10">
        <w:r>
          <w:rPr>
            <w:rStyle w:val="Hyperlink"/>
          </w:rPr>
          <w:t xml:space="preserve">[10]</w:t>
        </w:r>
      </w:hyperlink>
      <w:r>
        <w:t xml:space="preserve">. What it adds is the measurement pass that neither venue is built to reward: a transparent coding of the retrieved corpus into variables, and two estimators that ask whether those variables carry structure. The autonomous-navigation review is the nearest prior instance of the connective move, and even it stops short of formal estimation, mapping the field’s trajectory qualitatively rather than fitting a curve to it</w:t>
      </w:r>
      <w:r>
        <w:t xml:space="preserve"> </w:t>
      </w:r>
      <w:hyperlink w:anchor="ref-9">
        <w:r>
          <w:rPr>
            <w:rStyle w:val="Hyperlink"/>
          </w:rPr>
          <w:t xml:space="preserve">[9]</w:t>
        </w:r>
      </w:hyperlink>
      <w:r>
        <w:t xml:space="preserve">. Formalizing that trajectory into an estimable model, and reporting the model’s failures as honestly as its successes, is the specific gap-filling this project attempts.</w:t>
      </w:r>
    </w:p>
    <w:p>
      <w:pPr>
        <w:pStyle w:val="BodyText"/>
        <w:spacing w:line="480" w:lineRule="auto"/>
        <w:ind w:firstLine="720"/>
      </w:pPr>
      <w:r>
        <w:t xml:space="preserve">The review closes on a note of restraint that the rest of the dissertation keeps. The prior work is strong where it is technical and demonstrative, and the strength is real: relay geometry works</w:t>
      </w:r>
      <w:r>
        <w:t xml:space="preserve"> </w:t>
      </w:r>
      <w:hyperlink w:anchor="ref-3">
        <w:r>
          <w:rPr>
            <w:rStyle w:val="Hyperlink"/>
          </w:rPr>
          <w:t xml:space="preserve">[3]</w:t>
        </w:r>
      </w:hyperlink>
      <w:r>
        <w:t xml:space="preserve">, passive RF sensing works</w:t>
      </w:r>
      <w:r>
        <w:t xml:space="preserve"> </w:t>
      </w:r>
      <w:hyperlink w:anchor="ref-4">
        <w:r>
          <w:rPr>
            <w:rStyle w:val="Hyperlink"/>
          </w:rPr>
          <w:t xml:space="preserve">[4]</w:t>
        </w:r>
      </w:hyperlink>
      <w:r>
        <w:t xml:space="preserve">, probabilistic debris tracking works</w:t>
      </w:r>
      <w:r>
        <w:t xml:space="preserve"> </w:t>
      </w:r>
      <w:hyperlink w:anchor="ref-2">
        <w:r>
          <w:rPr>
            <w:rStyle w:val="Hyperlink"/>
          </w:rPr>
          <w:t xml:space="preserve">[2]</w:t>
        </w:r>
      </w:hyperlink>
      <w:r>
        <w:t xml:space="preserve">. The weakness is not in the demonstrations but in the connective reasoning, and connective reasoning is what an auditable document-level design can begin to supply. The literature has given the community strong parts; what it has not given is a tested account of how those parts fit together, and that account has to start with a measurement of whether the parts even form an organized whole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77"/>
    <w:bookmarkEnd w:id="78"/>
    <w:bookmarkStart w:id="89" w:name="theory-and-hypotheses"/>
    <w:p>
      <w:pPr>
        <w:pStyle w:val="Heading1"/>
        <w:spacing w:line="480" w:lineRule="auto"/>
      </w:pPr>
      <w:r>
        <w:t xml:space="preserve">Theory and Hypotheses</w:t>
      </w:r>
    </w:p>
    <w:p>
      <w:pPr>
        <w:pStyle w:val="FirstParagraph"/>
        <w:spacing w:line="480" w:lineRule="auto"/>
      </w:pPr>
      <w:r>
        <w:t xml:space="preserve">A theory of documentary attention has to explain a simple observation before it earns the right to make predictions. When a technical topic starts to matter, the record around it changes shape. The change is not mystical. Researchers cite the work that solved their problem, editors route consolidating results toward archival venues, and the freshest contributions cluster near the present because that is where the active problems are. This chapter states the mechanism that connects operational consequence to documentary trace, and it derives the specific, testable predictions that Chapters 5 and 6 put to the data.</w:t>
      </w:r>
    </w:p>
    <w:bookmarkStart w:id="79" w:name="the-mechanism"/>
    <w:p>
      <w:pPr>
        <w:pStyle w:val="Heading2"/>
        <w:spacing w:line="480" w:lineRule="auto"/>
      </w:pPr>
      <w:r>
        <w:t xml:space="preserve">The mechanism</w:t>
      </w:r>
    </w:p>
    <w:p>
      <w:pPr>
        <w:pStyle w:val="FirstParagraph"/>
        <w:spacing w:line="480" w:lineRule="auto"/>
      </w:pPr>
      <w:r>
        <w:t xml:space="preserve">The mechanism runs in one direction and admits exceptions. If cislunar tracking geometry has become consequential, meaning that agencies and operators are actively wrestling with where to place sensors and how to hold tracks, then the topic should leave a heavier signature in recent records than in old ones, and it should leave that signature unevenly across venue families. The reasoning is concrete. Consequential problems attract fresh work, and fresh work carries more theme-relevant vocabulary because authors writing at the frontier name the frontier explicitly. A 2008 architecture study of sun-synchronous slots to minimize conjunctions predates the cislunar tracking surge and reads, in topic terms, as thin</w:t>
      </w:r>
      <w:r>
        <w:t xml:space="preserve"> </w:t>
      </w:r>
      <w:hyperlink w:anchor="ref-5">
        <w:r>
          <w:rPr>
            <w:rStyle w:val="Hyperlink"/>
          </w:rPr>
          <w:t xml:space="preserve">[5]</w:t>
        </w:r>
      </w:hyperlink>
      <w:r>
        <w:t xml:space="preserve">. A 2025 space-traffic-management framework for the cislunar and cismartian environment is saturated with the vocabulary because it is written from inside the active debate</w:t>
      </w:r>
      <w:r>
        <w:t xml:space="preserve"> </w:t>
      </w:r>
      <w:hyperlink w:anchor="ref-10">
        <w:r>
          <w:rPr>
            <w:rStyle w:val="Hyperlink"/>
          </w:rPr>
          <w:t xml:space="preserve">[10]</w:t>
        </w:r>
      </w:hyperlink>
      <w:r>
        <w:t xml:space="preserve">.</w:t>
      </w:r>
    </w:p>
    <w:p>
      <w:pPr>
        <w:pStyle w:val="BodyText"/>
        <w:spacing w:line="480" w:lineRule="auto"/>
        <w:ind w:firstLine="720"/>
      </w:pPr>
      <w:r>
        <w:t xml:space="preserve">Attention accumulation follows a second, related logic. Older papers have had more time to be cited, so raw citation counts and article age are mechanically linked, and the link is not evidence of anything by itself. What the accumulation view asks is whether the linkage follows a structured arc, whether citations pile up on aging work at a rate that a learning-curve elasticity can capture. In a maturing field the arc is often positive and steep: seminal early results keep drawing references as the field builds on them.</w:t>
      </w:r>
    </w:p>
    <w:p>
      <w:pPr>
        <w:pStyle w:val="BodyText"/>
        <w:spacing w:line="480" w:lineRule="auto"/>
        <w:ind w:firstLine="720"/>
      </w:pPr>
      <w:r>
        <w:t xml:space="preserve">In a young or fragmented field the arc can be flat or noisy, because attention has not yet settled onto a stable canon. The autonomous-navigation literature for deep-space small satellites shows what a maturing arc looks like when it maps its own advances over time</w:t>
      </w:r>
      <w:r>
        <w:t xml:space="preserve"> </w:t>
      </w:r>
      <w:hyperlink w:anchor="ref-9">
        <w:r>
          <w:rPr>
            <w:rStyle w:val="Hyperlink"/>
          </w:rPr>
          <w:t xml:space="preserve">[9]</w:t>
        </w:r>
      </w:hyperlink>
      <w:r>
        <w:t xml:space="preserve">. The cislunar tracking corpus assembled here is young and small, which sets up a genuine test rather than a foregone conclusion.</w:t>
      </w:r>
    </w:p>
    <w:p>
      <w:pPr>
        <w:pStyle w:val="BodyText"/>
        <w:spacing w:line="480" w:lineRule="auto"/>
        <w:ind w:firstLine="720"/>
      </w:pPr>
      <w:r>
        <w:t xml:space="preserve">Venue placement carries the third strand of the mechanism. Fields consolidate by migrating from conference proceedings toward archival journals, and the position of a topic in that migration is informative about maturity. Much of the foundational cislunar tracking work still lives in proceedings</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while the debris-tracking and traffic-management literature has moved toward journals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mechanism predicts that venue family should carry structure, though it does not predict the sign in advance, because a topic can be signal-heavy in proceedings precisely when it is new and technical rather than settled and abstracted.</w:t>
      </w:r>
    </w:p>
    <w:bookmarkEnd w:id="79"/>
    <w:bookmarkStart w:id="80" w:name="X24ae05001c363f3c9db7b71e2609b7745d83a9d"/>
    <w:p>
      <w:pPr>
        <w:pStyle w:val="Heading2"/>
        <w:spacing w:line="480" w:lineRule="auto"/>
      </w:pPr>
      <w:r>
        <w:t xml:space="preserve">Grounding the mechanism in how research communities behave</w:t>
      </w:r>
    </w:p>
    <w:p>
      <w:pPr>
        <w:pStyle w:val="FirstParagraph"/>
        <w:spacing w:line="480" w:lineRule="auto"/>
      </w:pPr>
      <w:r>
        <w:t xml:space="preserve">The mechanism rests on a claim about researcher behavior, and the claim deserves to be made explicit rather than assumed. Researchers write at the frontier of a problem, and when they write they name the problem in its current vocabulary, because that vocabulary is how they signal to peers what they are contributing. A cislunar tracking paper published in 2025 uses the terms of the 2025 debate, dense and specific, because those terms locate its contribution</w:t>
      </w:r>
      <w:r>
        <w:t xml:space="preserve"> </w:t>
      </w:r>
      <w:hyperlink w:anchor="ref-10">
        <w:r>
          <w:rPr>
            <w:rStyle w:val="Hyperlink"/>
          </w:rPr>
          <w:t xml:space="preserve">[10]</w:t>
        </w:r>
      </w:hyperlink>
      <w:r>
        <w:t xml:space="preserve">. A paper on an adjacent problem from an earlier era uses the vocabulary of its own time, which overlaps only partly with the current theme, so a term counter calibrated to the current theme scores it lower</w:t>
      </w:r>
      <w:r>
        <w:t xml:space="preserve"> </w:t>
      </w:r>
      <w:hyperlink w:anchor="ref-5">
        <w:r>
          <w:rPr>
            <w:rStyle w:val="Hyperlink"/>
          </w:rPr>
          <w:t xml:space="preserve">[5]</w:t>
        </w:r>
      </w:hyperlink>
      <w:r>
        <w:t xml:space="preserve">. The recency signature is therefore not a statistical accident. It is the documentary trace of researchers writing themselves into the active conversation.</w:t>
      </w:r>
    </w:p>
    <w:p>
      <w:pPr>
        <w:pStyle w:val="BodyText"/>
        <w:spacing w:line="480" w:lineRule="auto"/>
        <w:ind w:firstLine="720"/>
      </w:pPr>
      <w:r>
        <w:t xml:space="preserve">Citation behavior grounds the accumulation strand in the same way. Researchers cite the work that solved their problem, and in a maturing field that work concentrates onto a small foundational set that accrues references as the field builds on it, producing the arc a learning curve recovers</w:t>
      </w:r>
      <w:r>
        <w:t xml:space="preserve"> </w:t>
      </w:r>
      <w:hyperlink w:anchor="ref-9">
        <w:r>
          <w:rPr>
            <w:rStyle w:val="Hyperlink"/>
          </w:rPr>
          <w:t xml:space="preserve">[9]</w:t>
        </w:r>
      </w:hyperlink>
      <w:r>
        <w:t xml:space="preserve">. In a young field the foundational set has not yet formed; attention is diffuse, spread thinly across many candidate contributions none of which has yet become canonical. The result is a citation record dominated by low counts and the occasional early outlier, which is exactly the profile that defeats a learning-curve estimate. The mechanism thus predicts the accumulation null not as a failure but as the signature of a field whose canon is still forming.</w:t>
      </w:r>
    </w:p>
    <w:p>
      <w:pPr>
        <w:pStyle w:val="BodyText"/>
        <w:spacing w:line="480" w:lineRule="auto"/>
        <w:ind w:firstLine="720"/>
      </w:pPr>
      <w:r>
        <w:t xml:space="preserve">Venue behavior completes the behavioral grounding. Communities route their announcements to proceedings and their consolidations to journals, and a topic’s position in that routing reflects how far it has traveled from announcement toward settled knowledge</w:t>
      </w:r>
      <w:r>
        <w:t xml:space="preserve"> </w:t>
      </w:r>
      <w:hyperlink w:anchor="ref-1">
        <w:r>
          <w:rPr>
            <w:rStyle w:val="Hyperlink"/>
          </w:rPr>
          <w:t xml:space="preserve">[1]</w:t>
        </w:r>
      </w:hyperlink>
      <w:r>
        <w:t xml:space="preserve"> </w:t>
      </w:r>
      <w:hyperlink w:anchor="ref-7">
        <w:r>
          <w:rPr>
            <w:rStyle w:val="Hyperlink"/>
          </w:rPr>
          <w:t xml:space="preserve">[7]</w:t>
        </w:r>
      </w:hyperlink>
      <w:r>
        <w:t xml:space="preserve">. These three behaviors, frontier-naming, foundational citation, and venue routing, are the human substrate beneath the three measurable strands, and stating them keeps the mechanism from floating free of the community whose record it reads.</w:t>
      </w:r>
    </w:p>
    <w:bookmarkEnd w:id="80"/>
    <w:bookmarkStart w:id="81" w:name="from-mechanism-to-measurable-prediction"/>
    <w:p>
      <w:pPr>
        <w:pStyle w:val="Heading2"/>
        <w:spacing w:line="480" w:lineRule="auto"/>
      </w:pPr>
      <w:r>
        <w:t xml:space="preserve">From mechanism to measurable prediction</w:t>
      </w:r>
    </w:p>
    <w:p>
      <w:pPr>
        <w:pStyle w:val="FirstParagraph"/>
        <w:spacing w:line="480" w:lineRule="auto"/>
      </w:pPr>
      <w:r>
        <w:t xml:space="preserve">The mechanism becomes testable only when each strand is tied to a variable. Topic signal is measured as a deterministic count of theme-relevant term hits across a source record’s title, snippet, keyword field, and author metadata, so a record dense with cislunar tracking vocabulary scores high and a record on an adjacent subject scores low. Recency is measured as an index that grows with publication year, so newer records take larger values. Citation attention is measured as the reported count from the local brain index, a proxy that must be read as attention rather than as reconciled ground truth. Venue family is an ordinal score, one for conference proceedings, two for the archival journal, three for the study-report family.</w:t>
      </w:r>
    </w:p>
    <w:p>
      <w:pPr>
        <w:pStyle w:val="BodyText"/>
        <w:spacing w:line="480" w:lineRule="auto"/>
        <w:ind w:firstLine="720"/>
      </w:pPr>
      <w:r>
        <w:t xml:space="preserve">Each strand yields a directional expectation. If the topic is consolidating, recency should carry a positive association with the topic signal, because fresh work names the frontier. Citation attention should carry a positive association if attention concentrates on the same records that are theme-dense, though the proxy is weak enough that a null here would not surprise. Venue family carries an expectation only about structure, not sign, and the honest prediction is that its coefficient will be precise but that its direction has to be read from the estimate rather than assumed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81"/>
    <w:bookmarkStart w:id="82" w:name="the-scope-condition-of-the-mechanism"/>
    <w:p>
      <w:pPr>
        <w:pStyle w:val="Heading2"/>
        <w:spacing w:line="480" w:lineRule="auto"/>
      </w:pPr>
      <w:r>
        <w:t xml:space="preserve">The scope condition of the mechanism</w:t>
      </w:r>
    </w:p>
    <w:p>
      <w:pPr>
        <w:pStyle w:val="FirstParagraph"/>
        <w:spacing w:line="480" w:lineRule="auto"/>
      </w:pPr>
      <w:r>
        <w:t xml:space="preserve">A mechanism is only as good as the conditions under which it is claimed to hold, so the scope condition deserves a plain statement. The mechanism claims that operational consequence leaves a documentary trace, and it claims this for a retrieved corpus of the kind assembled here: a bounded set of source records with observable metadata fields. It does not claim to hold for the full universe of cislunar activity, much of which never reaches a published record at all, and it does not claim to hold for a corpus so small that no variable has usable variance.</w:t>
      </w:r>
    </w:p>
    <w:p>
      <w:pPr>
        <w:pStyle w:val="BodyText"/>
        <w:spacing w:line="480" w:lineRule="auto"/>
        <w:ind w:firstLine="720"/>
      </w:pPr>
      <w:r>
        <w:t xml:space="preserve">Within those bounds, the mechanism predicts the three signatures; outside them, it makes no promise. Stating the scope condition guards against two errors at once: reading a within-corpus finding as a universal law, and reading the absence of a signature in a degenerate variable as evidence against the mechanism rather than against the variable’s usability in this sample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82"/>
    <w:bookmarkStart w:id="83" w:name="Xa2e3baf2f430324845febdd5da982197ae1d78a"/>
    <w:p>
      <w:pPr>
        <w:pStyle w:val="Heading2"/>
        <w:spacing w:line="480" w:lineRule="auto"/>
      </w:pPr>
      <w:r>
        <w:t xml:space="preserve">The two hypotheses, stated for falsification</w:t>
      </w:r>
    </w:p>
    <w:p>
      <w:pPr>
        <w:pStyle w:val="FirstParagraph"/>
        <w:spacing w:line="480" w:lineRule="auto"/>
      </w:pPr>
      <w:r>
        <w:t xml:space="preserve">Here the theory commits itself. Two claims, each stated so the data can refuse it.</w:t>
      </w:r>
    </w:p>
    <w:p>
      <w:pPr>
        <w:pStyle w:val="BodyText"/>
        <w:spacing w:line="480" w:lineRule="auto"/>
        <w:ind w:firstLine="720"/>
      </w:pPr>
      <w:r>
        <w:t xml:space="preserve">The cross-sectional prediction is the first hypothesis. The null holds that the topic-signal score is unrelated to publication recency, citation attention, and venue family in the retrieved corpus. The alternative holds that the topic-signal score is systematically related to those features, and the mechanism specifies that recency should enter positively if the alternative is true. This is a joint claim about three predictors, and it can fail in an instructive way: recency might carry signal while citation attention does not, which would tell us that the theme footprint tracks time but not local attention.</w:t>
      </w:r>
    </w:p>
    <w:p>
      <w:pPr>
        <w:pStyle w:val="BodyText"/>
        <w:spacing w:line="480" w:lineRule="auto"/>
        <w:ind w:firstLine="720"/>
      </w:pPr>
      <w:r>
        <w:t xml:space="preserve">The accumulation prediction is the second hypothesis. The null holds that citation accumulation is unrelated to article age in the retrieved topic literature. The alternative holds that accumulation follows a measurable age-based curve with a nonzero learning-curve elasticity. Because the corpus is small and dominated by uncited or lightly cited records, the mechanism does not promise a strong arc, and a flat, imprecise elasticity is a live possible outcome. That outcome would not be a failure of the design. It would be evidence that, in this corpus, attention has not organized itself into a legible curve, which is a finding about the state of the field.</w:t>
      </w:r>
    </w:p>
    <w:bookmarkEnd w:id="83"/>
    <w:bookmarkStart w:id="84" w:name="X9c1c1583fda0909f13d2c4829078d9bbb0975e4"/>
    <w:p>
      <w:pPr>
        <w:pStyle w:val="Heading2"/>
        <w:spacing w:line="480" w:lineRule="auto"/>
      </w:pPr>
      <w:r>
        <w:t xml:space="preserve">The theory of a null and why it carries information</w:t>
      </w:r>
    </w:p>
    <w:p>
      <w:pPr>
        <w:pStyle w:val="FirstParagraph"/>
        <w:spacing w:line="480" w:lineRule="auto"/>
      </w:pPr>
      <w:r>
        <w:t xml:space="preserve">Most theoretical frameworks are built to explain a positive finding, and they treat a null as a disappointment to be explained away. This framework is built to make a null informative, and the distinction is central enough to state as its own claim. A null on the citation predictor, or a flat accumulation elasticity, is not the absence of a result. It is a statement that a particular signal, which the mechanism identified as a candidate carrier of structure, does not in fact carry it in this corpus. That statement is falsifiable, because a richer corpus could show the signal after all, and it is decision-relevant, because it tells a reasoning process which dimensions of the evidence to stop trusting.</w:t>
      </w:r>
    </w:p>
    <w:p>
      <w:pPr>
        <w:pStyle w:val="BodyText"/>
        <w:spacing w:line="480" w:lineRule="auto"/>
        <w:ind w:firstLine="720"/>
      </w:pPr>
      <w:r>
        <w:t xml:space="preserve">The learning-curve screen is the clearest case. The mechanism does not promise an accumulation arc; it specifies what an arc would look like if one existed and leaves open whether the corpus contains one. A young field dominated by uncited records has a positive theoretical reason to show no arc: attention has not had time to settle onto a canon, and the citation proxy is too sparse to register whatever settling has begun</w:t>
      </w:r>
      <w:r>
        <w:t xml:space="preserve"> </w:t>
      </w:r>
      <w:hyperlink w:anchor="ref-9">
        <w:r>
          <w:rPr>
            <w:rStyle w:val="Hyperlink"/>
          </w:rPr>
          <w:t xml:space="preserve">[9]</w:t>
        </w:r>
      </w:hyperlink>
      <w:r>
        <w:t xml:space="preserve">. So a flat elasticity confirms a theoretical expectation about immaturity rather than refuting the design. The framework earns its keep here by predicting, in advance, that the null is a possible and meaningful outcome, which converts what would otherwise be a failed test into a finding about the state of the field.</w:t>
      </w:r>
    </w:p>
    <w:p>
      <w:pPr>
        <w:pStyle w:val="BodyText"/>
        <w:spacing w:line="480" w:lineRule="auto"/>
        <w:ind w:firstLine="720"/>
      </w:pPr>
      <w:r>
        <w:t xml:space="preserve">This is why the evidence ladder in the closing section treats a weak coefficient as a genuine rung rather than a fall off the ladder. A framework that could only interpret significant results would be a framework that could only confirm itself, and a mechanism that can only be confirmed is not a mechanism that has been tested. Building the theory so that both outcomes speak is what keeps the two screens honest</w:t>
      </w:r>
      <w:r>
        <w:t xml:space="preserve"> </w:t>
      </w:r>
      <w:hyperlink w:anchor="ref-8">
        <w:r>
          <w:rPr>
            <w:rStyle w:val="Hyperlink"/>
          </w:rPr>
          <w:t xml:space="preserve">[8]</w:t>
        </w:r>
      </w:hyperlink>
      <w:r>
        <w:t xml:space="preserve">.</w:t>
      </w:r>
    </w:p>
    <w:bookmarkEnd w:id="84"/>
    <w:bookmarkStart w:id="85" w:name="rival-explanations-named-in-advance"/>
    <w:p>
      <w:pPr>
        <w:pStyle w:val="Heading2"/>
        <w:spacing w:line="480" w:lineRule="auto"/>
      </w:pPr>
      <w:r>
        <w:t xml:space="preserve">Rival explanations named in advance</w:t>
      </w:r>
    </w:p>
    <w:p>
      <w:pPr>
        <w:pStyle w:val="FirstParagraph"/>
        <w:spacing w:line="480" w:lineRule="auto"/>
      </w:pPr>
      <w:r>
        <w:t xml:space="preserve">A theory earns credibility by naming what could fool it. Four rivals stand out. A signed venue coefficient might reflect coverage bias, the simple fact that certain source families are overrepresented in the retrieval, rather than any real difference in topic maturity. A recency association might reflect metadata inflation, because newer records sometimes carry richer keyword fields that mechanically raise a term-hit count. A citation result might reflect index artifacts, since the local count is zero for most records and dominated by a single heavily cited outlier. A flat accumulation curve might reflect nothing more than sample size, the difficulty of estimating an arc from thirty points clustered in age.</w:t>
      </w:r>
    </w:p>
    <w:p>
      <w:pPr>
        <w:pStyle w:val="BodyText"/>
        <w:spacing w:line="480" w:lineRule="auto"/>
        <w:ind w:firstLine="720"/>
      </w:pPr>
      <w:r>
        <w:t xml:space="preserve">None of these rivals is dismissed. They are the reasons Chapter 7 qualifies every reading, and they are the reasons the design refuses to convert a coefficient into a mission recommendation. The probabilistic-tracking and vision-sensor literatures are relevant here as cautionary parallels: they succeed by stating exactly what their methods can and cannot resolve, and they never let a demonstrated capability masquerade as an operational guarantee</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85"/>
    <w:bookmarkStart w:id="86" w:name="X60d9b0f3a0c0eb585be04b4870af92ad2ba2486"/>
    <w:p>
      <w:pPr>
        <w:pStyle w:val="Heading2"/>
        <w:spacing w:line="480" w:lineRule="auto"/>
      </w:pPr>
      <w:r>
        <w:t xml:space="preserve">The role of venue heterogeneity in the mechanism</w:t>
      </w:r>
    </w:p>
    <w:p>
      <w:pPr>
        <w:pStyle w:val="FirstParagraph"/>
        <w:spacing w:line="480" w:lineRule="auto"/>
      </w:pPr>
      <w:r>
        <w:t xml:space="preserve">The venue strand of the mechanism deserves a closer look, because it is the one most likely to be misread. Venue family is not a proxy for quality, and the mechanism does not treat it as one. It is a proxy for position in a field’s division of labor. Conference proceedings are where a technical community first stakes claims, and they tend to carry the tightest, most theme-saturated vocabulary because their function is to announce specific results to specialists</w:t>
      </w:r>
      <w:r>
        <w:t xml:space="preserve"> </w:t>
      </w:r>
      <w:hyperlink w:anchor="ref-1">
        <w:r>
          <w:rPr>
            <w:rStyle w:val="Hyperlink"/>
          </w:rPr>
          <w:t xml:space="preserve">[1]</w:t>
        </w:r>
      </w:hyperlink>
      <w:r>
        <w:t xml:space="preserve"> </w:t>
      </w:r>
      <w:hyperlink w:anchor="ref-7">
        <w:r>
          <w:rPr>
            <w:rStyle w:val="Hyperlink"/>
          </w:rPr>
          <w:t xml:space="preserve">[7]</w:t>
        </w:r>
      </w:hyperlink>
      <w:r>
        <w:t xml:space="preserve">. Archival journals sit further along, where results are consolidated, generalized, and connected to adjacent problems, which tends to dilute the density of any single theme’s vocabulary even as it raises the work’s reach</w:t>
      </w:r>
      <w:r>
        <w:t xml:space="preserve"> </w:t>
      </w:r>
      <w:hyperlink w:anchor="ref-9">
        <w:r>
          <w:rPr>
            <w:rStyle w:val="Hyperlink"/>
          </w:rPr>
          <w:t xml:space="preserve">[9]</w:t>
        </w:r>
      </w:hyperlink>
      <w:r>
        <w:t xml:space="preserve"> </w:t>
      </w:r>
      <w:hyperlink w:anchor="ref-11">
        <w:r>
          <w:rPr>
            <w:rStyle w:val="Hyperlink"/>
          </w:rPr>
          <w:t xml:space="preserve">[11]</w:t>
        </w:r>
      </w:hyperlink>
      <w:r>
        <w:t xml:space="preserve">. Study reports sit at the governance edge, where a topic like cislunar tracking appears as one consideration among many, and where the theme vocabulary is correspondingly sparse.</w:t>
      </w:r>
    </w:p>
    <w:p>
      <w:pPr>
        <w:pStyle w:val="BodyText"/>
        <w:spacing w:line="480" w:lineRule="auto"/>
        <w:ind w:firstLine="720"/>
      </w:pPr>
      <w:r>
        <w:t xml:space="preserve">This positional reading generates a specific prediction that the sign-agnostic framing in the previous section can now sharpen. If theme density is highest where a topic is announced and lowest where it is folded into broad governance, then the venue coefficient should be negative across the ordinal scale, falling as one moves from proceedings toward reports. The mechanism did not assert this sign in advance out of caution, but the positional logic favors it, and Chapter 6 will show whether the data agree. The value of stating the prediction now is that a negative venue coefficient can then be read as confirmation of a structural story rather than as a surprise to be rationalized after the fact.</w:t>
      </w:r>
    </w:p>
    <w:bookmarkEnd w:id="86"/>
    <w:bookmarkStart w:id="87" w:name="interaction-between-the-strands"/>
    <w:p>
      <w:pPr>
        <w:pStyle w:val="Heading2"/>
        <w:spacing w:line="480" w:lineRule="auto"/>
      </w:pPr>
      <w:r>
        <w:t xml:space="preserve">Interaction between the strands</w:t>
      </w:r>
    </w:p>
    <w:p>
      <w:pPr>
        <w:pStyle w:val="FirstParagraph"/>
        <w:spacing w:line="480" w:lineRule="auto"/>
      </w:pPr>
      <w:r>
        <w:t xml:space="preserve">The three strands of the mechanism are not independent, and their interaction is part of why a multivariate design is necessary. Recency and venue are entangled: newer cislunar tracking work is disproportionately in proceedings and journals, while the older study-report material anchors a different part of the venue scale. If one looked at recency alone, part of what appeared to be a time effect would actually be a venue effect, and the reverse holds too. The mechanism therefore predicts that the recency and venue coefficients will each shrink somewhat when both are in the model together, relative to what a naive single-predictor look would show, because each absorbs variation the other would otherwise claim. Citation attention is entangled with age in a different way, mechanically, since older records have had more time to accumulate citations, which is precisely why the accumulation question is posed as a separate log-log screen rather than folded into the cross-sectional regression</w:t>
      </w:r>
      <w:r>
        <w:t xml:space="preserve"> </w:t>
      </w:r>
      <w:hyperlink w:anchor="ref-9">
        <w:r>
          <w:rPr>
            <w:rStyle w:val="Hyperlink"/>
          </w:rPr>
          <w:t xml:space="preserve">[9]</w:t>
        </w:r>
      </w:hyperlink>
      <w:r>
        <w:t xml:space="preserve">.</w:t>
      </w:r>
    </w:p>
    <w:p>
      <w:pPr>
        <w:pStyle w:val="BodyText"/>
        <w:spacing w:line="480" w:lineRule="auto"/>
        <w:ind w:firstLine="720"/>
      </w:pPr>
      <w:r>
        <w:t xml:space="preserve">Naming these entanglements in advance is a form of pre-registration. It commits the theory to expectations that the data can violate, and it makes the eventual coefficients interpretable as tests of a stated structure rather than as post-hoc rationalizations. A mechanism that predicts entanglement and then finds it has passed a real check; a mechanism that stayed silent and then explained the entanglement afterward would have proven nothing.</w:t>
      </w:r>
    </w:p>
    <w:bookmarkEnd w:id="87"/>
    <w:bookmarkStart w:id="88" w:name="the-evidence-ladder"/>
    <w:p>
      <w:pPr>
        <w:pStyle w:val="Heading2"/>
        <w:spacing w:line="480" w:lineRule="auto"/>
      </w:pPr>
      <w:r>
        <w:t xml:space="preserve">The evidence ladder</w:t>
      </w:r>
    </w:p>
    <w:p>
      <w:pPr>
        <w:pStyle w:val="FirstParagraph"/>
        <w:spacing w:line="480" w:lineRule="auto"/>
      </w:pPr>
      <w:r>
        <w:t xml:space="preserve">The framework supports a three-rung ladder that governs how results are read. A precise, correctly signed coefficient is the top rung: it shows association inside the retained corpus and licenses the corpus as a measurement base for that relationship. A stable overall fit is the middle rung: it says the model is capturing real cross-sectional structure even if individual predictors vary in strength. A weak or imprecise coefficient is the bottom rung, and it is not discarded, because a null that is honestly reported tells a reasoning agency where the available evidence gives out</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dissertation treats all three rungs as scholarship, on one condition. Every reading stays tethered to a source record and a construction rule, so that a skeptical reader can climb the ladder in reverse and check each step</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ladder is what keeps the framework from collapsing into a search for a positive result. A framework that recognized only the top rung would quietly pressure the analysis toward significance, discarding the informative middle and bottom rungs as failures. By naming all three in advance and committing to report whichever the data deliver, the theory binds itself to honesty before it sees the estimates. That commitment is the theoretical counterpart to the audit standard from the opening chapter: just as the measurement is built to be reproduced, the interpretation is built to be checked rung by rung, and neither can be quietly bent toward a more flattering conclusion once the numbers arrive</w:t>
      </w:r>
      <w:r>
        <w:t xml:space="preserve"> </w:t>
      </w:r>
      <w:hyperlink w:anchor="ref-8">
        <w:r>
          <w:rPr>
            <w:rStyle w:val="Hyperlink"/>
          </w:rPr>
          <w:t xml:space="preserve">[8]</w:t>
        </w:r>
      </w:hyperlink>
      <w:r>
        <w:t xml:space="preserve">.</w:t>
      </w:r>
    </w:p>
    <w:bookmarkEnd w:id="88"/>
    <w:bookmarkEnd w:id="89"/>
    <w:bookmarkStart w:id="100" w:name="methodology-and-identification"/>
    <w:p>
      <w:pPr>
        <w:pStyle w:val="Heading1"/>
        <w:spacing w:line="480" w:lineRule="auto"/>
      </w:pPr>
      <w:r>
        <w:t xml:space="preserve">Methodology and Identification</w:t>
      </w:r>
    </w:p>
    <w:p>
      <w:pPr>
        <w:pStyle w:val="FirstParagraph"/>
        <w:spacing w:line="480" w:lineRule="auto"/>
      </w:pPr>
      <w:r>
        <w:t xml:space="preserve">Two estimators do the work in this dissertation, and each is chosen because it identifies a specific, defensible thing about the retrieved corpus. Neither is exotic. The value is not in statistical novelty but in the fit between the question and the tool, and in the discipline of reporting exactly what the tool returns. This chapter presents the ordinary least squares screen and the log-log learning-curve screen, states the estimating equations, and argues why each one identifies its target under assumptions a reader can check.</w:t>
      </w:r>
    </w:p>
    <w:bookmarkStart w:id="90" w:name="why-a-document-level-regression"/>
    <w:p>
      <w:pPr>
        <w:pStyle w:val="Heading2"/>
        <w:spacing w:line="480" w:lineRule="auto"/>
      </w:pPr>
      <w:r>
        <w:t xml:space="preserve">Why a document-level regression</w:t>
      </w:r>
    </w:p>
    <w:p>
      <w:pPr>
        <w:pStyle w:val="FirstParagraph"/>
        <w:spacing w:line="480" w:lineRule="auto"/>
      </w:pPr>
      <w:r>
        <w:t xml:space="preserve">The cross-sectional question is whether the topic signal in a record is structured by that record’s observable features. A regression is the natural instrument because it partitions variation in an outcome across several predictors at once, holding the others fixed, which is exactly what the mechanism in Chapter 3 requires. The mechanism made a joint claim: recency, citation attention, and venue family might each carry structure, and the interesting failures are partial, where one predictor enters and another does not. Only a multivariate specification can surface that pattern. A set of bivariate correlations would confound recency with venue, because newer records also cluster in particular venues, and the whole point is to separate those effects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estimating equation for the first screen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The outcome is the deterministic topic-signal count for record</w:t>
      </w:r>
      <w:r>
        <w:t xml:space="preserve"> </w:t>
      </w:r>
      <m:oMath>
        <m:r>
          <m:t>i</m:t>
        </m:r>
      </m:oMath>
      <w:r>
        <w:t xml:space="preserve">. The three predictors are the recency index, the local citation count, and the ordinal venue-family score. The coefficients</w:t>
      </w:r>
      <w:r>
        <w:t xml:space="preserve"> </w:t>
      </w:r>
      <m:oMath>
        <m:sSub>
          <m:e>
            <m:r>
              <m:t>β</m:t>
            </m:r>
          </m:e>
          <m:sub>
            <m:r>
              <m:t>1</m:t>
            </m:r>
          </m:sub>
        </m:sSub>
      </m:oMath>
      <w:r>
        <w:t xml:space="preserve">,</w:t>
      </w:r>
      <w:r>
        <w:t xml:space="preserve"> </w:t>
      </w:r>
      <m:oMath>
        <m:sSub>
          <m:e>
            <m:r>
              <m:t>β</m:t>
            </m:r>
          </m:e>
          <m:sub>
            <m:r>
              <m:t>2</m:t>
            </m:r>
          </m:sub>
        </m:sSub>
      </m:oMath>
      <w:r>
        <w:t xml:space="preserve">, and</w:t>
      </w:r>
      <w:r>
        <w:t xml:space="preserve"> </w:t>
      </w:r>
      <m:oMath>
        <m:sSub>
          <m:e>
            <m:r>
              <m:t>β</m:t>
            </m:r>
          </m:e>
          <m:sub>
            <m:r>
              <m:t>3</m:t>
            </m:r>
          </m:sub>
        </m:sSub>
      </m:oMath>
      <w:r>
        <w:t xml:space="preserve"> </w:t>
      </w:r>
      <w:r>
        <w:t xml:space="preserve">are the marginal associations the mechanism cares about, and the intercept</w:t>
      </w:r>
      <w:r>
        <w:t xml:space="preserve"> </w:t>
      </w:r>
      <m:oMath>
        <m:r>
          <m:t>α</m:t>
        </m:r>
      </m:oMath>
      <w:r>
        <w:t xml:space="preserve"> </w:t>
      </w:r>
      <w:r>
        <w:t xml:space="preserve">absorbs the baseline signal for a record at the reference values of the predictors. Ordinary least squares estimates these by minimizing the sum of squared residuals, which is the right loss when the outcome is a continuous count and the goal is a linear conditional mean.</w:t>
      </w:r>
    </w:p>
    <w:bookmarkEnd w:id="90"/>
    <w:bookmarkStart w:id="91" w:name="X82055c4b61a2989fca925e0f8dad2b948b40594"/>
    <w:p>
      <w:pPr>
        <w:pStyle w:val="Heading2"/>
        <w:spacing w:line="480" w:lineRule="auto"/>
      </w:pPr>
      <w:r>
        <w:t xml:space="preserve">What ordinary least squares identifies here, and what it does not</w:t>
      </w:r>
    </w:p>
    <w:p>
      <w:pPr>
        <w:pStyle w:val="FirstParagraph"/>
        <w:spacing w:line="480" w:lineRule="auto"/>
      </w:pPr>
      <w:r>
        <w:t xml:space="preserve">Identification is a claim about what the coefficients mean, and it rests on assumptions that deserve to be stated rather than assumed. The regression identifies the conditional association between each predictor and the topic signal, within the retrieved corpus, under the assumption that the included predictors are not systematically correlated with omitted determinants of the signal strongly enough to bias the estimates. That is a within-corpus identification claim, and it is deliberately weaker than a causal claim about the whole space sector. The design does not assert that recency causes topic density in some structural sense. It asserts that, conditional on citation attention and venue, records with higher recency carry more theme-relevant vocabulary in this corpus, and it reports the precision of that assertion honestly.</w:t>
      </w:r>
    </w:p>
    <w:p>
      <w:pPr>
        <w:pStyle w:val="BodyText"/>
        <w:spacing w:line="480" w:lineRule="auto"/>
        <w:ind w:firstLine="720"/>
      </w:pPr>
      <w:r>
        <w:t xml:space="preserve">Standard errors are computed with the HC1 heteroskedasticity-consistent correction rather than the classical homoskedastic formula. The choice matters because the topic-signal count almost certainly has non-constant variance across venue families and across the range of recency; a proceedings record and a study report do not generate signal counts with the same spread. HC1 keeps the point estimates unchanged while adjusting the standard errors to be robust to that heteroskedasticity, which protects the inference from a common and plausible violation. The correction is standard practice in applied work of this kind, and it is the conservative choice when the error structure is unknown</w:t>
      </w:r>
      <w:r>
        <w:t xml:space="preserve"> </w:t>
      </w:r>
      <w:hyperlink w:anchor="ref-2">
        <w:r>
          <w:rPr>
            <w:rStyle w:val="Hyperlink"/>
          </w:rPr>
          <w:t xml:space="preserve">[2]</w:t>
        </w:r>
      </w:hyperlink>
      <w:r>
        <w:t xml:space="preserve">.</w:t>
      </w:r>
    </w:p>
    <w:p>
      <w:pPr>
        <w:pStyle w:val="BodyText"/>
        <w:spacing w:line="480" w:lineRule="auto"/>
        <w:ind w:firstLine="720"/>
      </w:pPr>
      <w:r>
        <w:t xml:space="preserve">The regression cannot do several things, and naming them is part of the identification argument. It cannot recover an effect that lives outside the retrieved corpus, because the corpus is the universe of observation. It cannot separate a genuine recency mechanism from metadata inflation if newer records mechanically carry richer keyword fields, a rival the design flags rather than solves. It cannot treat the venue score as a cardinal quality scale, only as an ordinal position, so the venue coefficient is read as a per-step shift across an ordering, not as a dollar-valued quality premium. These limits are not defects to be hidden. They are the boundary inside which the coefficient means what it says.</w:t>
      </w:r>
    </w:p>
    <w:bookmarkEnd w:id="91"/>
    <w:bookmarkStart w:id="92" w:name="Xe19c752f9e8c4dab45af13359a88d1ccedef1b3"/>
    <w:p>
      <w:pPr>
        <w:pStyle w:val="Heading2"/>
        <w:spacing w:line="480" w:lineRule="auto"/>
      </w:pPr>
      <w:r>
        <w:t xml:space="preserve">Why a learning-curve specification for accumulation</w:t>
      </w:r>
    </w:p>
    <w:p>
      <w:pPr>
        <w:pStyle w:val="FirstParagraph"/>
        <w:spacing w:line="480" w:lineRule="auto"/>
      </w:pPr>
      <w:r>
        <w:t xml:space="preserve">The second question is different in kind. It asks not how the signal is distributed across features but how citation attention accumulates against article age, and whether that accumulation follows a structured arc. Here a linear regression on raw counts would be the wrong instrument, because citation growth is multiplicative rather than additive: a paper that is twice as old does not gather twice as many citations in a linear sense, it gathers them along a curve that flattens or steepens with the maturity of the field. The learning-curve tradition, borrowed from production economics where cumulative output drives cost down along a constant elasticity, gives the right functional form for a multiplicative accumulation process</w:t>
      </w:r>
      <w:r>
        <w:t xml:space="preserve"> </w:t>
      </w:r>
      <w:hyperlink w:anchor="ref-9">
        <w:r>
          <w:rPr>
            <w:rStyle w:val="Hyperlink"/>
          </w:rPr>
          <w:t xml:space="preserve">[9]</w:t>
        </w:r>
      </w:hyperlink>
      <w:r>
        <w:t xml:space="preserve">.</w:t>
      </w:r>
    </w:p>
    <w:p>
      <w:pPr>
        <w:pStyle w:val="BodyText"/>
        <w:spacing w:line="480" w:lineRule="auto"/>
        <w:ind w:firstLine="720"/>
      </w:pPr>
      <w:r>
        <w:t xml:space="preserve">The estimating equation for the second screen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Both sides are logged, which turns a power-law accumulation into a line whose slope is an elasticity. The outcome is the natural log of the citation count plus one, where the plus-one is not a fudge but a necessity: roughly two thirds of the records carry a zero citation count in the local index, and the logarithm of zero is undefined, so adding one keeps every record in the estimation while preserving the ordering. The single predictor is the log of the age index. The coefficient</w:t>
      </w:r>
      <w:r>
        <w:t xml:space="preserve"> </w:t>
      </w:r>
      <m:oMath>
        <m:sSub>
          <m:e>
            <m:r>
              <m:t>β</m:t>
            </m:r>
          </m:e>
          <m:sub>
            <m:r>
              <m:t>1</m:t>
            </m:r>
          </m:sub>
        </m:sSub>
      </m:oMath>
      <w:r>
        <w:t xml:space="preserve"> </w:t>
      </w:r>
      <w:r>
        <w:t xml:space="preserve">is the citation-age elasticity, the percentage change in citations-plus-one associated with a one-percent change in age, and it is the quantity the accumulation hypothesis is about.</w:t>
      </w:r>
    </w:p>
    <w:bookmarkEnd w:id="92"/>
    <w:bookmarkStart w:id="93" w:name="what-the-learning-curve-identifies"/>
    <w:p>
      <w:pPr>
        <w:pStyle w:val="Heading2"/>
        <w:spacing w:line="480" w:lineRule="auto"/>
      </w:pPr>
      <w:r>
        <w:t xml:space="preserve">What the learning curve identifies</w:t>
      </w:r>
    </w:p>
    <w:p>
      <w:pPr>
        <w:pStyle w:val="FirstParagraph"/>
        <w:spacing w:line="480" w:lineRule="auto"/>
      </w:pPr>
      <w:r>
        <w:t xml:space="preserve">A log-log slope identifies the elasticity of accumulation under the assumption that the power-law form is a reasonable approximation to how citations grow with age in this corpus. If the field were maturing along a clean arc, the elasticity would be positive and precise, because older records would have accumulated more attention in a structured way. A near-zero or imprecise elasticity identifies the absence of a legible arc, which is a substantive result rather than a null non-finding: it says that, in this small and lightly cited corpus, age does not organize attention into a measurable curve. The progress-ratio transformation of the slope, computed as two raised to the elasticity, gives an interpretable summary of how citations scale when age doubles, and it is reported in Chapter 6 exactly as the workbook produced it.</w:t>
      </w:r>
    </w:p>
    <w:p>
      <w:pPr>
        <w:pStyle w:val="BodyText"/>
        <w:spacing w:line="480" w:lineRule="auto"/>
        <w:ind w:firstLine="720"/>
      </w:pPr>
      <w:r>
        <w:t xml:space="preserve">The learning-curve screen inherits the same HC1 robustness and the same within-corpus identification boundary. It cannot claim that age causes citation in a structural sense, only that the log-log association takes a particular value with a particular precision in the retrieved records. It is especially vulnerable to the single high-citation outlier, a 2022 record carrying an order of magnitude more citations than any other, and the design confronts that vulnerability openly in the results and discussion rather than trimming the point to manufacture a cleaner fit</w:t>
      </w:r>
      <w:r>
        <w:t xml:space="preserve"> </w:t>
      </w:r>
      <w:hyperlink w:anchor="ref-9">
        <w:r>
          <w:rPr>
            <w:rStyle w:val="Hyperlink"/>
          </w:rPr>
          <w:t xml:space="preserve">[9]</w:t>
        </w:r>
      </w:hyperlink>
      <w:r>
        <w:t xml:space="preserve"> </w:t>
      </w:r>
      <w:hyperlink w:anchor="ref-2">
        <w:r>
          <w:rPr>
            <w:rStyle w:val="Hyperlink"/>
          </w:rPr>
          <w:t xml:space="preserve">[2]</w:t>
        </w:r>
      </w:hyperlink>
      <w:r>
        <w:t xml:space="preserve">.</w:t>
      </w:r>
    </w:p>
    <w:bookmarkEnd w:id="93"/>
    <w:bookmarkStart w:id="94" w:name="reproducibility-as-a-design-constraint"/>
    <w:p>
      <w:pPr>
        <w:pStyle w:val="Heading2"/>
        <w:spacing w:line="480" w:lineRule="auto"/>
      </w:pPr>
      <w:r>
        <w:t xml:space="preserve">Reproducibility as a design constraint</w:t>
      </w:r>
    </w:p>
    <w:p>
      <w:pPr>
        <w:pStyle w:val="FirstParagraph"/>
        <w:spacing w:line="480" w:lineRule="auto"/>
      </w:pPr>
      <w:r>
        <w:t xml:space="preserve">Identification is one axis of a good estimator; reproducibility is another, and this design treats it as a first-class constraint rather than an afterthought. An estimator is reproducible when a second analyst, handed the same data and the same specification, recovers the same numbers. That property is not automatic. It fails when a specification depends on undocumented preprocessing, on a random seed, or on a coding decision that lives only in the analyst’s head. Both screens here are built to avoid those failure modes. The variables are deterministic functions of documented fields, so there is no preprocessing to reproduce imperfectly. The estimators are ordinary least squares in linear and log-linear forms, which have closed-form solutions and no stochastic component, so there is no seed to match. The standard-error correction is the named HC1 form, so there is no ambiguity about which robust variance was used.</w:t>
      </w:r>
    </w:p>
    <w:p>
      <w:pPr>
        <w:pStyle w:val="BodyText"/>
        <w:spacing w:line="480" w:lineRule="auto"/>
        <w:ind w:firstLine="720"/>
      </w:pPr>
      <w:r>
        <w:t xml:space="preserve">This constraint interacts with the small-sample posture in a productive way. A more elaborate estimator, a hierarchical model or a machine-learning regressor, might squeeze marginally more fit out of thirty points, but it would introduce tuning choices, hyperparameters, convergence tolerances, that a second analyst would have to reproduce exactly to recover the result. The lean linear form buys reproducibility at the price of flexibility, and in a design whose entire value proposition is auditability, that is the correct trade</w:t>
      </w:r>
      <w:r>
        <w:t xml:space="preserve"> </w:t>
      </w:r>
      <w:hyperlink w:anchor="ref-2">
        <w:r>
          <w:rPr>
            <w:rStyle w:val="Hyperlink"/>
          </w:rPr>
          <w:t xml:space="preserve">[2]</w:t>
        </w:r>
      </w:hyperlink>
      <w:r>
        <w:t xml:space="preserve">. A finding that a reviewer cannot reproduce is a finding that rests on trust, and trust is precisely what this project set out to replace with verification.</w:t>
      </w:r>
    </w:p>
    <w:p>
      <w:pPr>
        <w:pStyle w:val="BodyText"/>
        <w:spacing w:line="480" w:lineRule="auto"/>
        <w:ind w:firstLine="720"/>
      </w:pPr>
      <w:r>
        <w:t xml:space="preserve">The reproducibility constraint also governs how the results are reported. Coefficients, standard errors, and p-values are given to full precision in Chapter 6, not because the extra digits carry policy meaning but because a re-estimation can be checked against them exactly. A rounded summary would break the audit chain at the last link, and the design refuses to break it there after taking such care to keep it intact everywhere else</w:t>
      </w:r>
      <w:r>
        <w:t xml:space="preserve"> </w:t>
      </w:r>
      <w:hyperlink w:anchor="ref-9">
        <w:r>
          <w:rPr>
            <w:rStyle w:val="Hyperlink"/>
          </w:rPr>
          <w:t xml:space="preserve">[9]</w:t>
        </w:r>
      </w:hyperlink>
      <w:r>
        <w:t xml:space="preserve">.</w:t>
      </w:r>
    </w:p>
    <w:bookmarkEnd w:id="94"/>
    <w:bookmarkStart w:id="95" w:name="why-two-screens-rather-than-one"/>
    <w:p>
      <w:pPr>
        <w:pStyle w:val="Heading2"/>
        <w:spacing w:line="480" w:lineRule="auto"/>
      </w:pPr>
      <w:r>
        <w:t xml:space="preserve">Why two screens rather than one</w:t>
      </w:r>
    </w:p>
    <w:p>
      <w:pPr>
        <w:pStyle w:val="FirstParagraph"/>
        <w:spacing w:line="480" w:lineRule="auto"/>
      </w:pPr>
      <w:r>
        <w:t xml:space="preserve">The two estimators are complementary because they answer questions that a single model would blur. The regression is cross-sectional; it asks how the signal sits across features at a moment. The learning curve is temporal; it asks how attention builds over age. A field could show strong cross-sectional structure and no temporal arc, or the reverse, and reading the two together is more informative than reading either alone. This is the same logic that separates static visibility from dynamic accumulation in the autonomous-navigation review, which maps both the state of the art and its trajectory rather than collapsing them</w:t>
      </w:r>
      <w:r>
        <w:t xml:space="preserve"> </w:t>
      </w:r>
      <w:hyperlink w:anchor="ref-9">
        <w:r>
          <w:rPr>
            <w:rStyle w:val="Hyperlink"/>
          </w:rPr>
          <w:t xml:space="preserve">[9]</w:t>
        </w:r>
      </w:hyperlink>
      <w:r>
        <w:t xml:space="preserve">. Running both screens on the same thirty records, with the same provenance and the same construction rules, keeps the comparison clean.</w:t>
      </w:r>
    </w:p>
    <w:p>
      <w:pPr>
        <w:pStyle w:val="BodyText"/>
        <w:spacing w:line="480" w:lineRule="auto"/>
        <w:ind w:firstLine="720"/>
      </w:pPr>
      <w:r>
        <w:t xml:space="preserve">Any difference between them is a difference in what the two questions can see, not an artifact of different data</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This shared-data design is deliberate. When two screens run on the same records under the same rules, a divergence in their findings isolates the difference between a cross-sectional and a temporal question cleanly, because every other source of variation is held constant across the two. A divergence produced by different samples would be uninterpretable; a divergence produced by the same sample is exactly the comparison the framework wants</w:t>
      </w:r>
      <w:r>
        <w:t xml:space="preserve"> </w:t>
      </w:r>
      <w:hyperlink w:anchor="ref-9">
        <w:r>
          <w:rPr>
            <w:rStyle w:val="Hyperlink"/>
          </w:rPr>
          <w:t xml:space="preserve">[9]</w:t>
        </w:r>
      </w:hyperlink>
      <w:r>
        <w:t xml:space="preserve">.</w:t>
      </w:r>
    </w:p>
    <w:bookmarkEnd w:id="95"/>
    <w:bookmarkStart w:id="96" w:name="Xf39ee94dd1b646e6c38667d0e0ee23a1cc14902"/>
    <w:p>
      <w:pPr>
        <w:pStyle w:val="Heading2"/>
        <w:spacing w:line="480" w:lineRule="auto"/>
      </w:pPr>
      <w:r>
        <w:t xml:space="preserve">The small-sample posture and why it is honest</w:t>
      </w:r>
    </w:p>
    <w:p>
      <w:pPr>
        <w:pStyle w:val="FirstParagraph"/>
        <w:spacing w:line="480" w:lineRule="auto"/>
      </w:pPr>
      <w:r>
        <w:t xml:space="preserve">Thirty observations is a small sample, and the methodology has to be built around that fact rather than in denial of it. A four-parameter regression on thirty points leaves twenty-six residual degrees of freedom, which is enough to estimate the coefficients and their robust standard errors with meaning, but not enough to chase higher-order terms, interactions, or nonlinearities without overfitting. The specification is therefore kept deliberately lean. Fewer parameters, cleaner claims. Three predictors in the cross-sectional screen, one in the accumulation screen, no interactions, no polynomial terms. Every parameter the model spends has to earn its place from the mechanism, and the mechanism justifies only the primary main-effect terms. Adding an interaction between recency and venue, for instance, would be defensible theoretically, but at this sample size it would trade a large increase in variance for a small gain in bias reduction, and that trade is not worth making.</w:t>
      </w:r>
    </w:p>
    <w:p>
      <w:pPr>
        <w:pStyle w:val="BodyText"/>
        <w:spacing w:line="480" w:lineRule="auto"/>
        <w:ind w:firstLine="720"/>
      </w:pPr>
      <w:r>
        <w:t xml:space="preserve">The robust standard errors matter more at small samples, not less, because the consequences of a mis-specified error structure are harder to average away when there are few points. HC1 is the finite-sample-corrected member of the heteroskedasticity-consistent family, applying a degrees-of-freedom adjustment that inflates the classical robust variance to account for the small N. That correction is the right conservative choice here, and it is why both screens use HC1 rather than the asymptotic HC0 form that would understate uncertainty in a sample this size</w:t>
      </w:r>
      <w:r>
        <w:t xml:space="preserve"> </w:t>
      </w:r>
      <w:hyperlink w:anchor="ref-2">
        <w:r>
          <w:rPr>
            <w:rStyle w:val="Hyperlink"/>
          </w:rPr>
          <w:t xml:space="preserve">[2]</w:t>
        </w:r>
      </w:hyperlink>
      <w:r>
        <w:t xml:space="preserve">.</w:t>
      </w:r>
    </w:p>
    <w:bookmarkEnd w:id="96"/>
    <w:bookmarkStart w:id="97" w:name="alternatives-considered-and-rejected"/>
    <w:p>
      <w:pPr>
        <w:pStyle w:val="Heading2"/>
        <w:spacing w:line="480" w:lineRule="auto"/>
      </w:pPr>
      <w:r>
        <w:t xml:space="preserve">Alternatives considered and rejected</w:t>
      </w:r>
    </w:p>
    <w:p>
      <w:pPr>
        <w:pStyle w:val="FirstParagraph"/>
        <w:spacing w:line="480" w:lineRule="auto"/>
      </w:pPr>
      <w:r>
        <w:t xml:space="preserve">A defensible methodology names the estimators it did not use and says why. A count model, such as Poisson or negative binomial regression, would be a natural candidate for the topic-signal outcome, since that outcome is a nonnegative integer count. It was rejected for a specific reason. The topic-signal score is a bounded, deterministic construct rather than a rate of independent events, and its range from one to eleven with a right-skewed shape is handled adequately by ordinary least squares with robust standard errors, which imposes fewer distributional assumptions than a Poisson model whose equidispersion assumption the data would almost certainly violate. Fitting a negative binomial to thirty points to chase a dispersion parameter would spend degrees of freedom the sample cannot spare, for a gain the interpretation does not need</w:t>
      </w:r>
      <w:r>
        <w:t xml:space="preserve"> </w:t>
      </w:r>
      <w:hyperlink w:anchor="ref-2">
        <w:r>
          <w:rPr>
            <w:rStyle w:val="Hyperlink"/>
          </w:rPr>
          <w:t xml:space="preserve">[2]</w:t>
        </w:r>
      </w:hyperlink>
      <w:r>
        <w:t xml:space="preserve">.</w:t>
      </w:r>
    </w:p>
    <w:p>
      <w:pPr>
        <w:pStyle w:val="BodyText"/>
        <w:spacing w:line="480" w:lineRule="auto"/>
        <w:ind w:firstLine="720"/>
      </w:pPr>
      <w:r>
        <w:t xml:space="preserve">A survival or hazard model was considered for the temporal question and rejected as a category mismatch. Survival analysis answers questions about time until an event, and the accumulation question is not about an event’s timing but about how a continuous quantity, citations, scales with age. The learning-curve form is the correct match because it models a multiplicative accumulation with a constant elasticity, which is exactly the shape citation growth is theorized to take</w:t>
      </w:r>
      <w:r>
        <w:t xml:space="preserve"> </w:t>
      </w:r>
      <w:hyperlink w:anchor="ref-9">
        <w:r>
          <w:rPr>
            <w:rStyle w:val="Hyperlink"/>
          </w:rPr>
          <w:t xml:space="preserve">[9]</w:t>
        </w:r>
      </w:hyperlink>
      <w:r>
        <w:t xml:space="preserve">. A fixed-effects or hierarchical specification, which would let venue families have their own intercepts, was also set aside, because with only three families and thirty records the venue effect is better estimated as a single ordinal slope than as a set of family dummies that would consume scarce degrees of freedom and complicate the marginal interpretation the mechanism wants.</w:t>
      </w:r>
    </w:p>
    <w:p>
      <w:pPr>
        <w:pStyle w:val="BodyText"/>
        <w:spacing w:line="480" w:lineRule="auto"/>
        <w:ind w:firstLine="720"/>
      </w:pPr>
      <w:r>
        <w:t xml:space="preserve">These rejections are not incidental. They show that the two chosen estimators were selected against real alternatives on grounds of fit and parsimony, not by default, and that the small sample disciplined the choice at every step toward the leanest defensible form</w:t>
      </w:r>
      <w:r>
        <w:t xml:space="preserve"> </w:t>
      </w:r>
      <w:hyperlink w:anchor="ref-3">
        <w:r>
          <w:rPr>
            <w:rStyle w:val="Hyperlink"/>
          </w:rPr>
          <w:t xml:space="preserve">[3]</w:t>
        </w:r>
      </w:hyperlink>
      <w:r>
        <w:t xml:space="preserve">.</w:t>
      </w:r>
    </w:p>
    <w:bookmarkEnd w:id="97"/>
    <w:bookmarkStart w:id="98" w:name="the-intercept-and-its-interpretation"/>
    <w:p>
      <w:pPr>
        <w:pStyle w:val="Heading2"/>
        <w:spacing w:line="480" w:lineRule="auto"/>
      </w:pPr>
      <w:r>
        <w:t xml:space="preserve">The intercept and its interpretation</w:t>
      </w:r>
    </w:p>
    <w:p>
      <w:pPr>
        <w:pStyle w:val="FirstParagraph"/>
        <w:spacing w:line="480" w:lineRule="auto"/>
      </w:pPr>
      <w:r>
        <w:t xml:space="preserve">A small methodological point about the intercept prevents a common misreading of the results. In the cross-sectional regression the constant is the model’s predicted topic signal for a record at the reference values of all three predictors, which given the recency and venue coding does not correspond to any real record in the sample. The intercept is therefore a mathematical anchor for the fitted plane rather than a substantive quantity, and its significance or near-significance carries no policy meaning. The same holds for the constant in the learning-curve screen, which anchors the log-log line at the reference age. Reporting these constants is required for reproducibility, since a re-estimation must recover them, but interpreting them as if they described a meaningful baseline record would be a category error the results chapter is careful to avoid</w:t>
      </w:r>
      <w:r>
        <w:t xml:space="preserve"> </w:t>
      </w:r>
      <w:hyperlink w:anchor="ref-2">
        <w:r>
          <w:rPr>
            <w:rStyle w:val="Hyperlink"/>
          </w:rPr>
          <w:t xml:space="preserve">[2]</w:t>
        </w:r>
      </w:hyperlink>
      <w:r>
        <w:t xml:space="preserve">. The coefficients on the predictors, not the intercept, are where the mechanism’s predictions live.</w:t>
      </w:r>
    </w:p>
    <w:bookmarkEnd w:id="98"/>
    <w:bookmarkStart w:id="99" w:name="inference-philosophy"/>
    <w:p>
      <w:pPr>
        <w:pStyle w:val="Heading2"/>
        <w:spacing w:line="480" w:lineRule="auto"/>
      </w:pPr>
      <w:r>
        <w:t xml:space="preserve">Inference philosophy</w:t>
      </w:r>
    </w:p>
    <w:p>
      <w:pPr>
        <w:pStyle w:val="FirstParagraph"/>
        <w:spacing w:line="480" w:lineRule="auto"/>
      </w:pPr>
      <w:r>
        <w:t xml:space="preserve">A p-value is a modest instrument. It is worth saying plainly how this design reads one.</w:t>
      </w:r>
    </w:p>
    <w:p>
      <w:pPr>
        <w:pStyle w:val="BodyText"/>
        <w:spacing w:line="480" w:lineRule="auto"/>
        <w:ind w:firstLine="720"/>
      </w:pPr>
      <w:r>
        <w:t xml:space="preserve">A word on how the p-values should be read, because the design leans on them without worshipping them. A p-value here is a statement about the compatibility of the data with a null of no association, conditional on the model and on the retrieved corpus. It is not a probability that a hypothesis is true, and it is not a license to convert a significant coefficient into a policy fact. The methodology treats a small p-value as a signal that the corpus contains structure worth reporting, and a large p-value as a signal that the corpus cannot sustain a claim, and it treats both as findings.</w:t>
      </w:r>
    </w:p>
    <w:p>
      <w:pPr>
        <w:pStyle w:val="BodyText"/>
        <w:spacing w:line="480" w:lineRule="auto"/>
        <w:ind w:firstLine="720"/>
      </w:pPr>
      <w:r>
        <w:t xml:space="preserve">The learning-curve screen in particular is set up so that a null result is informative: if the elasticity is indistinguishable from zero, that says something real about the absence of an accumulation arc, and the design is content to report it. This posture, where nulls are outcomes rather than failures, is what keeps the two screens from being a search for significance. They are tests, and a test that can only pass is not a test</w:t>
      </w:r>
      <w:r>
        <w:t xml:space="preserve"> </w:t>
      </w:r>
      <w:hyperlink w:anchor="ref-9">
        <w:r>
          <w:rPr>
            <w:rStyle w:val="Hyperlink"/>
          </w:rPr>
          <w:t xml:space="preserve">[9]</w:t>
        </w:r>
      </w:hyperlink>
      <w:r>
        <w:t xml:space="preserve"> </w:t>
      </w:r>
      <w:hyperlink w:anchor="ref-8">
        <w:r>
          <w:rPr>
            <w:rStyle w:val="Hyperlink"/>
          </w:rPr>
          <w:t xml:space="preserve">[8]</w:t>
        </w:r>
      </w:hyperlink>
      <w:r>
        <w:t xml:space="preserve">.</w:t>
      </w:r>
    </w:p>
    <w:bookmarkEnd w:id="99"/>
    <w:bookmarkEnd w:id="100"/>
    <w:bookmarkStart w:id="111" w:name="data-and-measurement"/>
    <w:p>
      <w:pPr>
        <w:pStyle w:val="Heading1"/>
        <w:spacing w:line="480" w:lineRule="auto"/>
      </w:pPr>
      <w:r>
        <w:t xml:space="preserve">Data and Measurement</w:t>
      </w:r>
    </w:p>
    <w:p>
      <w:pPr>
        <w:pStyle w:val="FirstParagraph"/>
        <w:spacing w:line="480" w:lineRule="auto"/>
      </w:pPr>
      <w:r>
        <w:t xml:space="preserve">The dataset is small, deliberate, and completely traceable. Thirty retrieved source records make up the estimation sample for both screens, and every record carries a source column that names its origin, whether a conference proceeding, a digital object identifier, or a study-report description. This chapter describes where the records come from, how each variable is built from a record, and what the resulting sample looks like. The governing principle is that nothing enters the analysis without a rule a reader can rerun.</w:t>
      </w:r>
    </w:p>
    <w:bookmarkStart w:id="101" w:name="provenance-and-the-shape-of-the-corpus"/>
    <w:p>
      <w:pPr>
        <w:pStyle w:val="Heading2"/>
        <w:spacing w:line="480" w:lineRule="auto"/>
      </w:pPr>
      <w:r>
        <w:t xml:space="preserve">Provenance and the shape of the corpus</w:t>
      </w:r>
    </w:p>
    <w:p>
      <w:pPr>
        <w:pStyle w:val="FirstParagraph"/>
        <w:spacing w:line="480" w:lineRule="auto"/>
      </w:pPr>
      <w:r>
        <w:t xml:space="preserve">The records were assembled from the candidate’s local source files and reference pool, the same bibliography that anchors the technical claims in the preceding chapters. Three venue families are represented. The first is the conference-proceedings family, dominated by cislunar tracking and space domain awareness work drawn from the archival proceedings that host it, including studies of lunar-orbit observation, cislunar orbit determination via space-based measurements, and periodic-orbit-family classification</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 second is the archival-journal family, carrying the debris-tracking, autonomous-navigation, and traffic-management contributions that have migrated into peer-reviewed journals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third is a study-report family of space-economy and governance documents that frame the wider setting in which cislunar infrastructure decisions are made.</w:t>
      </w:r>
    </w:p>
    <w:p>
      <w:pPr>
        <w:pStyle w:val="BodyText"/>
        <w:spacing w:line="480" w:lineRule="auto"/>
        <w:ind w:firstLine="720"/>
      </w:pPr>
      <w:r>
        <w:t xml:space="preserve">The composition is uneven by design, because it mirrors how the actual literature is distributed rather than a balanced sampling frame. Twelve records fall in the conference-proceedings family, twelve in the archival-journal family, and six in the study-report family. That imbalance is itself informative, and it is one reason the venue-family variable is treated as an ordinal position rather than a quality scale: the families differ in coverage and function, not on a single axis of merit. A reader who wants to check any row can follow its source column back to the underlying document, which keeps the sample auditable at the level of the individual observation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01"/>
    <w:bookmarkStart w:id="102" w:name="constructing-the-topic-signal-outcome"/>
    <w:p>
      <w:pPr>
        <w:pStyle w:val="Heading2"/>
        <w:spacing w:line="480" w:lineRule="auto"/>
      </w:pPr>
      <w:r>
        <w:t xml:space="preserve">Constructing the topic-signal outcome</w:t>
      </w:r>
    </w:p>
    <w:p>
      <w:pPr>
        <w:pStyle w:val="FirstParagraph"/>
        <w:spacing w:line="480" w:lineRule="auto"/>
      </w:pPr>
      <w:r>
        <w:t xml:space="preserve">The central outcome for the first screen is the topic-signal score, and its construction is intentionally mechanical so that no coder judgment enters. For each record, the procedure counts theme-relevant term hits across four fields: the source title, the retrieved snippet, the keyword field, and the author metadata. A record steeped in cislunar tracking vocabulary accumulates a high count; a record on an adjacent subject accumulates a low one. The 2025 traffic-management framework and the 2021 lunar-orbit observation study both reach the top of the distribution with scores of eleven, because their metadata is dense with the target vocabulary</w:t>
      </w:r>
      <w:r>
        <w:t xml:space="preserve"> </w:t>
      </w:r>
      <w:hyperlink w:anchor="ref-8">
        <w:r>
          <w:rPr>
            <w:rStyle w:val="Hyperlink"/>
          </w:rPr>
          <w:t xml:space="preserve">[8]</w:t>
        </w:r>
      </w:hyperlink>
      <w:r>
        <w:t xml:space="preserve"> </w:t>
      </w:r>
      <w:hyperlink w:anchor="ref-10">
        <w:r>
          <w:rPr>
            <w:rStyle w:val="Hyperlink"/>
          </w:rPr>
          <w:t xml:space="preserve">[10]</w:t>
        </w:r>
      </w:hyperlink>
      <w:r>
        <w:t xml:space="preserve">. Several study-report and off-theme records sit at the floor with a score of one, because the theme terms barely appear. The determinism is the point. No judgment enters. Run the count again and the same record yields the same score.</w:t>
      </w:r>
    </w:p>
    <w:p>
      <w:pPr>
        <w:pStyle w:val="BodyText"/>
        <w:spacing w:line="480" w:lineRule="auto"/>
        <w:ind w:firstLine="720"/>
      </w:pPr>
      <w:r>
        <w:t xml:space="preserve">The topic-signal score ranges from one to eleven across the thirty records, with most mass in the low-to-middle range and a thin tail of high-signal records. The distribution is right-skewed, which is exactly what a heteroskedasticity-robust standard error is built to accommodate, and it is why the first screen uses the HC1 correction described in the methodology chapter. A naive homoskedastic inference would understate the uncertainty attached to the high-signal tail.</w:t>
      </w:r>
    </w:p>
    <w:bookmarkEnd w:id="102"/>
    <w:bookmarkStart w:id="103" w:name="constructing-the-predictors"/>
    <w:p>
      <w:pPr>
        <w:pStyle w:val="Heading2"/>
        <w:spacing w:line="480" w:lineRule="auto"/>
      </w:pPr>
      <w:r>
        <w:t xml:space="preserve">Constructing the predictors</w:t>
      </w:r>
    </w:p>
    <w:p>
      <w:pPr>
        <w:pStyle w:val="FirstParagraph"/>
        <w:spacing w:line="480" w:lineRule="auto"/>
      </w:pPr>
      <w:r>
        <w:t xml:space="preserve">Recency enters through an index computed as the publication year minus the minimum publication year in the sample, plus one. The oldest record, a 2008 architecture study of sun-synchronous slots, takes the value one, and the newest 2025 records take the largest values around eighteen</w:t>
      </w:r>
      <w:r>
        <w:t xml:space="preserve"> </w:t>
      </w:r>
      <w:hyperlink w:anchor="ref-5">
        <w:r>
          <w:rPr>
            <w:rStyle w:val="Hyperlink"/>
          </w:rPr>
          <w:t xml:space="preserve">[5]</w:t>
        </w:r>
      </w:hyperlink>
      <w:r>
        <w:t xml:space="preserve">. The index preserves the ordering of years while giving the regression a variable that starts at one rather than at an arbitrary calendar number, which keeps the intercept interpretable. Because the corpus skews recent, most records cluster in the upper half of the recency range, and only a handful of older records anchor the low end.</w:t>
      </w:r>
    </w:p>
    <w:p>
      <w:pPr>
        <w:pStyle w:val="BodyText"/>
        <w:spacing w:line="480" w:lineRule="auto"/>
        <w:ind w:firstLine="720"/>
      </w:pPr>
      <w:r>
        <w:t xml:space="preserve">Citation attention enters through the reported count from the local brain index. This is the variable that demands the most caution. For most records the index reports zero, so the count is zero, and only a minority of the archival-journal records carry positive counts. One record, a 2022 autonomous-navigation review, dominates the distribution with a local count of one hundred thirty, an order of magnitude above the next-highest value</w:t>
      </w:r>
      <w:r>
        <w:t xml:space="preserve"> </w:t>
      </w:r>
      <w:hyperlink w:anchor="ref-9">
        <w:r>
          <w:rPr>
            <w:rStyle w:val="Hyperlink"/>
          </w:rPr>
          <w:t xml:space="preserve">[9]</w:t>
        </w:r>
      </w:hyperlink>
      <w:r>
        <w:t xml:space="preserve">. The count is a proxy for attention within the local index, not a reconciled cross-database citation figure, and every reading of it in Chapter 6 respects that limit. It is an attention signal, coarse and index-specific, and it is treated that way throughout.</w:t>
      </w:r>
    </w:p>
    <w:p>
      <w:pPr>
        <w:pStyle w:val="BodyText"/>
        <w:spacing w:line="480" w:lineRule="auto"/>
        <w:ind w:firstLine="720"/>
      </w:pPr>
      <w:r>
        <w:t xml:space="preserve">Venue family enters through the ordinal score already described: one for the conference-proceedings family, two for the archival-journal family, three for the study-report family. The score encodes position in the field’s attention economy, from the proceedings where new technical work first appears, through the journals where consolidating results settle, to the study reports that sit at the governance edge. The ordering is defensible, but it is only an ordering, and the venue coefficient is interpreted accordingly.</w:t>
      </w:r>
    </w:p>
    <w:bookmarkEnd w:id="103"/>
    <w:bookmarkStart w:id="104" w:name="provenance-columns-and-the-audit-chain"/>
    <w:p>
      <w:pPr>
        <w:pStyle w:val="Heading2"/>
        <w:spacing w:line="480" w:lineRule="auto"/>
      </w:pPr>
      <w:r>
        <w:t xml:space="preserve">Provenance columns and the audit chain</w:t>
      </w:r>
    </w:p>
    <w:p>
      <w:pPr>
        <w:pStyle w:val="FirstParagraph"/>
        <w:spacing w:line="480" w:lineRule="auto"/>
      </w:pPr>
      <w:r>
        <w:t xml:space="preserve">Every record in the estimation file carries a source column, and that column is the physical instantiation of the audit chain the dissertation keeps promising. For the conference-proceedings records the source is a proceedings identifier that resolves to the archival page hosting the paper; for the archival-journal records it is a digital object identifier that resolves to the published article; for the study-report records it is a descriptive string naming the document. In each case a reader who doubts a row can follow the source column to the underlying document and check the variable values against the content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checkability is not a convenience feature. It is the mechanism by which a within-corpus finding becomes verifiable rather than merely asserted.</w:t>
      </w:r>
    </w:p>
    <w:p>
      <w:pPr>
        <w:pStyle w:val="BodyText"/>
        <w:spacing w:line="480" w:lineRule="auto"/>
        <w:ind w:firstLine="720"/>
      </w:pPr>
      <w:r>
        <w:t xml:space="preserve">The provenance discipline extends to the derived variables. Because recency, age, and venue score are computed from the publication year and venue family by fixed arithmetic, a reader who accepts the year and venue of a record can reproduce those three variables exactly. The topic-signal and citation variables require one more step, inspecting the metadata fields the counts are drawn from, but even there the rule is fixed and the fields are named, so the reproduction is mechanical rather than judgmental</w:t>
      </w:r>
      <w:r>
        <w:t xml:space="preserve"> </w:t>
      </w:r>
      <w:hyperlink w:anchor="ref-6">
        <w:r>
          <w:rPr>
            <w:rStyle w:val="Hyperlink"/>
          </w:rPr>
          <w:t xml:space="preserve">[6]</w:t>
        </w:r>
      </w:hyperlink>
      <w:r>
        <w:t xml:space="preserve">. The result is a dataset in which no cell is opaque: every value traces to either a documented field or a documented arithmetic rule, and the source column ties the whole row to a real document.</w:t>
      </w:r>
    </w:p>
    <w:p>
      <w:pPr>
        <w:pStyle w:val="BodyText"/>
        <w:spacing w:line="480" w:lineRule="auto"/>
        <w:ind w:firstLine="720"/>
      </w:pPr>
      <w:r>
        <w:t xml:space="preserve">This is the sense in which the corpus is auditable at the level of the individual observation, a phrase used earlier that this section makes concrete. Auditability is not a property of the aggregate statistics alone. It reaches down to the single row, and it is what allows a skeptical reviewer to spot-check any record and confirm that the rules were applied as stated</w:t>
      </w:r>
      <w:r>
        <w:t xml:space="preserve"> </w:t>
      </w:r>
      <w:hyperlink w:anchor="ref-5">
        <w:r>
          <w:rPr>
            <w:rStyle w:val="Hyperlink"/>
          </w:rPr>
          <w:t xml:space="preserve">[5]</w:t>
        </w:r>
      </w:hyperlink>
      <w:r>
        <w:t xml:space="preserve">.</w:t>
      </w:r>
    </w:p>
    <w:bookmarkEnd w:id="104"/>
    <w:bookmarkStart w:id="105" w:name="the-second-screens-variables"/>
    <w:p>
      <w:pPr>
        <w:pStyle w:val="Heading2"/>
        <w:spacing w:line="480" w:lineRule="auto"/>
      </w:pPr>
      <w:r>
        <w:t xml:space="preserve">The second screen’s variables</w:t>
      </w:r>
    </w:p>
    <w:p>
      <w:pPr>
        <w:pStyle w:val="FirstParagraph"/>
        <w:spacing w:line="480" w:lineRule="auto"/>
      </w:pPr>
      <w:r>
        <w:t xml:space="preserve">The learning-curve screen reuses the same thirty records but reshapes two variables for a temporal question. The outcome is the citation count plus one, a transformation that keeps every record in the log-log estimation despite the many zeros. Adding one before logging is standard when a count variable has a mass point at zero, and it preserves the rank ordering of attention while making the logarithm defined everywhere. The single high-citation record becomes one hundred thirty-one after the transformation, and the many uncited records become one, which sets up the flat, outlier-sensitive distribution that the results chapter confronts directly</w:t>
      </w:r>
      <w:r>
        <w:t xml:space="preserve"> </w:t>
      </w:r>
      <w:hyperlink w:anchor="ref-9">
        <w:r>
          <w:rPr>
            <w:rStyle w:val="Hyperlink"/>
          </w:rPr>
          <w:t xml:space="preserve">[9]</w:t>
        </w:r>
      </w:hyperlink>
      <w:r>
        <w:t xml:space="preserve">.</w:t>
      </w:r>
    </w:p>
    <w:p>
      <w:pPr>
        <w:pStyle w:val="BodyText"/>
        <w:spacing w:line="480" w:lineRule="auto"/>
        <w:ind w:firstLine="720"/>
      </w:pPr>
      <w:r>
        <w:t xml:space="preserve">Article age enters as an index computed as 2026 minus the publication year, plus one. The newest 2025 records take the value two, and the oldest 2008 record takes the value nineteen. Age and recency are near-mirror images of each other, which is intentional: the two screens ask opposite-facing questions about time, one about how signal sits with newness and one about how attention accumulates with age, and giving each its own natural index keeps the two analyses cleanly separated rather than forcing one time variable to serve both.</w:t>
      </w:r>
    </w:p>
    <w:bookmarkEnd w:id="105"/>
    <w:bookmarkStart w:id="106" w:name="why-thirty-records-and-not-fewer-or-more"/>
    <w:p>
      <w:pPr>
        <w:pStyle w:val="Heading2"/>
        <w:spacing w:line="480" w:lineRule="auto"/>
      </w:pPr>
      <w:r>
        <w:t xml:space="preserve">Why thirty records, and not fewer or more</w:t>
      </w:r>
    </w:p>
    <w:p>
      <w:pPr>
        <w:pStyle w:val="FirstParagraph"/>
        <w:spacing w:line="480" w:lineRule="auto"/>
      </w:pPr>
      <w:r>
        <w:t xml:space="preserve">The sample size is a design outcome, not an accident, and it is worth explaining why it settled at thirty. The corpus is the candidate’s retrieved set of source records, and it was assembled to span the three venue families that carry the cislunar tracking topic while remaining small enough that every record could be verified by hand against its source</w:t>
      </w:r>
      <w:r>
        <w:t xml:space="preserve"> </w:t>
      </w:r>
      <w:hyperlink w:anchor="ref-1">
        <w:r>
          <w:rPr>
            <w:rStyle w:val="Hyperlink"/>
          </w:rPr>
          <w:t xml:space="preserve">[1]</w:t>
        </w:r>
      </w:hyperlink>
      <w:r>
        <w:t xml:space="preserve"> </w:t>
      </w:r>
      <w:hyperlink w:anchor="ref-2">
        <w:r>
          <w:rPr>
            <w:rStyle w:val="Hyperlink"/>
          </w:rPr>
          <w:t xml:space="preserve">[2]</w:t>
        </w:r>
      </w:hyperlink>
      <w:r>
        <w:t xml:space="preserve">. A larger corpus would have improved statistical power, at the cost of making per-record verification impractical and thereby weakening the audit standard the whole design rests on.</w:t>
      </w:r>
    </w:p>
    <w:p>
      <w:pPr>
        <w:pStyle w:val="BodyText"/>
        <w:spacing w:line="480" w:lineRule="auto"/>
        <w:ind w:firstLine="720"/>
      </w:pPr>
      <w:r>
        <w:t xml:space="preserve">A smaller corpus would have preserved verifiability while stripping the estimators of the variance they need to say anything at all. Thirty is the point where a four-parameter regression and a two-parameter learning curve can be estimated with robust standard errors while each row remains individually checkable. The number reflects a considered trade between statistical reach and auditability, resolved in favor of a design that can be reproduced record by record rather than one that chases power it cannot verify</w:t>
      </w:r>
      <w:r>
        <w:t xml:space="preserve"> </w:t>
      </w:r>
      <w:hyperlink w:anchor="ref-6">
        <w:r>
          <w:rPr>
            <w:rStyle w:val="Hyperlink"/>
          </w:rPr>
          <w:t xml:space="preserve">[6]</w:t>
        </w:r>
      </w:hyperlink>
      <w:r>
        <w:t xml:space="preserve">.</w:t>
      </w:r>
    </w:p>
    <w:bookmarkEnd w:id="106"/>
    <w:bookmarkStart w:id="107" w:name="X912597804ea4ad538eec23b89b76b1c61f865f9"/>
    <w:p>
      <w:pPr>
        <w:pStyle w:val="Heading2"/>
        <w:spacing w:line="480" w:lineRule="auto"/>
      </w:pPr>
      <w:r>
        <w:t xml:space="preserve">The distributions the estimators will see</w:t>
      </w:r>
    </w:p>
    <w:p>
      <w:pPr>
        <w:pStyle w:val="FirstParagraph"/>
        <w:spacing w:line="480" w:lineRule="auto"/>
      </w:pPr>
      <w:r>
        <w:t xml:space="preserve">Before the estimators run, it helps to describe the empirical distributions they will encounter, because the shape of each variable foreshadows what the models can and cannot recover. The topic-signal outcome is right-skewed, with most records scoring in the low-to-middle range and a thin upper tail reaching eleven. That skew is why robust standard errors are non-negotiable; a homoskedastic inference would treat the tail records as if they carried the same variance as the clustered low scorers, understating the true uncertainty</w:t>
      </w:r>
      <w:r>
        <w:t xml:space="preserve"> </w:t>
      </w:r>
      <w:hyperlink w:anchor="ref-8">
        <w:r>
          <w:rPr>
            <w:rStyle w:val="Hyperlink"/>
          </w:rPr>
          <w:t xml:space="preserve">[8]</w:t>
        </w:r>
      </w:hyperlink>
      <w:r>
        <w:t xml:space="preserve">.</w:t>
      </w:r>
    </w:p>
    <w:p>
      <w:pPr>
        <w:pStyle w:val="BodyText"/>
        <w:spacing w:line="480" w:lineRule="auto"/>
        <w:ind w:firstLine="720"/>
      </w:pPr>
      <w:r>
        <w:t xml:space="preserve">The recency index is left-heavy, meaning most records sit in the recent half of the range because the corpus reflects a field that has grown quickly, with only a handful of older records anchoring the low end. This clustering gives the recency coefficient reasonable leverage in the populated region but weak information at the old end, so the estimate speaks most confidently about the recent literature and should be read cautiously as a claim about the full time span</w:t>
      </w:r>
      <w:r>
        <w:t xml:space="preserve"> </w:t>
      </w:r>
      <w:hyperlink w:anchor="ref-5">
        <w:r>
          <w:rPr>
            <w:rStyle w:val="Hyperlink"/>
          </w:rPr>
          <w:t xml:space="preserve">[5]</w:t>
        </w:r>
      </w:hyperlink>
      <w:r>
        <w:t xml:space="preserve">. The venue score is nearly balanced across its two lower levels, twelve records each in the proceedings and journal families, with a lighter six in the study-report family, which gives the ordinal slope a solid base in the lower two steps and thinner support at the top step.</w:t>
      </w:r>
    </w:p>
    <w:p>
      <w:pPr>
        <w:pStyle w:val="BodyText"/>
        <w:spacing w:line="480" w:lineRule="auto"/>
        <w:ind w:firstLine="720"/>
      </w:pPr>
      <w:r>
        <w:t xml:space="preserve">The citation variable is the pathological one, and its distribution is worth stating precisely because it drives two nulls. Twenty of the thirty records carry a local count of zero. A handful carry single-digit or low-double-digit counts. One carries 130</w:t>
      </w:r>
      <w:r>
        <w:t xml:space="preserve"> </w:t>
      </w:r>
      <w:hyperlink w:anchor="ref-9">
        <w:r>
          <w:rPr>
            <w:rStyle w:val="Hyperlink"/>
          </w:rPr>
          <w:t xml:space="preserve">[9]</w:t>
        </w:r>
      </w:hyperlink>
      <w:r>
        <w:t xml:space="preserve">. A variable with twenty tied zeros and a single extreme value has almost no usable variance in its interior and enormous leverage at one point, which is the textbook condition under which a slope cannot be stably estimated. Seeing this distribution in advance makes the inert citation coefficient in Chapter 6 unsurprising; the data could not have produced anything else.</w:t>
      </w:r>
    </w:p>
    <w:bookmarkEnd w:id="107"/>
    <w:bookmarkStart w:id="108" w:name="Xb2a6becfa5fc099835d8286a47682a8437e9cf7"/>
    <w:p>
      <w:pPr>
        <w:pStyle w:val="Heading2"/>
        <w:spacing w:line="480" w:lineRule="auto"/>
      </w:pPr>
      <w:r>
        <w:t xml:space="preserve">What the measurement can and cannot support</w:t>
      </w:r>
    </w:p>
    <w:p>
      <w:pPr>
        <w:pStyle w:val="FirstParagraph"/>
        <w:spacing w:line="480" w:lineRule="auto"/>
      </w:pPr>
      <w:r>
        <w:t xml:space="preserve">Every measure here is a proxy. The honest question is whether the proxy fits the claim it carries.</w:t>
      </w:r>
    </w:p>
    <w:p>
      <w:pPr>
        <w:pStyle w:val="BodyText"/>
        <w:spacing w:line="480" w:lineRule="auto"/>
        <w:ind w:firstLine="720"/>
      </w:pPr>
      <w:r>
        <w:t xml:space="preserve">Measurement validity is a matter of fit between the question and the data, and this dataset is strongest for one kind of question. It can support claims about whether the retrieved records contain recoverable structure, because every variable is a transparent function of an auditable field</w:t>
      </w:r>
      <w:r>
        <w:t xml:space="preserve"> </w:t>
      </w:r>
      <w:hyperlink w:anchor="ref-4">
        <w:r>
          <w:rPr>
            <w:rStyle w:val="Hyperlink"/>
          </w:rPr>
          <w:t xml:space="preserve">[4]</w:t>
        </w:r>
      </w:hyperlink>
      <w:r>
        <w:t xml:space="preserve"> </w:t>
      </w:r>
      <w:hyperlink w:anchor="ref-6">
        <w:r>
          <w:rPr>
            <w:rStyle w:val="Hyperlink"/>
          </w:rPr>
          <w:t xml:space="preserve">[6]</w:t>
        </w:r>
      </w:hyperlink>
      <w:r>
        <w:t xml:space="preserve">. It is weaker, and the design says so plainly, when asked to stand in for the full universe of cislunar tracking activity or for a causal policy effect outside the corpus. The proxies are honest proxies. Topic signal is a term count, not a measure of scientific importance. Citation attention is a local index figure, not a settled measure of influence.</w:t>
      </w:r>
    </w:p>
    <w:p>
      <w:pPr>
        <w:pStyle w:val="BodyText"/>
        <w:spacing w:line="480" w:lineRule="auto"/>
        <w:ind w:firstLine="720"/>
      </w:pPr>
      <w:r>
        <w:t xml:space="preserve">Venue family is a position, not a verdict on quality. Chapter 6 holds every interpretation inside those boundaries, reporting the estimator output exactly and reading it as evidence about the measured record rather than as an unsupported claim about the whole domain</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sample size, thirty, is another honest limit. It is enough to estimate a four-parameter regression and a two-parameter learning curve, and it is not enough to chase subtle interactions, which is why the specifications stay lean and the conclusions stay bounded.</w:t>
      </w:r>
    </w:p>
    <w:bookmarkEnd w:id="108"/>
    <w:bookmarkStart w:id="109" w:name="a-record-level-walk-through-the-corpus"/>
    <w:p>
      <w:pPr>
        <w:pStyle w:val="Heading2"/>
        <w:spacing w:line="480" w:lineRule="auto"/>
      </w:pPr>
      <w:r>
        <w:t xml:space="preserve">A record-level walk through the corpus</w:t>
      </w:r>
    </w:p>
    <w:p>
      <w:pPr>
        <w:pStyle w:val="FirstParagraph"/>
        <w:spacing w:line="480" w:lineRule="auto"/>
      </w:pPr>
      <w:r>
        <w:t xml:space="preserve">Abstract description of a dataset can hide as much as it reveals, so it helps to walk a few concrete records and show how the rules convert them into rows. Consider the 2021 lunar-orbit observation study, which sits at the top of the topic-signal distribution with a score of eleven. Its metadata is dense with cislunar tracking vocabulary because its subject is precisely the reacquisition of faint objects in low lunar orbit, and the term counter catches that density across title, snippet, and keywords</w:t>
      </w:r>
      <w:r>
        <w:t xml:space="preserve"> </w:t>
      </w:r>
      <w:hyperlink w:anchor="ref-8">
        <w:r>
          <w:rPr>
            <w:rStyle w:val="Hyperlink"/>
          </w:rPr>
          <w:t xml:space="preserve">[8]</w:t>
        </w:r>
      </w:hyperlink>
      <w:r>
        <w:t xml:space="preserve">. Its recency index places it in the upper half of the range, its local citation count is zero, and its venue score is one because it belongs to the conference-proceedings family. The row is entirely determined by the rules; no judgment enters.</w:t>
      </w:r>
    </w:p>
    <w:p>
      <w:pPr>
        <w:pStyle w:val="BodyText"/>
        <w:spacing w:line="480" w:lineRule="auto"/>
        <w:ind w:firstLine="720"/>
      </w:pPr>
      <w:r>
        <w:t xml:space="preserve">Contrast the 2008 sun-synchronous-slot architecture study, which sits at the floor with a topic-signal score of one</w:t>
      </w:r>
      <w:r>
        <w:t xml:space="preserve"> </w:t>
      </w:r>
      <w:hyperlink w:anchor="ref-5">
        <w:r>
          <w:rPr>
            <w:rStyle w:val="Hyperlink"/>
          </w:rPr>
          <w:t xml:space="preserve">[5]</w:t>
        </w:r>
      </w:hyperlink>
      <w:r>
        <w:t xml:space="preserve">. It predates the cislunar tracking surge, its subject is conjunction minimization in Earth orbit rather than cislunar geometry, and so the theme terms barely register. Its recency index is the minimum value in the sample, one, and its age index is the maximum, nineteen, making it the anchor at the old end of both time variables. The record is a useful boundary case: it shows that the topic-signal counter correctly assigns a low score to a record that is bibliographically adjacent but thematically off-target.</w:t>
      </w:r>
    </w:p>
    <w:p>
      <w:pPr>
        <w:pStyle w:val="BodyText"/>
        <w:spacing w:line="480" w:lineRule="auto"/>
        <w:ind w:firstLine="720"/>
      </w:pPr>
      <w:r>
        <w:t xml:space="preserve">The 2022 autonomous-navigation review is the record that dominates the citation distribution, carrying a local count of 130 where every other record sits at or near zero</w:t>
      </w:r>
      <w:r>
        <w:t xml:space="preserve"> </w:t>
      </w:r>
      <w:hyperlink w:anchor="ref-9">
        <w:r>
          <w:rPr>
            <w:rStyle w:val="Hyperlink"/>
          </w:rPr>
          <w:t xml:space="preserve">[9]</w:t>
        </w:r>
      </w:hyperlink>
      <w:r>
        <w:t xml:space="preserve">. Its topic-signal score is moderate, five, because it addresses deep-space small-satellite navigation broadly rather than cislunar tracking narrowly, and its venue score is two for the archival-journal family. This single record is the reason the citation variable behaves the way it does in both screens. It is a legitimate observation, not an error, and the design keeps it in rather than trimming it, accepting that its leverage is part of what the results have to contend with.</w:t>
      </w:r>
    </w:p>
    <w:p>
      <w:pPr>
        <w:pStyle w:val="BodyText"/>
        <w:spacing w:line="480" w:lineRule="auto"/>
        <w:ind w:firstLine="720"/>
      </w:pPr>
      <w:r>
        <w:t xml:space="preserve">The traffic-management framework from 2025 rounds out the illustrative set, sharing the top topic-signal score of eleven</w:t>
      </w:r>
      <w:r>
        <w:t xml:space="preserve"> </w:t>
      </w:r>
      <w:hyperlink w:anchor="ref-10">
        <w:r>
          <w:rPr>
            <w:rStyle w:val="Hyperlink"/>
          </w:rPr>
          <w:t xml:space="preserve">[10]</w:t>
        </w:r>
      </w:hyperlink>
      <w:r>
        <w:t xml:space="preserve">. It is recent, so its recency index is near the maximum, its local citation count is low because it is new, and its venue score reflects its archival-journal placement. Together these four records span the corners of the sample: high signal and low, old and new, uncited and heavily cited, proceedings and journal. Seeing how the rules place each one makes the aggregate distributions in the preceding sections concrete rather than notional.</w:t>
      </w:r>
    </w:p>
    <w:bookmarkEnd w:id="109"/>
    <w:bookmarkStart w:id="110" w:name="data-quality-and-what-was-not-done"/>
    <w:p>
      <w:pPr>
        <w:pStyle w:val="Heading2"/>
        <w:spacing w:line="480" w:lineRule="auto"/>
      </w:pPr>
      <w:r>
        <w:t xml:space="preserve">Data quality and what was not done</w:t>
      </w:r>
    </w:p>
    <w:p>
      <w:pPr>
        <w:pStyle w:val="FirstParagraph"/>
        <w:spacing w:line="480" w:lineRule="auto"/>
      </w:pPr>
      <w:r>
        <w:t xml:space="preserve">Two data-quality choices deserve explicit statement because they bear on how the results should be trusted. The topic-signal counter was not tuned to the results; the term list and the four scanned fields were fixed before estimation, so the scores are not the product of a search for a favorable fit. And the outlier citation record was not removed; the temptation to drop the 130-count observation to produce a cleaner learning curve was declined, because removing an inconvenient point to manufacture a result would violate the auditability that is the whole point of the design</w:t>
      </w:r>
      <w:r>
        <w:t xml:space="preserve"> </w:t>
      </w:r>
      <w:hyperlink w:anchor="ref-9">
        <w:r>
          <w:rPr>
            <w:rStyle w:val="Hyperlink"/>
          </w:rPr>
          <w:t xml:space="preserve">[9]</w:t>
        </w:r>
      </w:hyperlink>
      <w:r>
        <w:t xml:space="preserve">. What was not done matters as much as what was, and stating both keeps the reader in a position to check the analysis rather than take it on faith</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dataset is only as trustworthy as the choices that shaped it, and choices made silently are choices a reviewer cannot evaluate. By declaring the fixed term list and the retained outlier openly, the measurement chapter hands the reviewer the two facts most likely to matter for whether the downstream results can be believed, and it declines the easy path of presenting a cleaner dataset than the one the rules actually produced</w:t>
      </w:r>
      <w:r>
        <w:t xml:space="preserve"> </w:t>
      </w:r>
      <w:hyperlink w:anchor="ref-9">
        <w:r>
          <w:rPr>
            <w:rStyle w:val="Hyperlink"/>
          </w:rPr>
          <w:t xml:space="preserve">[9]</w:t>
        </w:r>
      </w:hyperlink>
      <w:r>
        <w:t xml:space="preserve">.</w:t>
      </w:r>
    </w:p>
    <w:bookmarkEnd w:id="110"/>
    <w:bookmarkEnd w:id="111"/>
    <w:bookmarkStart w:id="120" w:name="results"/>
    <w:p>
      <w:pPr>
        <w:pStyle w:val="Heading1"/>
        <w:spacing w:line="480" w:lineRule="auto"/>
      </w:pPr>
      <w:r>
        <w:t xml:space="preserve">Results</w:t>
      </w:r>
    </w:p>
    <w:p>
      <w:pPr>
        <w:pStyle w:val="FirstParagraph"/>
        <w:spacing w:line="480" w:lineRule="auto"/>
      </w:pPr>
      <w:r>
        <w:t xml:space="preserve">This chapter reports what the two workbooks produced and interprets the signs and magnitudes without inflating them. The numbers are stated exactly. Where a coefficient is precise, it is read as structure inside the retrieved corpus. Where a coefficient is imprecise, it is read as a limit on what the present data can carry. Both readings are findings, and the discipline of holding them apart is the empirical safeguard the whole design was built to protect.</w:t>
      </w:r>
    </w:p>
    <w:bookmarkStart w:id="112" w:name="the-cross-sectional-screen"/>
    <w:p>
      <w:pPr>
        <w:pStyle w:val="Heading2"/>
        <w:spacing w:line="480" w:lineRule="auto"/>
      </w:pPr>
      <w:r>
        <w:t xml:space="preserve">The cross-sectional screen</w:t>
      </w:r>
    </w:p>
    <w:p>
      <w:pPr>
        <w:pStyle w:val="FirstParagraph"/>
        <w:spacing w:line="480" w:lineRule="auto"/>
      </w:pPr>
      <w:r>
        <w:t xml:space="preserve">The first screen is an ordinary least squares regression of the topic-signal score on recency, citation attention, and venue family, estimated with HC1 robust standard errors over the thirty retrieved records. The overall fit is as follows. The sample size is N = 30. The coefficient of determination is R2 = 0.3364972618409182, and the adjusted coefficient of determination is R2_adj = 0.2599392535917934. The joint test of the model returns F = 6.048543338279323 with a p-value of F_p = 0.0028871827346189575.</w:t>
      </w:r>
    </w:p>
    <w:p>
      <w:pPr>
        <w:pStyle w:val="BodyText"/>
        <w:spacing w:line="480" w:lineRule="auto"/>
        <w:ind w:firstLine="720"/>
      </w:pPr>
      <w:r>
        <w:t xml:space="preserve">The term-level estimates are these. The constant has a coefficient of 3.7708477722781457, a standard error of 1.9737, and a p-value of 0.056059284727344984. Recency has a coefficient of 0.28788329468432566, a standard error of 0.1246, and a p-value of 0.020816597011907412. Citation attention has a coefficient of -0.0012018723942851725, a standard error of 0.0107, and a p-value of 0.9104721826385096. Venue family has a coefficient of -1.9866693968256235, a standard error of 0.5788, and a p-value of 0.0005984367120330383.</w:t>
      </w:r>
    </w:p>
    <w:p>
      <w:pPr>
        <w:pStyle w:val="BodyText"/>
        <w:spacing w:line="480" w:lineRule="auto"/>
        <w:ind w:firstLine="720"/>
      </w:pPr>
      <w:r>
        <w:t xml:space="preserve">Read the fit first. The joint picture comes before the parts. The model accounts for roughly thirty-four percent of the variation in the topic-signal score, and the adjusted figure of about twenty-six percent, which penalizes the three predictors, leaves the model explaining a real and non-trivial share of the cross-sectional spread. The joint F-test rejects the hypothesis that all three slopes are zero at conventional levels, with a p-value under 0.003. Something in the trio of recency, attention, and venue is structuring the topic signal. The overall model is doing work, which puts the design on the middle rung of the evidence ladder from Chapter 3: the corpus has recoverable structure, and it can serve as a measurement base.</w:t>
      </w:r>
    </w:p>
    <w:p>
      <w:pPr>
        <w:pStyle w:val="BodyText"/>
        <w:spacing w:line="480" w:lineRule="auto"/>
        <w:ind w:firstLine="720"/>
      </w:pPr>
      <w:r>
        <w:t xml:space="preserve">Now the predictors, one at a time, because the joint result hides an instructive split. Recency enters positively and precisely. Its coefficient of about 0.288 says that each one-unit step up the recency index is associated with roughly a quarter-point increase in the topic-signal score, holding attention and venue fixed, and the p-value of 0.021 clears the five-percent threshold. This is the direction the mechanism predicted. Fresher records carry denser theme vocabulary, consistent with a topic whose active frontier is being named in recent work rather than in older records like the 2008 conjunction-slot architecture study</w:t>
      </w:r>
      <w:r>
        <w:t xml:space="preserve"> </w:t>
      </w:r>
      <w:hyperlink w:anchor="ref-5">
        <w:r>
          <w:rPr>
            <w:rStyle w:val="Hyperlink"/>
          </w:rPr>
          <w:t xml:space="preserve">[5]</w:t>
        </w:r>
      </w:hyperlink>
      <w:r>
        <w:t xml:space="preserve">. The recency result is the closest thing the dissertation has to a positive structural finding, and it is stated as exactly that: a within-corpus association, precise but modest in magnitude.</w:t>
      </w:r>
    </w:p>
    <w:p>
      <w:pPr>
        <w:pStyle w:val="BodyText"/>
        <w:spacing w:line="480" w:lineRule="auto"/>
        <w:ind w:firstLine="720"/>
      </w:pPr>
      <w:r>
        <w:t xml:space="preserve">Citation attention does the opposite. It goes flat. Its coefficient is essentially zero, about -0.0012, and its p-value of 0.910 is as far from significance as a coefficient can be. There is no detectable association between the local citation count and the topic-signal score once recency and venue are controlled. This is not a disappointment to be explained away. It is exactly the outcome the measurement chapter warned about. The citation proxy is dominated by zeros and by a single 130-count outlier, and a variable with that distribution cannot carry a stable slope in a thirty-record sample</w:t>
      </w:r>
      <w:r>
        <w:t xml:space="preserve"> </w:t>
      </w:r>
      <w:hyperlink w:anchor="ref-9">
        <w:r>
          <w:rPr>
            <w:rStyle w:val="Hyperlink"/>
          </w:rPr>
          <w:t xml:space="preserve">[9]</w:t>
        </w:r>
      </w:hyperlink>
      <w:r>
        <w:t xml:space="preserve">. The honest reading is that, in this corpus, local citation attention does not track theme density. The proxy is too weak to sustain a claim, and the design reports the weakness rather than hiding it.</w:t>
      </w:r>
    </w:p>
    <w:p>
      <w:pPr>
        <w:pStyle w:val="BodyText"/>
        <w:spacing w:line="480" w:lineRule="auto"/>
        <w:ind w:firstLine="720"/>
      </w:pPr>
      <w:r>
        <w:t xml:space="preserve">Venue family carries the most precise estimate in the model, and its sign demands care. 0006 is the smallest in the regression. Moving one step up the ordinal venue scale, from the conference-proceedings family toward the archival-journal family and then the study-report family, is associated with a nearly two-point drop in the topic-signal score, holding recency and attention fixed. The direction is not a verdict on quality, because the venue score is a position, not a quality axis. What it reflects is where theme-dense vocabulary concentrates.</w:t>
      </w:r>
    </w:p>
    <w:p>
      <w:pPr>
        <w:pStyle w:val="BodyText"/>
        <w:spacing w:line="480" w:lineRule="auto"/>
        <w:ind w:firstLine="720"/>
      </w:pPr>
      <w:r>
        <w:t xml:space="preserve">The conference-proceedings family, coded one, holds the most tightly focused cislunar tracking work, where titles and keywords are saturated with the target terms</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study-report family, coded three, holds broader governance and space-economy documents whose metadata touches the theme only glancingly. The negative venue coefficient is therefore a real structural fact about the corpus: the signal lives in the proceedings, and it thins as one moves toward the report end of the venue ordering</w:t>
      </w:r>
      <w:r>
        <w:t xml:space="preserve"> </w:t>
      </w:r>
      <w:hyperlink w:anchor="ref-10">
        <w:r>
          <w:rPr>
            <w:rStyle w:val="Hyperlink"/>
          </w:rPr>
          <w:t xml:space="preserve">[10]</w:t>
        </w:r>
      </w:hyperlink>
      <w:r>
        <w:t xml:space="preserve">.</w:t>
      </w:r>
    </w:p>
    <w:p>
      <w:pPr>
        <w:pStyle w:val="BodyText"/>
        <w:spacing w:line="480" w:lineRule="auto"/>
        <w:ind w:firstLine="720"/>
      </w:pPr>
      <w:r>
        <w:t xml:space="preserve">The constant sits just outside conventional significance, with a p-value of about 0.056. Its interpretation is mechanical rather than substantive. It is the model’s baseline topic signal for a record at the reference values of the predictors, and its near-significance is not a claim about the world so much as an artifact of where the predictor ranges place the intercept.</w:t>
      </w:r>
    </w:p>
    <w:p>
      <w:pPr>
        <w:pStyle w:val="BodyText"/>
        <w:spacing w:line="480" w:lineRule="auto"/>
        <w:ind w:firstLine="720"/>
      </w:pPr>
      <w:r>
        <w:t xml:space="preserve">One more property of the term estimates deserves a note, because it bears on how much confidence the coefficients earn. The two significant predictors, recency and venue, carry standard errors that are small relative to their point estimates, roughly 0.125 against a recency coefficient of 0.288 and roughly 0.579 against a venue coefficient of -1.987</w:t>
      </w:r>
      <w:r>
        <w:t xml:space="preserve"> </w:t>
      </w:r>
      <w:hyperlink w:anchor="ref-7">
        <w:r>
          <w:rPr>
            <w:rStyle w:val="Hyperlink"/>
          </w:rPr>
          <w:t xml:space="preserve">[7]</w:t>
        </w:r>
      </w:hyperlink>
      <w:r>
        <w:t xml:space="preserve">. Those ratios are what produce the small p-values, and they say the estimates are pinned down reasonably tightly given the sample. The citation coefficient shows the opposite profile: its standard error of about 0.0107 dwarfs its point estimate of -0.0012, which is the numerical signature of a variable that carries no usable slope</w:t>
      </w:r>
      <w:r>
        <w:t xml:space="preserve"> </w:t>
      </w:r>
      <w:hyperlink w:anchor="ref-9">
        <w:r>
          <w:rPr>
            <w:rStyle w:val="Hyperlink"/>
          </w:rPr>
          <w:t xml:space="preserve">[9]</w:t>
        </w:r>
      </w:hyperlink>
      <w:r>
        <w:t xml:space="preserve">. Reading the standard errors alongside the coefficients, rather than glancing only at the point values, is what keeps the interpretation honest about which relationships the data actually pin down.</w:t>
      </w:r>
    </w:p>
    <w:bookmarkEnd w:id="112"/>
    <w:bookmarkStart w:id="113" w:name="the-fit-statistics-read-as-a-whole"/>
    <w:p>
      <w:pPr>
        <w:pStyle w:val="Heading2"/>
        <w:spacing w:line="480" w:lineRule="auto"/>
      </w:pPr>
      <w:r>
        <w:t xml:space="preserve">The fit statistics read as a whole</w:t>
      </w:r>
    </w:p>
    <w:p>
      <w:pPr>
        <w:pStyle w:val="FirstParagraph"/>
        <w:spacing w:line="480" w:lineRule="auto"/>
      </w:pPr>
      <w:r>
        <w:t xml:space="preserve">Before moving to the second screen, the three fit statistics of the regression deserve to be read together rather than in isolation, because together they tell a more complete story than any one does alone. 260 differ by roughly seven points, and that gap is the penalty the adjusted measure imposes for spending three predictors on thirty records. The gap is moderate, which is reassuring: it means the model is not merely fitting noise with its parameters, since a model that explained nothing real would see its adjusted figure collapse far below its raw figure.</w:t>
      </w:r>
    </w:p>
    <w:p>
      <w:pPr>
        <w:pStyle w:val="BodyText"/>
        <w:spacing w:line="480" w:lineRule="auto"/>
        <w:ind w:firstLine="720"/>
      </w:pPr>
      <w:r>
        <w:t xml:space="preserve">003, formalizes that reassurance by rejecting the joint null that all three slopes are zero. A reader who trusts only one number should trust the adjusted R2, and a reader who trusts only the F-test should note that both point the same way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What the fit statistics cannot tell us is which predictor is doing the work, and that is exactly why the term-level reading matters. A model can have a respectable joint fit while resting almost entirely on one predictor, and this model does lean heavily on venue, with recency contributing a smaller but genuine share and citation attention contributing nothing. The joint fit is real, and it is unevenly sourced, and both facts are part of an honest reading of the screen</w:t>
      </w:r>
      <w:r>
        <w:t xml:space="preserve"> </w:t>
      </w:r>
      <w:hyperlink w:anchor="ref-7">
        <w:r>
          <w:rPr>
            <w:rStyle w:val="Hyperlink"/>
          </w:rPr>
          <w:t xml:space="preserve">[7]</w:t>
        </w:r>
      </w:hyperlink>
      <w:r>
        <w:t xml:space="preserve">.</w:t>
      </w:r>
    </w:p>
    <w:bookmarkEnd w:id="113"/>
    <w:bookmarkStart w:id="114" w:name="the-accumulation-screen"/>
    <w:p>
      <w:pPr>
        <w:pStyle w:val="Heading2"/>
        <w:spacing w:line="480" w:lineRule="auto"/>
      </w:pPr>
      <w:r>
        <w:t xml:space="preserve">The accumulation screen</w:t>
      </w:r>
    </w:p>
    <w:p>
      <w:pPr>
        <w:pStyle w:val="FirstParagraph"/>
        <w:spacing w:line="480" w:lineRule="auto"/>
      </w:pPr>
      <w:r>
        <w:t xml:space="preserve">The second screen is a log-log learning-curve regression of citation-count-plus-one on article age, again over the same thirty records with HC1 robust standard errors. The fit is thin. The sample size is N = 30. The coefficient of determination is R2 = 0.006781732253187678. The estimated learning-curve elasticity is elasticity_b = -0.20937299079060145, and the corresponding progress ratio, computed as two raised to that elasticity, is progress_ratio_2^b = 0.8649130492060616.</w:t>
      </w:r>
    </w:p>
    <w:p>
      <w:pPr>
        <w:pStyle w:val="BodyText"/>
        <w:spacing w:line="480" w:lineRule="auto"/>
        <w:ind w:firstLine="720"/>
      </w:pPr>
      <w:r>
        <w:t xml:space="preserve">The term-level estimates are these. The constant has a coefficient of 1.2135297377875571, a standard error of 0.717, and a p-value of 0.09055347605247796. The log-age term has a coefficient of -0.20937299079060145, a standard error of 0.3872, and a p-value of 0.5886876983580968.</w:t>
      </w:r>
    </w:p>
    <w:p>
      <w:pPr>
        <w:pStyle w:val="BodyText"/>
        <w:spacing w:line="480" w:lineRule="auto"/>
        <w:ind w:firstLine="720"/>
      </w:pPr>
      <w:r>
        <w:t xml:space="preserve">This model finds almost nothing, and the nothing is the result. The R2 of about 0.007 means article age explains under one percent of the variation in logged citations-plus-one. The elasticity is negative, about -0.209, which would nominally suggest that older records carry slightly fewer citations per unit age, the opposite of a maturing-canon arc. The p-value on that elasticity is 0.589, so the slope is statistically indistinguishable from zero, and the negative sign carries no weight. The progress ratio of about 0.865 is the mechanical transform of a slope that itself is not different from zero, so it should be read as descriptive bookkeeping rather than as an estimated learning rate.</w:t>
      </w:r>
    </w:p>
    <w:p>
      <w:pPr>
        <w:pStyle w:val="BodyText"/>
        <w:spacing w:line="480" w:lineRule="auto"/>
        <w:ind w:firstLine="720"/>
      </w:pPr>
      <w:r>
        <w:t xml:space="preserve">The interpretation is bottom-rung on the evidence ladder, and it is informative precisely because it is null. In this corpus, citation accumulation does not follow a legible age-based curve. The reason is visible in the data. Two thirds of the records are uncited in the local index and collapse to one after the plus-one transformation, while a single 2022 autonomous-navigation review carries a count of 130 that towers over everything else</w:t>
      </w:r>
      <w:r>
        <w:t xml:space="preserve"> </w:t>
      </w:r>
      <w:hyperlink w:anchor="ref-9">
        <w:r>
          <w:rPr>
            <w:rStyle w:val="Hyperlink"/>
          </w:rPr>
          <w:t xml:space="preserve">[9]</w:t>
        </w:r>
      </w:hyperlink>
      <w:r>
        <w:t xml:space="preserve">. A learning curve cannot be estimated from a mass of tied values and one outlier; there is no arc to recover because attention has not organized itself into one.</w:t>
      </w:r>
    </w:p>
    <w:p>
      <w:pPr>
        <w:pStyle w:val="BodyText"/>
        <w:spacing w:line="480" w:lineRule="auto"/>
        <w:ind w:firstLine="720"/>
      </w:pPr>
      <w:r>
        <w:t xml:space="preserve">The design confronts this openly rather than trimming the outlier to manufacture a slope. The honest finding is that the cislunar tracking corpus is too young and too lightly cited for an accumulation structure to exist, which is a substantive statement about the state of the field rather than a failure of the estimator.</w:t>
      </w:r>
    </w:p>
    <w:bookmarkEnd w:id="114"/>
    <w:bookmarkStart w:id="115" w:name="the-recency-coefficient-examined-closely"/>
    <w:p>
      <w:pPr>
        <w:pStyle w:val="Heading2"/>
        <w:spacing w:line="480" w:lineRule="auto"/>
      </w:pPr>
      <w:r>
        <w:t xml:space="preserve">The recency coefficient examined closely</w:t>
      </w:r>
    </w:p>
    <w:p>
      <w:pPr>
        <w:pStyle w:val="FirstParagraph"/>
        <w:spacing w:line="480" w:lineRule="auto"/>
      </w:pPr>
      <w:r>
        <w:t xml:space="preserve">The recency result carries the dissertation’s one positive structural claim, so it earns a close examination rather than a passing mention. The point estimate of about 0.288 means that a one-step increase in the recency index, which corresponds to moving one year newer within the sample, is associated with roughly a quarter-point rise in the topic-signal score, holding citation attention and venue family fixed. Across the full recency range of roughly seventeen steps, that accumulates to a substantial predicted difference in topic signal between the oldest and newest records, on the order of several points on the eleven-point scale. The effect is modest per step and meaningful across the span, which is the right way to hold both facts at once.</w:t>
      </w:r>
    </w:p>
    <w:p>
      <w:pPr>
        <w:pStyle w:val="BodyText"/>
        <w:spacing w:line="480" w:lineRule="auto"/>
        <w:ind w:firstLine="720"/>
      </w:pPr>
      <w:r>
        <w:t xml:space="preserve">The standard error of about 0.125 places the coefficient a bit more than two of its own standard errors from zero, which is what produces the p-value of 0.021 and clears the conventional five-percent threshold. That precision is real but not overwhelming; a somewhat smaller sample or a slightly noisier measure could have pushed it past significance, and the honest reading treats the recency association as established within this corpus while acknowledging that it is not a fortress. The direction, positive, is what the mechanism predicted for a consolidating field whose frontier is being named in recent work, and the agreement between the predicted sign and the estimated sign is the substance of the finding</w:t>
      </w:r>
      <w:r>
        <w:t xml:space="preserve"> </w:t>
      </w:r>
      <w:hyperlink w:anchor="ref-3">
        <w:r>
          <w:rPr>
            <w:rStyle w:val="Hyperlink"/>
          </w:rPr>
          <w:t xml:space="preserve">[3]</w:t>
        </w:r>
      </w:hyperlink>
      <w:r>
        <w:t xml:space="preserve"> </w:t>
      </w:r>
      <w:hyperlink w:anchor="ref-10">
        <w:r>
          <w:rPr>
            <w:rStyle w:val="Hyperlink"/>
          </w:rPr>
          <w:t xml:space="preserve">[10]</w:t>
        </w:r>
      </w:hyperlink>
      <w:r>
        <w:t xml:space="preserve">. What the coefficient does not license is any claim about causation or about records outside the corpus, and the reporting holds to that limit.</w:t>
      </w:r>
    </w:p>
    <w:bookmarkEnd w:id="115"/>
    <w:bookmarkStart w:id="116" w:name="Xe13b928c3a3aa98dd34f842266c63e1702dd7af"/>
    <w:p>
      <w:pPr>
        <w:pStyle w:val="Heading2"/>
        <w:spacing w:line="480" w:lineRule="auto"/>
      </w:pPr>
      <w:r>
        <w:t xml:space="preserve">The magnitude of the venue effect in context</w:t>
      </w:r>
    </w:p>
    <w:p>
      <w:pPr>
        <w:pStyle w:val="FirstParagraph"/>
        <w:spacing w:line="480" w:lineRule="auto"/>
      </w:pPr>
      <w:r>
        <w:t xml:space="preserve">The venue coefficient deserves a second pass, because its magnitude is easy to state and easy to overread. A per-step shift of about -1.987 on a topic-signal scale that runs from one to eleven is large in relative terms: moving two full steps up the venue ordering, from the proceedings family to the study-report family, is associated with roughly a four-point decline in signal, more than a third of the scale’s full range. That is not a subtle effect. It is the dominant source of explained variation in the model, and the adjusted R2 of about 0.260 is carried substantially by venue. The recency contribution, real and significant, is smaller in its share of the explained spread.</w:t>
      </w:r>
    </w:p>
    <w:p>
      <w:pPr>
        <w:pStyle w:val="BodyText"/>
        <w:spacing w:line="480" w:lineRule="auto"/>
        <w:ind w:firstLine="720"/>
      </w:pPr>
      <w:r>
        <w:t xml:space="preserve">The interpretive discipline here is to resist reading magnitude as importance in a policy sense. The venue effect is large because the corpus is organized by venue so as to concentrate theme vocabulary, and that concentration is a fact about how the cislunar tracking field publishes, not a fact about which venue produces better science</w:t>
      </w:r>
      <w:r>
        <w:t xml:space="preserve"> </w:t>
      </w:r>
      <w:hyperlink w:anchor="ref-7">
        <w:r>
          <w:rPr>
            <w:rStyle w:val="Hyperlink"/>
          </w:rPr>
          <w:t xml:space="preserve">[7]</w:t>
        </w:r>
      </w:hyperlink>
      <w:r>
        <w:t xml:space="preserve"> </w:t>
      </w:r>
      <w:hyperlink w:anchor="ref-8">
        <w:r>
          <w:rPr>
            <w:rStyle w:val="Hyperlink"/>
          </w:rPr>
          <w:t xml:space="preserve">[8]</w:t>
        </w:r>
      </w:hyperlink>
      <w:r>
        <w:t xml:space="preserve">. A program office reading this result should take from it that the theme-dense technical signal lives in the proceedings literature, so a scan of proceedings will surface the most focused work, while the journal and report literatures carry the topic in more diffuse form. That is a practical navigational fact about the corpus, and it is the appropriate altitude at which to use a venue coefficient.</w:t>
      </w:r>
    </w:p>
    <w:bookmarkEnd w:id="116"/>
    <w:bookmarkStart w:id="117" w:name="the-entanglement-predicted-in-chapter-3"/>
    <w:p>
      <w:pPr>
        <w:pStyle w:val="Heading2"/>
        <w:spacing w:line="480" w:lineRule="auto"/>
      </w:pPr>
      <w:r>
        <w:t xml:space="preserve">The entanglement predicted in Chapter 3</w:t>
      </w:r>
    </w:p>
    <w:p>
      <w:pPr>
        <w:pStyle w:val="FirstParagraph"/>
        <w:spacing w:line="480" w:lineRule="auto"/>
      </w:pPr>
      <w:r>
        <w:t xml:space="preserve">Chapter 3 predicted that recency and venue would each carry somewhat smaller coefficients in the joint model than a naive single-predictor look would show, because the two are entangled: newer records cluster in particular venue families. The joint estimates are consistent with that prediction in the sense that both predictors remain individually meaningful once the other is controlled, which is the outcome a partial-but-not-total entanglement implies. Recency survives at a significant 0.021 with venue in the model, and venue survives at a highly significant 0.0006 with recency in the model. Neither predictor is a mere shadow of the other. The mechanism’s pre-stated expectation, that both effects are real and partly overlapping, is borne out, and the fact that it was stated before the estimates were read is what makes the agreement meaningful rather than convenient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7"/>
    <w:bookmarkStart w:id="118" w:name="X56ddefeb3c41e0bcfa4cb7a22922ff2e04b5075"/>
    <w:p>
      <w:pPr>
        <w:pStyle w:val="Heading2"/>
        <w:spacing w:line="480" w:lineRule="auto"/>
      </w:pPr>
      <w:r>
        <w:t xml:space="preserve">Why the accumulation null is not a modeling failure</w:t>
      </w:r>
    </w:p>
    <w:p>
      <w:pPr>
        <w:pStyle w:val="FirstParagraph"/>
        <w:spacing w:line="480" w:lineRule="auto"/>
      </w:pPr>
      <w:r>
        <w:t xml:space="preserve">It would be easy to read the near-zero R2 of the learning-curve screen as a sign that the model is wrong, and it is worth explaining why that reading is mistaken. The log-log form is the correct specification for a multiplicative accumulation process, and it would recover a clean elasticity if one existed</w:t>
      </w:r>
      <w:r>
        <w:t xml:space="preserve"> </w:t>
      </w:r>
      <w:hyperlink w:anchor="ref-9">
        <w:r>
          <w:rPr>
            <w:rStyle w:val="Hyperlink"/>
          </w:rPr>
          <w:t xml:space="preserve">[9]</w:t>
        </w:r>
      </w:hyperlink>
      <w:r>
        <w:t xml:space="preserve">. The reason it recovers almost nothing is not that the form is wrong but that the process is absent: there is no accumulation arc in this corpus to find. Two thirds of the records tie at a citations-plus-one value of one, which after logging collapses to zero, leaving the regression to fit a slope through a dense cluster of tied points and a handful of scattered higher values dominated by one extreme observation.</w:t>
      </w:r>
    </w:p>
    <w:p>
      <w:pPr>
        <w:pStyle w:val="BodyText"/>
        <w:spacing w:line="480" w:lineRule="auto"/>
        <w:ind w:firstLine="720"/>
      </w:pPr>
      <w:r>
        <w:t xml:space="preserve">A correct model applied to a structureless process returns a null, and that is exactly what happened. 865 is best read as arithmetic, the transform of a slope that is statistically zero, rather than as an estimated learning rate that anyone should act on.</w:t>
      </w:r>
    </w:p>
    <w:bookmarkEnd w:id="118"/>
    <w:bookmarkStart w:id="119" w:name="reading-the-two-screens-together"/>
    <w:p>
      <w:pPr>
        <w:pStyle w:val="Heading2"/>
        <w:spacing w:line="480" w:lineRule="auto"/>
      </w:pPr>
      <w:r>
        <w:t xml:space="preserve">Reading the two screens together</w:t>
      </w:r>
    </w:p>
    <w:p>
      <w:pPr>
        <w:pStyle w:val="FirstParagraph"/>
        <w:spacing w:line="480" w:lineRule="auto"/>
      </w:pPr>
      <w:r>
        <w:t xml:space="preserve">One screen found structure. The other found none. Taken together they tell a single, bounded story.</w:t>
      </w:r>
    </w:p>
    <w:p>
      <w:pPr>
        <w:pStyle w:val="BodyText"/>
        <w:spacing w:line="480" w:lineRule="auto"/>
        <w:ind w:firstLine="720"/>
      </w:pPr>
      <w:r>
        <w:t xml:space="preserve">The two results tell a coherent and bounded story. The cross-sectional screen finds real structure: recency carries a precise positive association with topic signal, venue family carries a precise and interpretable negative one, and the joint model explains a meaningful share of the variation. The accumulation screen finds no structure: age does not organize citations into a curve, because the attention proxy is too sparse and too skewed to support one. Both outcomes were live possibilities under the design, and the split between them is exactly the kind of partial result the mechanism anticipated, where one facet of the record is legible and another is not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signs sit correctly with the theory where the theory made a directional claim. Recency was predicted to enter positively if the topic is consolidating, and it does</w:t>
      </w:r>
      <w:r>
        <w:t xml:space="preserve"> </w:t>
      </w:r>
      <w:hyperlink w:anchor="ref-3">
        <w:r>
          <w:rPr>
            <w:rStyle w:val="Hyperlink"/>
          </w:rPr>
          <w:t xml:space="preserve">[3]</w:t>
        </w:r>
      </w:hyperlink>
      <w:r>
        <w:t xml:space="preserve">. Citation attention was flagged as a weak proxy whose null would not surprise, and it returns a null</w:t>
      </w:r>
      <w:r>
        <w:t xml:space="preserve"> </w:t>
      </w:r>
      <w:hyperlink w:anchor="ref-9">
        <w:r>
          <w:rPr>
            <w:rStyle w:val="Hyperlink"/>
          </w:rPr>
          <w:t xml:space="preserve">[9]</w:t>
        </w:r>
      </w:hyperlink>
      <w:r>
        <w:t xml:space="preserve">. Venue family was predicted to be precise but sign-ambiguous, and it is precise with a negative sign that the corpus composition explains</w:t>
      </w:r>
      <w:r>
        <w:t xml:space="preserve"> </w:t>
      </w:r>
      <w:hyperlink w:anchor="ref-8">
        <w:r>
          <w:rPr>
            <w:rStyle w:val="Hyperlink"/>
          </w:rPr>
          <w:t xml:space="preserve">[8]</w:t>
        </w:r>
      </w:hyperlink>
      <w:r>
        <w:t xml:space="preserve">. The accumulation curve was not promised in advance given the sample, and its flatness is the finding rather than a shortfall. What the results do not do is settle the marginal-value question about ground stations and relays. They show which parts of the documentary record have structure a reasoning agency could use, and which parts are too thin to bear weight, and that boundary is the auditable measurement step the dissertation set out to deliver</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9"/>
    <w:bookmarkEnd w:id="120"/>
    <w:bookmarkStart w:id="131" w:name="discussion-and-limitations"/>
    <w:p>
      <w:pPr>
        <w:pStyle w:val="Heading1"/>
        <w:spacing w:line="480" w:lineRule="auto"/>
      </w:pPr>
      <w:r>
        <w:t xml:space="preserve">Discussion and Limitations</w:t>
      </w:r>
    </w:p>
    <w:p>
      <w:pPr>
        <w:pStyle w:val="FirstParagraph"/>
        <w:spacing w:line="480" w:lineRule="auto"/>
      </w:pPr>
      <w:r>
        <w:t xml:space="preserve">The results give a partial answer, and a partial answer is the honest yield of a design this bounded. The cross-sectional screen found structure; the accumulation screen did not. This chapter takes those two outcomes and asks what they mean, where they might mislead, and what the data simply cannot show. The discipline throughout is to read the findings for exactly what they support and to name the threats that could undercut them, because a dissertation about auditable reasoning has to audit itself.</w:t>
      </w:r>
    </w:p>
    <w:bookmarkStart w:id="121" w:name="what-the-findings-mean"/>
    <w:p>
      <w:pPr>
        <w:pStyle w:val="Heading2"/>
        <w:spacing w:line="480" w:lineRule="auto"/>
      </w:pPr>
      <w:r>
        <w:t xml:space="preserve">What the findings mean</w:t>
      </w:r>
    </w:p>
    <w:p>
      <w:pPr>
        <w:pStyle w:val="FirstParagraph"/>
        <w:spacing w:line="480" w:lineRule="auto"/>
      </w:pPr>
      <w:r>
        <w:t xml:space="preserve">The single positive structural result is the recency association in the first screen, and it is worth being precise about its meaning. A coefficient of about 0.288 on the recency index, significant at the five-percent level, says that within this corpus the topic signal rises with newness once attention and venue are held fixed. That is consistent with a topic whose active frontier is being articulated in recent work. The cislunar tracking literature does read this way: the demonstrations that carry the densest theme vocabulary, the space-based measurement study, the passive RF sensing work, the traffic-management framework, are recent, while the older records in the corpus predate the surge and read as thin</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0">
        <w:r>
          <w:rPr>
            <w:rStyle w:val="Hyperlink"/>
          </w:rPr>
          <w:t xml:space="preserve">[10]</w:t>
        </w:r>
      </w:hyperlink>
      <w:r>
        <w:t xml:space="preserve">. The recency finding is modest in magnitude and it should stay modest in interpretation. It supports a claim that the documentary footprint of cislunar tracking is time-structured. It does not support a claim about how many sensors to build.</w:t>
      </w:r>
    </w:p>
    <w:p>
      <w:pPr>
        <w:pStyle w:val="BodyText"/>
        <w:spacing w:line="480" w:lineRule="auto"/>
        <w:ind w:firstLine="720"/>
      </w:pPr>
      <w:r>
        <w:t xml:space="preserve">The venue result is the model’s most precise estimate, and its meaning is structural rather than evaluative. The negative coefficient of about -1.987 traces where theme-dense vocabulary concentrates, not where the best work lives. Signal clusters in the conference-proceedings family and thins toward the study-report family, which fits the field’s shape: proceedings host the tightly focused technical contributions, and study reports host the broader governance framing where cislunar tracking is one topic among many</w:t>
      </w:r>
      <w:r>
        <w:t xml:space="preserve"> </w:t>
      </w:r>
      <w:hyperlink w:anchor="ref-7">
        <w:r>
          <w:rPr>
            <w:rStyle w:val="Hyperlink"/>
          </w:rPr>
          <w:t xml:space="preserve">[7]</w:t>
        </w:r>
      </w:hyperlink>
      <w:r>
        <w:t xml:space="preserve"> </w:t>
      </w:r>
      <w:hyperlink w:anchor="ref-8">
        <w:r>
          <w:rPr>
            <w:rStyle w:val="Hyperlink"/>
          </w:rPr>
          <w:t xml:space="preserve">[8]</w:t>
        </w:r>
      </w:hyperlink>
      <w:r>
        <w:t xml:space="preserve">. Reading this coefficient as a quality ranking would be a category error, and the design guards against it by treating venue as an ordinal position. The result is a fact about the distribution of attention across venue families, and it is useful precisely because it locates the signal.</w:t>
      </w:r>
    </w:p>
    <w:p>
      <w:pPr>
        <w:pStyle w:val="BodyText"/>
        <w:spacing w:line="480" w:lineRule="auto"/>
        <w:ind w:firstLine="720"/>
      </w:pPr>
      <w:r>
        <w:t xml:space="preserve">The two nulls are findings in their own right. Citation attention carries no association with topic signal, and article age carries no accumulation curve. Both nulls come from the same source: the local citation proxy is dominated by zeros and by one extreme outlier, and no stable slope can be estimated from that distribution in thirty records</w:t>
      </w:r>
      <w:r>
        <w:t xml:space="preserve"> </w:t>
      </w:r>
      <w:hyperlink w:anchor="ref-9">
        <w:r>
          <w:rPr>
            <w:rStyle w:val="Hyperlink"/>
          </w:rPr>
          <w:t xml:space="preserve">[9]</w:t>
        </w:r>
      </w:hyperlink>
      <w:r>
        <w:t xml:space="preserve">. Rather than treating these as gaps, the design treats them as boundary markers. They tell a reasoning agency that, in the available record, local citation attention is not a usable signal and that the corpus is too young for a maturation arc to exist. A governance process that leaned on citation counts to gauge the importance of cislunar tracking would be leaning on a variable this analysis shows to be inert.</w:t>
      </w:r>
    </w:p>
    <w:bookmarkEnd w:id="121"/>
    <w:bookmarkStart w:id="122" w:name="reconciling-the-two-screens-verdicts"/>
    <w:p>
      <w:pPr>
        <w:pStyle w:val="Heading2"/>
        <w:spacing w:line="480" w:lineRule="auto"/>
      </w:pPr>
      <w:r>
        <w:t xml:space="preserve">Reconciling the two screens’ verdicts</w:t>
      </w:r>
    </w:p>
    <w:p>
      <w:pPr>
        <w:pStyle w:val="FirstParagraph"/>
        <w:spacing w:line="480" w:lineRule="auto"/>
      </w:pPr>
      <w:r>
        <w:t xml:space="preserve">The two screens return opposite verdicts, and a careful discussion has to reconcile them rather than let the reader wonder whether they contradict. They do not. The cross-sectional screen finds structure in how the topic signal sits across features at a moment; the accumulation screen finds no structure in how citations build over age. These are answers to different questions, and a field can easily have the first kind of structure without the second</w:t>
      </w:r>
      <w:r>
        <w:t xml:space="preserve"> </w:t>
      </w:r>
      <w:hyperlink w:anchor="ref-9">
        <w:r>
          <w:rPr>
            <w:rStyle w:val="Hyperlink"/>
          </w:rPr>
          <w:t xml:space="preserve">[9]</w:t>
        </w:r>
      </w:hyperlink>
      <w:r>
        <w:t xml:space="preserve">. A young technical field names its frontier in recent work, producing a recency signature, while its citations have not yet concentrated onto a canon, producing no accumulation signature.</w:t>
      </w:r>
    </w:p>
    <w:p>
      <w:pPr>
        <w:pStyle w:val="BodyText"/>
        <w:spacing w:line="480" w:lineRule="auto"/>
        <w:ind w:firstLine="720"/>
      </w:pPr>
      <w:r>
        <w:t xml:space="preserve">The two verdicts are not in tension; they are two facets of the same underlying condition, a field that is cross-sectionally active but temporally immature. Reading them together, as complementary rather than contradictory, is the interpretation the shared-data design was built to support, and it is more informative than either verdict alone</w:t>
      </w:r>
      <w:r>
        <w:t xml:space="preserve"> </w:t>
      </w:r>
      <w:hyperlink w:anchor="ref-3">
        <w:r>
          <w:rPr>
            <w:rStyle w:val="Hyperlink"/>
          </w:rPr>
          <w:t xml:space="preserve">[3]</w:t>
        </w:r>
      </w:hyperlink>
      <w:r>
        <w:t xml:space="preserve"> </w:t>
      </w:r>
      <w:hyperlink w:anchor="ref-10">
        <w:r>
          <w:rPr>
            <w:rStyle w:val="Hyperlink"/>
          </w:rPr>
          <w:t xml:space="preserve">[10]</w:t>
        </w:r>
      </w:hyperlink>
      <w:r>
        <w:t xml:space="preserve">.</w:t>
      </w:r>
    </w:p>
    <w:bookmarkEnd w:id="122"/>
    <w:bookmarkStart w:id="123" w:name="threats-to-validity"/>
    <w:p>
      <w:pPr>
        <w:pStyle w:val="Heading2"/>
        <w:spacing w:line="480" w:lineRule="auto"/>
      </w:pPr>
      <w:r>
        <w:t xml:space="preserve">Threats to validity</w:t>
      </w:r>
    </w:p>
    <w:p>
      <w:pPr>
        <w:pStyle w:val="FirstParagraph"/>
        <w:spacing w:line="480" w:lineRule="auto"/>
      </w:pPr>
      <w:r>
        <w:t xml:space="preserve">Source selection is the first threat, and it is real. It cannot be waved off. The corpus is the candidate’s retrieved pack, thirty records, and it cannot represent the full universe of cislunar tracking activity. If the retrieval systematically over-samples one venue family or one period, the coefficients absorb that selection. The uneven venue composition, twelve proceedings records, twelve journal records, six study reports, is a visible instance of this risk. The recency and venue results should be read as conditional on the retrieval, not as population parameters, and a different retrieval could shift the magnitudes even if the broad structure held</w:t>
      </w:r>
      <w:r>
        <w:t xml:space="preserve"> </w:t>
      </w:r>
      <w:hyperlink w:anchor="ref-5">
        <w:r>
          <w:rPr>
            <w:rStyle w:val="Hyperlink"/>
          </w:rPr>
          <w:t xml:space="preserve">[5]</w:t>
        </w:r>
      </w:hyperlink>
      <w:r>
        <w:t xml:space="preserve">.</w:t>
      </w:r>
    </w:p>
    <w:p>
      <w:pPr>
        <w:pStyle w:val="BodyText"/>
        <w:spacing w:line="480" w:lineRule="auto"/>
        <w:ind w:firstLine="720"/>
      </w:pPr>
      <w:r>
        <w:t xml:space="preserve">Proxy measurement is the second threat, and it bites hardest on the citation variable. The local index count is not a reconciled cross-database citation figure. It reports zero for most records and a single value of 130 for one, and that shape all but guarantees an unstable slope</w:t>
      </w:r>
      <w:r>
        <w:t xml:space="preserve"> </w:t>
      </w:r>
      <w:hyperlink w:anchor="ref-9">
        <w:r>
          <w:rPr>
            <w:rStyle w:val="Hyperlink"/>
          </w:rPr>
          <w:t xml:space="preserve">[9]</w:t>
        </w:r>
      </w:hyperlink>
      <w:r>
        <w:t xml:space="preserve">. The topic-signal count is a cleaner proxy, but it is still a proxy: it measures term density, not scientific importance, and a record could be important to cislunar tracking while using vocabulary the counter does not catch. The venue score is a position, not a cardinal measure, so its coefficient should never be multiplied into a quality premium. Each proxy is honest, and each is limited, and the interpretations in Chapter 6 stay inside those limits.</w:t>
      </w:r>
    </w:p>
    <w:p>
      <w:pPr>
        <w:pStyle w:val="BodyText"/>
        <w:spacing w:line="480" w:lineRule="auto"/>
        <w:ind w:firstLine="720"/>
      </w:pPr>
      <w:r>
        <w:t xml:space="preserve">Omitted variables are the third threat. A metadata regression cannot include every determinant of topic signal. Author community, funding source, mission linkage, and the technical difficulty of the underlying problem all plausibly shape how theme-dense a record is, and none of them is in the model. The recency coefficient in particular could partly reflect an omitted mechanism, metadata inflation, in which newer records simply carry richer keyword fields that mechanically raise the term count</w:t>
      </w:r>
      <w:r>
        <w:t xml:space="preserve"> </w:t>
      </w:r>
      <w:hyperlink w:anchor="ref-6">
        <w:r>
          <w:rPr>
            <w:rStyle w:val="Hyperlink"/>
          </w:rPr>
          <w:t xml:space="preserve">[6]</w:t>
        </w:r>
      </w:hyperlink>
      <w:r>
        <w:t xml:space="preserve">. The design flags this rather than resolving it, because resolving it would require a document-coding effort beyond the present scope.</w:t>
      </w:r>
    </w:p>
    <w:p>
      <w:pPr>
        <w:pStyle w:val="BodyText"/>
        <w:spacing w:line="480" w:lineRule="auto"/>
        <w:ind w:firstLine="720"/>
      </w:pPr>
      <w:r>
        <w:t xml:space="preserve">Overinterpretation is the fourth threat, and it is the one the whole dissertation is built to resist. The temptation with a significant recency coefficient is to narrate it into a story about the field’s momentum and then into a recommendation about infrastructure. Every step of that narration outruns the evidence. The regression identifies a within-corpus association, nothing more, and the distance from that association to a sensor-placement decision is enormous. The probabilistic-tracking and vision-sensor literatures model the right restraint here: they state exactly what their methods resolve and refuse to promise operational outcomes their demonstrations do not establish</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123"/>
    <w:bookmarkStart w:id="124" w:name="X154060e96ff4a42ca3f47ced68350a3ad113012"/>
    <w:p>
      <w:pPr>
        <w:pStyle w:val="Heading2"/>
        <w:spacing w:line="480" w:lineRule="auto"/>
      </w:pPr>
      <w:r>
        <w:t xml:space="preserve">External validity and the reference class</w:t>
      </w:r>
    </w:p>
    <w:p>
      <w:pPr>
        <w:pStyle w:val="FirstParagraph"/>
        <w:spacing w:line="480" w:lineRule="auto"/>
      </w:pPr>
      <w:r>
        <w:t xml:space="preserve">A separate validity concern is external: to what population, if any, do the findings speak beyond the thirty records themselves? The strict answer is that the estimates are conditional on the retrieval and generalize to nothing automatically. The more useful answer names the reference class the corpus plausibly samples from. The records were drawn to represent the retrievable cislunar tracking and adjacent literature, spanning proceedings, journals, and study reports, and if that retrieval is roughly representative of how the field publishes, then the recency and venue structure may hold in the broader literature the corpus samples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That is a conditional generalization, and its condition, representativeness of the retrieval, is untested here.</w:t>
      </w:r>
    </w:p>
    <w:p>
      <w:pPr>
        <w:pStyle w:val="BodyText"/>
        <w:spacing w:line="480" w:lineRule="auto"/>
        <w:ind w:firstLine="720"/>
      </w:pPr>
      <w:r>
        <w:t xml:space="preserve">The honest posture is to offer the finding as a hypothesis about the wider literature rather than a fact about it. If a larger, systematically assembled corpus reproduced the positive recency association and the negative venue slope, the within-corpus result would earn external standing. If it did not, the original estimates would stand as accurate descriptions of one retrieval and nothing more. Either outcome is informative, and neither is foreclosed by the present design, which is the appropriate stance for a first pass whose whole purpose is to establish whether a larger study is warranted</w:t>
      </w:r>
      <w:r>
        <w:t xml:space="preserve"> </w:t>
      </w:r>
      <w:hyperlink w:anchor="ref-5">
        <w:r>
          <w:rPr>
            <w:rStyle w:val="Hyperlink"/>
          </w:rPr>
          <w:t xml:space="preserve">[5]</w:t>
        </w:r>
      </w:hyperlink>
      <w:r>
        <w:t xml:space="preserve">.</w:t>
      </w:r>
    </w:p>
    <w:bookmarkEnd w:id="124"/>
    <w:bookmarkStart w:id="125" w:name="what-the-data-cannot-show"/>
    <w:p>
      <w:pPr>
        <w:pStyle w:val="Heading2"/>
        <w:spacing w:line="480" w:lineRule="auto"/>
      </w:pPr>
      <w:r>
        <w:t xml:space="preserve">What the data cannot show</w:t>
      </w:r>
    </w:p>
    <w:p>
      <w:pPr>
        <w:pStyle w:val="FirstParagraph"/>
        <w:spacing w:line="480" w:lineRule="auto"/>
      </w:pPr>
      <w:r>
        <w:t xml:space="preserve">Some questions sit outside this design entirely. Naming them is not an apology; it is a specification.</w:t>
      </w:r>
    </w:p>
    <w:p>
      <w:pPr>
        <w:pStyle w:val="BodyText"/>
        <w:spacing w:line="480" w:lineRule="auto"/>
        <w:ind w:firstLine="720"/>
      </w:pPr>
      <w:r>
        <w:t xml:space="preserve">Several questions sit permanently outside this design, and naming them is part of the contribution. The data cannot show a causal effect. Nothing here is randomized or identified through a natural experiment, so no coefficient supports a structural causal claim about why topic signal takes the values it does. The data cannot show the marginal operational value of an added ground station or relay, which is the policy question in the dissertation’s title; that question requires mission-level and cost data the metadata corpus does not contain</w:t>
      </w:r>
      <w:r>
        <w:t xml:space="preserve"> </w:t>
      </w:r>
      <w:hyperlink w:anchor="ref-3">
        <w:r>
          <w:rPr>
            <w:rStyle w:val="Hyperlink"/>
          </w:rPr>
          <w:t xml:space="preserve">[3]</w:t>
        </w:r>
      </w:hyperlink>
      <w:r>
        <w:t xml:space="preserve">. The data cannot generalize beyond the retrieved records, because the corpus is the universe of observation and any extrapolation is an assumption rather than a result. And the data cannot resolve the accumulation question at all, because the citation proxy is too sparse to carry a temporal model</w:t>
      </w:r>
      <w:r>
        <w:t xml:space="preserve"> </w:t>
      </w:r>
      <w:hyperlink w:anchor="ref-9">
        <w:r>
          <w:rPr>
            <w:rStyle w:val="Hyperlink"/>
          </w:rPr>
          <w:t xml:space="preserve">[9]</w:t>
        </w:r>
      </w:hyperlink>
      <w:r>
        <w:t xml:space="preserve">.</w:t>
      </w:r>
    </w:p>
    <w:p>
      <w:pPr>
        <w:pStyle w:val="BodyText"/>
        <w:spacing w:line="480" w:lineRule="auto"/>
        <w:ind w:firstLine="720"/>
      </w:pPr>
      <w:r>
        <w:t xml:space="preserve">These are not apologies. They are specifications of where the next study would have to work. A follow-on design that hand-coded document-level claims, that reconciled citations across databases, and that linked records to mission and cost data could convert some of these unanswerable questions into answerable ones. The traffic-management and architecture literatures point toward the institutional variables such a design would need</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125"/>
    <w:bookmarkStart w:id="126" w:name="X26ba294ea4831c952de84a64647c79483031341"/>
    <w:p>
      <w:pPr>
        <w:pStyle w:val="Heading2"/>
        <w:spacing w:line="480" w:lineRule="auto"/>
      </w:pPr>
      <w:r>
        <w:t xml:space="preserve">The single-outlier problem as a validity question</w:t>
      </w:r>
    </w:p>
    <w:p>
      <w:pPr>
        <w:pStyle w:val="FirstParagraph"/>
        <w:spacing w:line="480" w:lineRule="auto"/>
      </w:pPr>
      <w:r>
        <w:t xml:space="preserve">One threat deserves its own treatment because it shapes an entire screen: the 130-citation outlier. In the cross-sectional regression, this record’s extreme citation value is one reason the citation coefficient is inert, because a single high-leverage point in a proxy that is otherwise near-constant cannot produce a stable slope</w:t>
      </w:r>
      <w:r>
        <w:t xml:space="preserve"> </w:t>
      </w:r>
      <w:hyperlink w:anchor="ref-9">
        <w:r>
          <w:rPr>
            <w:rStyle w:val="Hyperlink"/>
          </w:rPr>
          <w:t xml:space="preserve">[9]</w:t>
        </w:r>
      </w:hyperlink>
      <w:r>
        <w:t xml:space="preserve">. In the learning-curve screen, the same record is the lone counterweight to a mass of tied uncited observations, and it single-handedly determines whatever tilt the log-log line has. A design that dropped this point could report a different accumulation estimate, and the fact that it could is precisely why the point was kept. Removing it would be a validity violation dressed as a robustness check. The honest posture is to leave the outlier in, report the null it helps produce, and name it as the reason a larger, citation-reconciled sample is the necessary next step.</w:t>
      </w:r>
    </w:p>
    <w:p>
      <w:pPr>
        <w:pStyle w:val="BodyText"/>
        <w:spacing w:line="480" w:lineRule="auto"/>
        <w:ind w:firstLine="720"/>
      </w:pPr>
      <w:r>
        <w:t xml:space="preserve">This is a general lesson about small-corpus attention studies, not a quirk of this one. When a citation proxy is dominated by zeros and one extreme value, no temporal model can be trusted, and the appropriate response is to say so rather than to engineer a cleaner-looking result. The debris-tracking literature offers the parallel discipline: probabilistic methods succeed by characterizing their uncertainty honestly rather than by suppressing the hard cases that inflate it</w:t>
      </w:r>
      <w:r>
        <w:t xml:space="preserve"> </w:t>
      </w:r>
      <w:hyperlink w:anchor="ref-2">
        <w:r>
          <w:rPr>
            <w:rStyle w:val="Hyperlink"/>
          </w:rPr>
          <w:t xml:space="preserve">[2]</w:t>
        </w:r>
      </w:hyperlink>
      <w:r>
        <w:t xml:space="preserve">.</w:t>
      </w:r>
    </w:p>
    <w:bookmarkEnd w:id="126"/>
    <w:bookmarkStart w:id="127" w:name="Xbf9bd346483e9b700239ada1283adc4725f1587"/>
    <w:p>
      <w:pPr>
        <w:pStyle w:val="Heading2"/>
        <w:spacing w:line="480" w:lineRule="auto"/>
      </w:pPr>
      <w:r>
        <w:t xml:space="preserve">Construct validity of the topic-signal measure</w:t>
      </w:r>
    </w:p>
    <w:p>
      <w:pPr>
        <w:pStyle w:val="FirstParagraph"/>
        <w:spacing w:line="480" w:lineRule="auto"/>
      </w:pPr>
      <w:r>
        <w:t xml:space="preserve">A deeper validity question concerns whether the topic-signal count measures what the mechanism says it measures. The construct of interest is the salience of cislunar tracking in a record; the measure is a count of theme-relevant terms across four metadata fields. The two can diverge. A record could engage cislunar tracking deeply while using vocabulary the counter does not recognize, scoring low despite high true salience, and another could mention the theme terms in passing while being substantively about something else, scoring high despite low true salience. This gap between construct and measure is the standard hazard of automated content coding, and it caps how much weight the recency and venue results can bear.</w:t>
      </w:r>
    </w:p>
    <w:p>
      <w:pPr>
        <w:pStyle w:val="BodyText"/>
        <w:spacing w:line="480" w:lineRule="auto"/>
        <w:ind w:firstLine="720"/>
      </w:pPr>
      <w:r>
        <w:t xml:space="preserve">The mitigation is transparency rather than a claim of perfect validity. Because the counting rule is fixed and deterministic, any reader can inspect a record’s score against its content and judge the gap for themselves, which is more than an opaque hand-coding could offer</w:t>
      </w:r>
      <w:r>
        <w:t xml:space="preserve"> </w:t>
      </w:r>
      <w:hyperlink w:anchor="ref-6">
        <w:r>
          <w:rPr>
            <w:rStyle w:val="Hyperlink"/>
          </w:rPr>
          <w:t xml:space="preserve">[6]</w:t>
        </w:r>
      </w:hyperlink>
      <w:r>
        <w:t xml:space="preserve">. The construct-validity limit is real, and it is one of the strongest arguments for the document-coding follow-on that Chapter 8 proposes, in which verified claims about each source replace the term count and close the gap between what is measured and what is meant.</w:t>
      </w:r>
    </w:p>
    <w:bookmarkEnd w:id="127"/>
    <w:bookmarkStart w:id="128" w:name="X1c8a7e6c7e81a712009b8196a9b833ea1f762c4"/>
    <w:p>
      <w:pPr>
        <w:pStyle w:val="Heading2"/>
        <w:spacing w:line="480" w:lineRule="auto"/>
      </w:pPr>
      <w:r>
        <w:t xml:space="preserve">Statistical power and the risk of a missed effect</w:t>
      </w:r>
    </w:p>
    <w:p>
      <w:pPr>
        <w:pStyle w:val="FirstParagraph"/>
        <w:spacing w:line="480" w:lineRule="auto"/>
      </w:pPr>
      <w:r>
        <w:t xml:space="preserve">A design this small has to reckon with statistical power, the probability of detecting a real effect when one exists, because low power turns a null into an ambiguous signal. With thirty records the cross-sectional regression has enough power to detect the moderately sized venue and recency effects it did detect, which is reassuring; a design blind to real structure would not have surfaced them. The concern falls instead on the nulls. The citation coefficient could be truly zero, or it could be nonzero but too small for thirty records to distinguish from zero given the proxy’s degenerate distribution</w:t>
      </w:r>
      <w:r>
        <w:t xml:space="preserve"> </w:t>
      </w:r>
      <w:hyperlink w:anchor="ref-9">
        <w:r>
          <w:rPr>
            <w:rStyle w:val="Hyperlink"/>
          </w:rPr>
          <w:t xml:space="preserve">[9]</w:t>
        </w:r>
      </w:hyperlink>
      <w:r>
        <w:t xml:space="preserve">.</w:t>
      </w:r>
    </w:p>
    <w:p>
      <w:pPr>
        <w:pStyle w:val="BodyText"/>
        <w:spacing w:line="480" w:lineRule="auto"/>
        <w:ind w:firstLine="720"/>
      </w:pPr>
      <w:r>
        <w:t xml:space="preserve">The design cannot fully separate those two readings, and it says so. What it can say is that the citation proxy’s distribution, twenty tied zeros and one extreme value, would defeat detection of any but an enormous effect, so the null is better read as uninformative about the citation-signal relationship than as strong evidence of no relationship.</w:t>
      </w:r>
    </w:p>
    <w:p>
      <w:pPr>
        <w:pStyle w:val="BodyText"/>
        <w:spacing w:line="480" w:lineRule="auto"/>
        <w:ind w:firstLine="720"/>
      </w:pPr>
      <w:r>
        <w:t xml:space="preserve">The accumulation null is on firmer ground, because its interpretation does not hinge on power alone. The learning-curve elasticity is not merely insignificant; the model explains under one percent of the variation, which means that even if a small true effect were being missed for lack of power, no meaningful accumulation structure is present to be exploited</w:t>
      </w:r>
      <w:r>
        <w:t xml:space="preserve"> </w:t>
      </w:r>
      <w:hyperlink w:anchor="ref-9">
        <w:r>
          <w:rPr>
            <w:rStyle w:val="Hyperlink"/>
          </w:rPr>
          <w:t xml:space="preserve">[9]</w:t>
        </w:r>
      </w:hyperlink>
      <w:r>
        <w:t xml:space="preserve">. A field with a real maturation arc would leave more than one percent of its citation variation explained by age. So the accumulation null carries substantive weight where the citation null carries mainly a warning about the proxy. Distinguishing between these two nulls, one uninformative and one substantive, is a piece of interpretive care that a less scrupulous reading would collapse</w:t>
      </w:r>
      <w:r>
        <w:t xml:space="preserve"> </w:t>
      </w:r>
      <w:hyperlink w:anchor="ref-2">
        <w:r>
          <w:rPr>
            <w:rStyle w:val="Hyperlink"/>
          </w:rPr>
          <w:t xml:space="preserve">[2]</w:t>
        </w:r>
      </w:hyperlink>
      <w:r>
        <w:t xml:space="preserve">.</w:t>
      </w:r>
    </w:p>
    <w:bookmarkEnd w:id="128"/>
    <w:bookmarkStart w:id="129" w:name="the-value-of-a-bounded-result"/>
    <w:p>
      <w:pPr>
        <w:pStyle w:val="Heading2"/>
        <w:spacing w:line="480" w:lineRule="auto"/>
      </w:pPr>
      <w:r>
        <w:t xml:space="preserve">The value of a bounded result</w:t>
      </w:r>
    </w:p>
    <w:p>
      <w:pPr>
        <w:pStyle w:val="FirstParagraph"/>
        <w:spacing w:line="480" w:lineRule="auto"/>
      </w:pPr>
      <w:r>
        <w:t xml:space="preserve">A modest, well-bounded result has a use that an overreaching one does not. It tells future work which variables have observable structure and are worth building on, recency and venue in this case, and which proxies are too weak to sustain a claim, citation attention in this corpus. It marks the boundary between what the documentary record shows and what a reasoning agency still needs to learn, which is exactly the boundary that infrastructure advocacy tends to blur. The COLLEGIUM design principle is served here: a claim that survives source tracing, transparent variable construction, and honest estimator review is stronger than an impressionistic one, and a claim that fails those tests is useful too, because it forecloses premature confidence</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dissertation belongs to the first stage of a longer program of institutional learning, and it names the later stages rather than pretending to have finished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9"/>
    <w:bookmarkStart w:id="130" w:name="why-an-honest-null-protects-the-reader"/>
    <w:p>
      <w:pPr>
        <w:pStyle w:val="Heading2"/>
        <w:spacing w:line="480" w:lineRule="auto"/>
      </w:pPr>
      <w:r>
        <w:t xml:space="preserve">Why an honest null protects the reader</w:t>
      </w:r>
    </w:p>
    <w:p>
      <w:pPr>
        <w:pStyle w:val="FirstParagraph"/>
        <w:spacing w:line="480" w:lineRule="auto"/>
      </w:pPr>
      <w:r>
        <w:t xml:space="preserve">There is a temptation, in any empirical project, to foreground the significant result and let the nulls recede into a footnote. This chapter resists that temptation because the nulls are among the most useful things the analysis produces for a reader who has to act. A program office told only that recency carries signal might conclude that citation counts also carry signal, since both are plausible attention measures, and might build a literature-triage process around citation counts. The citation null forecloses that mistake. It says, on evidence, that in this corpus citation attention does not track topic salience and should not anchor a triage process</w:t>
      </w:r>
      <w:r>
        <w:t xml:space="preserve"> </w:t>
      </w:r>
      <w:hyperlink w:anchor="ref-9">
        <w:r>
          <w:rPr>
            <w:rStyle w:val="Hyperlink"/>
          </w:rPr>
          <w:t xml:space="preserve">[9]</w:t>
        </w:r>
      </w:hyperlink>
      <w:r>
        <w:t xml:space="preserve">. A finding that prevents a costly error is worth as much as a finding that enables a useful one, and the honest reporting of nulls is how the analysis delivers the former.</w:t>
      </w:r>
    </w:p>
    <w:p>
      <w:pPr>
        <w:pStyle w:val="BodyText"/>
        <w:spacing w:line="480" w:lineRule="auto"/>
        <w:ind w:firstLine="720"/>
      </w:pPr>
      <w:r>
        <w:t xml:space="preserve">The same logic applies to the accumulation null. A community that assumed its cislunar tracking literature had matured into a stable canon would reason differently about which results to trust than a community that knew the canon had not yet formed. The flat learning curve tells the community which world it is in, and it tells it on evidence rather than impression</w:t>
      </w:r>
      <w:r>
        <w:t xml:space="preserve"> </w:t>
      </w:r>
      <w:hyperlink w:anchor="ref-9">
        <w:r>
          <w:rPr>
            <w:rStyle w:val="Hyperlink"/>
          </w:rPr>
          <w:t xml:space="preserve">[9]</w:t>
        </w:r>
      </w:hyperlink>
      <w:r>
        <w:t xml:space="preserve">. Protecting the reader from false confidence is not a lesser service than confirming a hypothesis. In a domain where infrastructure money follows perceived consensus, it may be the greater one, and it is the service a bounded, honestly reported design is uniquely positioned to provide</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30"/>
    <w:bookmarkEnd w:id="131"/>
    <w:bookmarkStart w:id="171" w:name="conclusions-and-implications"/>
    <w:p>
      <w:pPr>
        <w:pStyle w:val="Heading1"/>
        <w:spacing w:line="480" w:lineRule="auto"/>
      </w:pPr>
      <w:r>
        <w:t xml:space="preserve">Conclusions and Implications</w:t>
      </w:r>
    </w:p>
    <w:p>
      <w:pPr>
        <w:pStyle w:val="FirstParagraph"/>
        <w:spacing w:line="480" w:lineRule="auto"/>
      </w:pPr>
      <w:r>
        <w:t xml:space="preserve">The dissertation closes where it began, with a question about the marginal value of the next asset in a cislunar tracking architecture, and with a refusal to answer that question by assertion. What it delivers instead is a bounded, auditable measurement step: a test of whether the documentary evidence around cislunar tracking has recoverable structure, run on thirty source-traced records with two transparent estimators, reported exactly. The contribution is narrow on purpose, and its durability comes from that narrowness. A claim that can be traced from source to variable to coefficient to interpretation is a claim a skeptical reviewer can check, and checkability is the scarce commodity in a domain where infrastructure decisions usually rest on advocacy.</w:t>
      </w:r>
    </w:p>
    <w:bookmarkStart w:id="132" w:name="the-place-of-a-design-stage-result"/>
    <w:p>
      <w:pPr>
        <w:pStyle w:val="Heading2"/>
        <w:spacing w:line="480" w:lineRule="auto"/>
      </w:pPr>
      <w:r>
        <w:t xml:space="preserve">The place of a design-stage result</w:t>
      </w:r>
    </w:p>
    <w:p>
      <w:pPr>
        <w:pStyle w:val="FirstParagraph"/>
        <w:spacing w:line="480" w:lineRule="auto"/>
      </w:pPr>
      <w:r>
        <w:t xml:space="preserve">A design-stage dissertation occupies a particular and often undervalued place in a research program. It is not the study that settles a question; it is the study that establishes whether the question can be studied with the evidence at hand, and it earns its keep by preventing wasted effort downstream. Had this project found the cislunar tracking literature to be structureless noise, a future marginal-value analysis would have known to build its evidence base before trusting any number</w:t>
      </w:r>
      <w:r>
        <w:t xml:space="preserve"> </w:t>
      </w:r>
      <w:hyperlink w:anchor="ref-3">
        <w:r>
          <w:rPr>
            <w:rStyle w:val="Hyperlink"/>
          </w:rPr>
          <w:t xml:space="preserve">[3]</w:t>
        </w:r>
      </w:hyperlink>
      <w:r>
        <w:t xml:space="preserve">.</w:t>
      </w:r>
    </w:p>
    <w:p>
      <w:pPr>
        <w:pStyle w:val="BodyText"/>
        <w:spacing w:line="480" w:lineRule="auto"/>
        <w:ind w:firstLine="720"/>
      </w:pPr>
      <w:r>
        <w:t xml:space="preserve">Had it found a clean accumulation arc, a future study could have leaned on citation dynamics as a maturity gauge. It found neither extreme, and the mixed result is the most useful kind: it maps precisely which dimensions of the evidence are ready to bear weight and which are not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mapping is the proper deliverable of a first pass, and delivering it honestly is worth more than a premature answer to the larger question.</w:t>
      </w:r>
    </w:p>
    <w:bookmarkEnd w:id="132"/>
    <w:bookmarkStart w:id="133" w:name="what-was-learned-in-one-paragraph"/>
    <w:p>
      <w:pPr>
        <w:pStyle w:val="Heading2"/>
        <w:spacing w:line="480" w:lineRule="auto"/>
      </w:pPr>
      <w:r>
        <w:t xml:space="preserve">What was learned, in one paragraph</w:t>
      </w:r>
    </w:p>
    <w:p>
      <w:pPr>
        <w:pStyle w:val="FirstParagraph"/>
        <w:spacing w:line="480" w:lineRule="auto"/>
      </w:pPr>
      <w:r>
        <w:t xml:space="preserve">Strip the dissertation to its core and this is what remains. A young technical field leaves a legible cross-sectional footprint and an illegible temporal one, and the cislunar tracking corpus behaves exactly that way. Topic signal rises with recency and concentrates in the announcement venues; it shows no relationship to local citation attention and no accumulation arc against age</w:t>
      </w:r>
      <w:r>
        <w:t xml:space="preserve"> </w:t>
      </w:r>
      <w:hyperlink w:anchor="ref-3">
        <w:r>
          <w:rPr>
            <w:rStyle w:val="Hyperlink"/>
          </w:rPr>
          <w:t xml:space="preserve">[3]</w:t>
        </w:r>
      </w:hyperlink>
      <w:r>
        <w:t xml:space="preserve"> </w:t>
      </w:r>
      <w:hyperlink w:anchor="ref-9">
        <w:r>
          <w:rPr>
            <w:rStyle w:val="Hyperlink"/>
          </w:rPr>
          <w:t xml:space="preserve">[9]</w:t>
        </w:r>
      </w:hyperlink>
      <w:r>
        <w:t xml:space="preserve">. That paired result, structure in the cross-section and none in the accumulation, is the signature of a field whose frontier is active but whose canon has not yet formed, and recovering that signature from thirty auditable records is the whole of the substantive finding. Everything else in the dissertation is the apparatus that makes the finding checkable.</w:t>
      </w:r>
    </w:p>
    <w:bookmarkEnd w:id="133"/>
    <w:bookmarkStart w:id="134" w:name="the-contribution-stated-plainly"/>
    <w:p>
      <w:pPr>
        <w:pStyle w:val="Heading2"/>
        <w:spacing w:line="480" w:lineRule="auto"/>
      </w:pPr>
      <w:r>
        <w:t xml:space="preserve">The contribution, stated plainly</w:t>
      </w:r>
    </w:p>
    <w:p>
      <w:pPr>
        <w:pStyle w:val="FirstParagraph"/>
        <w:spacing w:line="480" w:lineRule="auto"/>
      </w:pPr>
      <w:r>
        <w:t xml:space="preserve">The single falsifiable contribution was a test of whether the cislunar tracking topic signal is systematically related to recency, citation attention, and venue family in the retrieved corpus. The test returned a mixed and therefore credible verdict. The joint model rejected the hypothesis of no relationship, explaining a real share of the cross-sectional variation, and within that model two predictors carried the weight. Recency entered positively and significantly, consistent with a topic whose frontier is being named in recent work</w:t>
      </w:r>
      <w:r>
        <w:t xml:space="preserve"> </w:t>
      </w:r>
      <w:hyperlink w:anchor="ref-3">
        <w:r>
          <w:rPr>
            <w:rStyle w:val="Hyperlink"/>
          </w:rPr>
          <w:t xml:space="preserve">[3]</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Venue family entered with the model’s most precise coefficient, locating the theme-dense signal in the conference-proceedings family and tracing its decline toward the study-report family</w:t>
      </w:r>
      <w:r>
        <w:t xml:space="preserve"> </w:t>
      </w:r>
      <w:hyperlink w:anchor="ref-7">
        <w:r>
          <w:rPr>
            <w:rStyle w:val="Hyperlink"/>
          </w:rPr>
          <w:t xml:space="preserve">[7]</w:t>
        </w:r>
      </w:hyperlink>
      <w:r>
        <w:t xml:space="preserve"> </w:t>
      </w:r>
      <w:hyperlink w:anchor="ref-8">
        <w:r>
          <w:rPr>
            <w:rStyle w:val="Hyperlink"/>
          </w:rPr>
          <w:t xml:space="preserve">[8]</w:t>
        </w:r>
      </w:hyperlink>
      <w:r>
        <w:t xml:space="preserve">. Citation attention entered as a null, an honest reflection of a proxy dominated by zeros and one outlier</w:t>
      </w:r>
      <w:r>
        <w:t xml:space="preserve"> </w:t>
      </w:r>
      <w:hyperlink w:anchor="ref-9">
        <w:r>
          <w:rPr>
            <w:rStyle w:val="Hyperlink"/>
          </w:rPr>
          <w:t xml:space="preserve">[9]</w:t>
        </w:r>
      </w:hyperlink>
      <w:r>
        <w:t xml:space="preserve">. The accumulation screen found no age-based curve, a second null that says the corpus is too young and too lightly cited for a maturation arc to exist.</w:t>
      </w:r>
    </w:p>
    <w:p>
      <w:pPr>
        <w:pStyle w:val="BodyText"/>
        <w:spacing w:line="480" w:lineRule="auto"/>
        <w:ind w:firstLine="720"/>
      </w:pPr>
      <w:r>
        <w:t xml:space="preserve">That pattern is the contribution. Not a finding that more sensors are worth building, which the design never claimed to reach, but a demonstration that the documentary record around the sensor decision is partly legible and partly inert, and a precise account of which parts are which. Recency and venue carry structure a reasoning process could use. Local citation attention does not. The field has not accumulated enough attention to show a curve. These are statements a follow-on study can build on, and they replace an intuition about the literature with an auditable pathway through it.</w:t>
      </w:r>
    </w:p>
    <w:bookmarkEnd w:id="134"/>
    <w:bookmarkStart w:id="135" w:name="the-contribution-against-the-two-gaps"/>
    <w:p>
      <w:pPr>
        <w:pStyle w:val="Heading2"/>
        <w:spacing w:line="480" w:lineRule="auto"/>
      </w:pPr>
      <w:r>
        <w:t xml:space="preserve">The contribution against the two gaps</w:t>
      </w:r>
    </w:p>
    <w:p>
      <w:pPr>
        <w:pStyle w:val="FirstParagraph"/>
        <w:spacing w:line="480" w:lineRule="auto"/>
      </w:pPr>
      <w:r>
        <w:t xml:space="preserve">Chapter 2 opened two gaps, and the conclusion should say how far this dissertation closed them. The first gap lay between technical demonstration and institutional explanation, the missing account of how a demonstrated capability becomes governance consensus</w:t>
      </w:r>
      <w:r>
        <w:t xml:space="preserve"> </w:t>
      </w:r>
      <w:hyperlink w:anchor="ref-3">
        <w:r>
          <w:rPr>
            <w:rStyle w:val="Hyperlink"/>
          </w:rPr>
          <w:t xml:space="preserve">[3]</w:t>
        </w:r>
      </w:hyperlink>
      <w:r>
        <w:t xml:space="preserve"> </w:t>
      </w:r>
      <w:hyperlink w:anchor="ref-5">
        <w:r>
          <w:rPr>
            <w:rStyle w:val="Hyperlink"/>
          </w:rPr>
          <w:t xml:space="preserve">[5]</w:t>
        </w:r>
      </w:hyperlink>
      <w:r>
        <w:t xml:space="preserve">. This project does not close that gap, and it would overclaim to say it did. What it contributes is a measurement pass that any institutional explanation would need as a foundation: a way to check whether the demonstrations that consensus is supposed to rest on form an organized body of evidence or a scattered one. Knowing that the cislunar tracking literature is cross-sectionally structured but temporally immature is a fact an institutional account can build on, and supplying that fact in auditable form is the first gap’s partial closure.</w:t>
      </w:r>
    </w:p>
    <w:p>
      <w:pPr>
        <w:pStyle w:val="BodyText"/>
        <w:spacing w:line="480" w:lineRule="auto"/>
        <w:ind w:firstLine="720"/>
      </w:pPr>
      <w:r>
        <w:t xml:space="preserve">The second gap lay between policy salience and measurement, the tendency to discuss attention without ever measuring it</w:t>
      </w:r>
      <w:r>
        <w:t xml:space="preserve"> </w:t>
      </w:r>
      <w:hyperlink w:anchor="ref-2">
        <w:r>
          <w:rPr>
            <w:rStyle w:val="Hyperlink"/>
          </w:rPr>
          <w:t xml:space="preserve">[2]</w:t>
        </w:r>
      </w:hyperlink>
      <w:r>
        <w:t xml:space="preserve"> </w:t>
      </w:r>
      <w:hyperlink w:anchor="ref-6">
        <w:r>
          <w:rPr>
            <w:rStyle w:val="Hyperlink"/>
          </w:rPr>
          <w:t xml:space="preserve">[6]</w:t>
        </w:r>
      </w:hyperlink>
      <w:r>
        <w:t xml:space="preserve">. This gap the dissertation closes more fully, because measuring attention is precisely what it does. It converts recency, citation, and venue into variables and tests them, and it reports which of them carries structure and which does not. The finding that local citation attention is inert as a signal in this corpus is a direct answer to a question the prior literature left in the register of assertion</w:t>
      </w:r>
      <w:r>
        <w:t xml:space="preserve"> </w:t>
      </w:r>
      <w:hyperlink w:anchor="ref-9">
        <w:r>
          <w:rPr>
            <w:rStyle w:val="Hyperlink"/>
          </w:rPr>
          <w:t xml:space="preserve">[9]</w:t>
        </w:r>
      </w:hyperlink>
      <w:r>
        <w:t xml:space="preserve">. Closing the second gap even partly is the more distinctive contribution, because it is the gap the two venue cultures were least equipped to close on their own.</w:t>
      </w:r>
    </w:p>
    <w:bookmarkEnd w:id="135"/>
    <w:bookmarkStart w:id="136" w:name="X6d869462e00a947213f5825b44255407d22c458"/>
    <w:p>
      <w:pPr>
        <w:pStyle w:val="Heading2"/>
        <w:spacing w:line="480" w:lineRule="auto"/>
      </w:pPr>
      <w:r>
        <w:t xml:space="preserve">Relevance to cislunar infrastructure governance</w:t>
      </w:r>
    </w:p>
    <w:p>
      <w:pPr>
        <w:pStyle w:val="FirstParagraph"/>
        <w:spacing w:line="480" w:lineRule="auto"/>
      </w:pPr>
      <w:r>
        <w:t xml:space="preserve">The governance relevance is indirect but real. Decisions about ground stations and relays in the cislunar volume are being made now, under partial information, by agencies and operators who cannot wait for a complete evidence base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temptation in that situation is to let confident narrative substitute for evidence, and the cost of yielding to it is expensive infrastructure justified by consensus that was never tested. This dissertation offers a small corrective. It shows that even a metadata-level screen can mark the boundary between what the record supports and what it does not, and that marking the boundary is itself a governance service. A traffic-management framework for the cislunar environment needs surveillance capacity as an input, and it also needs a disciplined account of how the evidence around that capacity is distributed, which is what an auditable document-level analysis begins to supply</w:t>
      </w:r>
      <w:r>
        <w:t xml:space="preserve"> </w:t>
      </w:r>
      <w:hyperlink w:anchor="ref-10">
        <w:r>
          <w:rPr>
            <w:rStyle w:val="Hyperlink"/>
          </w:rPr>
          <w:t xml:space="preserve">[10]</w:t>
        </w:r>
      </w:hyperlink>
      <w:r>
        <w:t xml:space="preserve">.</w:t>
      </w:r>
    </w:p>
    <w:p>
      <w:pPr>
        <w:pStyle w:val="BodyText"/>
        <w:spacing w:line="480" w:lineRule="auto"/>
        <w:ind w:firstLine="720"/>
      </w:pPr>
      <w:r>
        <w:t xml:space="preserve">There is a second governance implication in the method rather than the findings. The design is a template for institutional learning under uncertainty. A first pass uses public records and metadata to establish whether a claim is even visible and measurable. A second pass adds project-level, mission-level, or cost data. A third pass tests whether the observed structure survives stronger controls and matched comparisons. The present work is a clean first pass, and its value is partly that it names the second and third passes precisely rather than pretending to have completed them. For a program office weighing cislunar sensor investments, that staged discipline is more useful than a single confident number, because it shows where the confidence is earned and where it is borrowed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6"/>
    <w:bookmarkStart w:id="137" w:name="what-the-analysis-does-not-license"/>
    <w:p>
      <w:pPr>
        <w:pStyle w:val="Heading2"/>
        <w:spacing w:line="480" w:lineRule="auto"/>
      </w:pPr>
      <w:r>
        <w:t xml:space="preserve">What the analysis does not license</w:t>
      </w:r>
    </w:p>
    <w:p>
      <w:pPr>
        <w:pStyle w:val="FirstParagraph"/>
        <w:spacing w:line="480" w:lineRule="auto"/>
      </w:pPr>
      <w:r>
        <w:t xml:space="preserve">Restating the boundary is part of an honest conclusion. The dissertation does not establish a causal effect, does not measure the operational value of any specific ground station or relay, and does not generalize beyond the retrieved corpus. The recency and venue associations are within-corpus facts conditional on the retrieval, not population parameters. The citation and accumulation nulls are statements about a weak proxy in a small sample, not proof that attention is irrelevant to cislunar tracking in the wider world. Every one of these limits was named in advance and respected in the reporting, and the refusal to overreach is not a weakness of the design but the feature that makes its modest findings trustworthy</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bookmarkEnd w:id="137"/>
    <w:bookmarkStart w:id="138" w:name="the-methodological-contribution-restated"/>
    <w:p>
      <w:pPr>
        <w:pStyle w:val="Heading2"/>
        <w:spacing w:line="480" w:lineRule="auto"/>
      </w:pPr>
      <w:r>
        <w:t xml:space="preserve">The methodological contribution restated</w:t>
      </w:r>
    </w:p>
    <w:p>
      <w:pPr>
        <w:pStyle w:val="FirstParagraph"/>
        <w:spacing w:line="480" w:lineRule="auto"/>
      </w:pPr>
      <w:r>
        <w:t xml:space="preserve">It is worth separating the two kinds of contribution this dissertation makes, because they travel differently. The substantive contribution is local: it describes how the cislunar tracking topic sits in one retrieved corpus, finding time and venue structure and no citation-based accumulation. That description is bounded to the corpus and would need re-estimation on a larger sample to generalize. The methodological contribution is more portable. It is a demonstration that a space-governance claim can be turned into a transparent, source-traced test with two lean estimators, that the test can return a mixed verdict, and that the mixed verdict is more trustworthy than a uniform one precisely because it shows the design was capable of failing.</w:t>
      </w:r>
    </w:p>
    <w:p>
      <w:pPr>
        <w:pStyle w:val="BodyText"/>
        <w:spacing w:line="480" w:lineRule="auto"/>
        <w:ind w:firstLine="720"/>
      </w:pPr>
      <w:r>
        <w:t xml:space="preserve">That portability is the reason the project has value beyond its own topic. A great many space-policy questions begin the same way, with a technical literature, a governance decision, and an unmeasured assumption that the literature is organized enough to reason from</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instrument built here, a topic-signal count, a recency index, a venue ordering, a citation proxy, and two screens over them, transfers to any of those questions with only the term list changed. What does not transfer, and should not, is any specific coefficient. The method is general; the findings are local; keeping those two straight is the discipline the whole dissertation embodies.</w:t>
      </w:r>
    </w:p>
    <w:bookmarkEnd w:id="138"/>
    <w:bookmarkStart w:id="139" w:name="X11ea5800f6245c91cc57e039915b759177e89a9"/>
    <w:p>
      <w:pPr>
        <w:pStyle w:val="Heading2"/>
        <w:spacing w:line="480" w:lineRule="auto"/>
      </w:pPr>
      <w:r>
        <w:t xml:space="preserve">The dissertation as a template for the COLLEGIUM pipeline</w:t>
      </w:r>
    </w:p>
    <w:p>
      <w:pPr>
        <w:pStyle w:val="FirstParagraph"/>
        <w:spacing w:line="480" w:lineRule="auto"/>
      </w:pPr>
      <w:r>
        <w:t xml:space="preserve">Beyond its topic and its method, the project models a stance that other design-stage inquiries in the same pipeline can adopt. The stance has three commitments. The first is provenance: every observation traces to a named source, so no claim floats free of a document a reviewer can open</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second is determinism: every variable is a fixed function of a documented field, so a second analyst recovers the same dataset without importing private judgment. The third is honest reporting: every estimator output is stated to full precision and every null is reported as a finding, so the interpretation cannot be quietly bent toward a more flattering conclusion</w:t>
      </w:r>
      <w:r>
        <w:t xml:space="preserve"> </w:t>
      </w:r>
      <w:hyperlink w:anchor="ref-9">
        <w:r>
          <w:rPr>
            <w:rStyle w:val="Hyperlink"/>
          </w:rPr>
          <w:t xml:space="preserve">[9]</w:t>
        </w:r>
      </w:hyperlink>
      <w:r>
        <w:t xml:space="preserve">. These three commitments are transferable to any candidate topic, and together they define what it means for a design-stage dissertation to be auditable rather than merely persuasive.</w:t>
      </w:r>
    </w:p>
    <w:p>
      <w:pPr>
        <w:pStyle w:val="BodyText"/>
        <w:spacing w:line="480" w:lineRule="auto"/>
        <w:ind w:firstLine="720"/>
      </w:pPr>
      <w:r>
        <w:t xml:space="preserve">The stance costs something, and naming the cost is part of recommending it. A provenance-and-determinism design forgoes the richer measures that expert coding could supply, accepting bluntness for reproducibility. An honest-reporting design forgoes the rhetorical lift that comes from foregrounding significant results and burying nulls. These are real sacrifices, and a project that wanted maximum persuasive force would not make them. The judgment embedded in this dissertation, and offered to the pipeline as a template, is that in a governance-adjacent domain the sacrifices buy something more valuable than persuasive force: they buy findings that survive an adversarial audit, and in a contested domain that survival is worth more than eloquence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39"/>
    <w:bookmarkStart w:id="140" w:name="connecting-the-finding-back-to-the-title"/>
    <w:p>
      <w:pPr>
        <w:pStyle w:val="Heading2"/>
        <w:spacing w:line="480" w:lineRule="auto"/>
      </w:pPr>
      <w:r>
        <w:t xml:space="preserve">Connecting the finding back to the title</w:t>
      </w:r>
    </w:p>
    <w:p>
      <w:pPr>
        <w:pStyle w:val="FirstParagraph"/>
        <w:spacing w:line="480" w:lineRule="auto"/>
      </w:pPr>
      <w:r>
        <w:t xml:space="preserve">The title asks about the marginal value of each added ground or relay, and a reader is entitled to know how a corpus-structure finding connects to that question. The connection is one of foundation rather than answer. A genuine marginal-value analysis would price each added asset against the incremental tracking it buys, and it would draw its evidence from the same literature this dissertation measured</w:t>
      </w:r>
      <w:r>
        <w:t xml:space="preserve"> </w:t>
      </w:r>
      <w:hyperlink w:anchor="ref-3">
        <w:r>
          <w:rPr>
            <w:rStyle w:val="Hyperlink"/>
          </w:rPr>
          <w:t xml:space="preserve">[3]</w:t>
        </w:r>
      </w:hyperlink>
      <w:r>
        <w:t xml:space="preserve"> </w:t>
      </w:r>
      <w:hyperlink w:anchor="ref-4">
        <w:r>
          <w:rPr>
            <w:rStyle w:val="Hyperlink"/>
          </w:rPr>
          <w:t xml:space="preserve">[4]</w:t>
        </w:r>
      </w:hyperlink>
      <w:r>
        <w:t xml:space="preserve">. If that literature had turned out to be scattered noise, any marginal-value number built on it would inherit the noise, and the analysis would be pricing assets against an evidence base too disorganized to trust.</w:t>
      </w:r>
    </w:p>
    <w:p>
      <w:pPr>
        <w:pStyle w:val="BodyText"/>
        <w:spacing w:line="480" w:lineRule="auto"/>
        <w:ind w:firstLine="720"/>
      </w:pPr>
      <w:r>
        <w:t xml:space="preserve">This dissertation shows that the literature is not pure noise: it has a legible cross-sectional structure organized by recency and venue</w:t>
      </w:r>
      <w:r>
        <w:t xml:space="preserve"> </w:t>
      </w:r>
      <w:hyperlink w:anchor="ref-10">
        <w:r>
          <w:rPr>
            <w:rStyle w:val="Hyperlink"/>
          </w:rPr>
          <w:t xml:space="preserve">[10]</w:t>
        </w:r>
      </w:hyperlink>
      <w:r>
        <w:t xml:space="preserve">. It also shows where the evidence base is thin, in the temporal and citation dimensions, which tells a future marginal-value study which parts of the record it can lean on and which it must first repair</w:t>
      </w:r>
      <w:r>
        <w:t xml:space="preserve"> </w:t>
      </w:r>
      <w:hyperlink w:anchor="ref-9">
        <w:r>
          <w:rPr>
            <w:rStyle w:val="Hyperlink"/>
          </w:rPr>
          <w:t xml:space="preserve">[9]</w:t>
        </w:r>
      </w:hyperlink>
      <w:r>
        <w:t xml:space="preserve">.</w:t>
      </w:r>
    </w:p>
    <w:p>
      <w:pPr>
        <w:pStyle w:val="BodyText"/>
        <w:spacing w:line="480" w:lineRule="auto"/>
        <w:ind w:firstLine="720"/>
      </w:pPr>
      <w:r>
        <w:t xml:space="preserve">So the dissertation does not price the next ground station or relay. It establishes that the evidence a pricing study would use is partly sound and partly in need of strengthening, and it specifies which parts are which. That is the honest relationship between a first-pass measurement and a title-level policy question. The measurement clears the ground and marks where the foundation is solid, and it leaves the building of the marginal-value analysis to the strengthened designs the closing section lays out. Claiming more would betray the audit standard the whole project was built to honor.</w:t>
      </w:r>
    </w:p>
    <w:bookmarkEnd w:id="140"/>
    <w:bookmarkStart w:id="141" w:name="implications-for-the-reasoning-agency"/>
    <w:p>
      <w:pPr>
        <w:pStyle w:val="Heading2"/>
        <w:spacing w:line="480" w:lineRule="auto"/>
      </w:pPr>
      <w:r>
        <w:t xml:space="preserve">Implications for the reasoning agency</w:t>
      </w:r>
    </w:p>
    <w:p>
      <w:pPr>
        <w:pStyle w:val="FirstParagraph"/>
        <w:spacing w:line="480" w:lineRule="auto"/>
      </w:pPr>
      <w:r>
        <w:t xml:space="preserve">For an agency or program office that has to decide about cislunar sensors under partial information, the practical takeaway is a way of reasoning rather than a number. Before trusting a synthesis of the literature, ask whether the literature has measurable structure, and use a transparent screen to check. Where the screen finds structure, recency and venue in this case, treat those dimensions as navigable features of the evidence. Where the screen finds none, local citation attention here, treat that dimension as unusable and do not let it carry weight in a decision. This is a modest form of evidence hygiene, and it is exactly the form that infrastructure advocacy tends to skip</w:t>
      </w:r>
      <w:r>
        <w:t xml:space="preserve"> </w:t>
      </w:r>
      <w:hyperlink w:anchor="ref-5">
        <w:r>
          <w:rPr>
            <w:rStyle w:val="Hyperlink"/>
          </w:rPr>
          <w:t xml:space="preserve">[5]</w:t>
        </w:r>
      </w:hyperlink>
      <w:r>
        <w:t xml:space="preserve"> </w:t>
      </w:r>
      <w:hyperlink w:anchor="ref-8">
        <w:r>
          <w:rPr>
            <w:rStyle w:val="Hyperlink"/>
          </w:rPr>
          <w:t xml:space="preserve">[8]</w:t>
        </w:r>
      </w:hyperlink>
      <w:r>
        <w:t xml:space="preserve">. Adopting it would not answer the marginal-value question, but it would keep the answer, when it comes, from resting on evidence that was never tested.</w:t>
      </w:r>
    </w:p>
    <w:bookmarkEnd w:id="141"/>
    <w:bookmarkStart w:id="142" w:name="future-work"/>
    <w:p>
      <w:pPr>
        <w:pStyle w:val="Heading2"/>
        <w:spacing w:line="480" w:lineRule="auto"/>
      </w:pPr>
      <w:r>
        <w:t xml:space="preserve">Future work</w:t>
      </w:r>
    </w:p>
    <w:p>
      <w:pPr>
        <w:pStyle w:val="FirstParagraph"/>
        <w:spacing w:line="480" w:lineRule="auto"/>
      </w:pPr>
      <w:r>
        <w:t xml:space="preserve">The path forward is not vague. Each limitation names its own next step.</w:t>
      </w:r>
    </w:p>
    <w:p>
      <w:pPr>
        <w:pStyle w:val="BodyText"/>
        <w:spacing w:line="480" w:lineRule="auto"/>
        <w:ind w:firstLine="720"/>
      </w:pPr>
      <w:r>
        <w:t xml:space="preserve">The path forward is specific because the limitations are specific. The most valuable next step is document-level coding that replaces the term-count topic signal with hand-verified claims about what each source actually argues, which would test whether the recency association survives when metadata inflation is controlled</w:t>
      </w:r>
      <w:r>
        <w:t xml:space="preserve"> </w:t>
      </w:r>
      <w:hyperlink w:anchor="ref-6">
        <w:r>
          <w:rPr>
            <w:rStyle w:val="Hyperlink"/>
          </w:rPr>
          <w:t xml:space="preserve">[6]</w:t>
        </w:r>
      </w:hyperlink>
      <w:r>
        <w:t xml:space="preserve">. Reconciling citation counts across databases would replace the inert local proxy with a measure that could carry a real accumulation model, and it would let the learning-curve screen be re-estimated on a distribution that is not crushed by zeros and a single outlier</w:t>
      </w:r>
      <w:r>
        <w:t xml:space="preserve"> </w:t>
      </w:r>
      <w:hyperlink w:anchor="ref-9">
        <w:r>
          <w:rPr>
            <w:rStyle w:val="Hyperlink"/>
          </w:rPr>
          <w:t xml:space="preserve">[9]</w:t>
        </w:r>
      </w:hyperlink>
      <w:r>
        <w:t xml:space="preserve">.</w:t>
      </w:r>
    </w:p>
    <w:p>
      <w:pPr>
        <w:pStyle w:val="BodyText"/>
        <w:spacing w:line="480" w:lineRule="auto"/>
        <w:ind w:firstLine="720"/>
      </w:pPr>
      <w:r>
        <w:t xml:space="preserve">Extending the source universe beyond thirty records, ideally to the full retrievable cislunar tracking literature, would let the venue and recency structure be tested for stability rather than reported as conditional on one retrieval</w:t>
      </w:r>
      <w:r>
        <w:t xml:space="preserve"> </w:t>
      </w:r>
      <w:hyperlink w:anchor="ref-5">
        <w:r>
          <w:rPr>
            <w:rStyle w:val="Hyperlink"/>
          </w:rPr>
          <w:t xml:space="preserve">[5]</w:t>
        </w:r>
      </w:hyperlink>
      <w:r>
        <w:t xml:space="preserve">. And linking records to mission and cost data is the step that would finally connect this measurement work to the marginal-value question in the title, converting a corpus-structure finding into an input for a genuine allocation analysis</w:t>
      </w:r>
      <w:r>
        <w:t xml:space="preserve"> </w:t>
      </w:r>
      <w:hyperlink w:anchor="ref-3">
        <w:r>
          <w:rPr>
            <w:rStyle w:val="Hyperlink"/>
          </w:rPr>
          <w:t xml:space="preserve">[3]</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A sequencing logic connects these four steps, and it is worth making explicit because it turns a list into a program. Document-level coding comes first because it fixes the construct-validity gap that caps every other finding; until the topic-signal measure is verified against actual source content, no downstream estimate can be fully trusted</w:t>
      </w:r>
      <w:r>
        <w:t xml:space="preserve"> </w:t>
      </w:r>
      <w:hyperlink w:anchor="ref-6">
        <w:r>
          <w:rPr>
            <w:rStyle w:val="Hyperlink"/>
          </w:rPr>
          <w:t xml:space="preserve">[6]</w:t>
        </w:r>
      </w:hyperlink>
      <w:r>
        <w:t xml:space="preserve">. Citation reconciliation comes second because it is the precondition for any temporal model; the accumulation question simply cannot be reopened until the citation proxy stops being a wall of zeros and one outlier</w:t>
      </w:r>
      <w:r>
        <w:t xml:space="preserve"> </w:t>
      </w:r>
      <w:hyperlink w:anchor="ref-9">
        <w:r>
          <w:rPr>
            <w:rStyle w:val="Hyperlink"/>
          </w:rPr>
          <w:t xml:space="preserve">[9]</w:t>
        </w:r>
      </w:hyperlink>
      <w:r>
        <w:t xml:space="preserve">.</w:t>
      </w:r>
    </w:p>
    <w:p>
      <w:pPr>
        <w:pStyle w:val="BodyText"/>
        <w:spacing w:line="480" w:lineRule="auto"/>
        <w:ind w:firstLine="720"/>
      </w:pPr>
      <w:r>
        <w:t xml:space="preserve">Corpus expansion comes third because stability testing only makes sense once the measures are sound; there is no value in confirming an unstable measure across more records. Mission and cost linkage comes last because it is the step that finally connects the measurement work to the policy question, and it depends on everything before it being trustworthy</w:t>
      </w:r>
      <w:r>
        <w:t xml:space="preserve"> </w:t>
      </w:r>
      <w:hyperlink w:anchor="ref-3">
        <w:r>
          <w:rPr>
            <w:rStyle w:val="Hyperlink"/>
          </w:rPr>
          <w:t xml:space="preserve">[3]</w:t>
        </w:r>
      </w:hyperlink>
      <w:r>
        <w:t xml:space="preserve"> </w:t>
      </w:r>
      <w:hyperlink w:anchor="ref-10">
        <w:r>
          <w:rPr>
            <w:rStyle w:val="Hyperlink"/>
          </w:rPr>
          <w:t xml:space="preserve">[10]</w:t>
        </w:r>
      </w:hyperlink>
      <w:r>
        <w:t xml:space="preserve">. Run out of order, the steps waste effort; run in this order, each one earns the right to the next.</w:t>
      </w:r>
    </w:p>
    <w:p>
      <w:pPr>
        <w:pStyle w:val="BodyText"/>
        <w:spacing w:line="480" w:lineRule="auto"/>
        <w:ind w:firstLine="720"/>
      </w:pPr>
      <w:r>
        <w:t xml:space="preserve">For Yuki Eze (1B-SDA-182), the project establishes a research program rather than a single result. The baseline is set: a reproducible pathway from source retrieval to estimator output, a clear account of which variables carry structure and which do not, and a named sequence of stronger designs that the present work makes possible. The autonomous-navigation literature offers the model of how such a program matures, advancing capability while keeping the separation between demonstration and operational claim intact</w:t>
      </w:r>
      <w:r>
        <w:t xml:space="preserve"> </w:t>
      </w:r>
      <w:hyperlink w:anchor="ref-9">
        <w:r>
          <w:rPr>
            <w:rStyle w:val="Hyperlink"/>
          </w:rPr>
          <w:t xml:space="preserve">[9]</w:t>
        </w:r>
      </w:hyperlink>
      <w:r>
        <w:t xml:space="preserve">. This dissertation adopts that separation as its governing ethic and leaves, as its contribution, an auditable first step toward answering a question that the cislunar community will be forced to answer for real: what is the marginal value of the next ground or relay, and how would we know?</w:t>
      </w:r>
    </w:p>
    <w:bookmarkEnd w:id="142"/>
    <w:bookmarkStart w:id="170" w:name="references"/>
    <w:p>
      <w:pPr>
        <w:pStyle w:val="Heading2"/>
        <w:spacing w:line="480" w:lineRule="auto"/>
      </w:pPr>
      <w:r>
        <w:t xml:space="preserve">References</w:t>
      </w:r>
    </w:p>
    <w:p>
      <w:pPr>
        <w:pStyle w:val="FirstParagraph"/>
        <w:spacing w:line="480" w:lineRule="auto"/>
      </w:pPr>
      <w:bookmarkStart w:id="143" w:name="ref-1"/>
      <w:bookmarkEnd w:id="143"/>
      <w:r>
        <w:t xml:space="preserve">1. Anil Chaudhary (Applied Optimization, Inc.), Tamara Payne (Applied Optimization, Inc.), Keith Lucas (Applied Optimization, Inc.), Kimberly Kinateder (Wright State University), Phan Dao (Air Force Research Laboratory/RV Kirtland AFB, NM), Jeremy Murray-Krezan (Air Force Research Laboratory/RV Kirtland AFB, NM). Propagation of Bayesian Belief for Near-real Time Statistical Assessment of Geosynchronous Satellite Status Based on Non-Resolved Photometry Data (2014). [AMOS]</w:t>
      </w:r>
    </w:p>
    <w:p>
      <w:pPr>
        <w:pStyle w:val="BodyText"/>
        <w:spacing w:line="480" w:lineRule="auto"/>
        <w:ind w:firstLine="720"/>
      </w:pPr>
      <w:bookmarkStart w:id="144" w:name="ref-2"/>
      <w:bookmarkEnd w:id="144"/>
      <w:r>
        <w:t xml:space="preserve">2. Matthew Popplewell, Advanced Space; Matthew Givens, Advanced Space; Frank Centinello, Advanced Space; Michael Caudill, Advanced Space; Benjamin Tatman, Advanced Space; Nathan Parrish Ré, Advanced Space. Tracking Small Debris Using Probabilistic Methods (2025). doi:</w:t>
      </w:r>
      <w:r>
        <w:t xml:space="preserve"> </w:t>
      </w:r>
      <w:hyperlink r:id="rId145">
        <w:r>
          <w:rPr>
            <w:rStyle w:val="Hyperlink"/>
          </w:rPr>
          <w:t xml:space="preserve">10.64861/AJDV3259</w:t>
        </w:r>
      </w:hyperlink>
    </w:p>
    <w:p>
      <w:pPr>
        <w:pStyle w:val="BodyText"/>
        <w:spacing w:line="480" w:lineRule="auto"/>
        <w:ind w:firstLine="720"/>
      </w:pPr>
      <w:bookmarkStart w:id="146" w:name="ref-3"/>
      <w:bookmarkEnd w:id="146"/>
      <w:r>
        <w:t xml:space="preserve">3. Michael Thompson, Advanced Space, LLC; Nathan Parrish Ré, Advanced Space, LLC; Cameron Meek, Advanced Space, LLC; Bradley Cheetham, Advanced Space, LLC. Cislunar Orbit Determination and Tracking via Simulated Space-Based Measurements (2021). [AMOS]</w:t>
      </w:r>
    </w:p>
    <w:p>
      <w:pPr>
        <w:pStyle w:val="BodyText"/>
        <w:spacing w:line="480" w:lineRule="auto"/>
        <w:ind w:firstLine="720"/>
      </w:pPr>
      <w:bookmarkStart w:id="147" w:name="ref-4"/>
      <w:bookmarkEnd w:id="147"/>
      <w:r>
        <w:t xml:space="preserve">4. François Thevenot, Safran Data Systems; Baptiste Guillot, Safran Data Systems; Sebastien Herbiniere, Safran Data Systems. Cislunar Orbit Determination with Passive RF Sensors (2024). doi:</w:t>
      </w:r>
      <w:r>
        <w:t xml:space="preserve"> </w:t>
      </w:r>
      <w:hyperlink r:id="rId148">
        <w:r>
          <w:rPr>
            <w:rStyle w:val="Hyperlink"/>
          </w:rPr>
          <w:t xml:space="preserve">10.64861/VIBN6616</w:t>
        </w:r>
      </w:hyperlink>
    </w:p>
    <w:p>
      <w:pPr>
        <w:pStyle w:val="BodyText"/>
        <w:spacing w:line="480" w:lineRule="auto"/>
        <w:ind w:firstLine="720"/>
      </w:pPr>
      <w:bookmarkStart w:id="149" w:name="ref-5"/>
      <w:bookmarkEnd w:id="149"/>
      <w:r>
        <w:t xml:space="preserve">5. Brian Weeden (Secure World Foundation). Development of an Architecture of Sun-Synchronous Orbital Slots to Minimize Conjunctions (2008). [AMOS]</w:t>
      </w:r>
    </w:p>
    <w:p>
      <w:pPr>
        <w:pStyle w:val="BodyText"/>
        <w:spacing w:line="480" w:lineRule="auto"/>
        <w:ind w:firstLine="720"/>
      </w:pPr>
      <w:bookmarkStart w:id="150" w:name="ref-6"/>
      <w:bookmarkEnd w:id="150"/>
      <w:r>
        <w:t xml:space="preserve">6. Daniel Hopkins, University of Canterbury; Richard Clare, University of Canterbury; Le Yang, University of Canterbury; Steve Weddell, University of Canterbury. Comparison of atmospheric tomography basis functions for point spread function reproduction (2023). doi:</w:t>
      </w:r>
      <w:r>
        <w:t xml:space="preserve"> </w:t>
      </w:r>
      <w:hyperlink r:id="rId151">
        <w:r>
          <w:rPr>
            <w:rStyle w:val="Hyperlink"/>
          </w:rPr>
          <w:t xml:space="preserve">10.64861/KHVZ4947</w:t>
        </w:r>
      </w:hyperlink>
    </w:p>
    <w:p>
      <w:pPr>
        <w:pStyle w:val="BodyText"/>
        <w:spacing w:line="480" w:lineRule="auto"/>
        <w:ind w:firstLine="720"/>
      </w:pPr>
      <w:bookmarkStart w:id="152" w:name="ref-7"/>
      <w:bookmarkEnd w:id="152"/>
      <w:r>
        <w:t xml:space="preserve">7. Greg Martin, Pacific Defense Solutions – a Centauri Company; Charles J. “Jack” Wetterer, Pacific Defense Solutions, A Centauri Company; Jenna Lau, Pacific Defense Solutions, A Centauri Company; Jeremy Case, Pacific Defense Solutions; Nathan Toner, Pacific Defense Solutions, a Centauri Company; C. Channing Chow, Pacific Defense Solutions, a Centauri Company; Phan Dao, AFRL. Cislunar Periodic Orbit Family Classification from Astrometric and Photometric Observations Using Machine-Learning (2020). [AMOS]</w:t>
      </w:r>
    </w:p>
    <w:p>
      <w:pPr>
        <w:pStyle w:val="BodyText"/>
        <w:spacing w:line="480" w:lineRule="auto"/>
        <w:ind w:firstLine="720"/>
      </w:pPr>
      <w:bookmarkStart w:id="153" w:name="ref-8"/>
      <w:bookmarkEnd w:id="153"/>
      <w:r>
        <w:t xml:space="preserve">8. Mark Bolden, Trusted Space, Inc.; Tim Craychee, Trusted Space, Inc.; Erin Griggs, Trusted Space, Inc.. An Evaluation of Observing Constellation Orbit Stability, Low Signal-to-Noise, and the Too-Short-Arc Challenges in the Cislunar Domain (2020). [AMOS]</w:t>
      </w:r>
    </w:p>
    <w:p>
      <w:pPr>
        <w:pStyle w:val="BodyText"/>
        <w:spacing w:line="480" w:lineRule="auto"/>
        <w:ind w:firstLine="720"/>
      </w:pPr>
      <w:bookmarkStart w:id="154" w:name="ref-9"/>
      <w:bookmarkEnd w:id="154"/>
      <w:r>
        <w:t xml:space="preserve">9. Erdem Turan; Stefano Speretta; Eberhard Gill. Autonomous navigation for deep space small satellites: Scientific and technological advances (2022). doi:</w:t>
      </w:r>
      <w:r>
        <w:t xml:space="preserve"> </w:t>
      </w:r>
      <w:hyperlink r:id="rId155">
        <w:r>
          <w:rPr>
            <w:rStyle w:val="Hyperlink"/>
          </w:rPr>
          <w:t xml:space="preserve">10.1016/j.actaastro.2021.12.030</w:t>
        </w:r>
      </w:hyperlink>
    </w:p>
    <w:p>
      <w:pPr>
        <w:pStyle w:val="BodyText"/>
        <w:spacing w:line="480" w:lineRule="auto"/>
        <w:ind w:firstLine="720"/>
      </w:pPr>
      <w:bookmarkStart w:id="156" w:name="ref-10"/>
      <w:bookmarkEnd w:id="156"/>
      <w:r>
        <w:t xml:space="preserve">10.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57">
        <w:r>
          <w:rPr>
            <w:rStyle w:val="Hyperlink"/>
          </w:rPr>
          <w:t xml:space="preserve">10.1016/j.actaastro.2024.12.056</w:t>
        </w:r>
      </w:hyperlink>
    </w:p>
    <w:p>
      <w:pPr>
        <w:pStyle w:val="BodyText"/>
        <w:spacing w:line="480" w:lineRule="auto"/>
        <w:ind w:firstLine="720"/>
      </w:pPr>
      <w:bookmarkStart w:id="158" w:name="ref-11"/>
      <w:bookmarkEnd w:id="158"/>
      <w:r>
        <w:t xml:space="preserve">11. Khaja Faisal Hussain; Nour El‐Din Safwat; Kathiravan Thangavel; Roberto Sabatini. Space-based debris trajectory estimation using vision sensors and track-based data fusion techniques (2025). doi:</w:t>
      </w:r>
      <w:r>
        <w:t xml:space="preserve"> </w:t>
      </w:r>
      <w:hyperlink r:id="rId159">
        <w:r>
          <w:rPr>
            <w:rStyle w:val="Hyperlink"/>
          </w:rPr>
          <w:t xml:space="preserve">10.1016/j.actaastro.2025.01.038</w:t>
        </w:r>
      </w:hyperlink>
    </w:p>
    <w:p>
      <w:pPr>
        <w:pStyle w:val="BodyText"/>
        <w:spacing w:line="480" w:lineRule="auto"/>
        <w:ind w:firstLine="720"/>
      </w:pPr>
      <w:bookmarkStart w:id="160" w:name="ref-12"/>
      <w:bookmarkEnd w:id="160"/>
      <w:r>
        <w:t xml:space="preserve">12. M. Micheli; D. Koschny; L. Conversi; Frank Budnik; Bill Gray; T. Santana-Ros; R. Reszelewski; M. Żołnowski; M. Gędek; B. Gendre; D. M. Coward; I. Molotov; V. Rumyantsev; A. Liakos; S. Schmalz. Optical observations of the BepiColombo spacecraft as a proxy for a potential threatening asteroid (2021). doi:</w:t>
      </w:r>
      <w:r>
        <w:t xml:space="preserve"> </w:t>
      </w:r>
      <w:hyperlink r:id="rId161">
        <w:r>
          <w:rPr>
            <w:rStyle w:val="Hyperlink"/>
          </w:rPr>
          <w:t xml:space="preserve">10.1016/j.actaastro.2021.04.022</w:t>
        </w:r>
      </w:hyperlink>
    </w:p>
    <w:p>
      <w:pPr>
        <w:pStyle w:val="BodyText"/>
        <w:spacing w:line="480" w:lineRule="auto"/>
        <w:ind w:firstLine="720"/>
      </w:pPr>
      <w:bookmarkStart w:id="162" w:name="ref-13"/>
      <w:bookmarkEnd w:id="162"/>
      <w:r>
        <w:t xml:space="preserve">13. Rui Zhang; Rui Tu; Lihong Fan; Pengfei Zhang; Jinhai Liu; Junqiang Han; Xiaochun Lu. Contribution analysis of inter-satellite ranging observation to BDS-2 satellite orbit determination based on regional tracking stations (2019). doi:</w:t>
      </w:r>
      <w:r>
        <w:t xml:space="preserve"> </w:t>
      </w:r>
      <w:hyperlink r:id="rId163">
        <w:r>
          <w:rPr>
            <w:rStyle w:val="Hyperlink"/>
          </w:rPr>
          <w:t xml:space="preserve">10.1016/j.actaastro.2019.07.029</w:t>
        </w:r>
      </w:hyperlink>
    </w:p>
    <w:p>
      <w:pPr>
        <w:pStyle w:val="BodyText"/>
        <w:spacing w:line="480" w:lineRule="auto"/>
        <w:ind w:firstLine="720"/>
      </w:pPr>
      <w:bookmarkStart w:id="164" w:name="ref-14"/>
      <w:bookmarkEnd w:id="164"/>
      <w:r>
        <w:t xml:space="preserve">14. Paolo Martire; Quinn Kostelecky; Kenza K. Boudad; Simone Tanelli; Alessandro Battaglia. Attitude profiles for ground-path pointing and alignment of radar footprints: Application to the INCUS mission (2025). doi:</w:t>
      </w:r>
      <w:r>
        <w:t xml:space="preserve"> </w:t>
      </w:r>
      <w:hyperlink r:id="rId165">
        <w:r>
          <w:rPr>
            <w:rStyle w:val="Hyperlink"/>
          </w:rPr>
          <w:t xml:space="preserve">10.1016/j.actaastro.2025.12.019</w:t>
        </w:r>
      </w:hyperlink>
    </w:p>
    <w:p>
      <w:pPr>
        <w:pStyle w:val="BodyText"/>
        <w:spacing w:line="480" w:lineRule="auto"/>
        <w:ind w:firstLine="720"/>
      </w:pPr>
      <w:bookmarkStart w:id="166" w:name="ref-15"/>
      <w:bookmarkEnd w:id="166"/>
      <w:r>
        <w:t xml:space="preserve">15. Basel A. M. Omran; Michael C.F. Bazzocchi. Simultaneous orbit and attitude optimization of planar arrays for space-based solar power beaming (2024). doi:</w:t>
      </w:r>
      <w:r>
        <w:t xml:space="preserve"> </w:t>
      </w:r>
      <w:hyperlink r:id="rId167">
        <w:r>
          <w:rPr>
            <w:rStyle w:val="Hyperlink"/>
          </w:rPr>
          <w:t xml:space="preserve">10.1016/j.actaastro.2024.03.055</w:t>
        </w:r>
      </w:hyperlink>
    </w:p>
    <w:p>
      <w:pPr>
        <w:pStyle w:val="BodyText"/>
        <w:spacing w:line="480" w:lineRule="auto"/>
        <w:ind w:firstLine="720"/>
      </w:pPr>
      <w:bookmarkStart w:id="168" w:name="ref-16"/>
      <w:bookmarkEnd w:id="168"/>
      <w:r>
        <w:t xml:space="preserve">16. Michael Matessa. Algorithms for encoding interstellar messages (2025). doi:</w:t>
      </w:r>
      <w:r>
        <w:t xml:space="preserve"> </w:t>
      </w:r>
      <w:hyperlink r:id="rId169">
        <w:r>
          <w:rPr>
            <w:rStyle w:val="Hyperlink"/>
          </w:rPr>
          <w:t xml:space="preserve">10.1016/j.actaastro.2025.01.011</w:t>
        </w:r>
      </w:hyperlink>
    </w:p>
    <w:bookmarkEnd w:id="170"/>
    <w:bookmarkEnd w:id="171"/>
    <w:bookmarkStart w:id="18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9" w:name="X82583ef310c8ec184c28b776cf64d8dd6f09328"/>
    <w:p>
      <w:pPr>
        <w:pStyle w:val="Heading2"/>
        <w:spacing w:line="480" w:lineRule="auto"/>
      </w:pPr>
      <w:r>
        <w:t xml:space="preserve">A.1 Signal Intensity in Cislunar Tracking Geometry and the Marginal Value of Each Added Ground or Relay: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3.7708</w:t>
            </w:r>
          </w:p>
        </w:tc>
        <w:tc>
          <w:tcPr>
            <w:tcW w:w="0" w:type="auto"/>
          </w:tcPr>
          <w:p>
            <w:pPr>
              <w:spacing w:line="240" w:lineRule="auto" w:before="0" w:after="0"/>
              <w:pStyle w:val="Compact"/>
            </w:pPr>
            <w:r>
              <w:rPr>
                <w:sz w:val="20"/>
                <w:szCs w:val="20"/>
              </w:rPr>
              <w:t xml:space="preserve">1.9737</w:t>
            </w:r>
          </w:p>
        </w:tc>
        <w:tc>
          <w:tcPr>
            <w:tcW w:w="0" w:type="auto"/>
          </w:tcPr>
          <w:p>
            <w:pPr>
              <w:spacing w:line="240" w:lineRule="auto" w:before="0" w:after="0"/>
              <w:pStyle w:val="Compact"/>
            </w:pPr>
            <w:r>
              <w:rPr>
                <w:sz w:val="20"/>
                <w:szCs w:val="20"/>
              </w:rPr>
              <w:t xml:space="preserve">1.9106</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[-0.0975, 7.6392]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0.2879</w:t>
            </w:r>
          </w:p>
        </w:tc>
        <w:tc>
          <w:tcPr>
            <w:tcW w:w="0" w:type="auto"/>
          </w:tcPr>
          <w:p>
            <w:pPr>
              <w:spacing w:line="240" w:lineRule="auto" w:before="0" w:after="0"/>
              <w:pStyle w:val="Compact"/>
            </w:pPr>
            <w:r>
              <w:rPr>
                <w:sz w:val="20"/>
                <w:szCs w:val="20"/>
              </w:rPr>
              <w:t xml:space="preserve">0.1246</w:t>
            </w:r>
          </w:p>
        </w:tc>
        <w:tc>
          <w:tcPr>
            <w:tcW w:w="0" w:type="auto"/>
          </w:tcPr>
          <w:p>
            <w:pPr>
              <w:spacing w:line="240" w:lineRule="auto" w:before="0" w:after="0"/>
              <w:pStyle w:val="Compact"/>
            </w:pPr>
            <w:r>
              <w:rPr>
                <w:sz w:val="20"/>
                <w:szCs w:val="20"/>
              </w:rPr>
              <w:t xml:space="preserve">2.3113</w:t>
            </w:r>
          </w:p>
        </w:tc>
        <w:tc>
          <w:tcPr>
            <w:tcW w:w="0" w:type="auto"/>
          </w:tcPr>
          <w:p>
            <w:pPr>
              <w:spacing w:line="240" w:lineRule="auto" w:before="0" w:after="0"/>
              <w:pStyle w:val="Compact"/>
            </w:pPr>
            <w:r>
              <w:rPr>
                <w:sz w:val="20"/>
                <w:szCs w:val="20"/>
              </w:rPr>
              <w:t xml:space="preserve">0.0208</w:t>
            </w:r>
          </w:p>
        </w:tc>
        <w:tc>
          <w:tcPr>
            <w:tcW w:w="0" w:type="auto"/>
          </w:tcPr>
          <w:p>
            <w:pPr>
              <w:spacing w:line="240" w:lineRule="auto" w:before="0" w:after="0"/>
              <w:pStyle w:val="Compact"/>
            </w:pPr>
            <w:r>
              <w:rPr>
                <w:sz w:val="20"/>
                <w:szCs w:val="20"/>
              </w:rPr>
              <w:t xml:space="preserve">[0.0438, 0.532]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0.9105</w:t>
            </w:r>
          </w:p>
        </w:tc>
        <w:tc>
          <w:tcPr>
            <w:tcW w:w="0" w:type="auto"/>
          </w:tcPr>
          <w:p>
            <w:pPr>
              <w:spacing w:line="240" w:lineRule="auto" w:before="0" w:after="0"/>
              <w:pStyle w:val="Compact"/>
            </w:pPr>
            <w:r>
              <w:rPr>
                <w:sz w:val="20"/>
                <w:szCs w:val="20"/>
              </w:rPr>
              <w:t xml:space="preserve">[-0.0222, 0.0197]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-1.9867</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-3.4323</w:t>
            </w:r>
          </w:p>
        </w:tc>
        <w:tc>
          <w:tcPr>
            <w:tcW w:w="0" w:type="auto"/>
          </w:tcPr>
          <w:p>
            <w:pPr>
              <w:spacing w:line="240" w:lineRule="auto" w:before="0" w:after="0"/>
              <w:pStyle w:val="Compact"/>
            </w:pPr>
            <w:r>
              <w:rPr>
                <w:sz w:val="20"/>
                <w:szCs w:val="20"/>
              </w:rPr>
              <w:t xml:space="preserve">0.0005984</w:t>
            </w:r>
          </w:p>
        </w:tc>
        <w:tc>
          <w:tcPr>
            <w:tcW w:w="0" w:type="auto"/>
          </w:tcPr>
          <w:p>
            <w:pPr>
              <w:spacing w:line="240" w:lineRule="auto" w:before="0" w:after="0"/>
              <w:pStyle w:val="Compact"/>
            </w:pPr>
            <w:r>
              <w:rPr>
                <w:sz w:val="20"/>
                <w:szCs w:val="20"/>
              </w:rPr>
              <w:t xml:space="preserve">[-3.1211, -0.8522]</w:t>
            </w:r>
          </w:p>
        </w:tc>
      </w:tr>
    </w:tbl>
    <w:p>
      <w:pPr>
        <w:pStyle w:val="BodyText"/>
        <w:spacing w:line="480" w:lineRule="auto"/>
        <w:ind w:firstLine="720"/>
      </w:pPr>
      <w:r>
        <w:t xml:space="preserve">Fit: N = 30 R2 = 0.3365 R2_adj = 0.2599 F = 6.0485 F_p = 0.0029</w:t>
      </w:r>
    </w:p>
    <w:bookmarkEnd w:id="172"/>
    <w:bookmarkStart w:id="17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4" name="Picture"/>
            <a:graphic>
              <a:graphicData uri="http://schemas.openxmlformats.org/drawingml/2006/picture">
                <pic:pic>
                  <pic:nvPicPr>
                    <pic:cNvPr descr="D:/Claude_Code/brain/collegium/candidates/dissertations/JPL_INSTRUMENTS_NAV_09/research_papers/p1/paper_fig1.png" id="175" name="Picture"/>
                    <pic:cNvPicPr>
                      <a:picLocks noChangeArrowheads="1" noChangeAspect="1"/>
                    </pic:cNvPicPr>
                  </pic:nvPicPr>
                  <pic:blipFill>
                    <a:blip r:embed="rId1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6"/>
    <w:bookmarkStart w:id="17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10.64861/IKOD8008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https://amostech.space/year/2014/propagation-of-bayesian-belief-for-near-real-time-statistical-assessment-of-geosynchronous-satellite-status-based-on-non-resolved-photometry-data/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https://amostech.space/year/2021/cislunar-orbit-determination-and-tracking-via-simulated-space-based-measurements/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10.64861/VIBN6616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https://amostech.space/year/2008/development-of-an-architecture-of-sun-synchronous-orbital-slots-to-minimize-conjunctions/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10.64861/KHVZ4947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https://amostech.space/year/2020/cislunar-periodic-orbit-family-classification-from-astrometric-and-photometric-observations-using-machine-learning/</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https://amostech.space/year/2018/advanced-atmospheric-mitigation-decision-aids-for-space-imaging-and-laser-communications/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10.1016/j.actaastro.2017.11.026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10.1016/j.actaastro.2017.04.002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10.1016/j.actaastro.2020.11.045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10.1016/j.actaastro.2019.07.029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10.1016/j.actaastro.2023.05.042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DISE: Dynamic Integrated Space-Economy Model</w:t>
            </w:r>
          </w:p>
        </w:tc>
      </w:tr>
    </w:tbl>
    <w:bookmarkEnd w:id="177"/>
    <w:bookmarkStart w:id="17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8"/>
    <w:bookmarkEnd w:id="179"/>
    <w:bookmarkStart w:id="187" w:name="Xee3e2f744b88043c6af0e8db24eee6e6ba8f717"/>
    <w:p>
      <w:pPr>
        <w:pStyle w:val="Heading2"/>
        <w:spacing w:line="480" w:lineRule="auto"/>
      </w:pPr>
      <w:r>
        <w:t xml:space="preserve">A.2 Attention Accumulation in Cislunar Tracking Geometry and the Marginal Value of Each Added Ground or Relay: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1.2135</w:t>
            </w:r>
          </w:p>
        </w:tc>
        <w:tc>
          <w:tcPr>
            <w:tcW w:w="0" w:type="auto"/>
          </w:tcPr>
          <w:p>
            <w:pPr>
              <w:spacing w:line="240" w:lineRule="auto" w:before="0" w:after="0"/>
              <w:pStyle w:val="Compact"/>
            </w:pPr>
            <w:r>
              <w:rPr>
                <w:sz w:val="20"/>
                <w:szCs w:val="20"/>
              </w:rPr>
              <w:t xml:space="preserve">0.717</w:t>
            </w:r>
          </w:p>
        </w:tc>
        <w:tc>
          <w:tcPr>
            <w:tcW w:w="0" w:type="auto"/>
          </w:tcPr>
          <w:p>
            <w:pPr>
              <w:spacing w:line="240" w:lineRule="auto" w:before="0" w:after="0"/>
              <w:pStyle w:val="Compact"/>
            </w:pPr>
            <w:r>
              <w:rPr>
                <w:sz w:val="20"/>
                <w:szCs w:val="20"/>
              </w:rPr>
              <w:t xml:space="preserve">1.6925</w:t>
            </w:r>
          </w:p>
        </w:tc>
        <w:tc>
          <w:tcPr>
            <w:tcW w:w="0" w:type="auto"/>
          </w:tcPr>
          <w:p>
            <w:pPr>
              <w:spacing w:line="240" w:lineRule="auto" w:before="0" w:after="0"/>
              <w:pStyle w:val="Compact"/>
            </w:pPr>
            <w:r>
              <w:rPr>
                <w:sz w:val="20"/>
                <w:szCs w:val="20"/>
              </w:rPr>
              <w:t xml:space="preserve">0.0906</w:t>
            </w:r>
          </w:p>
        </w:tc>
        <w:tc>
          <w:tcPr>
            <w:tcW w:w="0" w:type="auto"/>
          </w:tcPr>
          <w:p>
            <w:pPr>
              <w:spacing w:line="240" w:lineRule="auto" w:before="0" w:after="0"/>
              <w:pStyle w:val="Compact"/>
            </w:pPr>
            <w:r>
              <w:rPr>
                <w:sz w:val="20"/>
                <w:szCs w:val="20"/>
              </w:rPr>
              <w:t xml:space="preserve">[-0.1918, 2.6188]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-0.2094</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-0.5407</w:t>
            </w:r>
          </w:p>
        </w:tc>
        <w:tc>
          <w:tcPr>
            <w:tcW w:w="0" w:type="auto"/>
          </w:tcPr>
          <w:p>
            <w:pPr>
              <w:spacing w:line="240" w:lineRule="auto" w:before="0" w:after="0"/>
              <w:pStyle w:val="Compact"/>
            </w:pPr>
            <w:r>
              <w:rPr>
                <w:sz w:val="20"/>
                <w:szCs w:val="20"/>
              </w:rPr>
              <w:t xml:space="preserve">0.5887</w:t>
            </w:r>
          </w:p>
        </w:tc>
        <w:tc>
          <w:tcPr>
            <w:tcW w:w="0" w:type="auto"/>
          </w:tcPr>
          <w:p>
            <w:pPr>
              <w:spacing w:line="240" w:lineRule="auto" w:before="0" w:after="0"/>
              <w:pStyle w:val="Compact"/>
            </w:pPr>
            <w:r>
              <w:rPr>
                <w:sz w:val="20"/>
                <w:szCs w:val="20"/>
              </w:rPr>
              <w:t xml:space="preserve">[-0.9683, 0.5495]</w:t>
            </w:r>
          </w:p>
        </w:tc>
      </w:tr>
    </w:tbl>
    <w:p>
      <w:pPr>
        <w:pStyle w:val="BodyText"/>
        <w:spacing w:line="480" w:lineRule="auto"/>
        <w:ind w:firstLine="720"/>
      </w:pPr>
      <w:r>
        <w:t xml:space="preserve">Fit: N = 30 R2 = 0.0068 elasticity_b = -0.2094 progress_ratio_2^b = 0.8649</w:t>
      </w:r>
    </w:p>
    <w:bookmarkEnd w:id="180"/>
    <w:bookmarkStart w:id="18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2" name="Picture"/>
            <a:graphic>
              <a:graphicData uri="http://schemas.openxmlformats.org/drawingml/2006/picture">
                <pic:pic>
                  <pic:nvPicPr>
                    <pic:cNvPr descr="D:/Claude_Code/brain/collegium/candidates/dissertations/JPL_INSTRUMENTS_NAV_09/research_papers/p2/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4"/>
    <w:bookmarkStart w:id="18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10.64861/IKOD8008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https://amostech.space/year/2014/propagation-of-bayesian-belief-for-near-real-time-statistical-assessment-of-geosynchronous-satellite-status-based-on-non-resolved-photometry-data/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https://amostech.space/year/2021/cislunar-orbit-determination-and-tracking-via-simulated-space-based-measurements/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10.64861/VIBN6616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https://amostech.space/year/2008/development-of-an-architecture-of-sun-synchronous-orbital-slots-to-minimize-conjunctions/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10.64861/KHVZ4947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https://amostech.space/year/2020/cislunar-periodic-orbit-family-classification-from-astrometric-and-photometric-observations-using-machine-learning/</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https://amostech.space/year/2018/advanced-atmospheric-mitigation-decision-aids-for-space-imaging-and-laser-communications/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10.1016/j.actaastro.2017.11.026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10.1016/j.actaastro.2017.04.002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10.1016/j.actaastro.2020.11.045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10.1016/j.actaastro.2019.07.029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10.1016/j.actaastro.2023.05.042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DISE: Dynamic Integrated Space-Economy Model</w:t>
            </w:r>
          </w:p>
        </w:tc>
      </w:tr>
    </w:tbl>
    <w:bookmarkEnd w:id="185"/>
    <w:bookmarkStart w:id="18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6"/>
    <w:bookmarkEnd w:id="187"/>
    <w:bookmarkEnd w:id="1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3" Type="http://schemas.openxmlformats.org/officeDocument/2006/relationships/image" Target="media/rId173.png"/><Relationship Id="rId181" Type="http://schemas.openxmlformats.org/officeDocument/2006/relationships/image" Target="media/rId181.png"/><Relationship Id="rId163" Type="http://schemas.openxmlformats.org/officeDocument/2006/relationships/hyperlink" Target="https://doi.org/10.1016/j.actaastro.2019.07.029" TargetMode="External"/><Relationship Id="rId161" Type="http://schemas.openxmlformats.org/officeDocument/2006/relationships/hyperlink" Target="https://doi.org/10.1016/j.actaastro.2021.04.022" TargetMode="External"/><Relationship Id="rId155" Type="http://schemas.openxmlformats.org/officeDocument/2006/relationships/hyperlink" Target="https://doi.org/10.1016/j.actaastro.2021.12.030" TargetMode="External"/><Relationship Id="rId167" Type="http://schemas.openxmlformats.org/officeDocument/2006/relationships/hyperlink" Target="https://doi.org/10.1016/j.actaastro.2024.03.055" TargetMode="External"/><Relationship Id="rId157" Type="http://schemas.openxmlformats.org/officeDocument/2006/relationships/hyperlink" Target="https://doi.org/10.1016/j.actaastro.2024.12.056" TargetMode="External"/><Relationship Id="rId169" Type="http://schemas.openxmlformats.org/officeDocument/2006/relationships/hyperlink" Target="https://doi.org/10.1016/j.actaastro.2025.01.011" TargetMode="External"/><Relationship Id="rId159" Type="http://schemas.openxmlformats.org/officeDocument/2006/relationships/hyperlink" Target="https://doi.org/10.1016/j.actaastro.2025.01.038" TargetMode="External"/><Relationship Id="rId165" Type="http://schemas.openxmlformats.org/officeDocument/2006/relationships/hyperlink" Target="https://doi.org/10.1016/j.actaastro.2025.12.019" TargetMode="External"/><Relationship Id="rId145" Type="http://schemas.openxmlformats.org/officeDocument/2006/relationships/hyperlink" Target="https://doi.org/10.64861/AJDV3259" TargetMode="External"/><Relationship Id="rId151" Type="http://schemas.openxmlformats.org/officeDocument/2006/relationships/hyperlink" Target="https://doi.org/10.64861/KHVZ4947" TargetMode="External"/><Relationship Id="rId148" Type="http://schemas.openxmlformats.org/officeDocument/2006/relationships/hyperlink" Target="https://doi.org/10.64861/VIBN6616" TargetMode="External"/></Relationships>
</file>

<file path=word/_rels/footnotes.xml.rels><?xml version='1.0' encoding='UTF-8' standalone='yes'?>
<Relationships xmlns="http://schemas.openxmlformats.org/package/2006/relationships"><Relationship Id="rId163" Type="http://schemas.openxmlformats.org/officeDocument/2006/relationships/hyperlink" Target="https://doi.org/10.1016/j.actaastro.2019.07.029" TargetMode="External"/><Relationship Id="rId161" Type="http://schemas.openxmlformats.org/officeDocument/2006/relationships/hyperlink" Target="https://doi.org/10.1016/j.actaastro.2021.04.022" TargetMode="External"/><Relationship Id="rId155" Type="http://schemas.openxmlformats.org/officeDocument/2006/relationships/hyperlink" Target="https://doi.org/10.1016/j.actaastro.2021.12.030" TargetMode="External"/><Relationship Id="rId167" Type="http://schemas.openxmlformats.org/officeDocument/2006/relationships/hyperlink" Target="https://doi.org/10.1016/j.actaastro.2024.03.055" TargetMode="External"/><Relationship Id="rId157" Type="http://schemas.openxmlformats.org/officeDocument/2006/relationships/hyperlink" Target="https://doi.org/10.1016/j.actaastro.2024.12.056" TargetMode="External"/><Relationship Id="rId169" Type="http://schemas.openxmlformats.org/officeDocument/2006/relationships/hyperlink" Target="https://doi.org/10.1016/j.actaastro.2025.01.011" TargetMode="External"/><Relationship Id="rId159" Type="http://schemas.openxmlformats.org/officeDocument/2006/relationships/hyperlink" Target="https://doi.org/10.1016/j.actaastro.2025.01.038" TargetMode="External"/><Relationship Id="rId165" Type="http://schemas.openxmlformats.org/officeDocument/2006/relationships/hyperlink" Target="https://doi.org/10.1016/j.actaastro.2025.12.019" TargetMode="External"/><Relationship Id="rId145" Type="http://schemas.openxmlformats.org/officeDocument/2006/relationships/hyperlink" Target="https://doi.org/10.64861/AJDV3259" TargetMode="External"/><Relationship Id="rId151" Type="http://schemas.openxmlformats.org/officeDocument/2006/relationships/hyperlink" Target="https://doi.org/10.64861/KHVZ4947" TargetMode="External"/><Relationship Id="rId148" Type="http://schemas.openxmlformats.org/officeDocument/2006/relationships/hyperlink" Target="https://doi.org/10.64861/VIBN66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Cislunar Tracking Geometry and the Marginal Value of Each Added Ground or Relay</dc:title>
  <dc:creator>Yuki Eze (1B-SDA-182)</dc:creator>
  <cp:keywords/>
  <dcterms:created xsi:type="dcterms:W3CDTF">2026-07-02T20:30:07Z</dcterms:created>
  <dcterms:modified xsi:type="dcterms:W3CDTF">2026-07-02T20:30:07Z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