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d6197ca1ebfc6ef2f2d074b7ee32c30914b326d"/>
    <w:p>
      <w:pPr>
        <w:pStyle w:val="Heading1"/>
      </w:pPr>
      <w:r>
        <w:t xml:space="preserve">The Schedule-Economy Elasticity of Onboard Optical Navigation: A Mission-Phase Panel Estimate of Deep Space Network Tracking Displaced</w:t>
      </w:r>
    </w:p>
    <w:bookmarkStart w:id="61" w:name="introduction"/>
    <w:p>
      <w:pPr>
        <w:pStyle w:val="Heading2"/>
      </w:pPr>
      <w:r>
        <w:t xml:space="preserve">1. Introduction</w:t>
      </w:r>
    </w:p>
    <w:p>
      <w:pPr>
        <w:pStyle w:val="FirstParagraph"/>
      </w:pPr>
      <w:r>
        <w:t xml:space="preserve">Deep space navigation has been, for most of its history, a service rendered from the ground. A spacecraft’s position and velocity are reconstructed from radiometric tracking passes scheduled on a finite set of large-aperture antennas, and the navigation solution is computed by a human-supervised team far from the vehicle. Autonomous optical navigation, in which a spacecraft images celestial bodies and resolves its own state onboard, is advanced repeatedly as the technology that will dissolve this dependence and, in doing so, relieve the scheduling pressure on a shared and oversubscribed tracking network</w:t>
      </w:r>
      <w:r>
        <w:t xml:space="preserve"> </w:t>
      </w:r>
      <w:hyperlink w:anchor="ref-3">
        <m:oMathPara>
          <m:oMathParaPr>
            <m:jc m:val="center"/>
          </m:oMathParaPr>
          <m:oMath>
            <m:r>
              <m:t>3</m:t>
            </m:r>
          </m:oMath>
        </m:oMathPara>
      </w:hyperlink>
      <w:r>
        <w:t xml:space="preserve">. The promise is intuitive. A spacecraft that can fix its own position from the geometry of a planet, a moon, or a known asteroid should, in principle, demand fewer scheduled tracking passes than one that cannot.</w:t>
      </w:r>
    </w:p>
    <w:p>
      <w:pPr>
        <w:pStyle w:val="FirstParagraph"/>
      </w:pPr>
      <w:r>
        <w:t xml:space="preserve">That intuition is rarely tested as an economic claim. The navigation community has invested heavily in the accuracy of optical methods, including the horizon-based techniques whose measurement-error structure around the Moon has now been characterized in detail</w:t>
      </w:r>
      <w:r>
        <w:t xml:space="preserve"> </w:t>
      </w:r>
      <w:hyperlink w:anchor="ref-1">
        <m:oMathPara>
          <m:oMathParaPr>
            <m:jc m:val="center"/>
          </m:oMathParaPr>
          <m:oMath>
            <m:r>
              <m:t>1</m:t>
            </m:r>
          </m:oMath>
        </m:oMathPara>
      </w:hyperlink>
      <w:r>
        <w:t xml:space="preserve"> </w:t>
      </w:r>
      <w:r>
        <w:t xml:space="preserve">and the convolutional-network image-processing pipelines that resolve a target body’s center for proximity navigation</w:t>
      </w:r>
      <w:r>
        <w:t xml:space="preserve"> </w:t>
      </w:r>
      <w:hyperlink w:anchor="ref-2">
        <m:oMathPara>
          <m:oMathParaPr>
            <m:jc m:val="center"/>
          </m:oMathParaPr>
          <m:oMath>
            <m:r>
              <m:t>2</m:t>
            </m:r>
          </m:oMath>
        </m:oMathPara>
      </w:hyperlink>
      <w:r>
        <w:t xml:space="preserve">. What the community has not produced is a defensible accounting of how much scheduled ground tracking a given optical capability actually removes from the network’s books, under what mission conditions, and whether the headline reduction survives the phases of a mission that matter most. This paper supplies that accounting. It treats the displacement of tracking demand as an empirical quantity to be estimated rather than a design intention to be assumed, and it reports the sign, the magnitude, and the phase dependence of the effect from real mission data.</w:t>
      </w:r>
    </w:p>
    <w:bookmarkEnd w:id="61"/>
    <w:bookmarkStart w:id="62" w:name="theory-and-hypotheses"/>
    <w:p>
      <w:pPr>
        <w:pStyle w:val="Heading2"/>
      </w:pPr>
      <w:r>
        <w:t xml:space="preserve">2. Theory and Hypotheses</w:t>
      </w:r>
    </w:p>
    <w:p>
      <w:pPr>
        <w:pStyle w:val="FirstParagraph"/>
      </w:pPr>
      <w:r>
        <w:t xml:space="preserve">The theoretical claim rests on a substitution argument. Radiometric tracking and onboard optical navigation are, to a first approximation, two ways of obtaining the same product: an estimate of the spacecraft state good enough to plan the next maneuver. If onboard optical navigation can deliver a state estimate of sufficient accuracy, then the marginal tracking pass that would otherwise have been scheduled to maintain the ground-side solution becomes unnecessary, and the network recovers that antenna time for another user. The deep-space small-satellite navigation review frames autonomy explicitly in these terms, arguing that ground-based radiometric tracking does not scale to a future in which many small platforms operate simultaneously beyond Earth orbit, and positioning optical autonomy as the principal relief</w:t>
      </w:r>
      <w:r>
        <w:t xml:space="preserve"> </w:t>
      </w:r>
      <w:hyperlink w:anchor="ref-3">
        <m:oMathPara>
          <m:oMathParaPr>
            <m:jc m:val="center"/>
          </m:oMathParaPr>
          <m:oMath>
            <m:r>
              <m:t>3</m:t>
            </m:r>
          </m:oMath>
        </m:oMathPara>
      </w:hyperlink>
      <w:r>
        <w:t xml:space="preserve">.</w:t>
      </w:r>
    </w:p>
    <w:p>
      <w:pPr>
        <w:pStyle w:val="FirstParagraph"/>
      </w:pPr>
      <w:r>
        <w:t xml:space="preserve">The substitution is not uniform across a mission, however, and this is where the theory becomes falsifiable. Tracking demand is not a single quantity attached to a spacecraft; it is a quantity attached to a spacecraft in a phase. During quiescent cruise, the navigation requirement is loose and a weekly optical fix may suffice, so the substitution is plausible. During a critical event, a terminal approach, an encounter, or a descent, the operational requirement is not merely an accurate state estimate but continuous real-time human visibility into the vehicle, a requirement that radiometric coverage satisfies and an onboard optical fix does not</w:t>
      </w:r>
      <w:r>
        <w:t xml:space="preserve"> </w:t>
      </w:r>
      <w:hyperlink w:anchor="ref-2">
        <m:oMathPara>
          <m:oMathParaPr>
            <m:jc m:val="center"/>
          </m:oMathParaPr>
          <m:oMath>
            <m:r>
              <m:t>2</m:t>
            </m:r>
          </m:oMath>
        </m:oMathPara>
      </w:hyperlink>
      <w:r>
        <w:t xml:space="preserve">. The DART terminal phase is the canonical illustration: the spacecraft carried an active onboard optical guidance system and still required continuous around-the-clock tracking, with the Deep Space Network supplemented by an external station to fill the coverage gaps. The measurement-error literature reinforces the point, since optical accuracy itself degrades in the geometries and lighting of close approach</w:t>
      </w:r>
      <w:r>
        <w:t xml:space="preserve"> </w:t>
      </w:r>
      <w:hyperlink w:anchor="ref-1">
        <m:oMathPara>
          <m:oMathParaPr>
            <m:jc m:val="center"/>
          </m:oMathParaPr>
          <m:oMath>
            <m:r>
              <m:t>1</m:t>
            </m:r>
          </m:oMath>
        </m:oMathPara>
      </w:hyperlink>
      <w:r>
        <w:t xml:space="preserve">. The substitution argument therefore predicts a negative average effect of autonomy on tracking demand that is concentrated in cruise and absent, or even reversed, in critical phases.</w:t>
      </w:r>
    </w:p>
    <w:p>
      <w:pPr>
        <w:pStyle w:val="FirstParagraph"/>
      </w:pPr>
      <w:r>
        <w:t xml:space="preserve">This yields the hypotheses tested here. The null, H0, holds that conditional on trajectory phase and mission class, the presence of onboard optical navigation has no effect on scheduled tracking-hours per week. The alternative, H1, holds that the effect is negative on average, reflecting genuine substitution, while the phase structure of tracking demand is governed separately by the operational requirements of cruise and critical-event windows rather than by autonomy.</w:t>
      </w:r>
    </w:p>
    <w:bookmarkEnd w:id="62"/>
    <w:bookmarkStart w:id="63" w:name="data"/>
    <w:p>
      <w:pPr>
        <w:pStyle w:val="Heading2"/>
      </w:pPr>
      <w:r>
        <w:t xml:space="preserve">3. Data</w:t>
      </w:r>
    </w:p>
    <w:p>
      <w:pPr>
        <w:pStyle w:val="FirstParagraph"/>
      </w:pPr>
      <w:r>
        <w:t xml:space="preserve">The dataset is a mission-phase panel of twenty-four observations, each an interplanetary or cislunar mission observed in a defined operational phase, with every value traced to a named source recorded in the last column of the data file. The dependent variable is scheduled Deep Space Network tracking-hours per week. For eleven missions in the current network suite, this figure is the measured FY23 average weekly tracking duration published in the SpaceOps-2025 study of the network’s mission load, which reports, among others, Voyager at 147.8, Juno at 85.0, OSIRIS-REx at 75.8, and the small Explorer-class TESS at 11.6 hours per week. For the remaining phase-specific observations, the figure is computed from the per-phase tracking cadence stated in published mission concept studies, navigation summaries, and technical reports, such as the Mercury Lander concept study’s explicit nominal of three eight-hour tracks per week during cruise rising to seven during the orbital phase.</w:t>
      </w:r>
    </w:p>
    <w:p>
      <w:pPr>
        <w:pStyle w:val="BodyText"/>
      </w:pPr>
      <w:r>
        <w:t xml:space="preserve">The principal regressor is a binary indicator coded one when the mission relies on onboard autonomous optical navigation in the stated phase and zero when navigation is delivered as a ground service. The coding distinguishes genuine onboard autonomy, the AutoNav system of Deep Space 1, the SMART Nav system of DART, the autonomous centroiding of Hera, from the more common arrangement in which optical images are taken but the navigation solution is computed on the ground, as on OSIRIS-REx and Cassini. The conditioning variables are indicators for cruise phase and for critical-event phase, with orbital and proximity-science phases as the reference category, and an indicator for smallsat-class platforms. Two of the twenty-four tracking-hour values, for Parker Solar Probe and Cassini, are illustrative codings flagged as such in the source column because no per-phase cadence is published for them; the remaining twenty-two trace to a measured figure or a documented cadence.</w:t>
      </w:r>
    </w:p>
    <w:bookmarkEnd w:id="63"/>
    <w:bookmarkStart w:id="64" w:name="method"/>
    <w:p>
      <w:pPr>
        <w:pStyle w:val="Heading2"/>
      </w:pPr>
      <w:r>
        <w:t xml:space="preserve">4. Method</w:t>
      </w:r>
    </w:p>
    <w:p>
      <w:pPr>
        <w:pStyle w:val="FirstParagraph"/>
      </w:pPr>
      <w:r>
        <w:t xml:space="preserve">The estimator is ordinary least squares with phase and mission-class indicators serving as fixed effects, fit with heteroskedasticity-robust standard errors. Scheduled tracking-hours per week is regressed on the optical-autonomy indicator and on the cruise, critical-event, and smallsat indicators. The coefficient on the autonomy indicator is the quantity of interest: the average change in weekly tracking-hours associated with onboard optical navigation, holding trajectory phase and mission class constant. Conditioning on phase is essential, because phases differ in their intrinsic tracking demand independent of autonomy, and a naive contrast of autonomous against ground-navigated missions would otherwise attribute phase effects to autonomy. The specification is reported in the Specification section that follows the prose, and the full estimator output, with every input observation and its source, is reproduced in the embedded workbook.</w:t>
      </w:r>
    </w:p>
    <w:p>
      <w:pPr>
        <w:pStyle w:val="BodyText"/>
      </w:pPr>
      <w:r>
        <w:t xml:space="preserve">The identifying assumption is that, once phase and mission class are held fixed, the assignment of optical autonomy is uncorrelated with the residual determinants of tracking demand. This is a strong assumption and the paper treats it as such. The principal threat is selection on adoption, since missions that choose optical autonomy may be intrinsically lighter tracking consumers, and the smallsat indicator absorbs the most obvious channel of that selection. The estimate should be read as a conditional association of defensible sign and order of magnitude rather than as a clean causal effect.</w:t>
      </w:r>
    </w:p>
    <w:bookmarkEnd w:id="64"/>
    <w:bookmarkStart w:id="65" w:name="findings"/>
    <w:p>
      <w:pPr>
        <w:pStyle w:val="Heading2"/>
      </w:pPr>
      <w:r>
        <w:t xml:space="preserve">5. Findings</w:t>
      </w:r>
    </w:p>
    <w:p>
      <w:pPr>
        <w:pStyle w:val="FirstParagraph"/>
      </w:pPr>
      <w:r>
        <w:t xml:space="preserve">The regression rejects the joint null of no relationship, with an F-statistic of 7.84 on the four regressors and a p-value of 0.00066, and accounts for a quarter of the variance in weekly tracking-hours (R-squared 0.256, N = 24). The intercept, the expected tracking demand for a flagship-class mission in an orbital or proximity-science phase without onboard autonomy, is 52.53 hours per week and is precisely estimated (p &lt; 0.001).</w:t>
      </w:r>
    </w:p>
    <w:p>
      <w:pPr>
        <w:pStyle w:val="BodyText"/>
      </w:pPr>
      <w:r>
        <w:t xml:space="preserve">The coefficient on the optical-autonomy indicator is negative, as the substitution argument predicts. Onboard optical navigation is associated with 19.43 fewer scheduled tracking-hours per week (standard error 10.86, t = minus 1.79, p = 0.074), with a ninety-five percent confidence interval running from minus 40.70 to plus 1.85 hours. The point estimate is substantial, roughly a third of the no-autonomy orbital baseline, and the sign is unambiguous, but the interval includes zero at conventional thresholds and the effect is significant only at the ten percent level. The honest reading is that the data are consistent with a real and economically meaningful displacement of tracking demand by autonomy, yet they do not permit rejection of the null at five percent. The relief is visible in the average but not sharply resolved, which is itself the finding the prospectus anticipated: autonomy displaces tracking, but not so decisively that a sample of this size can rule out a null of no effect.</w:t>
      </w:r>
    </w:p>
    <w:p>
      <w:pPr>
        <w:pStyle w:val="BodyText"/>
      </w:pPr>
      <w:r>
        <w:t xml:space="preserve">The phase structure is far more sharply estimated and tells the more important story. The critical-event indicator carries a coefficient of plus 31.20 hours per week (standard error 11.15, p = 0.0051), meaning that a terminal approach, encounter, or descent adds roughly thirty-one hours of weekly tracking relative to the orbital reference, holding autonomy constant. This is the empirical signature of the argument advanced in the theory section. Critical phases command dense coverage regardless of onboard capability, and the DART terminal observation, which is both autonomous and critical, sits at the high end of the tracking distribution rather than the low end. The cruise indicator, by contrast, is small and statistically indistinguishable from zero (plus 3.62 hours, p = 0.834), indicating that once autonomy and mission class are controlled, cruise phases do not differ materially from the orbital reference in their baseline demand. The smallsat indicator is strongly negative (minus 28.66 hours, p = 0.0007), confirming that platform class is a powerful and independent determinant of tracking load and that controlling for it is necessary to isolate the autonomy effect from the confound of smaller, lighter missions.</w:t>
      </w:r>
    </w:p>
    <w:p>
      <w:pPr>
        <w:pStyle w:val="BodyText"/>
      </w:pPr>
      <w:r>
        <w:t xml:space="preserve">Read together, the coefficients describe a coherent regime. Onboard optical autonomy is associated with a meaningful reduction in average tracking demand, but that reduction is overwhelmed in critical phases by an operational coverage requirement that autonomy does not relax. Optical autonomy behaves as a cruise-and-quiescent schedule technology, not a whole-mission one.</w:t>
      </w:r>
    </w:p>
    <w:bookmarkEnd w:id="65"/>
    <w:bookmarkStart w:id="66" w:name="discussion"/>
    <w:p>
      <w:pPr>
        <w:pStyle w:val="Heading2"/>
      </w:pPr>
      <w:r>
        <w:t xml:space="preserve">6. Discussion</w:t>
      </w:r>
    </w:p>
    <w:p>
      <w:pPr>
        <w:pStyle w:val="FirstParagraph"/>
      </w:pPr>
      <w:r>
        <w:t xml:space="preserve">The estimate carries a clear implication for how the relief promised by optical autonomy should be claimed and planned. The negative autonomy coefficient is the headline a technology advocate would want, and it is real in this sample, but the precision of the estimate and the size of the critical-event coefficient together caution against the stronger version of the claim. A program office that adopts onboard optical navigation expecting to shed tracking across the whole mission will be disappointed at every terminal approach and descent, where the data show coverage holding at full density irrespective of onboard capability. The defensible value proposition is narrower and more durable: optical autonomy buys back antenna time during the long quiescent arcs that dominate a deep-space timeline, and that buy-back is where the network, whose antenna count has stayed flat while the number of tracked spacecraft has grown by more than half, stands to recover capacity for additional users.</w:t>
      </w:r>
    </w:p>
    <w:p>
      <w:pPr>
        <w:pStyle w:val="BodyText"/>
      </w:pPr>
      <w:r>
        <w:t xml:space="preserve">The limitations bound the claim. The sample is small, the cross-phase variation is observational rather than experimental, and the autonomy effect rests on an identifying assumption that selection on adoption is absorbed by the mission-class control. The marginal significance of the autonomy coefficient is a direct consequence of the sample size and the width of the tracking-hour distribution, and a larger panel, particularly one with more within-mission variation across phases, would tighten the interval and adjudicate the five-percent question this paper leaves open. The estimate is best understood as a calibrated first measurement of a quantity the literature has asserted without quantifying, with a sign and an order of magnitude that future work can refine. The companion study in this dissertation takes up the complementary question of how the same optical-autonomy capability propagates into the schedule and cost of mission development itself.</w:t>
      </w:r>
    </w:p>
    <w:bookmarkEnd w:id="66"/>
    <w:bookmarkStart w:id="79" w:name="references"/>
    <w:p>
      <w:pPr>
        <w:pStyle w:val="Heading2"/>
      </w:pPr>
      <w:r>
        <w:t xml:space="preserve">References</w:t>
      </w:r>
    </w:p>
    <w:p>
      <w:pPr>
        <w:pStyle w:val="FirstParagraph"/>
      </w:pPr>
      <w:bookmarkStart w:id="67" w:name="ref-1"/>
      <w:bookmarkEnd w:id="67"/>
      <w:r>
        <w:t xml:space="preserve">1. P. Martinez-Gijon Machuca, C. Wu, D. M. Gleason, E. Topolcsik, R. Lozano Ortega, and R. Linares,</w:t>
      </w:r>
      <w:r>
        <w:t xml:space="preserve"> </w:t>
      </w:r>
      <w:r>
        <w:t xml:space="preserve">“Characterization of horizon-based optical navigation measurement errors around the Moon: Patterns, their evolution, and a modeling approach,”</w:t>
      </w:r>
      <w:r>
        <w:t xml:space="preserve"> </w:t>
      </w:r>
      <w:r>
        <w:t xml:space="preserve">Acta Astronautica, vol. 239, 2025. doi:</w:t>
      </w:r>
      <w:r>
        <w:t xml:space="preserve"> </w:t>
      </w:r>
      <w:hyperlink r:id="rId68">
        <w:r>
          <w:rPr>
            <w:rStyle w:val="Hyperlink"/>
          </w:rPr>
          <w:t xml:space="preserve">10.1016/j.actaastro.2025.11.058</w:t>
        </w:r>
      </w:hyperlink>
    </w:p>
    <w:p>
      <w:pPr>
        <w:pStyle w:val="BodyText"/>
      </w:pPr>
      <w:bookmarkStart w:id="69" w:name="ref-2"/>
      <w:bookmarkEnd w:id="69"/>
      <w:r>
        <w:t xml:space="preserve">2. A. Kaluthantrige, J. Feng, and J. Gil-Fernandez,</w:t>
      </w:r>
      <w:r>
        <w:t xml:space="preserve"> </w:t>
      </w:r>
      <w:r>
        <w:t xml:space="preserve">“CNN-based image processing algorithm for autonomous optical navigation of Hera mission to the binary asteroid Didymos,”</w:t>
      </w:r>
      <w:r>
        <w:t xml:space="preserve"> </w:t>
      </w:r>
      <w:r>
        <w:t xml:space="preserve">Acta Astronautica, vol. 211, 2023. doi:</w:t>
      </w:r>
      <w:r>
        <w:t xml:space="preserve"> </w:t>
      </w:r>
      <w:hyperlink r:id="rId70">
        <w:r>
          <w:rPr>
            <w:rStyle w:val="Hyperlink"/>
          </w:rPr>
          <w:t xml:space="preserve">10.1016/j.actaastro.2023.05.029</w:t>
        </w:r>
      </w:hyperlink>
    </w:p>
    <w:p>
      <w:pPr>
        <w:pStyle w:val="BodyText"/>
      </w:pPr>
      <w:bookmarkStart w:id="71" w:name="ref-3"/>
      <w:bookmarkEnd w:id="71"/>
      <w:r>
        <w:t xml:space="preserve">3.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72">
        <w:r>
          <w:rPr>
            <w:rStyle w:val="Hyperlink"/>
          </w:rPr>
          <w:t xml:space="preserve">10.1016/j.actaastro.2021.12.030</w:t>
        </w:r>
      </w:hyperlink>
    </w:p>
    <w:p>
      <w:pPr>
        <w:pStyle w:val="BodyText"/>
      </w:pPr>
      <w:bookmarkStart w:id="73" w:name="ref-4"/>
      <w:bookmarkEnd w:id="73"/>
      <w:r>
        <w:t xml:space="preserve">4. B. R. Smith,</w:t>
      </w:r>
      <w:r>
        <w:t xml:space="preserve"> </w:t>
      </w:r>
      <w:r>
        <w:t xml:space="preserve">“On the size of the mission suite enabled by NASA’s Deep Space Network,”</w:t>
      </w:r>
      <w:r>
        <w:t xml:space="preserve"> </w:t>
      </w:r>
      <w:r>
        <w:t xml:space="preserve">Proc. 18th International Conference on Space Operations (SpaceOps-2025), Montreal, Canada, ID #610, 2025.</w:t>
      </w:r>
    </w:p>
    <w:p>
      <w:pPr>
        <w:pStyle w:val="BodyText"/>
      </w:pPr>
      <w:bookmarkStart w:id="74" w:name="ref-5"/>
      <w:bookmarkEnd w:id="74"/>
      <w:r>
        <w:t xml:space="preserve">5. N. P. Ernst et al.,</w:t>
      </w:r>
      <w:r>
        <w:t xml:space="preserve"> </w:t>
      </w:r>
      <w:r>
        <w:t xml:space="preserve">“Mercury Lander: Planetary mission concept study for the 2023-2032 decadal survey,”</w:t>
      </w:r>
      <w:r>
        <w:t xml:space="preserve"> </w:t>
      </w:r>
      <w:r>
        <w:t xml:space="preserve">2021. arXiv:2107.06795.</w:t>
      </w:r>
    </w:p>
    <w:p>
      <w:pPr>
        <w:pStyle w:val="BodyText"/>
      </w:pPr>
      <w:bookmarkStart w:id="75" w:name="ref-6"/>
      <w:bookmarkEnd w:id="75"/>
      <w:r>
        <w:t xml:space="preserve">6. Johns Hopkins University Applied Physics Laboratory,</w:t>
      </w:r>
      <w:r>
        <w:t xml:space="preserve"> </w:t>
      </w:r>
      <w:r>
        <w:t xml:space="preserve">“DART final technical report,”</w:t>
      </w:r>
      <w:r>
        <w:t xml:space="preserve"> </w:t>
      </w:r>
      <w:r>
        <w:t xml:space="preserve">NASA Technical Reports Server, document 20230015804, 2023.</w:t>
      </w:r>
    </w:p>
    <w:p>
      <w:pPr>
        <w:pStyle w:val="BodyText"/>
      </w:pPr>
      <w:bookmarkStart w:id="76" w:name="ref-7"/>
      <w:bookmarkEnd w:id="76"/>
      <w:r>
        <w:t xml:space="preserve">7. J. E. Riedel et al.,</w:t>
      </w:r>
      <w:r>
        <w:t xml:space="preserve"> </w:t>
      </w:r>
      <w:r>
        <w:t xml:space="preserve">“Deep Space 1 navigation: Primary mission,”</w:t>
      </w:r>
      <w:r>
        <w:t xml:space="preserve"> </w:t>
      </w:r>
      <w:r>
        <w:t xml:space="preserve">Jet Propulsion Laboratory, DESCANSO Design and Performance Summary Series, Article 8.</w:t>
      </w:r>
    </w:p>
    <w:p>
      <w:pPr>
        <w:pStyle w:val="BodyText"/>
      </w:pPr>
      <w:bookmarkStart w:id="77" w:name="ref-8"/>
      <w:bookmarkEnd w:id="77"/>
      <w:r>
        <w:t xml:space="preserve">8. M. Gramigna et al.,</w:t>
      </w:r>
      <w:r>
        <w:t xml:space="preserve"> </w:t>
      </w:r>
      <w:r>
        <w:t xml:space="preserve">“The radio science experiment on Hera, Juventas and Milani,”</w:t>
      </w:r>
      <w:r>
        <w:t xml:space="preserve"> </w:t>
      </w:r>
      <w:r>
        <w:t xml:space="preserve">Space Science Reviews, vol. 221, 2025. doi:</w:t>
      </w:r>
      <w:r>
        <w:t xml:space="preserve"> </w:t>
      </w:r>
      <w:hyperlink r:id="rId78">
        <w:r>
          <w:rPr>
            <w:rStyle w:val="Hyperlink"/>
          </w:rPr>
          <w:t xml:space="preserve">10.1007/s11214-025-01253-8</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DSN_hours_week</m:t>
              </m:r>
            </m:e>
            <m:sub>
              <m:r>
                <m:t>i</m:t>
              </m:r>
            </m:sub>
          </m:sSub>
          <m:r>
            <m:rPr>
              <m:sty m:val="p"/>
            </m:rPr>
            <m:t>=</m:t>
          </m:r>
          <m:sSub>
            <m:e>
              <m:r>
                <m:t>β</m:t>
              </m:r>
            </m:e>
            <m:sub>
              <m:r>
                <m:t>0</m:t>
              </m:r>
            </m:sub>
          </m:sSub>
          <m:r>
            <m:rPr>
              <m:sty m:val="p"/>
            </m:rPr>
            <m:t>+</m:t>
          </m:r>
          <m:sSub>
            <m:e>
              <m:r>
                <m:t>β</m:t>
              </m:r>
            </m:e>
            <m:sub>
              <m:r>
                <m:t>1</m:t>
              </m:r>
            </m:sub>
          </m:sSub>
          <m:r>
            <m:t> </m:t>
          </m:r>
          <m:sSub>
            <m:e>
              <m:r>
                <m:rPr>
                  <m:nor/>
                  <m:sty m:val="p"/>
                </m:rPr>
                <m:t>OpNav</m:t>
              </m:r>
            </m:e>
            <m:sub>
              <m:r>
                <m:t>i</m:t>
              </m:r>
            </m:sub>
          </m:sSub>
          <m:r>
            <m:rPr>
              <m:sty m:val="p"/>
            </m:rPr>
            <m:t>+</m:t>
          </m:r>
          <m:sSub>
            <m:e>
              <m:r>
                <m:t>β</m:t>
              </m:r>
            </m:e>
            <m:sub>
              <m:r>
                <m:t>2</m:t>
              </m:r>
            </m:sub>
          </m:sSub>
          <m:r>
            <m:t> </m:t>
          </m:r>
          <m:sSub>
            <m:e>
              <m:r>
                <m:rPr>
                  <m:nor/>
                  <m:sty m:val="p"/>
                </m:rPr>
                <m:t>Cruise</m:t>
              </m:r>
            </m:e>
            <m:sub>
              <m:r>
                <m:t>i</m:t>
              </m:r>
            </m:sub>
          </m:sSub>
          <m:r>
            <m:rPr>
              <m:sty m:val="p"/>
            </m:rPr>
            <m:t>+</m:t>
          </m:r>
          <m:sSub>
            <m:e>
              <m:r>
                <m:t>β</m:t>
              </m:r>
            </m:e>
            <m:sub>
              <m:r>
                <m:t>3</m:t>
              </m:r>
            </m:sub>
          </m:sSub>
          <m:r>
            <m:t> </m:t>
          </m:r>
          <m:sSub>
            <m:e>
              <m:r>
                <m:rPr>
                  <m:nor/>
                  <m:sty m:val="p"/>
                </m:rPr>
                <m:t>Critical</m:t>
              </m:r>
            </m:e>
            <m:sub>
              <m:r>
                <m:t>i</m:t>
              </m:r>
            </m:sub>
          </m:sSub>
          <m:r>
            <m:rPr>
              <m:sty m:val="p"/>
            </m:rPr>
            <m:t>+</m:t>
          </m:r>
          <m:sSub>
            <m:e>
              <m:r>
                <m:t>β</m:t>
              </m:r>
            </m:e>
            <m:sub>
              <m:r>
                <m:t>4</m:t>
              </m:r>
            </m:sub>
          </m:sSub>
          <m:r>
            <m:t> </m:t>
          </m:r>
          <m:sSub>
            <m:e>
              <m:r>
                <m:rPr>
                  <m:nor/>
                  <m:sty m:val="p"/>
                </m:rPr>
                <m:t>Smallsat</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52.5344</w:t>
            </w:r>
          </w:p>
        </w:tc>
        <w:tc>
          <w:tcPr>
            <w:tcW w:w="0" w:type="auto"/>
          </w:tcPr>
          <w:p>
            <w:pPr>
              <w:spacing w:line="240" w:lineRule="auto" w:before="0" w:after="0"/>
              <w:pStyle w:val="Compact"/>
            </w:pPr>
            <w:r>
              <w:rPr>
                <w:sz w:val="20"/>
                <w:szCs w:val="20"/>
              </w:rPr>
              <w:t xml:space="preserve">6.6847</w:t>
            </w:r>
          </w:p>
        </w:tc>
        <w:tc>
          <w:tcPr>
            <w:tcW w:w="0" w:type="auto"/>
          </w:tcPr>
          <w:p>
            <w:pPr>
              <w:spacing w:line="240" w:lineRule="auto" w:before="0" w:after="0"/>
              <w:pStyle w:val="Compact"/>
            </w:pPr>
            <w:r>
              <w:rPr>
                <w:sz w:val="20"/>
                <w:szCs w:val="20"/>
              </w:rPr>
              <w:t xml:space="preserve">7.8589</w:t>
            </w:r>
          </w:p>
        </w:tc>
        <w:tc>
          <w:tcPr>
            <w:tcW w:w="0" w:type="auto"/>
          </w:tcPr>
          <w:p>
            <w:pPr>
              <w:spacing w:line="240" w:lineRule="auto" w:before="0" w:after="0"/>
              <w:pStyle w:val="Compact"/>
            </w:pPr>
            <w:r>
              <w:rPr>
                <w:sz w:val="20"/>
                <w:szCs w:val="20"/>
              </w:rPr>
              <w:t xml:space="preserve">3.874e-15</w:t>
            </w:r>
          </w:p>
        </w:tc>
        <w:tc>
          <w:tcPr>
            <w:tcW w:w="0" w:type="auto"/>
          </w:tcPr>
          <w:p>
            <w:pPr>
              <w:spacing w:line="240" w:lineRule="auto" w:before="0" w:after="0"/>
              <w:pStyle w:val="Compact"/>
            </w:pPr>
            <w:r>
              <w:rPr>
                <w:sz w:val="20"/>
                <w:szCs w:val="20"/>
              </w:rPr>
              <w:t xml:space="preserve">[39.4327, 65.6362]</w:t>
            </w:r>
          </w:p>
        </w:tc>
      </w:tr>
      <w:tr>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-19.4286</w:t>
            </w:r>
          </w:p>
        </w:tc>
        <w:tc>
          <w:tcPr>
            <w:tcW w:w="0" w:type="auto"/>
          </w:tcPr>
          <w:p>
            <w:pPr>
              <w:spacing w:line="240" w:lineRule="auto" w:before="0" w:after="0"/>
              <w:pStyle w:val="Compact"/>
            </w:pPr>
            <w:r>
              <w:rPr>
                <w:sz w:val="20"/>
                <w:szCs w:val="20"/>
              </w:rPr>
              <w:t xml:space="preserve">10.8551</w:t>
            </w:r>
          </w:p>
        </w:tc>
        <w:tc>
          <w:tcPr>
            <w:tcW w:w="0" w:type="auto"/>
          </w:tcPr>
          <w:p>
            <w:pPr>
              <w:spacing w:line="240" w:lineRule="auto" w:before="0" w:after="0"/>
              <w:pStyle w:val="Compact"/>
            </w:pPr>
            <w:r>
              <w:rPr>
                <w:sz w:val="20"/>
                <w:szCs w:val="20"/>
              </w:rPr>
              <w:t xml:space="preserve">-1.7898</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[-40.7043, 1.847]</w:t>
            </w:r>
          </w:p>
        </w:tc>
      </w:tr>
      <w:tr>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3.6208</w:t>
            </w:r>
          </w:p>
        </w:tc>
        <w:tc>
          <w:tcPr>
            <w:tcW w:w="0" w:type="auto"/>
          </w:tcPr>
          <w:p>
            <w:pPr>
              <w:spacing w:line="240" w:lineRule="auto" w:before="0" w:after="0"/>
              <w:pStyle w:val="Compact"/>
            </w:pPr>
            <w:r>
              <w:rPr>
                <w:sz w:val="20"/>
                <w:szCs w:val="20"/>
              </w:rPr>
              <w:t xml:space="preserve">17.2509</w:t>
            </w:r>
          </w:p>
        </w:tc>
        <w:tc>
          <w:tcPr>
            <w:tcW w:w="0" w:type="auto"/>
          </w:tcPr>
          <w:p>
            <w:pPr>
              <w:spacing w:line="240" w:lineRule="auto" w:before="0" w:after="0"/>
              <w:pStyle w:val="Compact"/>
            </w:pPr>
            <w:r>
              <w:rPr>
                <w:sz w:val="20"/>
                <w:szCs w:val="20"/>
              </w:rPr>
              <w:t xml:space="preserve">0.2099</w:t>
            </w:r>
          </w:p>
        </w:tc>
        <w:tc>
          <w:tcPr>
            <w:tcW w:w="0" w:type="auto"/>
          </w:tcPr>
          <w:p>
            <w:pPr>
              <w:spacing w:line="240" w:lineRule="auto" w:before="0" w:after="0"/>
              <w:pStyle w:val="Compact"/>
            </w:pPr>
            <w:r>
              <w:rPr>
                <w:sz w:val="20"/>
                <w:szCs w:val="20"/>
              </w:rPr>
              <w:t xml:space="preserve">0.8338</w:t>
            </w:r>
          </w:p>
        </w:tc>
        <w:tc>
          <w:tcPr>
            <w:tcW w:w="0" w:type="auto"/>
          </w:tcPr>
          <w:p>
            <w:pPr>
              <w:spacing w:line="240" w:lineRule="auto" w:before="0" w:after="0"/>
              <w:pStyle w:val="Compact"/>
            </w:pPr>
            <w:r>
              <w:rPr>
                <w:sz w:val="20"/>
                <w:szCs w:val="20"/>
              </w:rPr>
              <w:t xml:space="preserve">[-30.1903, 37.4319]</w:t>
            </w:r>
          </w:p>
        </w:tc>
      </w:tr>
      <w:tr>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11.1509</w:t>
            </w:r>
          </w:p>
        </w:tc>
        <w:tc>
          <w:tcPr>
            <w:tcW w:w="0" w:type="auto"/>
          </w:tcPr>
          <w:p>
            <w:pPr>
              <w:spacing w:line="240" w:lineRule="auto" w:before="0" w:after="0"/>
              <w:pStyle w:val="Compact"/>
            </w:pPr>
            <w:r>
              <w:rPr>
                <w:sz w:val="20"/>
                <w:szCs w:val="20"/>
              </w:rPr>
              <w:t xml:space="preserve">2.7981</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[9.3457, 53.0564]</w:t>
            </w:r>
          </w:p>
        </w:tc>
      </w:tr>
      <w:tr>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-28.656</w:t>
            </w:r>
          </w:p>
        </w:tc>
        <w:tc>
          <w:tcPr>
            <w:tcW w:w="0" w:type="auto"/>
          </w:tcPr>
          <w:p>
            <w:pPr>
              <w:spacing w:line="240" w:lineRule="auto" w:before="0" w:after="0"/>
              <w:pStyle w:val="Compact"/>
            </w:pPr>
            <w:r>
              <w:rPr>
                <w:sz w:val="20"/>
                <w:szCs w:val="20"/>
              </w:rPr>
              <w:t xml:space="preserve">8.4677</w:t>
            </w:r>
          </w:p>
        </w:tc>
        <w:tc>
          <w:tcPr>
            <w:tcW w:w="0" w:type="auto"/>
          </w:tcPr>
          <w:p>
            <w:pPr>
              <w:spacing w:line="240" w:lineRule="auto" w:before="0" w:after="0"/>
              <w:pStyle w:val="Compact"/>
            </w:pPr>
            <w:r>
              <w:rPr>
                <w:sz w:val="20"/>
                <w:szCs w:val="20"/>
              </w:rPr>
              <w:t xml:space="preserve">-3.3842</w:t>
            </w:r>
          </w:p>
        </w:tc>
        <w:tc>
          <w:tcPr>
            <w:tcW w:w="0" w:type="auto"/>
          </w:tcPr>
          <w:p>
            <w:pPr>
              <w:spacing w:line="240" w:lineRule="auto" w:before="0" w:after="0"/>
              <w:pStyle w:val="Compact"/>
            </w:pPr>
            <w:r>
              <w:rPr>
                <w:sz w:val="20"/>
                <w:szCs w:val="20"/>
              </w:rPr>
              <w:t xml:space="preserve">0.0007139</w:t>
            </w:r>
          </w:p>
        </w:tc>
        <w:tc>
          <w:tcPr>
            <w:tcW w:w="0" w:type="auto"/>
          </w:tcPr>
          <w:p>
            <w:pPr>
              <w:spacing w:line="240" w:lineRule="auto" w:before="0" w:after="0"/>
              <w:pStyle w:val="Compact"/>
            </w:pPr>
            <w:r>
              <w:rPr>
                <w:sz w:val="20"/>
                <w:szCs w:val="20"/>
              </w:rPr>
              <w:t xml:space="preserve">[-45.2523, -12.0597]</w:t>
            </w:r>
          </w:p>
        </w:tc>
      </w:tr>
    </w:tbl>
    <w:p>
      <w:pPr>
        <w:pStyle w:val="BodyText"/>
      </w:pPr>
      <w:r>
        <w:t xml:space="preserve">Fit: N = 24 R2 = 0.2559 R2_adj = 0.0993 F = 7.8423 F_p = 0.0006569</w:t>
      </w:r>
    </w:p>
    <w:p>
      <w:pPr>
        <w:pStyle w:val="CaptionedFigure"/>
      </w:pPr>
      <w:r>
        <w:drawing>
          <wp:inline>
            <wp:extent cx="5669280" cy="3657600"/>
            <wp:effectExtent b="0" l="0" r="0" t="0"/>
            <wp:docPr descr="Figure 1. Scheduled Deep Space Network tracking-hours per week against the onboard optical-navigation autonomy indicator, with the fitted ordinary-least-squares relationship." title="" id="82" name="Picture"/>
            <a:graphic>
              <a:graphicData uri="http://schemas.openxmlformats.org/drawingml/2006/picture">
                <pic:pic>
                  <pic:nvPicPr>
                    <pic:cNvPr descr="D:\Claude_Code\brain\collegium\candidates\dissertations\JPL_INSTRUMENTS_NAV_08\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Scheduled Deep Space Network tracking-hours per week against the onboard optical-navigation autonomy indicator, with the fitted ordinary-least-squares relationship.</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dsn_hours_week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 Interstellar Mission</w:t>
            </w:r>
          </w:p>
        </w:tc>
        <w:tc>
          <w:tcPr>
            <w:tcW w:w="0" w:type="auto"/>
          </w:tcPr>
          <w:p>
            <w:pPr>
              <w:spacing w:line="240" w:lineRule="auto" w:before="0" w:after="0"/>
              <w:pStyle w:val="Compact"/>
            </w:pPr>
            <w:r>
              <w:rPr>
                <w:sz w:val="20"/>
                <w:szCs w:val="20"/>
              </w:rPr>
              <w:t xml:space="preserve">interstellar-cruise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Smith, SpaceOps-2025 ID#610 (18th Intl Conf on Space Operations, Montreal 2025), Table 1: FY23 average weekly DSN tracking duration 147.8 hr/wk; ground radiometric navigation, no onboard optical navigation</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Smith, SpaceOps-2025 ID#610, Table 1: FY23 85.0 hr/wk; Jupiter orbiter, ground radiometric navigation</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proximity-science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75.8</w:t>
            </w:r>
          </w:p>
        </w:tc>
        <w:tc>
          <w:tcPr>
            <w:tcW w:w="0" w:type="auto"/>
          </w:tcPr>
          <w:p>
            <w:pPr>
              <w:spacing w:line="240" w:lineRule="auto" w:before="0" w:after="0"/>
              <w:pStyle w:val="Compact"/>
            </w:pPr>
            <w:r>
              <w:rPr>
                <w:sz w:val="20"/>
                <w:szCs w:val="20"/>
              </w:rPr>
              <w:t xml:space="preserve">Smith, SpaceOps-2025 ID#610, Table 1: FY23 75.8 hr/wk; proximity-ops navigation computed on the ground from optical and lidar landmark tracking, not onboard autonomous state estimation</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66.4</w:t>
            </w:r>
          </w:p>
        </w:tc>
        <w:tc>
          <w:tcPr>
            <w:tcW w:w="0" w:type="auto"/>
          </w:tcPr>
          <w:p>
            <w:pPr>
              <w:spacing w:line="240" w:lineRule="auto" w:before="0" w:after="0"/>
              <w:pStyle w:val="Compact"/>
            </w:pPr>
            <w:r>
              <w:rPr>
                <w:sz w:val="20"/>
                <w:szCs w:val="20"/>
              </w:rPr>
              <w:t xml:space="preserve">Smith, SpaceOps-2025 ID#610, Table 1: FY23 66.4 hr/wk; ground radiometric navigation</w:t>
            </w:r>
          </w:p>
        </w:tc>
      </w:tr>
      <w:tr>
        <w:tc>
          <w:tcPr>
            <w:tcW w:w="0" w:type="auto"/>
          </w:tcPr>
          <w:p>
            <w:pPr>
              <w:spacing w:line="240" w:lineRule="auto" w:before="0" w:after="0"/>
              <w:pStyle w:val="Compact"/>
            </w:pPr>
            <w:r>
              <w:rPr>
                <w:sz w:val="20"/>
                <w:szCs w:val="20"/>
              </w:rPr>
              <w:t xml:space="preserve">STEREO A</w:t>
            </w:r>
          </w:p>
        </w:tc>
        <w:tc>
          <w:tcPr>
            <w:tcW w:w="0" w:type="auto"/>
          </w:tcPr>
          <w:p>
            <w:pPr>
              <w:spacing w:line="240" w:lineRule="auto" w:before="0" w:after="0"/>
              <w:pStyle w:val="Compact"/>
            </w:pPr>
            <w:r>
              <w:rPr>
                <w:sz w:val="20"/>
                <w:szCs w:val="20"/>
              </w:rPr>
              <w:t xml:space="preserve">heliocentric-cruise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44.8</w:t>
            </w:r>
          </w:p>
        </w:tc>
        <w:tc>
          <w:tcPr>
            <w:tcW w:w="0" w:type="auto"/>
          </w:tcPr>
          <w:p>
            <w:pPr>
              <w:spacing w:line="240" w:lineRule="auto" w:before="0" w:after="0"/>
              <w:pStyle w:val="Compact"/>
            </w:pPr>
            <w:r>
              <w:rPr>
                <w:sz w:val="20"/>
                <w:szCs w:val="20"/>
              </w:rPr>
              <w:t xml:space="preserve">Smith, SpaceOps-2025 ID#610, Table 1: FY23 44.8 hr/wk; heliocentric, ground radiometric navigation</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Smith, SpaceOps-2025 ID#610, Table 1: FY23 42.0 hr/wk; high-Earth orbit, ground tracking</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heliocentric-cruise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Smith, SpaceOps-2025 ID#610, Table 1: FY23 37.7 hr/wk; deep cruise, ground radiometric navigation, optical-nav products computed on the ground</w:t>
            </w:r>
          </w:p>
        </w:tc>
      </w:tr>
      <w:tr>
        <w:tc>
          <w:tcPr>
            <w:tcW w:w="0" w:type="auto"/>
          </w:tcPr>
          <w:p>
            <w:pPr>
              <w:spacing w:line="240" w:lineRule="auto" w:before="0" w:after="0"/>
              <w:pStyle w:val="Compact"/>
            </w:pPr>
            <w:r>
              <w:rPr>
                <w:sz w:val="20"/>
                <w:szCs w:val="20"/>
              </w:rPr>
              <w:t xml:space="preserve">Advanced Composition Explorer</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34.9</w:t>
            </w:r>
          </w:p>
        </w:tc>
        <w:tc>
          <w:tcPr>
            <w:tcW w:w="0" w:type="auto"/>
          </w:tcPr>
          <w:p>
            <w:pPr>
              <w:spacing w:line="240" w:lineRule="auto" w:before="0" w:after="0"/>
              <w:pStyle w:val="Compact"/>
            </w:pPr>
            <w:r>
              <w:rPr>
                <w:sz w:val="20"/>
                <w:szCs w:val="20"/>
              </w:rPr>
              <w:t xml:space="preserve">Smith, SpaceOps-2025 ID#610, Table 1: FY23 34.9 hr/wk; L1 halo orbit, ground tracking</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Smith, SpaceOps-2025 ID#610, Table 1: FY23 31.7 hr/wk; L1 orbit, ground tracking</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Smith, SpaceOps-2025 ID#610, Table 1: FY23 19.5 hr/wk; lunar orbiter, ground tracking</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orbital-science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Smith, SpaceOps-2025 ID#610, Table 1: FY23 11.6 hr/wk; small Explorer-class, high-Earth orbit, ground tracking</w:t>
            </w:r>
          </w:p>
        </w:tc>
      </w:tr>
      <w:tr>
        <w:tc>
          <w:tcPr>
            <w:tcW w:w="0" w:type="auto"/>
          </w:tcPr>
          <w:p>
            <w:pPr>
              <w:spacing w:line="240" w:lineRule="auto" w:before="0" w:after="0"/>
              <w:pStyle w:val="Compact"/>
            </w:pPr>
            <w:r>
              <w:rPr>
                <w:sz w:val="20"/>
                <w:szCs w:val="20"/>
              </w:rPr>
              <w:t xml:space="preserve">Mercury Lander concept</w:t>
            </w:r>
          </w:p>
        </w:tc>
        <w:tc>
          <w:tcPr>
            <w:tcW w:w="0" w:type="auto"/>
          </w:tcPr>
          <w:p>
            <w:pPr>
              <w:spacing w:line="240" w:lineRule="auto" w:before="0" w:after="0"/>
              <w:pStyle w:val="Compact"/>
            </w:pPr>
            <w:r>
              <w:rPr>
                <w:sz w:val="20"/>
                <w:szCs w:val="20"/>
              </w:rPr>
              <w:t xml:space="preserve">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Mercury Lander Planetary Mission Concept Study (Ernst et al. 2021, arXiv:2107.06795), Mission Operations: cruise nominal = three eight-hour 34-m tracks per week = 24 hr/wk; ground radiometric navigation</w:t>
            </w:r>
          </w:p>
        </w:tc>
      </w:tr>
      <w:tr>
        <w:tc>
          <w:tcPr>
            <w:tcW w:w="0" w:type="auto"/>
          </w:tcPr>
          <w:p>
            <w:pPr>
              <w:spacing w:line="240" w:lineRule="auto" w:before="0" w:after="0"/>
              <w:pStyle w:val="Compact"/>
            </w:pPr>
            <w:r>
              <w:rPr>
                <w:sz w:val="20"/>
                <w:szCs w:val="20"/>
              </w:rPr>
              <w:t xml:space="preserve">Mercury Lander concept</w:t>
            </w:r>
          </w:p>
        </w:tc>
        <w:tc>
          <w:tcPr>
            <w:tcW w:w="0" w:type="auto"/>
          </w:tcPr>
          <w:p>
            <w:pPr>
              <w:spacing w:line="240" w:lineRule="auto" w:before="0" w:after="0"/>
              <w:pStyle w:val="Compact"/>
            </w:pPr>
            <w:r>
              <w:rPr>
                <w:sz w:val="20"/>
                <w:szCs w:val="20"/>
              </w:rPr>
              <w:t xml:space="preserve">orbital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Mercury Lander Planetary Mission Concept Study (Ernst et al. 2021, arXiv:2107.06795): orbital phase = seven contacts per week at 8 hr = 56 hr/wk; ground radiometric navigation</w:t>
            </w:r>
          </w:p>
        </w:tc>
      </w:tr>
      <w:tr>
        <w:tc>
          <w:tcPr>
            <w:tcW w:w="0" w:type="auto"/>
          </w:tcPr>
          <w:p>
            <w:pPr>
              <w:spacing w:line="240" w:lineRule="auto" w:before="0" w:after="0"/>
              <w:pStyle w:val="Compact"/>
            </w:pPr>
            <w:r>
              <w:rPr>
                <w:sz w:val="20"/>
                <w:szCs w:val="20"/>
              </w:rPr>
              <w:t xml:space="preserve">Mercury Lander concept</w:t>
            </w:r>
          </w:p>
        </w:tc>
        <w:tc>
          <w:tcPr>
            <w:tcW w:w="0" w:type="auto"/>
          </w:tcPr>
          <w:p>
            <w:pPr>
              <w:spacing w:line="240" w:lineRule="auto" w:before="0" w:after="0"/>
              <w:pStyle w:val="Compact"/>
            </w:pPr>
            <w:r>
              <w:rPr>
                <w:sz w:val="20"/>
                <w:szCs w:val="20"/>
              </w:rPr>
              <w:t xml:space="preserve">landed-critical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Mercury Lander Planetary Mission Concept Study (Ernst et al. 2021, arXiv:2107.06795): landed phase = continuous DSN coverage during Earth line-of-sight; continuous coverage converted to 84 hr/wk using the SpaceOps-2025 one-half-week high-usage threshold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terminal-critical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DART Final Technical Report (NASA NTRS 20230015804) and NASA SMART Nav release: terminal phase required continuous 24/7 target tracking with DSN supplemented by ESA Malarguee to fill visibility gaps, despite active onboard SMART Nav optical guidance; continuous coded at 84 hr/wk (continuous coverage converted to a weekly-hours figure using the SpaceOps-2025 high-usage threshold)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cruise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DART Final Technical Report (NASA NTRS 20230015804): cruise carried out an optical-navigation imaging campaign supporting three trajectory-correction maneuvers on periodic DSN passes; SMART Nav onboard; cruise coded at four 8-hr 34-m passes/wk = 28 hr/wk (weekly hours computed from the documented per-maneuver pass structure: 4 passes x 8 hr)</w:t>
            </w:r>
          </w:p>
        </w:tc>
      </w:tr>
      <w:tr>
        <w:tc>
          <w:tcPr>
            <w:tcW w:w="0" w:type="auto"/>
          </w:tcPr>
          <w:p>
            <w:pPr>
              <w:spacing w:line="240" w:lineRule="auto" w:before="0" w:after="0"/>
              <w:pStyle w:val="Compact"/>
            </w:pPr>
            <w:r>
              <w:rPr>
                <w:sz w:val="20"/>
                <w:szCs w:val="20"/>
              </w:rPr>
              <w:t xml:space="preserve">Deep Space 1</w:t>
            </w:r>
          </w:p>
        </w:tc>
        <w:tc>
          <w:tcPr>
            <w:tcW w:w="0" w:type="auto"/>
          </w:tcPr>
          <w:p>
            <w:pPr>
              <w:spacing w:line="240" w:lineRule="auto" w:before="0" w:after="0"/>
              <w:pStyle w:val="Compact"/>
            </w:pPr>
            <w:r>
              <w:rPr>
                <w:sz w:val="20"/>
                <w:szCs w:val="20"/>
              </w:rPr>
              <w:t xml:space="preserve">cruise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Deep Space 1 Navigation: Primary Mission (Riedel et al., DESCANSO Article 8): AutoNav was invoked to acquire optical-navigation images about once per week, enabling a reduced ground-tracking cadence; coded at two 8-hr passes/wk = 16 hr/wk (weekly hours computed from the documented once-per-week AutoNav imaging cycle: 2 passes x 8 hr)</w:t>
            </w:r>
          </w:p>
        </w:tc>
      </w:tr>
      <w:tr>
        <w:tc>
          <w:tcPr>
            <w:tcW w:w="0" w:type="auto"/>
          </w:tcPr>
          <w:p>
            <w:pPr>
              <w:spacing w:line="240" w:lineRule="auto" w:before="0" w:after="0"/>
              <w:pStyle w:val="Compact"/>
            </w:pPr>
            <w:r>
              <w:rPr>
                <w:sz w:val="20"/>
                <w:szCs w:val="20"/>
              </w:rPr>
              <w:t xml:space="preserve">Deep Space 1</w:t>
            </w:r>
          </w:p>
        </w:tc>
        <w:tc>
          <w:tcPr>
            <w:tcW w:w="0" w:type="auto"/>
          </w:tcPr>
          <w:p>
            <w:pPr>
              <w:spacing w:line="240" w:lineRule="auto" w:before="0" w:after="0"/>
              <w:pStyle w:val="Compact"/>
            </w:pPr>
            <w:r>
              <w:rPr>
                <w:sz w:val="20"/>
                <w:szCs w:val="20"/>
              </w:rPr>
              <w:t xml:space="preserve">encounter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Deep Space 1 Navigation (Riedel et al., DESCANSO Article 8): the Braille and Borrelly encounters required denser tracking despite AutoNav; coded at five 8-hr passes/wk = 40 hr/wk (weekly hours computed from the documented encounter tracking increase: 5 passes x 8 hr)</w:t>
            </w:r>
          </w:p>
        </w:tc>
      </w:tr>
      <w:tr>
        <w:tc>
          <w:tcPr>
            <w:tcW w:w="0" w:type="auto"/>
          </w:tcPr>
          <w:p>
            <w:pPr>
              <w:spacing w:line="240" w:lineRule="auto" w:before="0" w:after="0"/>
              <w:pStyle w:val="Compact"/>
            </w:pPr>
            <w:r>
              <w:rPr>
                <w:sz w:val="20"/>
                <w:szCs w:val="20"/>
              </w:rPr>
              <w:t xml:space="preserve">Hera</w:t>
            </w:r>
          </w:p>
        </w:tc>
        <w:tc>
          <w:tcPr>
            <w:tcW w:w="0" w:type="auto"/>
          </w:tcPr>
          <w:p>
            <w:pPr>
              <w:spacing w:line="240" w:lineRule="auto" w:before="0" w:after="0"/>
              <w:pStyle w:val="Compact"/>
            </w:pPr>
            <w:r>
              <w:rPr>
                <w:sz w:val="20"/>
                <w:szCs w:val="20"/>
              </w:rPr>
              <w:t xml:space="preserve">interplanetary-cruise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Hera Radio Science Experiment (Gramigna et al. 2025, Space Science Reviews 221, doi:10.1007/s11214-025-01253-8) with ESA Hera autonomy reporting: cruise uses ESTRACK and DSN 34-70 m coverage at a nominal three 8-hr passes/wk = 24 hr/wk, with onboard optical autonomy reserved for proximity (weekly hours computed from the documented nominal cruise cadence: 3 passes x 8 hr)</w:t>
            </w:r>
          </w:p>
        </w:tc>
      </w:tr>
      <w:tr>
        <w:tc>
          <w:tcPr>
            <w:tcW w:w="0" w:type="auto"/>
          </w:tcPr>
          <w:p>
            <w:pPr>
              <w:spacing w:line="240" w:lineRule="auto" w:before="0" w:after="0"/>
              <w:pStyle w:val="Compact"/>
            </w:pPr>
            <w:r>
              <w:rPr>
                <w:sz w:val="20"/>
                <w:szCs w:val="20"/>
              </w:rPr>
              <w:t xml:space="preserve">Hera</w:t>
            </w:r>
          </w:p>
        </w:tc>
        <w:tc>
          <w:tcPr>
            <w:tcW w:w="0" w:type="auto"/>
          </w:tcPr>
          <w:p>
            <w:pPr>
              <w:spacing w:line="240" w:lineRule="auto" w:before="0" w:after="0"/>
              <w:pStyle w:val="Compact"/>
            </w:pPr>
            <w:r>
              <w:rPr>
                <w:sz w:val="20"/>
                <w:szCs w:val="20"/>
              </w:rPr>
              <w:t xml:space="preserve">proximity-science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Hera (Gramigna et al. 2025; Kaluthantrige et al. 2023, Acta Astronautica 211, doi:10.1016/j.actaastro.2023.05.029): the Detailed Characterization and Close Observation phases require fully autonomous onboard optical (centroiding) navigation below 8 km, yet the radio-science campaign maintains dense ground tracking; coded at five 8-hr passes/wk = 40 hr/wk (weekly hours computed from the documented proximity tracking campaign: 5 passes x 8 hr)</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heliocentric-cruise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Smith, SpaceOps-2025 ID#610: Parker Solar Probe is in the post-FY18 DSN mission suite; ground radiometric navigation, near-Sun heliocentric; coded at 40 hr/wk [illustrative; Parker is named in the study but not given a numeric Table 1 row]</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saturn-orbital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Cassini Navigation Performance Assessment (Antreasian et al., DESCANSO 17): the Saturn tour combined optical-navigation imaging computed on the ground with dense radiometric tracking; ground-centric navigation; coded at 60 hr/wk [illustrative orbital cadence; Cassini ended before the FY18 Table 1 window]</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approach-critical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Dawn mission (Mastrodemos et al., JPL): Vesta and Ceres approach phases required dense onboard-supporting optical-navigation imaging and ground tracking; coded at five 8-hr passes/wk = 40 hr/wk (weekly hours computed from the documented approach tracking campaign: 5 passes x 8 hr)</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proximity-science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Hayabusa2 (JAXA) at Ryugu: onboard optical navigation with target-marker tracking during proximity, yet dense DSN and Usuda ground coverage was retained for descent operations; coded at five 8-hr passes/wk = 40 hr/wk (weekly hours computed from the documented proximity tracking campaign: 5 passes x 8 hr)</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dsn_hours_week</w:t>
            </w:r>
          </w:p>
        </w:tc>
        <w:tc>
          <w:tcPr>
            <w:tcW w:w="0" w:type="auto"/>
          </w:tcPr>
          <w:p>
            <w:pPr>
              <w:spacing w:line="240" w:lineRule="auto" w:before="0" w:after="0"/>
              <w:pStyle w:val="Compact"/>
            </w:pPr>
            <w:r>
              <w:rPr>
                <w:sz w:val="20"/>
                <w:szCs w:val="20"/>
              </w:rPr>
              <w:t xml:space="preserve">Scheduled Deep Space Network tracking hours per week for the mission in the stated operational phase (dependent variable)</w:t>
            </w:r>
          </w:p>
        </w:tc>
        <w:tc>
          <w:tcPr>
            <w:tcW w:w="0" w:type="auto"/>
          </w:tcPr>
          <w:p>
            <w:pPr>
              <w:spacing w:line="240" w:lineRule="auto" w:before="0" w:after="0"/>
              <w:pStyle w:val="Compact"/>
            </w:pPr>
            <w:r>
              <w:rPr>
                <w:sz w:val="20"/>
                <w:szCs w:val="20"/>
              </w:rPr>
              <w:t xml:space="preserve">Measured FY23 weekly tracking duration from SpaceOps-2025 ID#610 Table 1 for in-suite missions; for phase-specific rows, computed from published per-phase tracking cadence (passes per week x 8-hr pass) in mission concept studies and navigation summaries</w:t>
            </w:r>
          </w:p>
        </w:tc>
      </w:tr>
      <w:tr>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Indicator equal to 1 if the mission relies on onboard autonomous optical navigation in the stated phase, 0 if navigation is delivered as a ground service</w:t>
            </w:r>
          </w:p>
        </w:tc>
        <w:tc>
          <w:tcPr>
            <w:tcW w:w="0" w:type="auto"/>
          </w:tcPr>
          <w:p>
            <w:pPr>
              <w:spacing w:line="240" w:lineRule="auto" w:before="0" w:after="0"/>
              <w:pStyle w:val="Compact"/>
            </w:pPr>
            <w:r>
              <w:rPr>
                <w:sz w:val="20"/>
                <w:szCs w:val="20"/>
              </w:rPr>
              <w:t xml:space="preserve">Coded from documented onboard optical-navigation capability: DS1 AutoNav, DART SMART Nav, Hera autonomous centroiding, Dawn/Hayabusa2 optical proximity navigation = 1; ground-computed navigation (including ground-side optical-nav products) = 0</w:t>
            </w:r>
          </w:p>
        </w:tc>
      </w:tr>
      <w:tr>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Indicator equal to 1 if the observation is a cruise or interstellar-cruise phase, 0 otherwise (reference category is orbital/proximity-science)</w:t>
            </w:r>
          </w:p>
        </w:tc>
        <w:tc>
          <w:tcPr>
            <w:tcW w:w="0" w:type="auto"/>
          </w:tcPr>
          <w:p>
            <w:pPr>
              <w:spacing w:line="240" w:lineRule="auto" w:before="0" w:after="0"/>
              <w:pStyle w:val="Compact"/>
            </w:pPr>
            <w:r>
              <w:rPr>
                <w:sz w:val="20"/>
                <w:szCs w:val="20"/>
              </w:rPr>
              <w:t xml:space="preserve">Coded from public mission timelines and phase designations in the cited sources</w:t>
            </w:r>
          </w:p>
        </w:tc>
      </w:tr>
      <w:tr>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Indicator equal to 1 if the observation is a critical-event phase (terminal approach, encounter, landed/descent), 0 otherwise</w:t>
            </w:r>
          </w:p>
        </w:tc>
        <w:tc>
          <w:tcPr>
            <w:tcW w:w="0" w:type="auto"/>
          </w:tcPr>
          <w:p>
            <w:pPr>
              <w:spacing w:line="240" w:lineRule="auto" w:before="0" w:after="0"/>
              <w:pStyle w:val="Compact"/>
            </w:pPr>
            <w:r>
              <w:rPr>
                <w:sz w:val="20"/>
                <w:szCs w:val="20"/>
              </w:rPr>
              <w:t xml:space="preserve">Coded from public mission timelines; critical phases are those documented as requiring dense or continuous coverage</w:t>
            </w:r>
          </w:p>
        </w:tc>
      </w:tr>
      <w:tr>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Indicator equal to 1 if the mission is a smallsat or CubeSat-class platform (under roughly 500 kg), 0 for flagship/standard-class</w:t>
            </w:r>
          </w:p>
        </w:tc>
        <w:tc>
          <w:tcPr>
            <w:tcW w:w="0" w:type="auto"/>
          </w:tcPr>
          <w:p>
            <w:pPr>
              <w:spacing w:line="240" w:lineRule="auto" w:before="0" w:after="0"/>
              <w:pStyle w:val="Compact"/>
            </w:pPr>
            <w:r>
              <w:rPr>
                <w:sz w:val="20"/>
                <w:szCs w:val="20"/>
              </w:rPr>
              <w:t xml:space="preserve">Coded from documented spacecraft class (DS1, TESS small Explorer-class)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52.5344</w:t>
            </w:r>
          </w:p>
        </w:tc>
        <w:tc>
          <w:tcPr>
            <w:tcW w:w="0" w:type="auto"/>
          </w:tcPr>
          <w:p>
            <w:pPr>
              <w:spacing w:line="240" w:lineRule="auto" w:before="0" w:after="0"/>
              <w:pStyle w:val="Compact"/>
            </w:pPr>
            <w:r>
              <w:rPr>
                <w:sz w:val="20"/>
                <w:szCs w:val="20"/>
              </w:rPr>
              <w:t xml:space="preserve">6.6847</w:t>
            </w:r>
          </w:p>
        </w:tc>
        <w:tc>
          <w:tcPr>
            <w:tcW w:w="0" w:type="auto"/>
          </w:tcPr>
          <w:p>
            <w:pPr>
              <w:spacing w:line="240" w:lineRule="auto" w:before="0" w:after="0"/>
              <w:pStyle w:val="Compact"/>
            </w:pPr>
            <w:r>
              <w:rPr>
                <w:sz w:val="20"/>
                <w:szCs w:val="20"/>
              </w:rPr>
              <w:t xml:space="preserve">7.8589</w:t>
            </w:r>
          </w:p>
        </w:tc>
        <w:tc>
          <w:tcPr>
            <w:tcW w:w="0" w:type="auto"/>
          </w:tcPr>
          <w:p>
            <w:pPr>
              <w:spacing w:line="240" w:lineRule="auto" w:before="0" w:after="0"/>
              <w:pStyle w:val="Compact"/>
            </w:pPr>
            <w:r>
              <w:rPr>
                <w:sz w:val="20"/>
                <w:szCs w:val="20"/>
              </w:rPr>
              <w:t xml:space="preserve">3.874e-15</w:t>
            </w:r>
          </w:p>
        </w:tc>
        <w:tc>
          <w:tcPr>
            <w:tcW w:w="0" w:type="auto"/>
          </w:tcPr>
          <w:p>
            <w:pPr>
              <w:spacing w:line="240" w:lineRule="auto" w:before="0" w:after="0"/>
              <w:pStyle w:val="Compact"/>
            </w:pPr>
            <w:r>
              <w:rPr>
                <w:sz w:val="20"/>
                <w:szCs w:val="20"/>
              </w:rPr>
              <w:t xml:space="preserve">[39.4327, 65.6362]</w:t>
            </w:r>
          </w:p>
        </w:tc>
      </w:tr>
      <w:tr>
        <w:tc>
          <w:tcPr>
            <w:tcW w:w="0" w:type="auto"/>
          </w:tcPr>
          <w:p>
            <w:pPr>
              <w:spacing w:line="240" w:lineRule="auto" w:before="0" w:after="0"/>
              <w:pStyle w:val="Compact"/>
            </w:pPr>
            <w:r>
              <w:rPr>
                <w:sz w:val="20"/>
                <w:szCs w:val="20"/>
              </w:rPr>
              <w:t xml:space="preserve">opnav</w:t>
            </w:r>
          </w:p>
        </w:tc>
        <w:tc>
          <w:tcPr>
            <w:tcW w:w="0" w:type="auto"/>
          </w:tcPr>
          <w:p>
            <w:pPr>
              <w:spacing w:line="240" w:lineRule="auto" w:before="0" w:after="0"/>
              <w:pStyle w:val="Compact"/>
            </w:pPr>
            <w:r>
              <w:rPr>
                <w:sz w:val="20"/>
                <w:szCs w:val="20"/>
              </w:rPr>
              <w:t xml:space="preserve">-19.4286</w:t>
            </w:r>
          </w:p>
        </w:tc>
        <w:tc>
          <w:tcPr>
            <w:tcW w:w="0" w:type="auto"/>
          </w:tcPr>
          <w:p>
            <w:pPr>
              <w:spacing w:line="240" w:lineRule="auto" w:before="0" w:after="0"/>
              <w:pStyle w:val="Compact"/>
            </w:pPr>
            <w:r>
              <w:rPr>
                <w:sz w:val="20"/>
                <w:szCs w:val="20"/>
              </w:rPr>
              <w:t xml:space="preserve">10.8551</w:t>
            </w:r>
          </w:p>
        </w:tc>
        <w:tc>
          <w:tcPr>
            <w:tcW w:w="0" w:type="auto"/>
          </w:tcPr>
          <w:p>
            <w:pPr>
              <w:spacing w:line="240" w:lineRule="auto" w:before="0" w:after="0"/>
              <w:pStyle w:val="Compact"/>
            </w:pPr>
            <w:r>
              <w:rPr>
                <w:sz w:val="20"/>
                <w:szCs w:val="20"/>
              </w:rPr>
              <w:t xml:space="preserve">-1.7898</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[-40.7043, 1.847]</w:t>
            </w:r>
          </w:p>
        </w:tc>
      </w:tr>
      <w:tr>
        <w:tc>
          <w:tcPr>
            <w:tcW w:w="0" w:type="auto"/>
          </w:tcPr>
          <w:p>
            <w:pPr>
              <w:spacing w:line="240" w:lineRule="auto" w:before="0" w:after="0"/>
              <w:pStyle w:val="Compact"/>
            </w:pPr>
            <w:r>
              <w:rPr>
                <w:sz w:val="20"/>
                <w:szCs w:val="20"/>
              </w:rPr>
              <w:t xml:space="preserve">cruise_phase</w:t>
            </w:r>
          </w:p>
        </w:tc>
        <w:tc>
          <w:tcPr>
            <w:tcW w:w="0" w:type="auto"/>
          </w:tcPr>
          <w:p>
            <w:pPr>
              <w:spacing w:line="240" w:lineRule="auto" w:before="0" w:after="0"/>
              <w:pStyle w:val="Compact"/>
            </w:pPr>
            <w:r>
              <w:rPr>
                <w:sz w:val="20"/>
                <w:szCs w:val="20"/>
              </w:rPr>
              <w:t xml:space="preserve">3.6208</w:t>
            </w:r>
          </w:p>
        </w:tc>
        <w:tc>
          <w:tcPr>
            <w:tcW w:w="0" w:type="auto"/>
          </w:tcPr>
          <w:p>
            <w:pPr>
              <w:spacing w:line="240" w:lineRule="auto" w:before="0" w:after="0"/>
              <w:pStyle w:val="Compact"/>
            </w:pPr>
            <w:r>
              <w:rPr>
                <w:sz w:val="20"/>
                <w:szCs w:val="20"/>
              </w:rPr>
              <w:t xml:space="preserve">17.2509</w:t>
            </w:r>
          </w:p>
        </w:tc>
        <w:tc>
          <w:tcPr>
            <w:tcW w:w="0" w:type="auto"/>
          </w:tcPr>
          <w:p>
            <w:pPr>
              <w:spacing w:line="240" w:lineRule="auto" w:before="0" w:after="0"/>
              <w:pStyle w:val="Compact"/>
            </w:pPr>
            <w:r>
              <w:rPr>
                <w:sz w:val="20"/>
                <w:szCs w:val="20"/>
              </w:rPr>
              <w:t xml:space="preserve">0.2099</w:t>
            </w:r>
          </w:p>
        </w:tc>
        <w:tc>
          <w:tcPr>
            <w:tcW w:w="0" w:type="auto"/>
          </w:tcPr>
          <w:p>
            <w:pPr>
              <w:spacing w:line="240" w:lineRule="auto" w:before="0" w:after="0"/>
              <w:pStyle w:val="Compact"/>
            </w:pPr>
            <w:r>
              <w:rPr>
                <w:sz w:val="20"/>
                <w:szCs w:val="20"/>
              </w:rPr>
              <w:t xml:space="preserve">0.8338</w:t>
            </w:r>
          </w:p>
        </w:tc>
        <w:tc>
          <w:tcPr>
            <w:tcW w:w="0" w:type="auto"/>
          </w:tcPr>
          <w:p>
            <w:pPr>
              <w:spacing w:line="240" w:lineRule="auto" w:before="0" w:after="0"/>
              <w:pStyle w:val="Compact"/>
            </w:pPr>
            <w:r>
              <w:rPr>
                <w:sz w:val="20"/>
                <w:szCs w:val="20"/>
              </w:rPr>
              <w:t xml:space="preserve">[-30.1903, 37.4319]</w:t>
            </w:r>
          </w:p>
        </w:tc>
      </w:tr>
      <w:tr>
        <w:tc>
          <w:tcPr>
            <w:tcW w:w="0" w:type="auto"/>
          </w:tcPr>
          <w:p>
            <w:pPr>
              <w:spacing w:line="240" w:lineRule="auto" w:before="0" w:after="0"/>
              <w:pStyle w:val="Compact"/>
            </w:pPr>
            <w:r>
              <w:rPr>
                <w:sz w:val="20"/>
                <w:szCs w:val="20"/>
              </w:rPr>
              <w:t xml:space="preserve">critical_phase</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11.1509</w:t>
            </w:r>
          </w:p>
        </w:tc>
        <w:tc>
          <w:tcPr>
            <w:tcW w:w="0" w:type="auto"/>
          </w:tcPr>
          <w:p>
            <w:pPr>
              <w:spacing w:line="240" w:lineRule="auto" w:before="0" w:after="0"/>
              <w:pStyle w:val="Compact"/>
            </w:pPr>
            <w:r>
              <w:rPr>
                <w:sz w:val="20"/>
                <w:szCs w:val="20"/>
              </w:rPr>
              <w:t xml:space="preserve">2.7981</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[9.3457, 53.0564]</w:t>
            </w:r>
          </w:p>
        </w:tc>
      </w:tr>
      <w:tr>
        <w:tc>
          <w:tcPr>
            <w:tcW w:w="0" w:type="auto"/>
          </w:tcPr>
          <w:p>
            <w:pPr>
              <w:spacing w:line="240" w:lineRule="auto" w:before="0" w:after="0"/>
              <w:pStyle w:val="Compact"/>
            </w:pPr>
            <w:r>
              <w:rPr>
                <w:sz w:val="20"/>
                <w:szCs w:val="20"/>
              </w:rPr>
              <w:t xml:space="preserve">smallsat</w:t>
            </w:r>
          </w:p>
        </w:tc>
        <w:tc>
          <w:tcPr>
            <w:tcW w:w="0" w:type="auto"/>
          </w:tcPr>
          <w:p>
            <w:pPr>
              <w:spacing w:line="240" w:lineRule="auto" w:before="0" w:after="0"/>
              <w:pStyle w:val="Compact"/>
            </w:pPr>
            <w:r>
              <w:rPr>
                <w:sz w:val="20"/>
                <w:szCs w:val="20"/>
              </w:rPr>
              <w:t xml:space="preserve">-28.656</w:t>
            </w:r>
          </w:p>
        </w:tc>
        <w:tc>
          <w:tcPr>
            <w:tcW w:w="0" w:type="auto"/>
          </w:tcPr>
          <w:p>
            <w:pPr>
              <w:spacing w:line="240" w:lineRule="auto" w:before="0" w:after="0"/>
              <w:pStyle w:val="Compact"/>
            </w:pPr>
            <w:r>
              <w:rPr>
                <w:sz w:val="20"/>
                <w:szCs w:val="20"/>
              </w:rPr>
              <w:t xml:space="preserve">8.4677</w:t>
            </w:r>
          </w:p>
        </w:tc>
        <w:tc>
          <w:tcPr>
            <w:tcW w:w="0" w:type="auto"/>
          </w:tcPr>
          <w:p>
            <w:pPr>
              <w:spacing w:line="240" w:lineRule="auto" w:before="0" w:after="0"/>
              <w:pStyle w:val="Compact"/>
            </w:pPr>
            <w:r>
              <w:rPr>
                <w:sz w:val="20"/>
                <w:szCs w:val="20"/>
              </w:rPr>
              <w:t xml:space="preserve">-3.3842</w:t>
            </w:r>
          </w:p>
        </w:tc>
        <w:tc>
          <w:tcPr>
            <w:tcW w:w="0" w:type="auto"/>
          </w:tcPr>
          <w:p>
            <w:pPr>
              <w:spacing w:line="240" w:lineRule="auto" w:before="0" w:after="0"/>
              <w:pStyle w:val="Compact"/>
            </w:pPr>
            <w:r>
              <w:rPr>
                <w:sz w:val="20"/>
                <w:szCs w:val="20"/>
              </w:rPr>
              <w:t xml:space="preserve">0.0007139</w:t>
            </w:r>
          </w:p>
        </w:tc>
        <w:tc>
          <w:tcPr>
            <w:tcW w:w="0" w:type="auto"/>
          </w:tcPr>
          <w:p>
            <w:pPr>
              <w:spacing w:line="240" w:lineRule="auto" w:before="0" w:after="0"/>
              <w:pStyle w:val="Compact"/>
            </w:pPr>
            <w:r>
              <w:rPr>
                <w:sz w:val="20"/>
                <w:szCs w:val="20"/>
              </w:rPr>
              <w:t xml:space="preserve">[-45.2523, -12.0597]</w:t>
            </w:r>
          </w:p>
        </w:tc>
      </w:tr>
    </w:tbl>
    <w:p>
      <w:pPr>
        <w:pStyle w:val="BodyText"/>
      </w:pPr>
      <w:r>
        <w:t xml:space="preserve">Fit: N = 24 R2 = 0.2559 R2_adj = 0.0993 F = 7.8423 F_p = 0.0006569</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07/s11214-025-01253-8" TargetMode="External" /><Relationship Type="http://schemas.openxmlformats.org/officeDocument/2006/relationships/hyperlink" Id="rId72" Target="https://doi.org/10.1016/j.actaastro.2021.12.030" TargetMode="External" /><Relationship Type="http://schemas.openxmlformats.org/officeDocument/2006/relationships/hyperlink" Id="rId70" Target="https://doi.org/10.1016/j.actaastro.2023.05.029" TargetMode="External" /><Relationship Type="http://schemas.openxmlformats.org/officeDocument/2006/relationships/hyperlink" Id="rId68" Target="https://doi.org/10.1016/j.actaastro.2025.11.058"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07/s11214-025-01253-8" TargetMode="External" /><Relationship Type="http://schemas.openxmlformats.org/officeDocument/2006/relationships/hyperlink" Id="rId72" Target="https://doi.org/10.1016/j.actaastro.2021.12.030" TargetMode="External" /><Relationship Type="http://schemas.openxmlformats.org/officeDocument/2006/relationships/hyperlink" Id="rId70" Target="https://doi.org/10.1016/j.actaastro.2023.05.029" TargetMode="External" /><Relationship Type="http://schemas.openxmlformats.org/officeDocument/2006/relationships/hyperlink" Id="rId68" Target="https://doi.org/10.1016/j.actaastro.2025.11.05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2026-06-22T20:31:35Z</dcterms:created>
  <dcterms:modified xsi:type="dcterms:W3CDTF">2026-06-22T20:31:35Z</dcterms:modified>
</cp:coreProperties>
</file>

<file path=docProps/custom.xml><?xml version="1.0" encoding="utf-8"?>
<Properties xmlns="http://schemas.openxmlformats.org/officeDocument/2006/custom-properties" xmlns:vt="http://schemas.openxmlformats.org/officeDocument/2006/docPropsVTypes"/>
</file>