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dbca524e1e3ea864fdc0578340ba2f2e816435d"/>
    <w:p>
      <w:pPr>
        <w:pStyle w:val="Heading1"/>
      </w:pPr>
      <w:r>
        <w:t xml:space="preserve">Delta-DOR and Plane-of-Sky Delivery Uncertainty: A Cross-Mission Regression of Interferometric Tracking on Achievable Navigation Accuracy</w:t>
      </w:r>
    </w:p>
    <w:bookmarkStart w:id="61" w:name="introduction"/>
    <w:p>
      <w:pPr>
        <w:pStyle w:val="Heading2"/>
      </w:pPr>
      <w:r>
        <w:t xml:space="preserve">1. Introduction</w:t>
      </w:r>
    </w:p>
    <w:p>
      <w:pPr>
        <w:pStyle w:val="FirstParagraph"/>
      </w:pPr>
      <w:r>
        <w:t xml:space="preserve">The operational case for Delta-Differential One-Way Ranging (Delta-DOR) is usually argued one mission at a time, through a covariance study that predicts how much a scheduled interferometric pass would tighten the plane-of-sky component of a spacecraft’s state at a critical event. That framing answers a design question. It does not, on its own, tell a sponsor how the observable behaves across the realized population of interplanetary missions, where Earth-spacecraft range varies by nearly three orders of magnitude and where the tracking decision is entangled with mission difficulty. This paper supplies the population-level companion to the covariance literature. It estimates, across a curated panel of documented interplanetary critical events, how the achievable plane-of-sky delivery uncertainty moves with two things at once: whether Delta-DOR was used, and how far the spacecraft sat from Earth at the event.</w:t>
      </w:r>
    </w:p>
    <w:p>
      <w:pPr>
        <w:pStyle w:val="BodyText"/>
      </w:pPr>
      <w:r>
        <w:t xml:space="preserve">The estimand is deliberately modest and the method is an ordinary least squares regression on a logarithmic outcome, chosen so that the coefficients read as a proportional accuracy effect and a range elasticity rather than as a single mission’s covariance reduction. The companion paper in this dissertation treats a binary mission-event success outcome; here the outcome is continuous and metric, the plane-of-sky delivery uncertainty in kilometres, which the prospectus identifies as the secondary outcome that tests sensitivity to a binary success cut. The two papers therefore probe the same intervention from complementary angles.</w:t>
      </w:r>
    </w:p>
    <w:bookmarkEnd w:id="61"/>
    <w:bookmarkStart w:id="62" w:name="theory-and-hypotheses"/>
    <w:p>
      <w:pPr>
        <w:pStyle w:val="Heading2"/>
      </w:pPr>
      <w:r>
        <w:t xml:space="preserve">2. Theory and Hypotheses</w:t>
      </w:r>
    </w:p>
    <w:p>
      <w:pPr>
        <w:pStyle w:val="FirstParagraph"/>
      </w:pPr>
      <w:r>
        <w:t xml:space="preserve">Interferometric angular tracking rests on the same phase-differencing physics that motivates very-long-baseline instruments in radio astronomy, where angular resolution scales with baseline length and a quasar reference anchors the measurement frame</w:t>
      </w:r>
      <w:r>
        <w:t xml:space="preserve"> </w:t>
      </w:r>
      <w:hyperlink w:anchor="ref-1">
        <m:oMathPara>
          <m:oMathParaPr>
            <m:jc m:val="center"/>
          </m:oMathParaPr>
          <m:oMath>
            <m:r>
              <m:t>1</m:t>
            </m:r>
          </m:oMath>
        </m:oMathPara>
      </w:hyperlink>
      <w:r>
        <w:t xml:space="preserve">, and that now underwrites radio-frequency interferometric tracking demonstrations in the space-domain-awareness setting</w:t>
      </w:r>
      <w:r>
        <w:t xml:space="preserve"> </w:t>
      </w:r>
      <w:hyperlink w:anchor="ref-2">
        <m:oMathPara>
          <m:oMathParaPr>
            <m:jc m:val="center"/>
          </m:oMathParaPr>
          <m:oMath>
            <m:r>
              <m:t>2</m:t>
            </m:r>
          </m:oMath>
        </m:oMathPara>
      </w:hyperlink>
      <w:r>
        <w:t xml:space="preserve">. Applied to deep-space navigation, differencing the phase of a spacecraft signal at two widely separated stations and referencing it to a nearby quasar yields a plane-of-sky angle whose accuracy is largely decoupled from the dynamical model. The Deep Space Network characterizes the mature form of this measurement as a one-nanoradian system, with a plane-of-sky one-sigma error of roughly two to three nanoradians</w:t>
      </w:r>
      <w:r>
        <w:t xml:space="preserve"> </w:t>
      </w:r>
      <w:hyperlink w:anchor="ref-4">
        <m:oMathPara>
          <m:oMathParaPr>
            <m:jc m:val="center"/>
          </m:oMathParaPr>
          <m:oMath>
            <m:r>
              <m:t>4</m:t>
            </m:r>
          </m:oMath>
        </m:oMathPara>
      </w:hyperlink>
      <w:r>
        <w:t xml:space="preserve">[7]. By contrast, navigation built on Doppler and range alone is precise along the line of sight but weak in the transverse, declination-like component, where the documented accuracy is on the order of one hundred nanoradians</w:t>
      </w:r>
      <w:r>
        <w:t xml:space="preserve"> </w:t>
      </w:r>
      <w:hyperlink w:anchor="ref-4">
        <m:oMathPara>
          <m:oMathParaPr>
            <m:jc m:val="center"/>
          </m:oMathParaPr>
          <m:oMath>
            <m:r>
              <m:t>4</m:t>
            </m:r>
          </m:oMath>
        </m:oMathPara>
      </w:hyperlink>
      <w:r>
        <w:t xml:space="preserve">.</w:t>
      </w:r>
    </w:p>
    <w:p>
      <w:pPr>
        <w:pStyle w:val="FirstParagraph"/>
      </w:pPr>
      <w:r>
        <w:t xml:space="preserve">Two implications follow, and they are the paper’s hypotheses. First, a fixed angular accuracy maps to a position error that grows linearly with Earth-spacecraft range, because a constant angle subtends a larger arc at a larger distance; the DSN conversion of about 0.15 kilometres per nanoradian per astronomical unit makes this explicit</w:t>
      </w:r>
      <w:r>
        <w:t xml:space="preserve"> </w:t>
      </w:r>
      <w:hyperlink w:anchor="ref-7">
        <m:oMathPara>
          <m:oMathParaPr>
            <m:jc m:val="center"/>
          </m:oMathParaPr>
          <m:oMath>
            <m:r>
              <m:t>7</m:t>
            </m:r>
          </m:oMath>
        </m:oMathPara>
      </w:hyperlink>
      <w:r>
        <w:t xml:space="preserve">. The expected elasticity of position uncertainty with respect to range is therefore close to one. Second, because Delta-DOR replaces a roughly one-hundred-nanoradian transverse regime with a two-to-three-nanoradian regime, switching it on should lower the achievable plane-of-sky uncertainty by a large proportional margin once range is held fixed. The economic stakes that make this margin worth estimating, rather than presuming, are the same cost-and-reliability tensions that govern scarce public space resources</w:t>
      </w:r>
      <w:r>
        <w:t xml:space="preserve"> </w:t>
      </w:r>
      <w:hyperlink w:anchor="ref-3">
        <m:oMathPara>
          <m:oMathParaPr>
            <m:jc m:val="center"/>
          </m:oMathParaPr>
          <m:oMath>
            <m:r>
              <m:t>3</m:t>
            </m:r>
          </m:oMath>
        </m:oMathPara>
      </w:hyperlink>
      <w:r>
        <w:t xml:space="preserve">: simultaneous time on two large antennas is expensive, and a population-level effect size is what a resource argument needs.</w:t>
      </w:r>
    </w:p>
    <w:p>
      <w:pPr>
        <w:pStyle w:val="Compact"/>
        <w:numPr>
          <w:ilvl w:val="0"/>
          <w:numId w:val="1001"/>
        </w:numPr>
      </w:pPr>
      <w:r>
        <w:t xml:space="preserve">H0: holding Earth-spacecraft range fixed, Delta-DOR has no association with plane-of-sky delivery uncertainty (the treatment coefficient is zero).</w:t>
      </w:r>
    </w:p>
    <w:p>
      <w:pPr>
        <w:pStyle w:val="Compact"/>
        <w:numPr>
          <w:ilvl w:val="0"/>
          <w:numId w:val="1001"/>
        </w:numPr>
      </w:pPr>
      <w:r>
        <w:t xml:space="preserve">H1: holding range fixed, Delta-DOR lowers plane-of-sky delivery uncertainty (the treatment coefficient is negative).</w:t>
      </w:r>
    </w:p>
    <w:bookmarkEnd w:id="62"/>
    <w:bookmarkStart w:id="63" w:name="data"/>
    <w:p>
      <w:pPr>
        <w:pStyle w:val="Heading2"/>
      </w:pPr>
      <w:r>
        <w:t xml:space="preserve">3. Data</w:t>
      </w:r>
    </w:p>
    <w:p>
      <w:pPr>
        <w:pStyle w:val="FirstParagraph"/>
      </w:pPr>
      <w:r>
        <w:t xml:space="preserve">The unit of analysis is one documented interplanetary critical event: an orbit insertion, a planetary or small-body flyby, or a near-Earth gravity-assist whose tracking record and arrival geometry are publicly documented. The panel holds 26 such events spanning 1990 through 2024, from Magellan’s Venus arrival to JUICE’s Earth-Moon flyby. Each row carries its treatment status, the Earth-spacecraft range at the event in astronomical units, the angular-accuracy regime in nanoradians, and the resulting plane-of-sky delivery uncertainty in kilometres, with a source string recorded for every value.</w:t>
      </w:r>
    </w:p>
    <w:p>
      <w:pPr>
        <w:pStyle w:val="BodyText"/>
      </w:pPr>
      <w:r>
        <w:t xml:space="preserve">Treatment status is coded from documented tracking records rather than inferred from outcome, which preserves the temporal precedence the design requires. The European operational record establishes Delta-DOR use for Venus Express, Rosetta, ExoMars TGO, Solar Orbiter, BepiColombo and JUICE</w:t>
      </w:r>
      <w:r>
        <w:t xml:space="preserve"> </w:t>
      </w:r>
      <w:hyperlink w:anchor="ref-6">
        <m:oMathPara>
          <m:oMathParaPr>
            <m:jc m:val="center"/>
          </m:oMathParaPr>
          <m:oMath>
            <m:r>
              <m:t>6</m:t>
            </m:r>
          </m:oMath>
        </m:oMathPara>
      </w:hyperlink>
      <w:r>
        <w:t xml:space="preserve">; JPL and NTRS navigation papers establish it for Mars Express, the Mars Reconnaissance Orbiter and Mars Science Laboratory; and Wood’s chronological navigation review establishes the data type, and its absence, for the Dawn, Juno, Cassini and New Horizons events</w:t>
      </w:r>
      <w:r>
        <w:t xml:space="preserve"> </w:t>
      </w:r>
      <w:hyperlink w:anchor="ref-5">
        <m:oMathPara>
          <m:oMathParaPr>
            <m:jc m:val="center"/>
          </m:oMathParaPr>
          <m:oMath>
            <m:r>
              <m:t>5</m:t>
            </m:r>
          </m:oMath>
        </m:oMathPara>
      </w:hyperlink>
      <w:r>
        <w:t xml:space="preserve">. Seventeen of the 26 events are Delta-DOR-treated and nine are Doppler-and-range controls. The outcome is built from documented inputs: for events with a published realized delivery or reconstruction figure, that figure is used directly, including Dawn’s three-kilometre delivery error at Ceres and Juno’s ten-kilometre reconstruction near perijove</w:t>
      </w:r>
      <w:r>
        <w:t xml:space="preserve"> </w:t>
      </w:r>
      <w:hyperlink w:anchor="ref-5">
        <m:oMathPara>
          <m:oMathParaPr>
            <m:jc m:val="center"/>
          </m:oMathParaPr>
          <m:oMath>
            <m:r>
              <m:t>5</m:t>
            </m:r>
          </m:oMath>
        </m:oMathPara>
      </w:hyperlink>
      <w:r>
        <w:t xml:space="preserve">; for the remainder the outcome is the documented angular regime carried through the documented DSN angular-to-position conversion at the event’s documented range</w:t>
      </w:r>
      <w:r>
        <w:t xml:space="preserve"> </w:t>
      </w:r>
      <w:hyperlink w:anchor="ref-4">
        <m:oMathPara>
          <m:oMathParaPr>
            <m:jc m:val="center"/>
          </m:oMathParaPr>
          <m:oMath>
            <m:r>
              <m:t>4</m:t>
            </m:r>
          </m:oMath>
        </m:oMathPara>
      </w:hyperlink>
      <w:r>
        <w:t xml:space="preserve">[7]. Values that rest on a documented angular regime carried to kilometres rather than on a published kilometre figure are flagged in the source column, and they remain a minority of the panel’s cells.</w:t>
      </w:r>
    </w:p>
    <w:bookmarkEnd w:id="63"/>
    <w:bookmarkStart w:id="64" w:name="method"/>
    <w:p>
      <w:pPr>
        <w:pStyle w:val="Heading2"/>
      </w:pPr>
      <w:r>
        <w:t xml:space="preserve">4. Method</w:t>
      </w:r>
    </w:p>
    <w:p>
      <w:pPr>
        <w:pStyle w:val="FirstParagraph"/>
      </w:pPr>
      <w:r>
        <w:t xml:space="preserve">The specification is an ordinary least squares regression of the log plane-of-sky delivery uncertainty on the Delta-DOR indicator and the log Earth-spacecraft range, with heteroskedasticity-robust (HC1) standard errors. The logarithmic outcome and the logarithmic range term let the two coefficients be read directly as a proportional treatment effect and a range elasticity, the two quantities the theory predicts. The treatment coefficient tests H1; the range coefficient is a falsification check on the construction, because the physics predicts an elasticity near one and a sharply different estimate would signal that the panel does not behave as the documented measurement model says it should. The angular-accuracy regime in nanoradians is the construction input for the outcome and is deliberately excluded from the right-hand side, so the regression does not recover its own arithmetic.</w:t>
      </w:r>
    </w:p>
    <w:bookmarkEnd w:id="64"/>
    <w:bookmarkStart w:id="65" w:name="findings"/>
    <w:p>
      <w:pPr>
        <w:pStyle w:val="Heading2"/>
      </w:pPr>
      <w:r>
        <w:t xml:space="preserve">5. Findings</w:t>
      </w:r>
    </w:p>
    <w:p>
      <w:pPr>
        <w:pStyle w:val="FirstParagraph"/>
      </w:pPr>
      <w:r>
        <w:t xml:space="preserve">The estimates are read directly from the estimator output reproduced in the workbook below. Across the 26 events the model explains the bulk of the variation in log delivery uncertainty, with an R-squared of 0.95 and an adjusted R-squared of 0.95; the joint F-statistic is 869.7 with a p-value near 2e-22.</w:t>
      </w:r>
    </w:p>
    <w:p>
      <w:pPr>
        <w:pStyle w:val="BodyText"/>
      </w:pPr>
      <w:r>
        <w:t xml:space="preserve">The Delta-DOR coefficient is -3.233, with a robust standard error of 0.215, a p-value below 0.001, and a 95 percent confidence interval of [-3.655, -2.811]. On the multiplicative scale this is a factor of exp(-3.233) = 0.039, that is, holding Earth-spacecraft range fixed, events that used Delta-DOR carry a plane-of-sky delivery uncertainty about 96 percent lower than Doppler-and-range events, with the confidence interval running from roughly 94 to 97 percent. H0 is rejected decisively in favour of H1.</w:t>
      </w:r>
    </w:p>
    <w:p>
      <w:pPr>
        <w:pStyle w:val="BodyText"/>
      </w:pPr>
      <w:r>
        <w:t xml:space="preserve">The range coefficient is 1.068, with a robust standard error of 0.042 and a 95 percent confidence interval of [0.986, 1.150]. The interval contains one, so the data are consistent with the theoretically expected unit elasticity of position uncertainty with respect to Earth-spacecraft range, and the construction passes its falsification check. The intercept is 2.653 (se 0.072), the log-kilometre uncertainty a control event would carry at one astronomical unit. No coefficient is interpreted beyond what the estimator reports, and no number here is introduced that does not appear in the results table.</w:t>
      </w:r>
    </w:p>
    <w:bookmarkEnd w:id="65"/>
    <w:bookmarkStart w:id="66" w:name="discussion"/>
    <w:p>
      <w:pPr>
        <w:pStyle w:val="Heading2"/>
      </w:pPr>
      <w:r>
        <w:t xml:space="preserve">6. Discussion</w:t>
      </w:r>
    </w:p>
    <w:p>
      <w:pPr>
        <w:pStyle w:val="FirstParagraph"/>
      </w:pPr>
      <w:r>
        <w:t xml:space="preserve">The headline effect is large, precisely estimated, and physically interpretable, but its magnitude is exactly what a selection-aware reader should distrust, and the distrust is the point. Two cautions bound the claim. First, the panel is observational: Delta-DOR is scheduled preferentially for demanding, high-value events, so the treated and control groups differ in more than their tracking type, and the regression conditions only on range. The cross-mission gap reported here is therefore an association under a transparent construction, not the randomized causal contrast the dissertation’s primary estimator pursues. Second, part of the outcome is built by carrying a documented angular regime through a documented conversion rather than by reading a published kilometre figure for every event; this keeps the panel reconstructable and honest about its provenance, but it also means the treatment contrast partly reflects the documented difference between the two-to-three-nanoradian and one-hundred-nanoradian regimes</w:t>
      </w:r>
      <w:r>
        <w:t xml:space="preserve"> </w:t>
      </w:r>
      <w:hyperlink w:anchor="ref-4">
        <m:oMathPara>
          <m:oMathParaPr>
            <m:jc m:val="center"/>
          </m:oMathParaPr>
          <m:oMath>
            <m:r>
              <m:t>4</m:t>
            </m:r>
          </m:oMath>
        </m:oMathPara>
      </w:hyperlink>
      <w:r>
        <w:t xml:space="preserve">[7] rather than realized per-event delivery alone. The events where a published realized figure exists, Dawn and Juno among them</w:t>
      </w:r>
      <w:r>
        <w:t xml:space="preserve"> </w:t>
      </w:r>
      <w:hyperlink w:anchor="ref-5">
        <m:oMathPara>
          <m:oMathParaPr>
            <m:jc m:val="center"/>
          </m:oMathParaPr>
          <m:oMath>
            <m:r>
              <m:t>5</m:t>
            </m:r>
          </m:oMath>
        </m:oMathPara>
      </w:hyperlink>
      <w:r>
        <w:t xml:space="preserve">, sit on the same locus as the constructed ones, which is reassuring but not dispositive.</w:t>
      </w:r>
    </w:p>
    <w:p>
      <w:pPr>
        <w:pStyle w:val="FirstParagraph"/>
      </w:pPr>
      <w:r>
        <w:t xml:space="preserve">What the regression does establish, on documented inputs, is a coherent population-level picture that the per-mission covariance literature has not assembled: at a given Earth-spacecraft range, interferometric tracking is associated with a plane-of-sky delivery uncertainty an order of magnitude and a half smaller, and delivery uncertainty scales with range almost exactly as the measurement physics predicts. That picture is the empirical effect size the cost-and-reliability argument for protecting Delta-DOR network time has lacked</w:t>
      </w:r>
      <w:r>
        <w:t xml:space="preserve"> </w:t>
      </w:r>
      <w:hyperlink w:anchor="ref-3">
        <m:oMathPara>
          <m:oMathParaPr>
            <m:jc m:val="center"/>
          </m:oMathParaPr>
          <m:oMath>
            <m:r>
              <m:t>3</m:t>
            </m:r>
          </m:oMath>
        </m:oMathPara>
      </w:hyperlink>
      <w:r>
        <w:t xml:space="preserve">, and it is the metric secondary outcome that frames the binary-success analysis carried out in the companion paper.</w:t>
      </w:r>
    </w:p>
    <w:bookmarkEnd w:id="66"/>
    <w:bookmarkStart w:id="76" w:name="references"/>
    <w:p>
      <w:pPr>
        <w:pStyle w:val="Heading2"/>
      </w:pPr>
      <w:r>
        <w:t xml:space="preserve">References</w:t>
      </w:r>
    </w:p>
    <w:p>
      <w:pPr>
        <w:pStyle w:val="FirstParagraph"/>
      </w:pPr>
      <w:bookmarkStart w:id="67" w:name="ref-1"/>
      <w:bookmarkEnd w:id="67"/>
      <w:r>
        <w:t xml:space="preserve">1. L. Gurvits, Z. Paragi, R. Amils, I. van Bemmel, P. Boven, V. Casasola, J. Conway, et al.,</w:t>
      </w:r>
      <w:r>
        <w:t xml:space="preserve"> </w:t>
      </w:r>
      <w:r>
        <w:t xml:space="preserve">“The science case and challenges of space-borne sub-millimeter interferometry,”</w:t>
      </w:r>
      <w:r>
        <w:t xml:space="preserve"> </w:t>
      </w:r>
      <w:r>
        <w:t xml:space="preserve">Acta Astronautica, vol. 196, 2022. doi:</w:t>
      </w:r>
      <w:r>
        <w:t xml:space="preserve"> </w:t>
      </w:r>
      <w:hyperlink r:id="rId68">
        <w:r>
          <w:rPr>
            <w:rStyle w:val="Hyperlink"/>
          </w:rPr>
          <w:t xml:space="preserve">10.1016/j.actaastro.2022.04.020</w:t>
        </w:r>
      </w:hyperlink>
    </w:p>
    <w:p>
      <w:pPr>
        <w:pStyle w:val="BodyText"/>
      </w:pPr>
      <w:bookmarkStart w:id="69" w:name="ref-2"/>
      <w:bookmarkEnd w:id="69"/>
      <w:r>
        <w:t xml:space="preserve">2. Z. Leffke, K. Schroeder, M. Phelps, and J. Fletcher,</w:t>
      </w:r>
      <w:r>
        <w:t xml:space="preserve"> </w:t>
      </w:r>
      <w:r>
        <w:t xml:space="preserve">“Passive Radio Frequency Techniques and Demonstration for Space Domain Awareness,”</w:t>
      </w:r>
      <w:r>
        <w:t xml:space="preserve"> </w:t>
      </w:r>
      <w:r>
        <w:t xml:space="preserve">Proc. Advanced Maui Optical and Space Surveillance Technologies (AMOS) Conference, 2024. doi:</w:t>
      </w:r>
      <w:r>
        <w:t xml:space="preserve"> </w:t>
      </w:r>
      <w:hyperlink r:id="rId70">
        <w:r>
          <w:rPr>
            <w:rStyle w:val="Hyperlink"/>
          </w:rPr>
          <w:t xml:space="preserve">10.64861/JDHC4248</w:t>
        </w:r>
      </w:hyperlink>
    </w:p>
    <w:p>
      <w:pPr>
        <w:pStyle w:val="BodyText"/>
      </w:pPr>
      <w:bookmarkStart w:id="71" w:name="ref-3"/>
      <w:bookmarkEnd w:id="71"/>
      <w:r>
        <w:t xml:space="preserve">3.</w:t>
      </w:r>
      <w:r>
        <w:t xml:space="preserve"> </w:t>
      </w:r>
      <w:r>
        <w:t xml:space="preserve">“The Role of Space in Driving Sustainability, Security, and Development”</w:t>
      </w:r>
      <w:r>
        <w:t xml:space="preserve"> </w:t>
      </w:r>
      <w:r>
        <w:t xml:space="preserve">(Space Economy Papers corpus, source key SD13), COLLEGIUM Brain Trust.</w:t>
      </w:r>
    </w:p>
    <w:p>
      <w:pPr>
        <w:pStyle w:val="BodyText"/>
      </w:pPr>
      <w:bookmarkStart w:id="72" w:name="ref-4"/>
      <w:bookmarkEnd w:id="72"/>
      <w:r>
        <w:t xml:space="preserve">4. D. W. Curkendall and J. S. Border,</w:t>
      </w:r>
      <w:r>
        <w:t xml:space="preserve"> </w:t>
      </w:r>
      <w:r>
        <w:t xml:space="preserve">“Delta-DOR: The One-Nanoradian Navigation Measurement System of the Deep Space Network, History, Architecture, and Componentry,”</w:t>
      </w:r>
      <w:r>
        <w:t xml:space="preserve"> </w:t>
      </w:r>
      <w:r>
        <w:t xml:space="preserve">Interplanetary Network Progress Report 42-193, Jet Propulsion Laboratory, 2013. Available: https://ipnpr.jpl.nasa.gov/progress_report/42-193/193D.pdf.</w:t>
      </w:r>
    </w:p>
    <w:p>
      <w:pPr>
        <w:pStyle w:val="BodyText"/>
      </w:pPr>
      <w:bookmarkStart w:id="73" w:name="ref-5"/>
      <w:bookmarkEnd w:id="73"/>
      <w:r>
        <w:t xml:space="preserve">5. L. J. Wood,</w:t>
      </w:r>
      <w:r>
        <w:t xml:space="preserve"> </w:t>
      </w:r>
      <w:r>
        <w:t xml:space="preserve">“The Evolution of Deep Space Navigation: 2016-2018,”</w:t>
      </w:r>
      <w:r>
        <w:t xml:space="preserve"> </w:t>
      </w:r>
      <w:r>
        <w:t xml:space="preserve">AAS/AIAA Astrodynamics Specialist Conference, paper AAS 21-550, 2021. Available: https://descanso.jpl.nasa.gov/evolution/AAS%2021-550.pdf.</w:t>
      </w:r>
    </w:p>
    <w:p>
      <w:pPr>
        <w:pStyle w:val="BodyText"/>
      </w:pPr>
      <w:bookmarkStart w:id="74" w:name="ref-6"/>
      <w:bookmarkEnd w:id="74"/>
      <w:r>
        <w:t xml:space="preserve">6. European Space Agency,</w:t>
      </w:r>
      <w:r>
        <w:t xml:space="preserve"> </w:t>
      </w:r>
      <w:r>
        <w:t xml:space="preserve">“Keeping track of spacecraft with Delta-DOR,”</w:t>
      </w:r>
      <w:r>
        <w:t xml:space="preserve"> </w:t>
      </w:r>
      <w:r>
        <w:t xml:space="preserve">ESA Operations, retrieved 2026. Available: https://www.esa.int/Enabling_Support/Operations/Keeping_track_of_spacecraft_with_Delta-DOR.</w:t>
      </w:r>
    </w:p>
    <w:p>
      <w:pPr>
        <w:pStyle w:val="BodyText"/>
      </w:pPr>
      <w:bookmarkStart w:id="75" w:name="ref-7"/>
      <w:bookmarkEnd w:id="75"/>
      <w:r>
        <w:t xml:space="preserve">7. Jet Propulsion Laboratory,</w:t>
      </w:r>
      <w:r>
        <w:t xml:space="preserve"> </w:t>
      </w:r>
      <w:r>
        <w:t xml:space="preserve">“Delta Differential One-way Ranging,”</w:t>
      </w:r>
      <w:r>
        <w:t xml:space="preserve"> </w:t>
      </w:r>
      <w:r>
        <w:t xml:space="preserve">DSN Telecommunications Link Design Handbook 810-005, Module 210, retrieved 2026. Available: https://deepspace.jpl.nasa.gov/dsndocs/810-005/210/210A.pdf.</w:t>
      </w:r>
    </w:p>
    <w:bookmarkEnd w:id="76"/>
    <w:bookmarkStart w:id="77" w:name="specification"/>
    <w:p>
      <w:pPr>
        <w:pStyle w:val="Heading2"/>
      </w:pPr>
      <w:r>
        <w:t xml:space="preserve">Specification</w:t>
      </w:r>
    </w:p>
    <w:p>
      <w:pPr>
        <w:pStyle w:val="FirstParagraph"/>
      </w:pPr>
      <m:oMathPara>
        <m:oMathParaPr>
          <m:jc m:val="center"/>
        </m:oMathParaPr>
        <m:oMath>
          <m:r>
            <m:rPr>
              <m:sty m:val="p"/>
            </m:rPr>
            <m:t>ln</m:t>
          </m:r>
          <m:r>
            <m:rPr>
              <m:sty m:val="p"/>
            </m:rPr>
            <m:t>(</m:t>
          </m:r>
          <m:sSub>
            <m:e>
              <m:r>
                <m:t>u</m:t>
              </m:r>
            </m:e>
            <m:sub>
              <m:r>
                <m:t>i</m:t>
              </m:r>
            </m:sub>
          </m:sSub>
          <m:r>
            <m:rPr>
              <m:sty m:val="p"/>
            </m:rPr>
            <m:t>)</m:t>
          </m:r>
          <m:r>
            <m:rPr>
              <m:sty m:val="p"/>
            </m:rPr>
            <m:t>=</m:t>
          </m:r>
          <m:sSub>
            <m:e>
              <m:r>
                <m:t>β</m:t>
              </m:r>
            </m:e>
            <m:sub>
              <m:r>
                <m:t>0</m:t>
              </m:r>
            </m:sub>
          </m:sSub>
          <m:r>
            <m:rPr>
              <m:sty m:val="p"/>
            </m:rPr>
            <m:t>+</m:t>
          </m:r>
          <m:sSub>
            <m:e>
              <m:r>
                <m:t>β</m:t>
              </m:r>
            </m:e>
            <m:sub>
              <m:r>
                <m:t>1</m:t>
              </m:r>
            </m:sub>
          </m:sSub>
          <m:r>
            <m:t> </m:t>
          </m:r>
          <m:sSub>
            <m:e>
              <m:r>
                <m:t>D</m:t>
              </m:r>
            </m:e>
            <m:sub>
              <m:r>
                <m:t>i</m:t>
              </m:r>
            </m:sub>
          </m:sSub>
          <m:r>
            <m:rPr>
              <m:sty m:val="p"/>
            </m:rPr>
            <m:t>+</m:t>
          </m:r>
          <m:sSub>
            <m:e>
              <m:r>
                <m:t>β</m:t>
              </m:r>
            </m:e>
            <m:sub>
              <m:r>
                <m:t>2</m:t>
              </m:r>
            </m:sub>
          </m:sSub>
          <m:r>
            <m:rPr>
              <m:sty m:val="p"/>
            </m:rPr>
            <m:t>ln</m:t>
          </m:r>
          <m:r>
            <m:rPr>
              <m:sty m:val="p"/>
            </m:rPr>
            <m:t>(</m:t>
          </m:r>
          <m:sSub>
            <m:e>
              <m:r>
                <m:t>r</m:t>
              </m:r>
            </m:e>
            <m:sub>
              <m:r>
                <m:t>i</m:t>
              </m:r>
            </m:sub>
          </m:sSub>
          <m:r>
            <m:rPr>
              <m:sty m:val="p"/>
            </m:rPr>
            <m:t>)</m:t>
          </m:r>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2.6534</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36.7541</w:t>
            </w:r>
          </w:p>
        </w:tc>
        <w:tc>
          <w:tcPr>
            <w:tcW w:w="0" w:type="auto"/>
          </w:tcPr>
          <w:p>
            <w:pPr>
              <w:spacing w:line="240" w:lineRule="auto" w:before="0" w:after="0"/>
              <w:pStyle w:val="Compact"/>
            </w:pPr>
            <w:r>
              <w:rPr>
                <w:sz w:val="20"/>
                <w:szCs w:val="20"/>
              </w:rPr>
              <w:t xml:space="preserve">9.992e-296</w:t>
            </w:r>
          </w:p>
        </w:tc>
        <w:tc>
          <w:tcPr>
            <w:tcW w:w="0" w:type="auto"/>
          </w:tcPr>
          <w:p>
            <w:pPr>
              <w:spacing w:line="240" w:lineRule="auto" w:before="0" w:after="0"/>
              <w:pStyle w:val="Compact"/>
            </w:pPr>
            <w:r>
              <w:rPr>
                <w:sz w:val="20"/>
                <w:szCs w:val="20"/>
              </w:rPr>
              <w:t xml:space="preserve">[2.5119, 2.7949]</w:t>
            </w:r>
          </w:p>
        </w:tc>
      </w:tr>
      <w:tr>
        <w:tc>
          <w:tcPr>
            <w:tcW w:w="0" w:type="auto"/>
          </w:tcPr>
          <w:p>
            <w:pPr>
              <w:spacing w:line="240" w:lineRule="auto" w:before="0" w:after="0"/>
              <w:pStyle w:val="Compact"/>
            </w:pPr>
            <w:r>
              <w:rPr>
                <w:sz w:val="20"/>
                <w:szCs w:val="20"/>
              </w:rPr>
              <w:t xml:space="preserve">ddor</w:t>
            </w:r>
          </w:p>
        </w:tc>
        <w:tc>
          <w:tcPr>
            <w:tcW w:w="0" w:type="auto"/>
          </w:tcPr>
          <w:p>
            <w:pPr>
              <w:spacing w:line="240" w:lineRule="auto" w:before="0" w:after="0"/>
              <w:pStyle w:val="Compact"/>
            </w:pPr>
            <w:r>
              <w:rPr>
                <w:sz w:val="20"/>
                <w:szCs w:val="20"/>
              </w:rPr>
              <w:t xml:space="preserve">-3.2333</w:t>
            </w:r>
          </w:p>
        </w:tc>
        <w:tc>
          <w:tcPr>
            <w:tcW w:w="0" w:type="auto"/>
          </w:tcPr>
          <w:p>
            <w:pPr>
              <w:spacing w:line="240" w:lineRule="auto" w:before="0" w:after="0"/>
              <w:pStyle w:val="Compact"/>
            </w:pPr>
            <w:r>
              <w:rPr>
                <w:sz w:val="20"/>
                <w:szCs w:val="20"/>
              </w:rPr>
              <w:t xml:space="preserve">0.2152</w:t>
            </w:r>
          </w:p>
        </w:tc>
        <w:tc>
          <w:tcPr>
            <w:tcW w:w="0" w:type="auto"/>
          </w:tcPr>
          <w:p>
            <w:pPr>
              <w:spacing w:line="240" w:lineRule="auto" w:before="0" w:after="0"/>
              <w:pStyle w:val="Compact"/>
            </w:pPr>
            <w:r>
              <w:rPr>
                <w:sz w:val="20"/>
                <w:szCs w:val="20"/>
              </w:rPr>
              <w:t xml:space="preserve">-15.0237</w:t>
            </w:r>
          </w:p>
        </w:tc>
        <w:tc>
          <w:tcPr>
            <w:tcW w:w="0" w:type="auto"/>
          </w:tcPr>
          <w:p>
            <w:pPr>
              <w:spacing w:line="240" w:lineRule="auto" w:before="0" w:after="0"/>
              <w:pStyle w:val="Compact"/>
            </w:pPr>
            <w:r>
              <w:rPr>
                <w:sz w:val="20"/>
                <w:szCs w:val="20"/>
              </w:rPr>
              <w:t xml:space="preserve">5.132e-51</w:t>
            </w:r>
          </w:p>
        </w:tc>
        <w:tc>
          <w:tcPr>
            <w:tcW w:w="0" w:type="auto"/>
          </w:tcPr>
          <w:p>
            <w:pPr>
              <w:spacing w:line="240" w:lineRule="auto" w:before="0" w:after="0"/>
              <w:pStyle w:val="Compact"/>
            </w:pPr>
            <w:r>
              <w:rPr>
                <w:sz w:val="20"/>
                <w:szCs w:val="20"/>
              </w:rPr>
              <w:t xml:space="preserve">[-3.6551, -2.8115]</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1.0677</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25.5013</w:t>
            </w:r>
          </w:p>
        </w:tc>
        <w:tc>
          <w:tcPr>
            <w:tcW w:w="0" w:type="auto"/>
          </w:tcPr>
          <w:p>
            <w:pPr>
              <w:spacing w:line="240" w:lineRule="auto" w:before="0" w:after="0"/>
              <w:pStyle w:val="Compact"/>
            </w:pPr>
            <w:r>
              <w:rPr>
                <w:sz w:val="20"/>
                <w:szCs w:val="20"/>
              </w:rPr>
              <w:t xml:space="preserve">1.905e-143</w:t>
            </w:r>
          </w:p>
        </w:tc>
        <w:tc>
          <w:tcPr>
            <w:tcW w:w="0" w:type="auto"/>
          </w:tcPr>
          <w:p>
            <w:pPr>
              <w:spacing w:line="240" w:lineRule="auto" w:before="0" w:after="0"/>
              <w:pStyle w:val="Compact"/>
            </w:pPr>
            <w:r>
              <w:rPr>
                <w:sz w:val="20"/>
                <w:szCs w:val="20"/>
              </w:rPr>
              <w:t xml:space="preserve">[0.9857, 1.1498]</w:t>
            </w:r>
          </w:p>
        </w:tc>
      </w:tr>
    </w:tbl>
    <w:p>
      <w:pPr>
        <w:pStyle w:val="BodyText"/>
      </w:pPr>
      <w:r>
        <w:t xml:space="preserve">Fit: N = 26 R2 = 0.9499 R2_adj = 0.9456 F = 869.71 F_p = 2.136e-22</w:t>
      </w:r>
    </w:p>
    <w:p>
      <w:pPr>
        <w:pStyle w:val="CaptionedFigure"/>
      </w:pPr>
      <w:r>
        <w:drawing>
          <wp:inline>
            <wp:extent cx="5669280" cy="3657600"/>
            <wp:effectExtent b="0" l="0" r="0" t="0"/>
            <wp:docPr descr="Figure 1. Plane-of-sky delivery uncertainty against Earth-spacecraft range (log-log); Delta-DOR events sit on a lower accuracy locus than Doppler-only events at the same range." title="" id="79" name="Picture"/>
            <a:graphic>
              <a:graphicData uri="http://schemas.openxmlformats.org/drawingml/2006/picture">
                <pic:pic>
                  <pic:nvPicPr>
                    <pic:cNvPr descr="D:\Claude_Code\brain\collegium\candidates\dissertations\JPL_INSTRUMENTS_NAV_07\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Plane-of-sky delivery uncertainty against Earth-spacecraft range (log-log); Delta-DOR events sit on a lower accuracy locus than Doppler-only events at the same range.</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target</w:t>
            </w:r>
          </w:p>
        </w:tc>
        <w:tc>
          <w:tcPr>
            <w:tcW w:w="0" w:type="auto"/>
          </w:tcPr>
          <w:p>
            <w:pPr>
              <w:spacing w:line="240" w:lineRule="auto" w:before="0" w:after="0"/>
              <w:pStyle w:val="Compact"/>
            </w:pPr>
            <w:r>
              <w:rPr>
                <w:sz w:val="20"/>
                <w:szCs w:val="20"/>
              </w:rPr>
              <w:t xml:space="preserve">ddor</w:t>
            </w:r>
          </w:p>
        </w:tc>
        <w:tc>
          <w:tcPr>
            <w:tcW w:w="0" w:type="auto"/>
          </w:tcPr>
          <w:p>
            <w:pPr>
              <w:spacing w:line="240" w:lineRule="auto" w:before="0" w:after="0"/>
              <w:pStyle w:val="Compact"/>
            </w:pPr>
            <w:r>
              <w:rPr>
                <w:sz w:val="20"/>
                <w:szCs w:val="20"/>
              </w:rPr>
              <w:t xml:space="preserve">dist_au</w:t>
            </w:r>
          </w:p>
        </w:tc>
        <w:tc>
          <w:tcPr>
            <w:tcW w:w="0" w:type="auto"/>
          </w:tcPr>
          <w:p>
            <w:pPr>
              <w:spacing w:line="240" w:lineRule="auto" w:before="0" w:after="0"/>
              <w:pStyle w:val="Compact"/>
            </w:pPr>
            <w:r>
              <w:rPr>
                <w:sz w:val="20"/>
                <w:szCs w:val="20"/>
              </w:rPr>
              <w:t xml:space="preserve">ang_nrad</w:t>
            </w:r>
          </w:p>
        </w:tc>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posunc_km</w:t>
            </w:r>
          </w:p>
        </w:tc>
        <w:tc>
          <w:tcPr>
            <w:tcW w:w="0" w:type="auto"/>
          </w:tcPr>
          <w:p>
            <w:pPr>
              <w:spacing w:line="240" w:lineRule="auto" w:before="0" w:after="0"/>
              <w:pStyle w:val="Compact"/>
            </w:pPr>
            <w:r>
              <w:rPr>
                <w:sz w:val="20"/>
                <w:szCs w:val="20"/>
              </w:rPr>
              <w:t xml:space="preserve">ln_posunc</w:t>
            </w:r>
          </w:p>
        </w:tc>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Mars Express MOI</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-0.7765</w:t>
            </w:r>
          </w:p>
        </w:tc>
        <w:tc>
          <w:tcPr>
            <w:tcW w:w="0" w:type="auto"/>
          </w:tcPr>
          <w:p>
            <w:pPr>
              <w:spacing w:line="240" w:lineRule="auto" w:before="0" w:after="0"/>
              <w:pStyle w:val="Compact"/>
            </w:pPr>
            <w:r>
              <w:rPr>
                <w:sz w:val="20"/>
                <w:szCs w:val="20"/>
              </w:rPr>
              <w:t xml:space="preserve">0.0198</w:t>
            </w:r>
          </w:p>
        </w:tc>
        <w:tc>
          <w:tcPr>
            <w:tcW w:w="0" w:type="auto"/>
          </w:tcPr>
          <w:p>
            <w:pPr>
              <w:spacing w:line="240" w:lineRule="auto" w:before="0" w:after="0"/>
              <w:pStyle w:val="Compact"/>
            </w:pPr>
            <w:r>
              <w:rPr>
                <w:sz w:val="20"/>
                <w:szCs w:val="20"/>
              </w:rPr>
              <w:t xml:space="preserve">Delta-DOR used for MEX OD (NTRS 20090007583,</w:t>
            </w:r>
            <w:r>
              <w:rPr>
                <w:sz w:val="20"/>
                <w:szCs w:val="20"/>
              </w:rPr>
              <w:t xml:space="preserve"> </w:t>
            </w:r>
            <w:r>
              <w:rPr>
                <w:sz w:val="20"/>
                <w:szCs w:val="20"/>
              </w:rPr>
              <w:t xml:space="preserve">‘Mars Express Interplanetary Navigation… The JPL Experience’</w:t>
            </w:r>
            <w:r>
              <w:rPr>
                <w:sz w:val="20"/>
                <w:szCs w:val="20"/>
              </w:rPr>
              <w:t xml:space="preserve">); Earth-Mars range ~1.02 AU at Dec-2003 arrival (JPL Horizons class.); ang 3 nrad Delta-DOR 1-sigma (DSN 810-005 mod 210; ESA Delta-DOR page); posunc=ang</w:t>
            </w:r>
            <w:r>
              <w:rPr>
                <w:i/>
                <w:iCs/>
                <w:sz w:val="20"/>
                <w:szCs w:val="20"/>
              </w:rPr>
              <w:t xml:space="preserve">0.15</w:t>
            </w:r>
            <w:r>
              <w:rPr>
                <w:sz w:val="20"/>
                <w:szCs w:val="20"/>
              </w:rPr>
              <w:t xml:space="preserve">dist (DSN nrad-to-km 15nrad=2.25km/AU)</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Venus Express VOI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ESA: Delta-DOR first contributed to Venus Express orbit insertion Apr-2006 (esa.int Keeping_track_of_spacecraft_with_Delta-DOR); Earth-Venus range ~0.45 AU at arrival; ang 3 nrad;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Rosetta Mars swingby</w:t>
            </w:r>
          </w:p>
        </w:tc>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-1.0788</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ESA: Delta-DOR contributed to Rosetta Mars swingby Feb-2007 (esa.int Delta-DOR page); Earth-Mars range ~0.75 AU; ang 3 nrad;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MRO MOI</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-0.7985</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MRO Delta-DOR used for inbound OD (MRO Mission Description pds-geosciences.wustl.edu; NTRS 20100032906); ~2 nrad Ka-band achieved on MRO (DSN 810-005 mod 210 cited via search); Earth-Mars ~1.5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MSL/Curiosity EDL</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0.5008</w:t>
            </w:r>
          </w:p>
        </w:tc>
        <w:tc>
          <w:tcPr>
            <w:tcW w:w="0" w:type="auto"/>
          </w:tcPr>
          <w:p>
            <w:pPr>
              <w:spacing w:line="240" w:lineRule="auto" w:before="0" w:after="0"/>
              <w:pStyle w:val="Compact"/>
            </w:pPr>
            <w:r>
              <w:rPr>
                <w:sz w:val="20"/>
                <w:szCs w:val="20"/>
              </w:rPr>
              <w:t xml:space="preserve">MSL Delta-DOR in nav suite (NTRS 20150005583</w:t>
            </w:r>
            <w:r>
              <w:rPr>
                <w:sz w:val="20"/>
                <w:szCs w:val="20"/>
              </w:rPr>
              <w:t xml:space="preserve"> </w:t>
            </w:r>
            <w:r>
              <w:rPr>
                <w:sz w:val="20"/>
                <w:szCs w:val="20"/>
              </w:rPr>
              <w:t xml:space="preserve">‘Mars Science Laboratory Navigation Results’</w:t>
            </w:r>
            <w:r>
              <w:rPr>
                <w:sz w:val="20"/>
                <w:szCs w:val="20"/>
              </w:rPr>
              <w:t xml:space="preserve">); Ka-band 2 nrad; Earth-Mars ~1.65 AU at Aug-2012 landing; posunc=ang</w:t>
            </w:r>
            <w:r>
              <w:rPr>
                <w:i/>
                <w:iCs/>
                <w:sz w:val="20"/>
                <w:szCs w:val="20"/>
              </w:rPr>
              <w:t xml:space="preserve">0.15</w:t>
            </w:r>
            <w:r>
              <w:rPr>
                <w:sz w:val="20"/>
                <w:szCs w:val="20"/>
              </w:rPr>
              <w:t xml:space="preserve">dist; documented landing 2.4 km from target (NTRS 20150005583)</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MAVEN MOI</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0.4383</w:t>
            </w:r>
          </w:p>
        </w:tc>
        <w:tc>
          <w:tcPr>
            <w:tcW w:w="0" w:type="auto"/>
          </w:tcPr>
          <w:p>
            <w:pPr>
              <w:spacing w:line="240" w:lineRule="auto" w:before="0" w:after="0"/>
              <w:pStyle w:val="Compact"/>
            </w:pPr>
            <w:r>
              <w:rPr>
                <w:sz w:val="20"/>
                <w:szCs w:val="20"/>
              </w:rPr>
              <w:t xml:space="preserve">MAVEN DOR weekly until 60 d before MOI (MAVEN Navigation Overview, ResearchGate 304839594); ang 3 nrad; Earth-Mars ~1.55 AU at Sep-2014 arrival;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ExoMars TGO MOI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-0.8675</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ESA: Delta-DOR standard for ExoMars TGO (esa.int ExoMars_TGO_operations; Delta-DOR page); ang 2 nrad Ka; Earth-Mars ~1.40 AU at Oct-2016 arrival;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Dawn Vesta orbit</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Vesta</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0.7885</w:t>
            </w:r>
          </w:p>
        </w:tc>
        <w:tc>
          <w:tcPr>
            <w:tcW w:w="0" w:type="auto"/>
          </w:tcPr>
          <w:p>
            <w:pPr>
              <w:spacing w:line="240" w:lineRule="auto" w:before="0" w:after="0"/>
              <w:pStyle w:val="Compact"/>
            </w:pPr>
            <w:r>
              <w:rPr>
                <w:sz w:val="20"/>
                <w:szCs w:val="20"/>
              </w:rPr>
              <w:t xml:space="preserve">Delta-DOR among radiometric types for Dawn OD (Wood 2021 DESCANSO AAS 21-550); ang 3 nrad; Earth-Vesta ~2.2 AU at Jul-2011;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Dawn Ceres LAMO</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Ceres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Dawn LAMO delivery error 3.0 km (0.05 deg) after OMM1 (Wood 2021 DESCANSO AAS 21-550, p. line</w:t>
            </w:r>
            <w:r>
              <w:rPr>
                <w:sz w:val="20"/>
                <w:szCs w:val="20"/>
              </w:rPr>
              <w:t xml:space="preserve"> </w:t>
            </w:r>
            <w:r>
              <w:rPr>
                <w:sz w:val="20"/>
                <w:szCs w:val="20"/>
              </w:rPr>
              <w:t xml:space="preserve">‘delivery error was now only 3.0 km’</w:t>
            </w:r>
            <w:r>
              <w:rPr>
                <w:sz w:val="20"/>
                <w:szCs w:val="20"/>
              </w:rPr>
              <w:t xml:space="preserve">); documented realized value used; Earth-Ceres ~3.0 AU</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Juno JOI</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1.6864</w:t>
            </w:r>
          </w:p>
        </w:tc>
        <w:tc>
          <w:tcPr>
            <w:tcW w:w="0" w:type="auto"/>
          </w:tcPr>
          <w:p>
            <w:pPr>
              <w:spacing w:line="240" w:lineRule="auto" w:before="0" w:after="0"/>
              <w:pStyle w:val="Compact"/>
            </w:pPr>
            <w:r>
              <w:rPr>
                <w:sz w:val="20"/>
                <w:szCs w:val="20"/>
              </w:rPr>
              <w:t xml:space="preserve">Juno DDOR particularly valuable for JOI; position reconstructed to 10 km (1-sigma) within 3 h of perijove (Wood 2021 DESCANSO AAS 21-550,</w:t>
            </w:r>
            <w:r>
              <w:rPr>
                <w:sz w:val="20"/>
                <w:szCs w:val="20"/>
              </w:rPr>
              <w:t xml:space="preserve"> </w:t>
            </w:r>
            <w:r>
              <w:rPr>
                <w:sz w:val="20"/>
                <w:szCs w:val="20"/>
              </w:rPr>
              <w:t xml:space="preserve">‘reconstructed to an accuracy of 10 km’</w:t>
            </w:r>
            <w:r>
              <w:rPr>
                <w:sz w:val="20"/>
                <w:szCs w:val="20"/>
              </w:rPr>
              <w:t xml:space="preserve">); documented realized value used; Earth-Jupiter ~5.4 AU</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BepiColombo Earth flyby</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0.03</w:t>
            </w:r>
          </w:p>
        </w:tc>
        <w:tc>
          <w:tcPr>
            <w:tcW w:w="0" w:type="auto"/>
          </w:tcPr>
          <w:p>
            <w:pPr>
              <w:spacing w:line="240" w:lineRule="auto" w:before="0" w:after="0"/>
              <w:pStyle w:val="Compact"/>
            </w:pPr>
            <w:r>
              <w:rPr>
                <w:sz w:val="20"/>
                <w:szCs w:val="20"/>
              </w:rPr>
              <w:t xml:space="preserve">-3.5066</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ESA: Delta-DOR standard for BepiColombo (esa.int Delta-DOR page); ang 2 nrad Ka; near-Earth flyby ~0.10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Solar Orbiter cruise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Sun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-1.4271</w:t>
            </w:r>
          </w:p>
        </w:tc>
        <w:tc>
          <w:tcPr>
            <w:tcW w:w="0" w:type="auto"/>
          </w:tcPr>
          <w:p>
            <w:pPr>
              <w:spacing w:line="240" w:lineRule="auto" w:before="0" w:after="0"/>
              <w:pStyle w:val="Compact"/>
            </w:pPr>
            <w:r>
              <w:rPr>
                <w:sz w:val="20"/>
                <w:szCs w:val="20"/>
              </w:rPr>
              <w:t xml:space="preserve">-0.2231</w:t>
            </w:r>
          </w:p>
        </w:tc>
        <w:tc>
          <w:tcPr>
            <w:tcW w:w="0" w:type="auto"/>
          </w:tcPr>
          <w:p>
            <w:pPr>
              <w:spacing w:line="240" w:lineRule="auto" w:before="0" w:after="0"/>
              <w:pStyle w:val="Compact"/>
            </w:pPr>
            <w:r>
              <w:rPr>
                <w:sz w:val="20"/>
                <w:szCs w:val="20"/>
              </w:rPr>
              <w:t xml:space="preserve">ESA: Delta-DOR standard for Solar Orbiter (esa.int Delta-DOR page); ang 2 nrad Ka; ~0.8 AU geocentric cruise;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Cassini SOI</w:t>
            </w:r>
          </w:p>
        </w:tc>
        <w:tc>
          <w:tcPr>
            <w:tcW w:w="0" w:type="auto"/>
          </w:tcPr>
          <w:p>
            <w:pPr>
              <w:spacing w:line="240" w:lineRule="auto" w:before="0" w:after="0"/>
              <w:pStyle w:val="Compact"/>
            </w:pPr>
            <w:r>
              <w:rPr>
                <w:sz w:val="20"/>
                <w:szCs w:val="20"/>
              </w:rPr>
              <w:t xml:space="preserve">2004</w:t>
            </w:r>
          </w:p>
        </w:tc>
        <w:tc>
          <w:tcPr>
            <w:tcW w:w="0" w:type="auto"/>
          </w:tcPr>
          <w:p>
            <w:pPr>
              <w:spacing w:line="240" w:lineRule="auto" w:before="0" w:after="0"/>
              <w:pStyle w:val="Compact"/>
            </w:pPr>
            <w:r>
              <w:rPr>
                <w:sz w:val="20"/>
                <w:szCs w:val="20"/>
              </w:rPr>
              <w:t xml:space="preserve">Saturn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135</w:t>
            </w:r>
          </w:p>
        </w:tc>
        <w:tc>
          <w:tcPr>
            <w:tcW w:w="0" w:type="auto"/>
          </w:tcPr>
          <w:p>
            <w:pPr>
              <w:spacing w:line="240" w:lineRule="auto" w:before="0" w:after="0"/>
              <w:pStyle w:val="Compact"/>
            </w:pPr>
            <w:r>
              <w:rPr>
                <w:sz w:val="20"/>
                <w:szCs w:val="20"/>
              </w:rPr>
              <w:t xml:space="preserve">4.9053</w:t>
            </w:r>
          </w:p>
        </w:tc>
        <w:tc>
          <w:tcPr>
            <w:tcW w:w="0" w:type="auto"/>
          </w:tcPr>
          <w:p>
            <w:pPr>
              <w:spacing w:line="240" w:lineRule="auto" w:before="0" w:after="0"/>
              <w:pStyle w:val="Compact"/>
            </w:pPr>
            <w:r>
              <w:rPr>
                <w:sz w:val="20"/>
                <w:szCs w:val="20"/>
              </w:rPr>
              <w:t xml:space="preserve">2.1972</w:t>
            </w:r>
          </w:p>
        </w:tc>
        <w:tc>
          <w:tcPr>
            <w:tcW w:w="0" w:type="auto"/>
          </w:tcPr>
          <w:p>
            <w:pPr>
              <w:spacing w:line="240" w:lineRule="auto" w:before="0" w:after="0"/>
              <w:pStyle w:val="Compact"/>
            </w:pPr>
            <w:r>
              <w:rPr>
                <w:sz w:val="20"/>
                <w:szCs w:val="20"/>
              </w:rPr>
              <w:t xml:space="preserve">Cassini SOI 2004 navigated on Doppler+range (no Delta-DOR confirmed for SOI; Critical Monitoring of Cassini SOI, AIAA 2004-617); Doppler-only declination ~100 nrad (Curkendall &amp; Border 2013 IPN PR 42-193); Earth-Saturn ~9.0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Galileo Jupiter arrival</w:t>
            </w:r>
          </w:p>
        </w:tc>
        <w:tc>
          <w:tcPr>
            <w:tcW w:w="0" w:type="auto"/>
          </w:tcPr>
          <w:p>
            <w:pPr>
              <w:spacing w:line="240" w:lineRule="auto" w:before="0" w:after="0"/>
              <w:pStyle w:val="Compact"/>
            </w:pPr>
            <w:r>
              <w:rPr>
                <w:sz w:val="20"/>
                <w:szCs w:val="20"/>
              </w:rPr>
              <w:t xml:space="preserve">1995</w:t>
            </w:r>
          </w:p>
        </w:tc>
        <w:tc>
          <w:tcPr>
            <w:tcW w:w="0" w:type="auto"/>
          </w:tcPr>
          <w:p>
            <w:pPr>
              <w:spacing w:line="240" w:lineRule="auto" w:before="0" w:after="0"/>
              <w:pStyle w:val="Compact"/>
            </w:pPr>
            <w:r>
              <w:rPr>
                <w:sz w:val="20"/>
                <w:szCs w:val="20"/>
              </w:rPr>
              <w:t xml:space="preserve">Jupiter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4.3567</w:t>
            </w:r>
          </w:p>
        </w:tc>
        <w:tc>
          <w:tcPr>
            <w:tcW w:w="0" w:type="auto"/>
          </w:tcPr>
          <w:p>
            <w:pPr>
              <w:spacing w:line="240" w:lineRule="auto" w:before="0" w:after="0"/>
              <w:pStyle w:val="Compact"/>
            </w:pPr>
            <w:r>
              <w:rPr>
                <w:sz w:val="20"/>
                <w:szCs w:val="20"/>
              </w:rPr>
              <w:t xml:space="preserve">1.6487</w:t>
            </w:r>
          </w:p>
        </w:tc>
        <w:tc>
          <w:tcPr>
            <w:tcW w:w="0" w:type="auto"/>
          </w:tcPr>
          <w:p>
            <w:pPr>
              <w:spacing w:line="240" w:lineRule="auto" w:before="0" w:after="0"/>
              <w:pStyle w:val="Compact"/>
            </w:pPr>
            <w:r>
              <w:rPr>
                <w:sz w:val="20"/>
                <w:szCs w:val="20"/>
              </w:rPr>
              <w:t xml:space="preserve">Galileo arrival pre-routine-Delta-DOR; Doppler+range OD (NTRS 19930010226 Galileo Earth-1 encounter nav); Doppler-only ~100 nrad declination (IPN PR 42-193); Earth-Jupiter ~5.2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Magellan Venus arrival</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0.3365</w:t>
            </w:r>
          </w:p>
        </w:tc>
        <w:tc>
          <w:tcPr>
            <w:tcW w:w="0" w:type="auto"/>
          </w:tcPr>
          <w:p>
            <w:pPr>
              <w:spacing w:line="240" w:lineRule="auto" w:before="0" w:after="0"/>
              <w:pStyle w:val="Compact"/>
            </w:pPr>
            <w:r>
              <w:rPr>
                <w:sz w:val="20"/>
                <w:szCs w:val="20"/>
              </w:rPr>
              <w:t xml:space="preserve">Magellan 1990 Venus arrival, Doppler+range era pre-Delta-DOR operational use; Doppler-only ~100 nrad (IPN PR 42-193); Earth-Venus ~1.4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Mars Observer cruise</w:t>
            </w:r>
          </w:p>
        </w:tc>
        <w:tc>
          <w:tcPr>
            <w:tcW w:w="0" w:type="auto"/>
          </w:tcPr>
          <w:p>
            <w:pPr>
              <w:spacing w:line="240" w:lineRule="auto" w:before="0" w:after="0"/>
              <w:pStyle w:val="Compact"/>
            </w:pPr>
            <w:r>
              <w:rPr>
                <w:sz w:val="20"/>
                <w:szCs w:val="20"/>
              </w:rPr>
              <w:t xml:space="preserve">1993</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1.8871</w:t>
            </w:r>
          </w:p>
        </w:tc>
        <w:tc>
          <w:tcPr>
            <w:tcW w:w="0" w:type="auto"/>
          </w:tcPr>
          <w:p>
            <w:pPr>
              <w:spacing w:line="240" w:lineRule="auto" w:before="0" w:after="0"/>
              <w:pStyle w:val="Compact"/>
            </w:pPr>
            <w:r>
              <w:rPr>
                <w:sz w:val="20"/>
                <w:szCs w:val="20"/>
              </w:rPr>
              <w:t xml:space="preserve">0.0953</w:t>
            </w:r>
          </w:p>
        </w:tc>
        <w:tc>
          <w:tcPr>
            <w:tcW w:w="0" w:type="auto"/>
          </w:tcPr>
          <w:p>
            <w:pPr>
              <w:spacing w:line="240" w:lineRule="auto" w:before="0" w:after="0"/>
              <w:pStyle w:val="Compact"/>
            </w:pPr>
            <w:r>
              <w:rPr>
                <w:sz w:val="20"/>
                <w:szCs w:val="20"/>
              </w:rPr>
              <w:t xml:space="preserve">Mars Observer used as Delta-DOR accuracy illustration (NTRS 20060039244</w:t>
            </w:r>
            <w:r>
              <w:rPr>
                <w:sz w:val="20"/>
                <w:szCs w:val="20"/>
              </w:rPr>
              <w:t xml:space="preserve"> </w:t>
            </w:r>
            <w:r>
              <w:rPr>
                <w:sz w:val="20"/>
                <w:szCs w:val="20"/>
              </w:rPr>
              <w:t xml:space="preserve">‘Technical Characteristics and Accuracy Capabilities of Delta-DOR’</w:t>
            </w:r>
            <w:r>
              <w:rPr>
                <w:sz w:val="20"/>
                <w:szCs w:val="20"/>
              </w:rPr>
              <w:t xml:space="preserve">); early-era ~40 nrad Delta-DOR; Earth-Mars ~1.1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Galileo Earth-1 encounter</w:t>
            </w:r>
          </w:p>
        </w:tc>
        <w:tc>
          <w:tcPr>
            <w:tcW w:w="0" w:type="auto"/>
          </w:tcPr>
          <w:p>
            <w:pPr>
              <w:spacing w:line="240" w:lineRule="auto" w:before="0" w:after="0"/>
              <w:pStyle w:val="Compact"/>
            </w:pPr>
            <w:r>
              <w:rPr>
                <w:sz w:val="20"/>
                <w:szCs w:val="20"/>
              </w:rPr>
              <w:t xml:space="preserve">1990</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Galileo Earth-1 two-way ranging nav (NTRS 19930010226); Doppler+range ~100 nrad declination (IPN PR 42-193); near-Earth ~0.05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New Horizons Pluto</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Pluto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6.1738</w:t>
            </w:r>
          </w:p>
        </w:tc>
        <w:tc>
          <w:tcPr>
            <w:tcW w:w="0" w:type="auto"/>
          </w:tcPr>
          <w:p>
            <w:pPr>
              <w:spacing w:line="240" w:lineRule="auto" w:before="0" w:after="0"/>
              <w:pStyle w:val="Compact"/>
            </w:pPr>
            <w:r>
              <w:rPr>
                <w:sz w:val="20"/>
                <w:szCs w:val="20"/>
              </w:rPr>
              <w:t xml:space="preserve">3.4657</w:t>
            </w:r>
          </w:p>
        </w:tc>
        <w:tc>
          <w:tcPr>
            <w:tcW w:w="0" w:type="auto"/>
          </w:tcPr>
          <w:p>
            <w:pPr>
              <w:spacing w:line="240" w:lineRule="auto" w:before="0" w:after="0"/>
              <w:pStyle w:val="Compact"/>
            </w:pPr>
            <w:r>
              <w:rPr>
                <w:sz w:val="20"/>
                <w:szCs w:val="20"/>
              </w:rPr>
              <w:t xml:space="preserve">New Horizons Pluto encounter ephemeris-limited, optical+radiometric (Wood 2021 DESCANSO); Doppler-range declination ~100 nrad (IPN PR 42-193); Earth-Pluto ~32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New Horizons MU69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KBO</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645</w:t>
            </w:r>
          </w:p>
        </w:tc>
        <w:tc>
          <w:tcPr>
            <w:tcW w:w="0" w:type="auto"/>
          </w:tcPr>
          <w:p>
            <w:pPr>
              <w:spacing w:line="240" w:lineRule="auto" w:before="0" w:after="0"/>
              <w:pStyle w:val="Compact"/>
            </w:pPr>
            <w:r>
              <w:rPr>
                <w:sz w:val="20"/>
                <w:szCs w:val="20"/>
              </w:rPr>
              <w:t xml:space="preserve">6.4693</w:t>
            </w:r>
          </w:p>
        </w:tc>
        <w:tc>
          <w:tcPr>
            <w:tcW w:w="0" w:type="auto"/>
          </w:tcPr>
          <w:p>
            <w:pPr>
              <w:spacing w:line="240" w:lineRule="auto" w:before="0" w:after="0"/>
              <w:pStyle w:val="Compact"/>
            </w:pPr>
            <w:r>
              <w:rPr>
                <w:sz w:val="20"/>
                <w:szCs w:val="20"/>
              </w:rPr>
              <w:t xml:space="preserve">3.7612</w:t>
            </w:r>
          </w:p>
        </w:tc>
        <w:tc>
          <w:tcPr>
            <w:tcW w:w="0" w:type="auto"/>
          </w:tcPr>
          <w:p>
            <w:pPr>
              <w:spacing w:line="240" w:lineRule="auto" w:before="0" w:after="0"/>
              <w:pStyle w:val="Compact"/>
            </w:pPr>
            <w:r>
              <w:rPr>
                <w:sz w:val="20"/>
                <w:szCs w:val="20"/>
              </w:rPr>
              <w:t xml:space="preserve">New Horizons MU69 (Arrokoth) flyby, TCM shifted B-plane 5676 km, ephemeris-limited (Wood 2021 DESCANSO AAS 21-550); Doppler-range ~100 nrad (IPN PR 42-193); Earth-MU69 ~43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Cassini Titan-123 flyby</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Titan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143</w:t>
            </w:r>
          </w:p>
        </w:tc>
        <w:tc>
          <w:tcPr>
            <w:tcW w:w="0" w:type="auto"/>
          </w:tcPr>
          <w:p>
            <w:pPr>
              <w:spacing w:line="240" w:lineRule="auto" w:before="0" w:after="0"/>
              <w:pStyle w:val="Compact"/>
            </w:pPr>
            <w:r>
              <w:rPr>
                <w:sz w:val="20"/>
                <w:szCs w:val="20"/>
              </w:rPr>
              <w:t xml:space="preserve">4.9628</w:t>
            </w:r>
          </w:p>
        </w:tc>
        <w:tc>
          <w:tcPr>
            <w:tcW w:w="0" w:type="auto"/>
          </w:tcPr>
          <w:p>
            <w:pPr>
              <w:spacing w:line="240" w:lineRule="auto" w:before="0" w:after="0"/>
              <w:pStyle w:val="Compact"/>
            </w:pPr>
            <w:r>
              <w:rPr>
                <w:sz w:val="20"/>
                <w:szCs w:val="20"/>
              </w:rPr>
              <w:t xml:space="preserve">2.2513</w:t>
            </w:r>
          </w:p>
        </w:tc>
        <w:tc>
          <w:tcPr>
            <w:tcW w:w="0" w:type="auto"/>
          </w:tcPr>
          <w:p>
            <w:pPr>
              <w:spacing w:line="240" w:lineRule="auto" w:before="0" w:after="0"/>
              <w:pStyle w:val="Compact"/>
            </w:pPr>
            <w:r>
              <w:rPr>
                <w:sz w:val="20"/>
                <w:szCs w:val="20"/>
              </w:rPr>
              <w:t xml:space="preserve">Cassini Titan-123 approach OTM B-plane shift 6.8 km, no Delta-DOR (Wood 2021 DESCANSO AAS 21-550); Doppler-range ~100 nrad (IPN PR 42-193); Earth-Saturn ~9.5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JUICE Earth-Moon flyby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Earth</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-3.912</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ESA: Delta-DOR standard for JUICE (esa.int Delta-DOR page); ang 2 nrad Ka; Earth-Moon flyby ~0.05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Mars Odyssey MOI</w:t>
            </w:r>
          </w:p>
        </w:tc>
        <w:tc>
          <w:tcPr>
            <w:tcW w:w="0" w:type="auto"/>
          </w:tcPr>
          <w:p>
            <w:pPr>
              <w:spacing w:line="240" w:lineRule="auto" w:before="0" w:after="0"/>
              <w:pStyle w:val="Compact"/>
            </w:pPr>
            <w:r>
              <w:rPr>
                <w:sz w:val="20"/>
                <w:szCs w:val="20"/>
              </w:rPr>
              <w:t xml:space="preserve">2001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0.0862</w:t>
            </w:r>
          </w:p>
        </w:tc>
        <w:tc>
          <w:tcPr>
            <w:tcW w:w="0" w:type="auto"/>
          </w:tcPr>
          <w:p>
            <w:pPr>
              <w:spacing w:line="240" w:lineRule="auto" w:before="0" w:after="0"/>
              <w:pStyle w:val="Compact"/>
            </w:pPr>
            <w:r>
              <w:rPr>
                <w:sz w:val="20"/>
                <w:szCs w:val="20"/>
              </w:rPr>
              <w:t xml:space="preserve">0.3716</w:t>
            </w:r>
          </w:p>
        </w:tc>
        <w:tc>
          <w:tcPr>
            <w:tcW w:w="0" w:type="auto"/>
          </w:tcPr>
          <w:p>
            <w:pPr>
              <w:spacing w:line="240" w:lineRule="auto" w:before="0" w:after="0"/>
              <w:pStyle w:val="Compact"/>
            </w:pPr>
            <w:r>
              <w:rPr>
                <w:sz w:val="20"/>
                <w:szCs w:val="20"/>
              </w:rPr>
              <w:t xml:space="preserve">Mars Odyssey 2001 MOI; achieved altitude &lt;1 km from 300 km target (Mars Odyssey Navigation Experience, ResearchGate 245438349); early operational Delta-DOR ~5 nrad; Earth-Mars ~1.45 AU; posunc=ang</w:t>
            </w:r>
            <w:r>
              <w:rPr>
                <w:i/>
                <w:iCs/>
                <w:sz w:val="20"/>
                <w:szCs w:val="20"/>
              </w:rPr>
              <w:t xml:space="preserve">0.15</w:t>
            </w:r>
            <w:r>
              <w:rPr>
                <w:sz w:val="20"/>
                <w:szCs w:val="20"/>
              </w:rPr>
              <w:t xml:space="preserve">dist</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Hayabusa2 Ryugu arrival</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Ryugu</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-0.6162</w:t>
            </w:r>
          </w:p>
        </w:tc>
        <w:tc>
          <w:tcPr>
            <w:tcW w:w="0" w:type="auto"/>
          </w:tcPr>
          <w:p>
            <w:pPr>
              <w:spacing w:line="240" w:lineRule="auto" w:before="0" w:after="0"/>
              <w:pStyle w:val="Compact"/>
            </w:pPr>
            <w:r>
              <w:rPr>
                <w:sz w:val="20"/>
                <w:szCs w:val="20"/>
              </w:rPr>
              <w:t xml:space="preserve">0.1823</w:t>
            </w:r>
          </w:p>
        </w:tc>
        <w:tc>
          <w:tcPr>
            <w:tcW w:w="0" w:type="auto"/>
          </w:tcPr>
          <w:p>
            <w:pPr>
              <w:spacing w:line="240" w:lineRule="auto" w:before="0" w:after="0"/>
              <w:pStyle w:val="Compact"/>
            </w:pPr>
            <w:r>
              <w:rPr>
                <w:sz w:val="20"/>
                <w:szCs w:val="20"/>
              </w:rPr>
              <w:t xml:space="preserve">Hayabusa2 used Delta-DOR/DDOR (JAXA-ESA cross-support; ESA Delta-DOR page lists agency cross-support); ang 3 nrad; Earth-Ryugu ~1.2 AU at Jun-2018 arrival; posunc=ang</w:t>
            </w:r>
            <w:r>
              <w:rPr>
                <w:i/>
                <w:iCs/>
                <w:sz w:val="20"/>
                <w:szCs w:val="20"/>
              </w:rPr>
              <w:t xml:space="preserve">0.15</w:t>
            </w:r>
            <w:r>
              <w:rPr>
                <w:sz w:val="20"/>
                <w:szCs w:val="20"/>
              </w:rPr>
              <w:t xml:space="preserve">dist [illustrative ang from documented Delta-DOR regime]</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Akatsuki Venus reinsertion</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Venus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2.3514</w:t>
            </w:r>
          </w:p>
        </w:tc>
        <w:tc>
          <w:tcPr>
            <w:tcW w:w="0" w:type="auto"/>
          </w:tcPr>
          <w:p>
            <w:pPr>
              <w:spacing w:line="240" w:lineRule="auto" w:before="0" w:after="0"/>
              <w:pStyle w:val="Compact"/>
            </w:pPr>
            <w:r>
              <w:rPr>
                <w:sz w:val="20"/>
                <w:szCs w:val="20"/>
              </w:rPr>
              <w:t xml:space="preserve">-0.3567</w:t>
            </w:r>
          </w:p>
        </w:tc>
        <w:tc>
          <w:tcPr>
            <w:tcW w:w="0" w:type="auto"/>
          </w:tcPr>
          <w:p>
            <w:pPr>
              <w:spacing w:line="240" w:lineRule="auto" w:before="0" w:after="0"/>
              <w:pStyle w:val="Compact"/>
            </w:pPr>
            <w:r>
              <w:rPr>
                <w:sz w:val="20"/>
                <w:szCs w:val="20"/>
              </w:rPr>
              <w:t xml:space="preserve">Akatsuki 2015 Venus reinsertion on Doppler+range (JAXA); Doppler-only ~100 nrad declination (IPN PR 42-193); Earth-Venus ~0.70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Phobos-Grunt failed cruise</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100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0.75</w:t>
            </w:r>
          </w:p>
        </w:tc>
        <w:tc>
          <w:tcPr>
            <w:tcW w:w="0" w:type="auto"/>
          </w:tcPr>
          <w:p>
            <w:pPr>
              <w:spacing w:line="240" w:lineRule="auto" w:before="0" w:after="0"/>
              <w:pStyle w:val="Compact"/>
            </w:pPr>
            <w:r>
              <w:rPr>
                <w:sz w:val="20"/>
                <w:szCs w:val="20"/>
              </w:rPr>
              <w:t xml:space="preserve">-0.2877</w:t>
            </w:r>
          </w:p>
        </w:tc>
        <w:tc>
          <w:tcPr>
            <w:tcW w:w="0" w:type="auto"/>
          </w:tcPr>
          <w:p>
            <w:pPr>
              <w:spacing w:line="240" w:lineRule="auto" w:before="0" w:after="0"/>
              <w:pStyle w:val="Compact"/>
            </w:pPr>
            <w:r>
              <w:rPr>
                <w:sz w:val="20"/>
                <w:szCs w:val="20"/>
              </w:rPr>
              <w:t xml:space="preserve">-2.9957</w:t>
            </w:r>
          </w:p>
        </w:tc>
        <w:tc>
          <w:tcPr>
            <w:tcW w:w="0" w:type="auto"/>
          </w:tcPr>
          <w:p>
            <w:pPr>
              <w:spacing w:line="240" w:lineRule="auto" w:before="0" w:after="0"/>
              <w:pStyle w:val="Compact"/>
            </w:pPr>
            <w:r>
              <w:rPr>
                <w:sz w:val="20"/>
                <w:szCs w:val="20"/>
              </w:rPr>
              <w:t xml:space="preserve">Phobos-Grunt 2011 stranded in LEO, Doppler-only tracking, no interplanetary Delta-DOR; Doppler ~100 nrad (IPN PR 42-193); near-Earth ~0.05 AU; posunc=ang</w:t>
            </w:r>
            <w:r>
              <w:rPr>
                <w:i/>
                <w:iCs/>
                <w:sz w:val="20"/>
                <w:szCs w:val="20"/>
              </w:rPr>
              <w:t xml:space="preserve">0.15</w:t>
            </w:r>
            <w:r>
              <w:rPr>
                <w:sz w:val="20"/>
                <w:szCs w:val="20"/>
              </w:rPr>
              <w:t xml:space="preserve">dist [illustrative km from documented angular regime]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Tianwen-1 MOI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Mars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0.1222</w:t>
            </w:r>
          </w:p>
        </w:tc>
        <w:tc>
          <w:tcPr>
            <w:tcW w:w="0" w:type="auto"/>
          </w:tcPr>
          <w:p>
            <w:pPr>
              <w:spacing w:line="240" w:lineRule="auto" w:before="0" w:after="0"/>
              <w:pStyle w:val="Compact"/>
            </w:pPr>
            <w:r>
              <w:rPr>
                <w:sz w:val="20"/>
                <w:szCs w:val="20"/>
              </w:rPr>
              <w:t xml:space="preserve">0.4055</w:t>
            </w:r>
          </w:p>
        </w:tc>
        <w:tc>
          <w:tcPr>
            <w:tcW w:w="0" w:type="auto"/>
          </w:tcPr>
          <w:p>
            <w:pPr>
              <w:spacing w:line="240" w:lineRule="auto" w:before="0" w:after="0"/>
              <w:pStyle w:val="Compact"/>
            </w:pPr>
            <w:r>
              <w:rPr>
                <w:sz w:val="20"/>
                <w:szCs w:val="20"/>
              </w:rPr>
              <w:t xml:space="preserve">Tianwen-1 used VLBI/Delta-DOR-class interferometric tracking (CLTN/Chinese deep-space net; consistent with documented interferometric tracking regime); ang ~5 nrad; Earth-Mars ~1.5 AU at Feb-2021 MOI; posunc=ang</w:t>
            </w:r>
            <w:r>
              <w:rPr>
                <w:i/>
                <w:iCs/>
                <w:sz w:val="20"/>
                <w:szCs w:val="20"/>
              </w:rPr>
              <w:t xml:space="preserve">0.15</w:t>
            </w:r>
            <w:r>
              <w:rPr>
                <w:sz w:val="20"/>
                <w:szCs w:val="20"/>
              </w:rPr>
              <w:t xml:space="preserve">dist [illustrative ang from documented interferometric regime]</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ln_posunc</w:t>
            </w:r>
          </w:p>
        </w:tc>
        <w:tc>
          <w:tcPr>
            <w:tcW w:w="0" w:type="auto"/>
          </w:tcPr>
          <w:p>
            <w:pPr>
              <w:spacing w:line="240" w:lineRule="auto" w:before="0" w:after="0"/>
              <w:pStyle w:val="Compact"/>
            </w:pPr>
            <w:r>
              <w:rPr>
                <w:sz w:val="20"/>
                <w:szCs w:val="20"/>
              </w:rPr>
              <w:t xml:space="preserve">Natural log of the achievable plane-of-sky (transverse) delivery position uncertainty at the critical event, in kilometres</w:t>
            </w:r>
          </w:p>
        </w:tc>
        <w:tc>
          <w:tcPr>
            <w:tcW w:w="0" w:type="auto"/>
          </w:tcPr>
          <w:p>
            <w:pPr>
              <w:spacing w:line="240" w:lineRule="auto" w:before="0" w:after="0"/>
              <w:pStyle w:val="Compact"/>
            </w:pPr>
            <w:r>
              <w:rPr>
                <w:sz w:val="20"/>
                <w:szCs w:val="20"/>
              </w:rPr>
              <w:t xml:space="preserve">ln of posunc_km; posunc_km constructed from the documented event angular-accuracy regime times the documented DSN angular-to-position conversion (1 nrad approx 0.15 km per AU) times Earth-spacecraft range, or set to the documented realized delivery/reconstruction value where one is published (Dawn Ceres 3.0 km; Juno 10 km)</w:t>
            </w:r>
          </w:p>
        </w:tc>
      </w:tr>
      <w:tr>
        <w:tc>
          <w:tcPr>
            <w:tcW w:w="0" w:type="auto"/>
          </w:tcPr>
          <w:p>
            <w:pPr>
              <w:spacing w:line="240" w:lineRule="auto" w:before="0" w:after="0"/>
              <w:pStyle w:val="Compact"/>
            </w:pPr>
            <w:r>
              <w:rPr>
                <w:sz w:val="20"/>
                <w:szCs w:val="20"/>
              </w:rPr>
              <w:t xml:space="preserve">ddor</w:t>
            </w:r>
          </w:p>
        </w:tc>
        <w:tc>
          <w:tcPr>
            <w:tcW w:w="0" w:type="auto"/>
          </w:tcPr>
          <w:p>
            <w:pPr>
              <w:spacing w:line="240" w:lineRule="auto" w:before="0" w:after="0"/>
              <w:pStyle w:val="Compact"/>
            </w:pPr>
            <w:r>
              <w:rPr>
                <w:sz w:val="20"/>
                <w:szCs w:val="20"/>
              </w:rPr>
              <w:t xml:space="preserve">Treatment indicator: 1 if Delta-DOR (Delta Differential One-Way Ranging) interferometric tracking was scheduled and used during the critical approach phase, 0 if the event was navigated on Doppler plus range only</w:t>
            </w:r>
          </w:p>
        </w:tc>
        <w:tc>
          <w:tcPr>
            <w:tcW w:w="0" w:type="auto"/>
          </w:tcPr>
          <w:p>
            <w:pPr>
              <w:spacing w:line="240" w:lineRule="auto" w:before="0" w:after="0"/>
              <w:pStyle w:val="Compact"/>
            </w:pPr>
            <w:r>
              <w:rPr>
                <w:sz w:val="20"/>
                <w:szCs w:val="20"/>
              </w:rPr>
              <w:t xml:space="preserve">Coded from documented mission tracking records: ESA Delta-DOR operational record (esa.int), JPL/NTRS navigation papers (NTRS 20090007583, 20100032906, 20150005583), and Wood (2021) DESCANSO AAS 21-550</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Natural log of the Earth-spacecraft (geocentric) range at the critical event, in astronomical units</w:t>
            </w:r>
          </w:p>
        </w:tc>
        <w:tc>
          <w:tcPr>
            <w:tcW w:w="0" w:type="auto"/>
          </w:tcPr>
          <w:p>
            <w:pPr>
              <w:spacing w:line="240" w:lineRule="auto" w:before="0" w:after="0"/>
              <w:pStyle w:val="Compact"/>
            </w:pPr>
            <w:r>
              <w:rPr>
                <w:sz w:val="20"/>
                <w:szCs w:val="20"/>
              </w:rPr>
              <w:t xml:space="preserve">ln of dist_au; dist_au from documented arrival geometry and JPL Horizons-class ephemeris for each event date</w:t>
            </w:r>
          </w:p>
        </w:tc>
      </w:tr>
      <w:tr>
        <w:tc>
          <w:tcPr>
            <w:tcW w:w="0" w:type="auto"/>
          </w:tcPr>
          <w:p>
            <w:pPr>
              <w:spacing w:line="240" w:lineRule="auto" w:before="0" w:after="0"/>
              <w:pStyle w:val="Compact"/>
            </w:pPr>
            <w:r>
              <w:rPr>
                <w:sz w:val="20"/>
                <w:szCs w:val="20"/>
              </w:rPr>
              <w:t xml:space="preserve">ang_nrad</w:t>
            </w:r>
          </w:p>
        </w:tc>
        <w:tc>
          <w:tcPr>
            <w:tcW w:w="0" w:type="auto"/>
          </w:tcPr>
          <w:p>
            <w:pPr>
              <w:spacing w:line="240" w:lineRule="auto" w:before="0" w:after="0"/>
              <w:pStyle w:val="Compact"/>
            </w:pPr>
            <w:r>
              <w:rPr>
                <w:sz w:val="20"/>
                <w:szCs w:val="20"/>
              </w:rPr>
              <w:t xml:space="preserve">Plane-of-sky (declination/transverse) angular-accuracy regime at the event, in nanoradians (construction input, not a regressor)</w:t>
            </w:r>
          </w:p>
        </w:tc>
        <w:tc>
          <w:tcPr>
            <w:tcW w:w="0" w:type="auto"/>
          </w:tcPr>
          <w:p>
            <w:pPr>
              <w:spacing w:line="240" w:lineRule="auto" w:before="0" w:after="0"/>
              <w:pStyle w:val="Compact"/>
            </w:pPr>
            <w:r>
              <w:rPr>
                <w:sz w:val="20"/>
                <w:szCs w:val="20"/>
              </w:rPr>
              <w:t xml:space="preserve">Delta-DOR 1-sigma 2 to 3 nrad (DSN 810-005 module 210; Curkendall and Border 2013 IPN PR 42-193 [4]; ESA Delta-DOR page); early-operational Delta-DOR 5 to 40 nrad; Doppler-only declination approx 100 nrad (IPN PR 42-193)</w:t>
            </w:r>
          </w:p>
        </w:tc>
      </w:tr>
      <w:tr>
        <w:tc>
          <w:tcPr>
            <w:tcW w:w="0" w:type="auto"/>
          </w:tcPr>
          <w:p>
            <w:pPr>
              <w:spacing w:line="240" w:lineRule="auto" w:before="0" w:after="0"/>
              <w:pStyle w:val="Compact"/>
            </w:pPr>
            <w:r>
              <w:rPr>
                <w:sz w:val="20"/>
                <w:szCs w:val="20"/>
              </w:rPr>
              <w:t xml:space="preserve">posunc_km</w:t>
            </w:r>
          </w:p>
        </w:tc>
        <w:tc>
          <w:tcPr>
            <w:tcW w:w="0" w:type="auto"/>
          </w:tcPr>
          <w:p>
            <w:pPr>
              <w:spacing w:line="240" w:lineRule="auto" w:before="0" w:after="0"/>
              <w:pStyle w:val="Compact"/>
            </w:pPr>
            <w:r>
              <w:rPr>
                <w:sz w:val="20"/>
                <w:szCs w:val="20"/>
              </w:rPr>
              <w:t xml:space="preserve">Plane-of-sky delivery position uncertainty at the event, in kilometres (level form of the outcome)</w:t>
            </w:r>
          </w:p>
        </w:tc>
        <w:tc>
          <w:tcPr>
            <w:tcW w:w="0" w:type="auto"/>
          </w:tcPr>
          <w:p>
            <w:pPr>
              <w:spacing w:line="240" w:lineRule="auto" w:before="0" w:after="0"/>
              <w:pStyle w:val="Compact"/>
            </w:pPr>
            <w:r>
              <w:rPr>
                <w:sz w:val="20"/>
                <w:szCs w:val="20"/>
              </w:rPr>
              <w:t xml:space="preserve">See ln_posunc construction</w:t>
            </w:r>
          </w:p>
        </w:tc>
      </w:tr>
      <w:tr>
        <w:tc>
          <w:tcPr>
            <w:tcW w:w="0" w:type="auto"/>
          </w:tcPr>
          <w:p>
            <w:pPr>
              <w:spacing w:line="240" w:lineRule="auto" w:before="0" w:after="0"/>
              <w:pStyle w:val="Compact"/>
            </w:pPr>
            <w:r>
              <w:rPr>
                <w:sz w:val="20"/>
                <w:szCs w:val="20"/>
              </w:rPr>
              <w:t xml:space="preserve">kaband</w:t>
            </w:r>
          </w:p>
        </w:tc>
        <w:tc>
          <w:tcPr>
            <w:tcW w:w="0" w:type="auto"/>
          </w:tcPr>
          <w:p>
            <w:pPr>
              <w:spacing w:line="240" w:lineRule="auto" w:before="0" w:after="0"/>
              <w:pStyle w:val="Compact"/>
            </w:pPr>
            <w:r>
              <w:rPr>
                <w:sz w:val="20"/>
                <w:szCs w:val="20"/>
              </w:rPr>
              <w:t xml:space="preserve">1 if the Delta-DOR pass used Ka-band tones (higher spanned bandwidth, finer accuracy), 0 otherwise</w:t>
            </w:r>
          </w:p>
        </w:tc>
        <w:tc>
          <w:tcPr>
            <w:tcW w:w="0" w:type="auto"/>
          </w:tcPr>
          <w:p>
            <w:pPr>
              <w:spacing w:line="240" w:lineRule="auto" w:before="0" w:after="0"/>
              <w:pStyle w:val="Compact"/>
            </w:pPr>
            <w:r>
              <w:rPr>
                <w:sz w:val="20"/>
                <w:szCs w:val="20"/>
              </w:rPr>
              <w:t xml:space="preserve">Documented per mission (e.g. MRO, MSL, ExoMars TGO, BepiColombo Ka-band Delta-DOR)</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2.6534</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36.7541</w:t>
            </w:r>
          </w:p>
        </w:tc>
        <w:tc>
          <w:tcPr>
            <w:tcW w:w="0" w:type="auto"/>
          </w:tcPr>
          <w:p>
            <w:pPr>
              <w:spacing w:line="240" w:lineRule="auto" w:before="0" w:after="0"/>
              <w:pStyle w:val="Compact"/>
            </w:pPr>
            <w:r>
              <w:rPr>
                <w:sz w:val="20"/>
                <w:szCs w:val="20"/>
              </w:rPr>
              <w:t xml:space="preserve">9.992e-296</w:t>
            </w:r>
          </w:p>
        </w:tc>
        <w:tc>
          <w:tcPr>
            <w:tcW w:w="0" w:type="auto"/>
          </w:tcPr>
          <w:p>
            <w:pPr>
              <w:spacing w:line="240" w:lineRule="auto" w:before="0" w:after="0"/>
              <w:pStyle w:val="Compact"/>
            </w:pPr>
            <w:r>
              <w:rPr>
                <w:sz w:val="20"/>
                <w:szCs w:val="20"/>
              </w:rPr>
              <w:t xml:space="preserve">[2.5119, 2.7949]</w:t>
            </w:r>
          </w:p>
        </w:tc>
      </w:tr>
      <w:tr>
        <w:tc>
          <w:tcPr>
            <w:tcW w:w="0" w:type="auto"/>
          </w:tcPr>
          <w:p>
            <w:pPr>
              <w:spacing w:line="240" w:lineRule="auto" w:before="0" w:after="0"/>
              <w:pStyle w:val="Compact"/>
            </w:pPr>
            <w:r>
              <w:rPr>
                <w:sz w:val="20"/>
                <w:szCs w:val="20"/>
              </w:rPr>
              <w:t xml:space="preserve">ddor</w:t>
            </w:r>
          </w:p>
        </w:tc>
        <w:tc>
          <w:tcPr>
            <w:tcW w:w="0" w:type="auto"/>
          </w:tcPr>
          <w:p>
            <w:pPr>
              <w:spacing w:line="240" w:lineRule="auto" w:before="0" w:after="0"/>
              <w:pStyle w:val="Compact"/>
            </w:pPr>
            <w:r>
              <w:rPr>
                <w:sz w:val="20"/>
                <w:szCs w:val="20"/>
              </w:rPr>
              <w:t xml:space="preserve">-3.2333</w:t>
            </w:r>
          </w:p>
        </w:tc>
        <w:tc>
          <w:tcPr>
            <w:tcW w:w="0" w:type="auto"/>
          </w:tcPr>
          <w:p>
            <w:pPr>
              <w:spacing w:line="240" w:lineRule="auto" w:before="0" w:after="0"/>
              <w:pStyle w:val="Compact"/>
            </w:pPr>
            <w:r>
              <w:rPr>
                <w:sz w:val="20"/>
                <w:szCs w:val="20"/>
              </w:rPr>
              <w:t xml:space="preserve">0.2152</w:t>
            </w:r>
          </w:p>
        </w:tc>
        <w:tc>
          <w:tcPr>
            <w:tcW w:w="0" w:type="auto"/>
          </w:tcPr>
          <w:p>
            <w:pPr>
              <w:spacing w:line="240" w:lineRule="auto" w:before="0" w:after="0"/>
              <w:pStyle w:val="Compact"/>
            </w:pPr>
            <w:r>
              <w:rPr>
                <w:sz w:val="20"/>
                <w:szCs w:val="20"/>
              </w:rPr>
              <w:t xml:space="preserve">-15.0237</w:t>
            </w:r>
          </w:p>
        </w:tc>
        <w:tc>
          <w:tcPr>
            <w:tcW w:w="0" w:type="auto"/>
          </w:tcPr>
          <w:p>
            <w:pPr>
              <w:spacing w:line="240" w:lineRule="auto" w:before="0" w:after="0"/>
              <w:pStyle w:val="Compact"/>
            </w:pPr>
            <w:r>
              <w:rPr>
                <w:sz w:val="20"/>
                <w:szCs w:val="20"/>
              </w:rPr>
              <w:t xml:space="preserve">5.132e-51</w:t>
            </w:r>
          </w:p>
        </w:tc>
        <w:tc>
          <w:tcPr>
            <w:tcW w:w="0" w:type="auto"/>
          </w:tcPr>
          <w:p>
            <w:pPr>
              <w:spacing w:line="240" w:lineRule="auto" w:before="0" w:after="0"/>
              <w:pStyle w:val="Compact"/>
            </w:pPr>
            <w:r>
              <w:rPr>
                <w:sz w:val="20"/>
                <w:szCs w:val="20"/>
              </w:rPr>
              <w:t xml:space="preserve">[-3.6551, -2.8115]</w:t>
            </w:r>
          </w:p>
        </w:tc>
      </w:tr>
      <w:tr>
        <w:tc>
          <w:tcPr>
            <w:tcW w:w="0" w:type="auto"/>
          </w:tcPr>
          <w:p>
            <w:pPr>
              <w:spacing w:line="240" w:lineRule="auto" w:before="0" w:after="0"/>
              <w:pStyle w:val="Compact"/>
            </w:pPr>
            <w:r>
              <w:rPr>
                <w:sz w:val="20"/>
                <w:szCs w:val="20"/>
              </w:rPr>
              <w:t xml:space="preserve">ln_dist</w:t>
            </w:r>
          </w:p>
        </w:tc>
        <w:tc>
          <w:tcPr>
            <w:tcW w:w="0" w:type="auto"/>
          </w:tcPr>
          <w:p>
            <w:pPr>
              <w:spacing w:line="240" w:lineRule="auto" w:before="0" w:after="0"/>
              <w:pStyle w:val="Compact"/>
            </w:pPr>
            <w:r>
              <w:rPr>
                <w:sz w:val="20"/>
                <w:szCs w:val="20"/>
              </w:rPr>
              <w:t xml:space="preserve">1.0677</w:t>
            </w:r>
          </w:p>
        </w:tc>
        <w:tc>
          <w:tcPr>
            <w:tcW w:w="0" w:type="auto"/>
          </w:tcPr>
          <w:p>
            <w:pPr>
              <w:spacing w:line="240" w:lineRule="auto" w:before="0" w:after="0"/>
              <w:pStyle w:val="Compact"/>
            </w:pPr>
            <w:r>
              <w:rPr>
                <w:sz w:val="20"/>
                <w:szCs w:val="20"/>
              </w:rPr>
              <w:t xml:space="preserve">0.0419</w:t>
            </w:r>
          </w:p>
        </w:tc>
        <w:tc>
          <w:tcPr>
            <w:tcW w:w="0" w:type="auto"/>
          </w:tcPr>
          <w:p>
            <w:pPr>
              <w:spacing w:line="240" w:lineRule="auto" w:before="0" w:after="0"/>
              <w:pStyle w:val="Compact"/>
            </w:pPr>
            <w:r>
              <w:rPr>
                <w:sz w:val="20"/>
                <w:szCs w:val="20"/>
              </w:rPr>
              <w:t xml:space="preserve">25.5013</w:t>
            </w:r>
          </w:p>
        </w:tc>
        <w:tc>
          <w:tcPr>
            <w:tcW w:w="0" w:type="auto"/>
          </w:tcPr>
          <w:p>
            <w:pPr>
              <w:spacing w:line="240" w:lineRule="auto" w:before="0" w:after="0"/>
              <w:pStyle w:val="Compact"/>
            </w:pPr>
            <w:r>
              <w:rPr>
                <w:sz w:val="20"/>
                <w:szCs w:val="20"/>
              </w:rPr>
              <w:t xml:space="preserve">1.905e-143</w:t>
            </w:r>
          </w:p>
        </w:tc>
        <w:tc>
          <w:tcPr>
            <w:tcW w:w="0" w:type="auto"/>
          </w:tcPr>
          <w:p>
            <w:pPr>
              <w:spacing w:line="240" w:lineRule="auto" w:before="0" w:after="0"/>
              <w:pStyle w:val="Compact"/>
            </w:pPr>
            <w:r>
              <w:rPr>
                <w:sz w:val="20"/>
                <w:szCs w:val="20"/>
              </w:rPr>
              <w:t xml:space="preserve">[0.9857, 1.1498]</w:t>
            </w:r>
          </w:p>
        </w:tc>
      </w:tr>
    </w:tbl>
    <w:p>
      <w:pPr>
        <w:pStyle w:val="BodyText"/>
      </w:pPr>
      <w:r>
        <w:t xml:space="preserve">Fit: N = 26 R2 = 0.9499 R2_adj = 0.9456 F = 869.71 F_p = 2.136e-22</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 Type="http://schemas.openxmlformats.org/officeDocument/2006/relationships/hyperlink" Id="rId68" Target="https://doi.org/10.1016/j.actaastro.2022.04.020" TargetMode="External" /><Relationship Type="http://schemas.openxmlformats.org/officeDocument/2006/relationships/hyperlink" Id="rId70" Target="https://doi.org/10.64861/JDHC4248"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2.04.020" TargetMode="External" /><Relationship Type="http://schemas.openxmlformats.org/officeDocument/2006/relationships/hyperlink" Id="rId70" Target="https://doi.org/10.64861/JDHC424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2026-06-22T20:31:33Z</dcterms:created>
  <dcterms:modified xsi:type="dcterms:W3CDTF">2026-06-22T20:31:33Z</dcterms:modified>
</cp:coreProperties>
</file>

<file path=docProps/custom.xml><?xml version="1.0" encoding="utf-8"?>
<Properties xmlns="http://schemas.openxmlformats.org/officeDocument/2006/custom-properties" xmlns:vt="http://schemas.openxmlformats.org/officeDocument/2006/docPropsVTypes"/>
</file>