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ba5ce6acf2b73da178ff3ae6d44a643937a3635"/>
    <w:p>
      <w:pPr>
        <w:pStyle w:val="Heading1"/>
      </w:pPr>
      <w:r>
        <w:t xml:space="preserve">Does Delta-DOR Raise the Odds of a Successful Critical Event? A Linear-Probability Estimate Across Documented Interplanetary Missions</w:t>
      </w:r>
    </w:p>
    <w:bookmarkStart w:id="61" w:name="introduction"/>
    <w:p>
      <w:pPr>
        <w:pStyle w:val="Heading2"/>
      </w:pPr>
      <w:r>
        <w:t xml:space="preserve">1. Introduction</w:t>
      </w:r>
    </w:p>
    <w:p>
      <w:pPr>
        <w:pStyle w:val="FirstParagraph"/>
      </w:pPr>
      <w:r>
        <w:t xml:space="preserve">Interplanetary navigation succeeds or fails in the final days before a critical event. At orbit insertion, landing, or close flyby, the spacecraft state must be known well enough in all three spatial dimensions to place the vehicle inside a narrow targeting corridor. Conventional Doppler and range tracking constrain the line-of-sight components of that state precisely, but the two angular coordinates transverse to the line of sight are the least observable from a single station and are exactly the coordinates that govern delivery error at arrival. Delta-Differential One-way Ranging (Delta-DOR) addresses this gap by differencing the signal phase received at two widely separated deep-space antennas and referencing that difference to a nearby quasar, yielding a plane-of-sky angle whose accuracy is largely decoupled from the dynamical model. The interferometric principle is the same one that anchors very-long-baseline instruments in radio astronomy, where angular resolution scales with baseline length and quasar references fix the measurement frame</w:t>
      </w:r>
      <w:r>
        <w:t xml:space="preserve"> </w:t>
      </w:r>
      <w:hyperlink w:anchor="ref-1">
        <m:oMathPara>
          <m:oMathParaPr>
            <m:jc m:val="center"/>
          </m:oMathParaPr>
          <m:oMath>
            <m:r>
              <m:t>1</m:t>
            </m:r>
          </m:oMath>
        </m:oMathPara>
      </w:hyperlink>
      <w:r>
        <w:t xml:space="preserve">, and it is the principle now demonstrated for passive radio-frequency tracking of resident space objects at shorter baselines</w:t>
      </w:r>
      <w:r>
        <w:t xml:space="preserve"> </w:t>
      </w:r>
      <w:hyperlink w:anchor="ref-2">
        <m:oMathPara>
          <m:oMathParaPr>
            <m:jc m:val="center"/>
          </m:oMathParaPr>
          <m:oMath>
            <m:r>
              <m:t>2</m:t>
            </m:r>
          </m:oMath>
        </m:oMathPara>
      </w:hyperlink>
      <w:r>
        <w:t xml:space="preserve">.</w:t>
      </w:r>
    </w:p>
    <w:p>
      <w:pPr>
        <w:pStyle w:val="FirstParagraph"/>
      </w:pPr>
      <w:r>
        <w:t xml:space="preserve">Operational practice treats Delta-DOR as near-mandatory for high-stakes approaches, yet that judgment rests almost entirely on covariance-analysis predictions of reduced angular uncertainty rather than on a population-level estimate of how the observable changes realized outcomes. This paper asks the realized-outcome question directly. Across a panel of thirty-four documented interplanetary critical events spanning 1976 to 2023, it estimates how scheduling Delta-DOR during the approach phase relates to the probability that the event was achieved within its targeting corridor, holding event difficulty fixed. The contribution is a single, falsifiable effect size with a transparent estimator, intended to give the resource-allocation debate an empirical number to weigh against the network cost of the observable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mechanism connecting Delta-DOR to outcome runs through delivery accuracy. Because the technique observes the plane-of-sky angle that Doppler alone constrains poorly, adding it to an approach campaign tightens the predicted state covariance in precisely the directions that set corridor-delivery error. The deep-space tracking literature documents the measurement physics that produces this gain and reports angular accuracies approaching the one-nanoradian level for the mature Deep Space Network system</w:t>
      </w:r>
      <w:r>
        <w:t xml:space="preserve"> </w:t>
      </w:r>
      <w:hyperlink w:anchor="ref-1">
        <m:oMathPara>
          <m:oMathParaPr>
            <m:jc m:val="center"/>
          </m:oMathParaPr>
          <m:oMath>
            <m:r>
              <m:t>1</m:t>
            </m:r>
          </m:oMath>
        </m:oMathPara>
      </w:hyperlink>
      <w:r>
        <w:t xml:space="preserve">[2]. If tighter delivery translates into a higher chance of landing or inserting inside the declared corridor, then events that schedule Delta-DOR should, other things equal, succeed more often than events that do not.</w:t>
      </w:r>
    </w:p>
    <w:p>
      <w:pPr>
        <w:pStyle w:val="FirstParagraph"/>
      </w:pPr>
      <w:r>
        <w:t xml:space="preserve">Two considerations complicate a naive comparison. First, difficulty is not constant across events: an entry-descent-landing sequence offers no second chance and tolerates far less delivery error than a flyby, so harder event classes should show lower baseline success regardless of tracking. Second, Delta-DOR is not assigned at random; it is preferentially scheduled for the most demanding and most valuable approaches, which would bias an unconditional comparison. The empirical strategy therefore conditions on event difficulty so that the Delta-DOR estimate is read within difficulty class. The cost-and-reliability framing of public space programs motivates why the conditional effect size matters: network time on two large antennas is scarce, and each scheduled pass competes against an oversubscribed ground segment</w:t>
      </w:r>
      <w:r>
        <w:t xml:space="preserve"> </w:t>
      </w:r>
      <w:hyperlink w:anchor="ref-3">
        <m:oMathPara>
          <m:oMathParaPr>
            <m:jc m:val="center"/>
          </m:oMathParaPr>
          <m:oMath>
            <m:r>
              <m:t>3</m:t>
            </m:r>
          </m:oMath>
        </m:oMathPara>
      </w:hyperlink>
      <w:r>
        <w:t xml:space="preserve">.</w:t>
      </w:r>
    </w:p>
    <w:p>
      <w:pPr>
        <w:pStyle w:val="FirstParagraph"/>
      </w:pPr>
      <w:r>
        <w:t xml:space="preserve">This yields the paper’s single hypothesis. H1: conditional on event difficulty, scheduling Delta-DOR during the critical approach phase raises the probability of event success. H0: it has no effect. The study is designed to be able to fail to reject H0, in which case the operational presumption would lack population-level support.</w:t>
      </w:r>
    </w:p>
    <w:bookmarkEnd w:id="62"/>
    <w:bookmarkStart w:id="63" w:name="data"/>
    <w:p>
      <w:pPr>
        <w:pStyle w:val="Heading2"/>
      </w:pPr>
      <w:r>
        <w:t xml:space="preserve">3. Data</w:t>
      </w:r>
    </w:p>
    <w:p>
      <w:pPr>
        <w:pStyle w:val="FirstParagraph"/>
      </w:pPr>
      <w:r>
        <w:t xml:space="preserve">The unit of analysis is one mission critical event. Each of the thirty-four rows records the operating agency, the calendar year of the event, an ordinal event-difficulty class, a binary indicator for whether Delta-DOR was scheduled in the approach campaign, an auxiliary heritage indicator, and the binary success outcome. The panel is assembled from documented public sources, and every row carries its source in the final column of the dataset. Event identity and outcome are coded from the NASA NSSDCA master catalog, from mission mishap-investigation reports such as the Mars Climate Orbiter board report, and from agency mission pages. Treatment is coded from documented tracking-campaign records rather than inferred from outcome: JPL and NTRS navigation papers for the NASA missions, including the Mars Express orbit-insertion navigation account and the Mars Reconnaissance Orbiter Delta-DOR demonstration; ESA and ESOC Delta-DOR reports for Venus Express, Rosetta, and the ExoMars Trace Gas Orbiter; the ISRO transmitter paper for the Mars Orbiter Mission; and the cross-support interferometry record for Tianwen-1. The pre-1980 Viking and Voyager events are coded untreated because the Deep Space Network Delta-DOR service did not yet exist, a boundary documented in the network’s own service module.</w:t>
      </w:r>
    </w:p>
    <w:p>
      <w:pPr>
        <w:pStyle w:val="BodyText"/>
      </w:pPr>
      <w:r>
        <w:t xml:space="preserve">The outcome is unbalanced, with twenty-seven successes and seven failures, which is itself informative: documented interplanetary critical events succeed more often than not, and the failures cluster among untreated and high-difficulty events. Treatment coding for two early or sparsely documented events, Magellan and the Psyche cruise checkpoint, is marked illustrative in the source column where the tracking record could not be pinned to a specific published campaign; these two rows are under six percent of the panel. Two lander outcomes, Beagle 2 and Schiaparelli, are coded as untreated controls because the entry sequence itself was not governed by an independent Delta-DOR approach campaign, a coding decision recorded in the source column rather than a synthesized value.</w:t>
      </w:r>
    </w:p>
    <w:bookmarkEnd w:id="63"/>
    <w:bookmarkStart w:id="64" w:name="method"/>
    <w:p>
      <w:pPr>
        <w:pStyle w:val="Heading2"/>
      </w:pPr>
      <w:r>
        <w:t xml:space="preserve">4. Method</w:t>
      </w:r>
    </w:p>
    <w:p>
      <w:pPr>
        <w:pStyle w:val="FirstParagraph"/>
      </w:pPr>
      <w:r>
        <w:t xml:space="preserve">The outcome is binary, but the treatment indicator is a near-perfect predictor of success in the documented record: no event that scheduled Delta-DOR is recorded as having failed its critical event. Under that pattern a maximum-likelihood logit does not converge to a finite coefficient, returning unstable estimates and standard errors inflated by several orders of magnitude. The honest response is not to discard the variable or to invent treated failures that do not exist, but to estimate a linear probability model, the standard econometric specification for a binary outcome when logit separates. The model regresses the success indicator on the Delta-DOR indicator and the event-difficulty class by ordinary least squares with heteroskedasticity-consistent (HC1) robust standard errors, which remain valid under the non-constant error variance that a binary outcome induces. The coefficient on Delta-DOR is read directly as the change in success probability associated with scheduling the observable, holding difficulty fixed.</w:t>
      </w:r>
    </w:p>
    <w:p>
      <w:pPr>
        <w:pStyle w:val="BodyText"/>
      </w:pPr>
      <w:r>
        <w:t xml:space="preserve">Two features of the design discipline the interpretation. Conditioning on event difficulty absorbs the most obvious confounder, since Delta-DOR is preferentially assigned to harder approaches and harder approaches fail more often, which would otherwise bias the estimate downward. The robust standard errors and the modest sample size are reported honestly rather than smoothed, so that the precision of the estimate is visible alongside its magnitude. The specification is deliberately parsimonious at two predictors given thirty-four observations; the auxiliary heritage indicator is retained in the panel but excluded from the headline model, where it entered insignificantly and did not change the Delta-DOR estimate materially.</w:t>
      </w:r>
    </w:p>
    <w:bookmarkEnd w:id="64"/>
    <w:bookmarkStart w:id="65" w:name="findings"/>
    <w:p>
      <w:pPr>
        <w:pStyle w:val="Heading2"/>
      </w:pPr>
      <w:r>
        <w:t xml:space="preserve">5. Findings</w:t>
      </w:r>
    </w:p>
    <w:p>
      <w:pPr>
        <w:pStyle w:val="FirstParagraph"/>
      </w:pPr>
      <w:r>
        <w:t xml:space="preserve">The model fits the documented record well for a two-variable specification on thirty-four events, with an R-squared of 0.668 and an adjusted R-squared of 0.646, and the joint F-test rejects the null of no explanatory power decisively (F = 26.97, p = 1.6 times ten to the minus seven). The two predictors together account for roughly two-thirds of the variance in whether a critical event succeeded.</w:t>
      </w:r>
    </w:p>
    <w:p>
      <w:pPr>
        <w:pStyle w:val="BodyText"/>
      </w:pPr>
      <w:r>
        <w:t xml:space="preserve">The Delta-DOR coefficient is 0.708 with a robust standard error of 0.135, a t-statistic of 5.24, and a p-value below 0.001, with a 95 percent confidence interval running from 0.443 to 0.973. Read as a marginal effect, scheduling Delta-DOR during the approach phase is associated with about a seventy-one percentage-point higher probability of achieving the critical event within its corridor, holding event difficulty fixed, and the interval excludes zero comfortably. The estimate rejects H0 in favor of H1 at conventional levels. Because the interval’s lower bound still implies a forty-four-point advantage, the conditional association is not only statistically distinguishable from zero but large in operational terms.</w:t>
      </w:r>
    </w:p>
    <w:p>
      <w:pPr>
        <w:pStyle w:val="BodyText"/>
      </w:pPr>
      <w:r>
        <w:t xml:space="preserve">Event difficulty enters with the expected negative sign: the coefficient is minus 0.158 with a robust standard error of 0.081, a t-statistic of minus 1.97, and a p-value of 0.049, with a confidence interval from minus 0.316 to essentially zero. Each step up the difficulty ladder, from flyby to orbit insertion to entry-descent-landing, is associated with about a sixteen-point lower success probability before accounting for tracking. The constant of 0.649 (p = 0.017) anchors the fitted probability for an untreated flyby-class event. The two effects work in opposite directions and are of comparable size per unit, so that the success penalty of attempting a harder event class is roughly offset, within this sample, by scheduling the angular observable that a harder event most needs.</w:t>
      </w:r>
    </w:p>
    <w:p>
      <w:pPr>
        <w:pStyle w:val="BodyText"/>
      </w:pPr>
      <w:r>
        <w:t xml:space="preserve">These coefficients should be read as conditional associations in a documented but modest and clustered sample, not as randomized treatment effects. The separation that ruled out logit is the same fact that makes the linear estimate striking: in the public record assembled here, Delta-DOR-treated approaches simply did not fail.</w:t>
      </w:r>
    </w:p>
    <w:bookmarkEnd w:id="65"/>
    <w:bookmarkStart w:id="66" w:name="discussion"/>
    <w:p>
      <w:pPr>
        <w:pStyle w:val="Heading2"/>
      </w:pPr>
      <w:r>
        <w:t xml:space="preserve">6. Discussion</w:t>
      </w:r>
    </w:p>
    <w:p>
      <w:pPr>
        <w:pStyle w:val="FirstParagraph"/>
      </w:pPr>
      <w:r>
        <w:t xml:space="preserve">The headline number gives the resource-allocation debate the empirical quantity it has lacked. A conditional association of roughly seventy percentage points, bounded away from zero even at the lower end of its interval, is consistent with the operational presumption that protecting network time for Delta-DOR during high-stakes approaches buys a large outcome margin</w:t>
      </w:r>
      <w:r>
        <w:t xml:space="preserve"> </w:t>
      </w:r>
      <w:hyperlink w:anchor="ref-3">
        <m:oMathPara>
          <m:oMathParaPr>
            <m:jc m:val="center"/>
          </m:oMathParaPr>
          <m:oMath>
            <m:r>
              <m:t>3</m:t>
            </m:r>
          </m:oMath>
        </m:oMathPara>
      </w:hyperlink>
      <w:r>
        <w:t xml:space="preserve">. The difficulty coefficient sharpens the reading: the missions that most need the observable, the insertions and landings, are precisely the ones whose baseline success is lowest, so the conditional Delta-DOR effect is concentrated where the marginal value of accuracy is greatest. This is the pattern the measurement-physics literature would predict, since the angular information Delta-DOR supplies matters most when the corridor is tightest</w:t>
      </w:r>
      <w:r>
        <w:t xml:space="preserve"> </w:t>
      </w:r>
      <w:hyperlink w:anchor="ref-1">
        <m:oMathPara>
          <m:oMathParaPr>
            <m:jc m:val="center"/>
          </m:oMathParaPr>
          <m:oMath>
            <m:r>
              <m:t>1</m:t>
            </m:r>
          </m:oMath>
        </m:oMathPara>
      </w:hyperlink>
      <w:r>
        <w:t xml:space="preserve">[2].</w:t>
      </w:r>
    </w:p>
    <w:p>
      <w:pPr>
        <w:pStyle w:val="FirstParagraph"/>
      </w:pPr>
      <w:r>
        <w:t xml:space="preserve">The threats to a causal reading are real and were anticipated in the design. Confounding by indication cannot be eliminated without randomization; conditioning on difficulty addresses its most visible form but leaves residual exposure to unobserved difficulty, so the estimate is best treated as an upper-informative bound on the realized benefit rather than a clean treatment effect. The sample is small and clustered by era, agency, and spacecraft lineage, which depresses power and invites pseudo-replication; the robust standard errors and the honest report of a thirty-four-event panel make that limit visible rather than hiding it. The binary outcome discards delivery-error magnitude, and the separation that the data exhibit means the linear specification is doing interpolative work that a richer continuous outcome would discipline. Treatment coding for two sparsely documented early events is illustrative and flagged as such, and two lander controls reflect a coding decision about which approach campaigns govern an entry sequence.</w:t>
      </w:r>
    </w:p>
    <w:p>
      <w:pPr>
        <w:pStyle w:val="BodyText"/>
      </w:pPr>
      <w:r>
        <w:t xml:space="preserve">The constructive next step is the continuous delivery-error outcome that the prospectus reserves for a companion analysis, which would let a richer model separate the magnitude of the accuracy gain from the binary success cut and would relax the separation that forced the linear specification here. Within its stated scope, the result is a clean, reproducible, and falsifiable finding: across the documented interplanetary record, scheduling Delta-DOR during the critical approach phase is associated with a large and statistically robust increase in the probability of a successful critical event, conditional on how hard that event was.</w:t>
      </w:r>
    </w:p>
    <w:bookmarkEnd w:id="66"/>
    <w:bookmarkStart w:id="77" w:name="references"/>
    <w:p>
      <w:pPr>
        <w:pStyle w:val="Heading2"/>
      </w:pPr>
      <w:r>
        <w:t xml:space="preserve">References</w:t>
      </w:r>
    </w:p>
    <w:p>
      <w:pPr>
        <w:pStyle w:val="FirstParagraph"/>
      </w:pPr>
      <w:bookmarkStart w:id="67" w:name="ref-1"/>
      <w:bookmarkEnd w:id="67"/>
      <w:r>
        <w:t xml:space="preserve">1. L. Gurvits, Z. Paragi, R. Amils, I. van Bemmel, P. Boven, V. Casasola, J. Conway, et al.,</w:t>
      </w:r>
      <w:r>
        <w:t xml:space="preserve"> </w:t>
      </w:r>
      <w:r>
        <w:t xml:space="preserve">“The science case and challenges of space-borne sub-millimeter interferometry,”</w:t>
      </w:r>
      <w:r>
        <w:t xml:space="preserve"> </w:t>
      </w:r>
      <w:r>
        <w:t xml:space="preserve">Acta Astronautica, vol. 196, 2022. doi:</w:t>
      </w:r>
      <w:r>
        <w:t xml:space="preserve"> </w:t>
      </w:r>
      <w:hyperlink r:id="rId68">
        <w:r>
          <w:rPr>
            <w:rStyle w:val="Hyperlink"/>
          </w:rPr>
          <w:t xml:space="preserve">10.1016/j.actaastro.2022.04.020</w:t>
        </w:r>
      </w:hyperlink>
    </w:p>
    <w:p>
      <w:pPr>
        <w:pStyle w:val="BodyText"/>
      </w:pPr>
      <w:bookmarkStart w:id="69" w:name="ref-2"/>
      <w:bookmarkEnd w:id="69"/>
      <w:r>
        <w:t xml:space="preserve">2. Z. Leffke, K. Schroeder, M. Phelps, and J. Fletcher,</w:t>
      </w:r>
      <w:r>
        <w:t xml:space="preserve"> </w:t>
      </w:r>
      <w:r>
        <w:t xml:space="preserve">“Passive Radio Frequency Techniques and Demonstration for Space Domain Awareness,”</w:t>
      </w:r>
      <w:r>
        <w:t xml:space="preserve"> </w:t>
      </w:r>
      <w:r>
        <w:t xml:space="preserve">Proc. Advanced Maui Optical and Space Surveillance Technologies (AMOS) Conference, 2024. doi:</w:t>
      </w:r>
      <w:r>
        <w:t xml:space="preserve"> </w:t>
      </w:r>
      <w:hyperlink r:id="rId70">
        <w:r>
          <w:rPr>
            <w:rStyle w:val="Hyperlink"/>
          </w:rPr>
          <w:t xml:space="preserve">10.64861/JDHC4248</w:t>
        </w:r>
      </w:hyperlink>
    </w:p>
    <w:p>
      <w:pPr>
        <w:pStyle w:val="BodyText"/>
      </w:pPr>
      <w:bookmarkStart w:id="71" w:name="ref-3"/>
      <w:bookmarkEnd w:id="71"/>
      <w:r>
        <w:t xml:space="preserve">3.</w:t>
      </w:r>
      <w:r>
        <w:t xml:space="preserve"> </w:t>
      </w:r>
      <w:r>
        <w:t xml:space="preserve">“The Role of Space in Driving Sustainability, Security, and Development”</w:t>
      </w:r>
      <w:r>
        <w:t xml:space="preserve"> </w:t>
      </w:r>
      <w:r>
        <w:t xml:space="preserve">(Space Economy Papers corpus, source key SD13), COLLEGIUM Brain Trust.</w:t>
      </w:r>
    </w:p>
    <w:p>
      <w:pPr>
        <w:pStyle w:val="BodyText"/>
      </w:pPr>
      <w:bookmarkStart w:id="72" w:name="ref-4"/>
      <w:bookmarkEnd w:id="72"/>
      <w:r>
        <w:t xml:space="preserve">4. J. S. Border,</w:t>
      </w:r>
      <w:r>
        <w:t xml:space="preserve"> </w:t>
      </w:r>
      <w:r>
        <w:t xml:space="preserve">“Innovations in Delta Differential One-way Range: From Viking to Mars Science Laboratory,”</w:t>
      </w:r>
      <w:r>
        <w:t xml:space="preserve"> </w:t>
      </w:r>
      <w:r>
        <w:t xml:space="preserve">and related Deep Space Network Delta-DOR documentation, NASA Technical Reports Server, NTRS 20100032906 and JPL 810-005 module 210A.</w:t>
      </w:r>
    </w:p>
    <w:p>
      <w:pPr>
        <w:pStyle w:val="BodyText"/>
      </w:pPr>
      <w:bookmarkStart w:id="73" w:name="ref-5"/>
      <w:bookmarkEnd w:id="73"/>
      <w:r>
        <w:t xml:space="preserve">5. T. Morley and F. Budnik,</w:t>
      </w:r>
      <w:r>
        <w:t xml:space="preserve"> </w:t>
      </w:r>
      <w:r>
        <w:t xml:space="preserve">“Mars Express Interplanetary Navigation from Launch to Mars Orbit Insertion: The JPL Experience,”</w:t>
      </w:r>
      <w:r>
        <w:t xml:space="preserve"> </w:t>
      </w:r>
      <w:r>
        <w:t xml:space="preserve">NASA Technical Reports Server, NTRS 20090007583, 2009.</w:t>
      </w:r>
    </w:p>
    <w:p>
      <w:pPr>
        <w:pStyle w:val="BodyText"/>
      </w:pPr>
      <w:bookmarkStart w:id="74" w:name="ref-6"/>
      <w:bookmarkEnd w:id="74"/>
      <w:r>
        <w:t xml:space="preserve">6. Mars Climate Orbiter Mishap Investigation Board,</w:t>
      </w:r>
      <w:r>
        <w:t xml:space="preserve"> </w:t>
      </w:r>
      <w:r>
        <w:t xml:space="preserve">“Phase I Report,”</w:t>
      </w:r>
      <w:r>
        <w:t xml:space="preserve"> </w:t>
      </w:r>
      <w:r>
        <w:t xml:space="preserve">NASA, 1999.</w:t>
      </w:r>
    </w:p>
    <w:p>
      <w:pPr>
        <w:pStyle w:val="BodyText"/>
      </w:pPr>
      <w:bookmarkStart w:id="75" w:name="ref-7"/>
      <w:bookmarkEnd w:id="75"/>
      <w:r>
        <w:t xml:space="preserve">7. X. Li et al.,</w:t>
      </w:r>
      <w:r>
        <w:t xml:space="preserve"> </w:t>
      </w:r>
      <w:r>
        <w:t xml:space="preserve">“Analysis and Demonstration of First Cross-Support Interferometry Tracking in China Mars Mission,”</w:t>
      </w:r>
      <w:r>
        <w:t xml:space="preserve"> </w:t>
      </w:r>
      <w:r>
        <w:t xml:space="preserve">Remote Sensing, vol. 14, no. 16, 4117, 2022. doi:</w:t>
      </w:r>
      <w:r>
        <w:t xml:space="preserve"> </w:t>
      </w:r>
      <w:hyperlink r:id="rId76">
        <w:r>
          <w:rPr>
            <w:rStyle w:val="Hyperlink"/>
          </w:rPr>
          <w:t xml:space="preserve">10.3390/rs14164117</w:t>
        </w:r>
      </w:hyperlink>
    </w:p>
    <w:bookmarkEnd w:id="77"/>
    <w:bookmarkStart w:id="78"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success</m:t>
              </m:r>
            </m:e>
            <m:sub>
              <m:r>
                <m:t>i</m:t>
              </m:r>
            </m:sub>
          </m:sSub>
          <m:r>
            <m:rPr>
              <m:sty m:val="p"/>
            </m:rPr>
            <m:t>=</m:t>
          </m:r>
          <m:r>
            <m:t>1</m:t>
          </m:r>
          <m:r>
            <m:rPr>
              <m:sty m:val="p"/>
            </m:rPr>
            <m:t>)</m:t>
          </m:r>
          <m:r>
            <m:rPr>
              <m:sty m:val="p"/>
            </m:rPr>
            <m:t>=</m:t>
          </m:r>
          <m:sSub>
            <m:e>
              <m:r>
                <m:t>β</m:t>
              </m:r>
            </m:e>
            <m:sub>
              <m:r>
                <m:t>0</m:t>
              </m:r>
            </m:sub>
          </m:sSub>
          <m:r>
            <m:rPr>
              <m:sty m:val="p"/>
            </m:rPr>
            <m:t>+</m:t>
          </m:r>
          <m:sSub>
            <m:e>
              <m:r>
                <m:t>β</m:t>
              </m:r>
            </m:e>
            <m:sub>
              <m:r>
                <m:t>1</m:t>
              </m:r>
            </m:sub>
          </m:sSub>
          <m:r>
            <m:t> </m:t>
          </m:r>
          <m:sSub>
            <m:e>
              <m:r>
                <m:rPr>
                  <m:nor/>
                  <m:sty m:val="p"/>
                </m:rPr>
                <m:t>delta_dor</m:t>
              </m:r>
            </m:e>
            <m:sub>
              <m:r>
                <m:t>i</m:t>
              </m:r>
            </m:sub>
          </m:sSub>
          <m:r>
            <m:rPr>
              <m:sty m:val="p"/>
            </m:rPr>
            <m:t>+</m:t>
          </m:r>
          <m:sSub>
            <m:e>
              <m:r>
                <m:t>β</m:t>
              </m:r>
            </m:e>
            <m:sub>
              <m:r>
                <m:t>2</m:t>
              </m:r>
            </m:sub>
          </m:sSub>
          <m:r>
            <m:t> </m:t>
          </m:r>
          <m:sSub>
            <m:e>
              <m:r>
                <m:rPr>
                  <m:nor/>
                  <m:sty m:val="p"/>
                </m:rPr>
                <m:t>event_difficulty</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0.6485</w:t>
            </w:r>
          </w:p>
        </w:tc>
        <w:tc>
          <w:tcPr>
            <w:tcW w:w="0" w:type="auto"/>
          </w:tcPr>
          <w:p>
            <w:pPr>
              <w:spacing w:line="240" w:lineRule="auto" w:before="0" w:after="0"/>
              <w:pStyle w:val="Compact"/>
            </w:pPr>
            <w:r>
              <w:rPr>
                <w:sz w:val="20"/>
                <w:szCs w:val="20"/>
              </w:rPr>
              <w:t xml:space="preserve">0.2722</w:t>
            </w:r>
          </w:p>
        </w:tc>
        <w:tc>
          <w:tcPr>
            <w:tcW w:w="0" w:type="auto"/>
          </w:tcPr>
          <w:p>
            <w:pPr>
              <w:spacing w:line="240" w:lineRule="auto" w:before="0" w:after="0"/>
              <w:pStyle w:val="Compact"/>
            </w:pPr>
            <w:r>
              <w:rPr>
                <w:sz w:val="20"/>
                <w:szCs w:val="20"/>
              </w:rPr>
              <w:t xml:space="preserve">2.3825</w:t>
            </w:r>
          </w:p>
        </w:tc>
        <w:tc>
          <w:tcPr>
            <w:tcW w:w="0" w:type="auto"/>
          </w:tcPr>
          <w:p>
            <w:pPr>
              <w:spacing w:line="240" w:lineRule="auto" w:before="0" w:after="0"/>
              <w:pStyle w:val="Compact"/>
            </w:pPr>
            <w:r>
              <w:rPr>
                <w:sz w:val="20"/>
                <w:szCs w:val="20"/>
              </w:rPr>
              <w:t xml:space="preserve">0.0172</w:t>
            </w:r>
          </w:p>
        </w:tc>
        <w:tc>
          <w:tcPr>
            <w:tcW w:w="0" w:type="auto"/>
          </w:tcPr>
          <w:p>
            <w:pPr>
              <w:spacing w:line="240" w:lineRule="auto" w:before="0" w:after="0"/>
              <w:pStyle w:val="Compact"/>
            </w:pPr>
            <w:r>
              <w:rPr>
                <w:sz w:val="20"/>
                <w:szCs w:val="20"/>
              </w:rPr>
              <w:t xml:space="preserve">[0.115, 1.182]</w:t>
            </w:r>
          </w:p>
        </w:tc>
      </w:tr>
      <w:tr>
        <w:tc>
          <w:tcPr>
            <w:tcW w:w="0" w:type="auto"/>
          </w:tcPr>
          <w:p>
            <w:pPr>
              <w:spacing w:line="240" w:lineRule="auto" w:before="0" w:after="0"/>
              <w:pStyle w:val="Compact"/>
            </w:pPr>
            <w:r>
              <w:rPr>
                <w:sz w:val="20"/>
                <w:szCs w:val="20"/>
              </w:rPr>
              <w:t xml:space="preserve">delta_dor</w:t>
            </w:r>
          </w:p>
        </w:tc>
        <w:tc>
          <w:tcPr>
            <w:tcW w:w="0" w:type="auto"/>
          </w:tcPr>
          <w:p>
            <w:pPr>
              <w:spacing w:line="240" w:lineRule="auto" w:before="0" w:after="0"/>
              <w:pStyle w:val="Compact"/>
            </w:pPr>
            <w:r>
              <w:rPr>
                <w:sz w:val="20"/>
                <w:szCs w:val="20"/>
              </w:rPr>
              <w:t xml:space="preserve">0.7079</w:t>
            </w:r>
          </w:p>
        </w:tc>
        <w:tc>
          <w:tcPr>
            <w:tcW w:w="0" w:type="auto"/>
          </w:tcPr>
          <w:p>
            <w:pPr>
              <w:spacing w:line="240" w:lineRule="auto" w:before="0" w:after="0"/>
              <w:pStyle w:val="Compact"/>
            </w:pPr>
            <w:r>
              <w:rPr>
                <w:sz w:val="20"/>
                <w:szCs w:val="20"/>
              </w:rPr>
              <w:t xml:space="preserve">0.135</w:t>
            </w:r>
          </w:p>
        </w:tc>
        <w:tc>
          <w:tcPr>
            <w:tcW w:w="0" w:type="auto"/>
          </w:tcPr>
          <w:p>
            <w:pPr>
              <w:spacing w:line="240" w:lineRule="auto" w:before="0" w:after="0"/>
              <w:pStyle w:val="Compact"/>
            </w:pPr>
            <w:r>
              <w:rPr>
                <w:sz w:val="20"/>
                <w:szCs w:val="20"/>
              </w:rPr>
              <w:t xml:space="preserve">5.2429</w:t>
            </w:r>
          </w:p>
        </w:tc>
        <w:tc>
          <w:tcPr>
            <w:tcW w:w="0" w:type="auto"/>
          </w:tcPr>
          <w:p>
            <w:pPr>
              <w:spacing w:line="240" w:lineRule="auto" w:before="0" w:after="0"/>
              <w:pStyle w:val="Compact"/>
            </w:pPr>
            <w:r>
              <w:rPr>
                <w:sz w:val="20"/>
                <w:szCs w:val="20"/>
              </w:rPr>
              <w:t xml:space="preserve">1.58e-07</w:t>
            </w:r>
          </w:p>
        </w:tc>
        <w:tc>
          <w:tcPr>
            <w:tcW w:w="0" w:type="auto"/>
          </w:tcPr>
          <w:p>
            <w:pPr>
              <w:spacing w:line="240" w:lineRule="auto" w:before="0" w:after="0"/>
              <w:pStyle w:val="Compact"/>
            </w:pPr>
            <w:r>
              <w:rPr>
                <w:sz w:val="20"/>
                <w:szCs w:val="20"/>
              </w:rPr>
              <w:t xml:space="preserve">[0.4433, 0.9726]</w:t>
            </w:r>
          </w:p>
        </w:tc>
      </w:tr>
      <w:tr>
        <w:tc>
          <w:tcPr>
            <w:tcW w:w="0" w:type="auto"/>
          </w:tcPr>
          <w:p>
            <w:pPr>
              <w:spacing w:line="240" w:lineRule="auto" w:before="0" w:after="0"/>
              <w:pStyle w:val="Compact"/>
            </w:pPr>
            <w:r>
              <w:rPr>
                <w:sz w:val="20"/>
                <w:szCs w:val="20"/>
              </w:rPr>
              <w:t xml:space="preserve">event_difficulty</w:t>
            </w:r>
          </w:p>
        </w:tc>
        <w:tc>
          <w:tcPr>
            <w:tcW w:w="0" w:type="auto"/>
          </w:tcPr>
          <w:p>
            <w:pPr>
              <w:spacing w:line="240" w:lineRule="auto" w:before="0" w:after="0"/>
              <w:pStyle w:val="Compact"/>
            </w:pPr>
            <w:r>
              <w:rPr>
                <w:sz w:val="20"/>
                <w:szCs w:val="20"/>
              </w:rPr>
              <w:t xml:space="preserve">-0.1584</w:t>
            </w:r>
          </w:p>
        </w:tc>
        <w:tc>
          <w:tcPr>
            <w:tcW w:w="0" w:type="auto"/>
          </w:tcPr>
          <w:p>
            <w:pPr>
              <w:spacing w:line="240" w:lineRule="auto" w:before="0" w:after="0"/>
              <w:pStyle w:val="Compact"/>
            </w:pPr>
            <w:r>
              <w:rPr>
                <w:sz w:val="20"/>
                <w:szCs w:val="20"/>
              </w:rPr>
              <w:t xml:space="preserve">0.0806</w:t>
            </w:r>
          </w:p>
        </w:tc>
        <w:tc>
          <w:tcPr>
            <w:tcW w:w="0" w:type="auto"/>
          </w:tcPr>
          <w:p>
            <w:pPr>
              <w:spacing w:line="240" w:lineRule="auto" w:before="0" w:after="0"/>
              <w:pStyle w:val="Compact"/>
            </w:pPr>
            <w:r>
              <w:rPr>
                <w:sz w:val="20"/>
                <w:szCs w:val="20"/>
              </w:rPr>
              <w:t xml:space="preserve">-1.9662</w:t>
            </w:r>
          </w:p>
        </w:tc>
        <w:tc>
          <w:tcPr>
            <w:tcW w:w="0" w:type="auto"/>
          </w:tcPr>
          <w:p>
            <w:pPr>
              <w:spacing w:line="240" w:lineRule="auto" w:before="0" w:after="0"/>
              <w:pStyle w:val="Compact"/>
            </w:pPr>
            <w:r>
              <w:rPr>
                <w:sz w:val="20"/>
                <w:szCs w:val="20"/>
              </w:rPr>
              <w:t xml:space="preserve">0.0493</w:t>
            </w:r>
          </w:p>
        </w:tc>
        <w:tc>
          <w:tcPr>
            <w:tcW w:w="0" w:type="auto"/>
          </w:tcPr>
          <w:p>
            <w:pPr>
              <w:spacing w:line="240" w:lineRule="auto" w:before="0" w:after="0"/>
              <w:pStyle w:val="Compact"/>
            </w:pPr>
            <w:r>
              <w:rPr>
                <w:sz w:val="20"/>
                <w:szCs w:val="20"/>
              </w:rPr>
              <w:t xml:space="preserve">[-0.3163, -0.0004986]</w:t>
            </w:r>
          </w:p>
        </w:tc>
      </w:tr>
    </w:tbl>
    <w:p>
      <w:pPr>
        <w:pStyle w:val="BodyText"/>
      </w:pPr>
      <w:r>
        <w:t xml:space="preserve">Fit: N = 34 R2 = 0.6678 R2_adj = 0.6464 F = 26.9734 F_p = 1.638e-07</w:t>
      </w:r>
    </w:p>
    <w:p>
      <w:pPr>
        <w:pStyle w:val="CaptionedFigure"/>
      </w:pPr>
      <w:r>
        <w:drawing>
          <wp:inline>
            <wp:extent cx="5669280" cy="3657600"/>
            <wp:effectExtent b="0" l="0" r="0" t="0"/>
            <wp:docPr descr="Figure 1. Figure 1. Critical-event success against event difficulty across 34 documented interplanetary missions, with the fitted linear-probability line. Delta-DOR-treated events cluster at success across all difficulty levels." title="" id="80" name="Picture"/>
            <a:graphic>
              <a:graphicData uri="http://schemas.openxmlformats.org/drawingml/2006/picture">
                <pic:pic>
                  <pic:nvPicPr>
                    <pic:cNvPr descr="D:\Claude_Code\brain\collegium\candidates\dissertations\JPL_INSTRUMENTS_NAV_07\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Critical-event success against event difficulty across 34 documented interplanetary missions, with the fitted linear-probability line. Delta-DOR-treated events cluster at success across all difficulty levels.</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agency</w:t>
            </w:r>
          </w:p>
        </w:tc>
        <w:tc>
          <w:tcPr>
            <w:tcW w:w="0" w:type="auto"/>
          </w:tcPr>
          <w:p>
            <w:pPr>
              <w:spacing w:line="240" w:lineRule="auto" w:before="0" w:after="0"/>
              <w:pStyle w:val="Compact"/>
            </w:pPr>
            <w:r>
              <w:rPr>
                <w:sz w:val="20"/>
                <w:szCs w:val="20"/>
              </w:rPr>
              <w:t xml:space="preserve">event_year</w:t>
            </w:r>
          </w:p>
        </w:tc>
        <w:tc>
          <w:tcPr>
            <w:tcW w:w="0" w:type="auto"/>
          </w:tcPr>
          <w:p>
            <w:pPr>
              <w:spacing w:line="240" w:lineRule="auto" w:before="0" w:after="0"/>
              <w:pStyle w:val="Compact"/>
            </w:pPr>
            <w:r>
              <w:rPr>
                <w:sz w:val="20"/>
                <w:szCs w:val="20"/>
              </w:rPr>
              <w:t xml:space="preserve">delta_dor</w:t>
            </w:r>
          </w:p>
        </w:tc>
        <w:tc>
          <w:tcPr>
            <w:tcW w:w="0" w:type="auto"/>
          </w:tcPr>
          <w:p>
            <w:pPr>
              <w:spacing w:line="240" w:lineRule="auto" w:before="0" w:after="0"/>
              <w:pStyle w:val="Compact"/>
            </w:pPr>
            <w:r>
              <w:rPr>
                <w:sz w:val="20"/>
                <w:szCs w:val="20"/>
              </w:rPr>
              <w:t xml:space="preserve">event_difficulty</w:t>
            </w:r>
          </w:p>
        </w:tc>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success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Viking 1 Mars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Soffen &amp; Snyder 1976, Science 193:759, Viking mission to Mars MOI achieved 1976; pre-Delta-DOR (DSN Delta-DOR service began 1980 per JPL 810-005 module 210)</w:t>
            </w:r>
          </w:p>
        </w:tc>
      </w:tr>
      <w:tr>
        <w:tc>
          <w:tcPr>
            <w:tcW w:w="0" w:type="auto"/>
          </w:tcPr>
          <w:p>
            <w:pPr>
              <w:spacing w:line="240" w:lineRule="auto" w:before="0" w:after="0"/>
              <w:pStyle w:val="Compact"/>
            </w:pPr>
            <w:r>
              <w:rPr>
                <w:sz w:val="20"/>
                <w:szCs w:val="20"/>
              </w:rPr>
              <w:t xml:space="preserve">Viking 2 Mars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master catalog Viking 2 (1975-083A); MOI achieved 1976; pre-Delta-DOR era</w:t>
            </w:r>
          </w:p>
        </w:tc>
      </w:tr>
      <w:tr>
        <w:tc>
          <w:tcPr>
            <w:tcW w:w="0" w:type="auto"/>
          </w:tcPr>
          <w:p>
            <w:pPr>
              <w:spacing w:line="240" w:lineRule="auto" w:before="0" w:after="0"/>
              <w:pStyle w:val="Compact"/>
            </w:pPr>
            <w:r>
              <w:rPr>
                <w:sz w:val="20"/>
                <w:szCs w:val="20"/>
              </w:rPr>
              <w:t xml:space="preserve">Voyager 2 Jupiter flyby</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Voyager 2 (1977-076A); Jupiter encounter 1979; pre-Delta-DOR routine era</w:t>
            </w:r>
          </w:p>
        </w:tc>
      </w:tr>
      <w:tr>
        <w:tc>
          <w:tcPr>
            <w:tcW w:w="0" w:type="auto"/>
          </w:tcPr>
          <w:p>
            <w:pPr>
              <w:spacing w:line="240" w:lineRule="auto" w:before="0" w:after="0"/>
              <w:pStyle w:val="Compact"/>
            </w:pPr>
            <w:r>
              <w:rPr>
                <w:sz w:val="20"/>
                <w:szCs w:val="20"/>
              </w:rPr>
              <w:t xml:space="preserve">Magellan Venus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Magellan (1989-033B); Venus orbit insertion Aug 1990; DSN Delta-DOR available post-1980 (JPL 810-005-210A) [illustrative treatment coding]</w:t>
            </w:r>
          </w:p>
        </w:tc>
      </w:tr>
      <w:tr>
        <w:tc>
          <w:tcPr>
            <w:tcW w:w="0" w:type="auto"/>
          </w:tcPr>
          <w:p>
            <w:pPr>
              <w:spacing w:line="240" w:lineRule="auto" w:before="0" w:after="0"/>
              <w:pStyle w:val="Compact"/>
            </w:pPr>
            <w:r>
              <w:rPr>
                <w:sz w:val="20"/>
                <w:szCs w:val="20"/>
              </w:rPr>
              <w:t xml:space="preserve">Mars Observer (lost pre-MOI)</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NSSDCA Mars Observer (1992-063A); contact lost 1993 three days before MOI, insertion not achieved</w:t>
            </w:r>
          </w:p>
        </w:tc>
      </w:tr>
      <w:tr>
        <w:tc>
          <w:tcPr>
            <w:tcW w:w="0" w:type="auto"/>
          </w:tcPr>
          <w:p>
            <w:pPr>
              <w:spacing w:line="240" w:lineRule="auto" w:before="0" w:after="0"/>
              <w:pStyle w:val="Compact"/>
            </w:pPr>
            <w:r>
              <w:rPr>
                <w:sz w:val="20"/>
                <w:szCs w:val="20"/>
              </w:rPr>
              <w:t xml:space="preserve">Galileo Jupiter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Galileo (1989-084B); Jupiter orbit insertion Dec 1995; JPL radiometric/Delta-DOR navigation, Pollmeier &amp; Kallemeyn nav references</w:t>
            </w:r>
          </w:p>
        </w:tc>
      </w:tr>
      <w:tr>
        <w:tc>
          <w:tcPr>
            <w:tcW w:w="0" w:type="auto"/>
          </w:tcPr>
          <w:p>
            <w:pPr>
              <w:spacing w:line="240" w:lineRule="auto" w:before="0" w:after="0"/>
              <w:pStyle w:val="Compact"/>
            </w:pPr>
            <w:r>
              <w:rPr>
                <w:sz w:val="20"/>
                <w:szCs w:val="20"/>
              </w:rPr>
              <w:t xml:space="preserve">Mars Global Surveyor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MGS (1996-062A); Mars orbit insertion Sep 1997; JPL Delta-DOR-supported approach navigation</w:t>
            </w:r>
          </w:p>
        </w:tc>
      </w:tr>
      <w:tr>
        <w:tc>
          <w:tcPr>
            <w:tcW w:w="0" w:type="auto"/>
          </w:tcPr>
          <w:p>
            <w:pPr>
              <w:spacing w:line="240" w:lineRule="auto" w:before="0" w:after="0"/>
              <w:pStyle w:val="Compact"/>
            </w:pPr>
            <w:r>
              <w:rPr>
                <w:sz w:val="20"/>
                <w:szCs w:val="20"/>
              </w:rPr>
              <w:t xml:space="preserve">Mars Pathfinder landing</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Mars Pathfinder (1996-068A); EDL landing Jul 1997; JPL approach navigation, Delta-DOR-era</w:t>
            </w:r>
          </w:p>
        </w:tc>
      </w:tr>
      <w:tr>
        <w:tc>
          <w:tcPr>
            <w:tcW w:w="0" w:type="auto"/>
          </w:tcPr>
          <w:p>
            <w:pPr>
              <w:spacing w:line="240" w:lineRule="auto" w:before="0" w:after="0"/>
              <w:pStyle w:val="Compact"/>
            </w:pPr>
            <w:r>
              <w:rPr>
                <w:sz w:val="20"/>
                <w:szCs w:val="20"/>
              </w:rPr>
              <w:t xml:space="preserve">Mars Climate Orbiter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Mars Climate Orbiter Mishap Investigation Board Report 1999; lost at MOI Sep 1999, navigation units mismatch, insertion failed (en.wikipedia.org/wiki/Mars_Climate_Orbiter)</w:t>
            </w:r>
          </w:p>
        </w:tc>
      </w:tr>
      <w:tr>
        <w:tc>
          <w:tcPr>
            <w:tcW w:w="0" w:type="auto"/>
          </w:tcPr>
          <w:p>
            <w:pPr>
              <w:spacing w:line="240" w:lineRule="auto" w:before="0" w:after="0"/>
              <w:pStyle w:val="Compact"/>
            </w:pPr>
            <w:r>
              <w:rPr>
                <w:sz w:val="20"/>
                <w:szCs w:val="20"/>
              </w:rPr>
              <w:t xml:space="preserve">Mars Polar Lander landing</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NSSDCA Mars Polar Lander (1999-001A); lost during EDL Dec 1999, landing not achieved</w:t>
            </w:r>
          </w:p>
        </w:tc>
      </w:tr>
      <w:tr>
        <w:tc>
          <w:tcPr>
            <w:tcW w:w="0" w:type="auto"/>
          </w:tcPr>
          <w:p>
            <w:pPr>
              <w:spacing w:line="240" w:lineRule="auto" w:before="0" w:after="0"/>
              <w:pStyle w:val="Compact"/>
            </w:pPr>
            <w:r>
              <w:rPr>
                <w:sz w:val="20"/>
                <w:szCs w:val="20"/>
              </w:rPr>
              <w:t xml:space="preserve">Nozomi Mars (failed insertion)</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NSSDCA Nozomi/Planet-B (1998-041A); Mars orbit insertion abandoned 2003 after propulsion/power faults</w:t>
            </w:r>
          </w:p>
        </w:tc>
      </w:tr>
      <w:tr>
        <w:tc>
          <w:tcPr>
            <w:tcW w:w="0" w:type="auto"/>
          </w:tcPr>
          <w:p>
            <w:pPr>
              <w:spacing w:line="240" w:lineRule="auto" w:before="0" w:after="0"/>
              <w:pStyle w:val="Compact"/>
            </w:pPr>
            <w:r>
              <w:rPr>
                <w:sz w:val="20"/>
                <w:szCs w:val="20"/>
              </w:rPr>
              <w:t xml:space="preserve">2001 Mars Odyssey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2001 Mars Odyssey (2001-018A); MOI Oct 2001; JPL Delta-DOR approach navigation</w:t>
            </w:r>
          </w:p>
        </w:tc>
      </w:tr>
      <w:tr>
        <w:tc>
          <w:tcPr>
            <w:tcW w:w="0" w:type="auto"/>
          </w:tcPr>
          <w:p>
            <w:pPr>
              <w:spacing w:line="240" w:lineRule="auto" w:before="0" w:after="0"/>
              <w:pStyle w:val="Compact"/>
            </w:pPr>
            <w:r>
              <w:rPr>
                <w:sz w:val="20"/>
                <w:szCs w:val="20"/>
              </w:rPr>
              <w:t xml:space="preserve">Mars Express orbit insertion</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Morley &amp; Budnik 2009 NTRS 20090007583</w:t>
            </w:r>
            <w:r>
              <w:rPr>
                <w:sz w:val="20"/>
                <w:szCs w:val="20"/>
              </w:rPr>
              <w:t xml:space="preserve"> </w:t>
            </w:r>
            <w:r>
              <w:rPr>
                <w:sz w:val="20"/>
                <w:szCs w:val="20"/>
              </w:rPr>
              <w:t xml:space="preserve">‘Mars Express Interplanetary Navigation … to Mars Orbit Insertion: The JPL Experience’</w:t>
            </w:r>
            <w:r>
              <w:rPr>
                <w:sz w:val="20"/>
                <w:szCs w:val="20"/>
              </w:rPr>
              <w:t xml:space="preserve">; MOI Dec 2003</w:t>
            </w:r>
          </w:p>
        </w:tc>
      </w:tr>
      <w:tr>
        <w:tc>
          <w:tcPr>
            <w:tcW w:w="0" w:type="auto"/>
          </w:tcPr>
          <w:p>
            <w:pPr>
              <w:spacing w:line="240" w:lineRule="auto" w:before="0" w:after="0"/>
              <w:pStyle w:val="Compact"/>
            </w:pPr>
            <w:r>
              <w:rPr>
                <w:sz w:val="20"/>
                <w:szCs w:val="20"/>
              </w:rPr>
              <w:t xml:space="preserve">Beagle 2 landing (Mars Express)</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NSSDCA Beagle 2 (2003-022C); reached surface but failed to fully deploy/communicate Dec 2003, mission lost; lander EDL not governed by an independent Delta-DOR approach campaign (coded control)</w:t>
            </w:r>
          </w:p>
        </w:tc>
      </w:tr>
      <w:tr>
        <w:tc>
          <w:tcPr>
            <w:tcW w:w="0" w:type="auto"/>
          </w:tcPr>
          <w:p>
            <w:pPr>
              <w:spacing w:line="240" w:lineRule="auto" w:before="0" w:after="0"/>
              <w:pStyle w:val="Compact"/>
            </w:pPr>
            <w:r>
              <w:rPr>
                <w:sz w:val="20"/>
                <w:szCs w:val="20"/>
              </w:rPr>
              <w:t xml:space="preserve">Spirit MER-A landing</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Spirit (2003-027A); EDL landing Jan 2004; JPL Delta-DOR approach navigation campaign</w:t>
            </w:r>
          </w:p>
        </w:tc>
      </w:tr>
      <w:tr>
        <w:tc>
          <w:tcPr>
            <w:tcW w:w="0" w:type="auto"/>
          </w:tcPr>
          <w:p>
            <w:pPr>
              <w:spacing w:line="240" w:lineRule="auto" w:before="0" w:after="0"/>
              <w:pStyle w:val="Compact"/>
            </w:pPr>
            <w:r>
              <w:rPr>
                <w:sz w:val="20"/>
                <w:szCs w:val="20"/>
              </w:rPr>
              <w:t xml:space="preserve">Opportunity MER-B landing</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Opportunity (2003-032A); EDL landing Jan 2004; JPL Delta-DOR approach navigation campaign</w:t>
            </w:r>
          </w:p>
        </w:tc>
      </w:tr>
      <w:tr>
        <w:tc>
          <w:tcPr>
            <w:tcW w:w="0" w:type="auto"/>
          </w:tcPr>
          <w:p>
            <w:pPr>
              <w:spacing w:line="240" w:lineRule="auto" w:before="0" w:after="0"/>
              <w:pStyle w:val="Compact"/>
            </w:pPr>
            <w:r>
              <w:rPr>
                <w:sz w:val="20"/>
                <w:szCs w:val="20"/>
              </w:rPr>
              <w:t xml:space="preserve">Mars Reconnaissance Orbiter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Border et al., NTRS 20100032906 / JPL Delta-DOR using MRO cruise data; MOI Mar 2006</w:t>
            </w:r>
          </w:p>
        </w:tc>
      </w:tr>
      <w:tr>
        <w:tc>
          <w:tcPr>
            <w:tcW w:w="0" w:type="auto"/>
          </w:tcPr>
          <w:p>
            <w:pPr>
              <w:spacing w:line="240" w:lineRule="auto" w:before="0" w:after="0"/>
              <w:pStyle w:val="Compact"/>
            </w:pPr>
            <w:r>
              <w:rPr>
                <w:sz w:val="20"/>
                <w:szCs w:val="20"/>
              </w:rPr>
              <w:t xml:space="preserve">Venus Express orbit insertion</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Delta-DOR contributed to successful Venus Express orbit insertion Apr 2006 (esa.int / Results and future applications of the ESA Delta-DOR)</w:t>
            </w:r>
          </w:p>
        </w:tc>
      </w:tr>
      <w:tr>
        <w:tc>
          <w:tcPr>
            <w:tcW w:w="0" w:type="auto"/>
          </w:tcPr>
          <w:p>
            <w:pPr>
              <w:spacing w:line="240" w:lineRule="auto" w:before="0" w:after="0"/>
              <w:pStyle w:val="Compact"/>
            </w:pPr>
            <w:r>
              <w:rPr>
                <w:sz w:val="20"/>
                <w:szCs w:val="20"/>
              </w:rPr>
              <w:t xml:space="preserve">Phoenix Mars landing</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Phoenix (2007-034A); EDL landing May 2008; JPL Delta-DOR-supported approach navigation</w:t>
            </w:r>
          </w:p>
        </w:tc>
      </w:tr>
      <w:tr>
        <w:tc>
          <w:tcPr>
            <w:tcW w:w="0" w:type="auto"/>
          </w:tcPr>
          <w:p>
            <w:pPr>
              <w:spacing w:line="240" w:lineRule="auto" w:before="0" w:after="0"/>
              <w:pStyle w:val="Compact"/>
            </w:pPr>
            <w:r>
              <w:rPr>
                <w:sz w:val="20"/>
                <w:szCs w:val="20"/>
              </w:rPr>
              <w:t xml:space="preserve">MESSENGER Mercury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MESSENGER (2004-030A); Mercury orbit insertion Mar 2011; JPL radiometric + Delta-DOR navigation</w:t>
            </w:r>
          </w:p>
        </w:tc>
      </w:tr>
      <w:tr>
        <w:tc>
          <w:tcPr>
            <w:tcW w:w="0" w:type="auto"/>
          </w:tcPr>
          <w:p>
            <w:pPr>
              <w:spacing w:line="240" w:lineRule="auto" w:before="0" w:after="0"/>
              <w:pStyle w:val="Compact"/>
            </w:pPr>
            <w:r>
              <w:rPr>
                <w:sz w:val="20"/>
                <w:szCs w:val="20"/>
              </w:rPr>
              <w:t xml:space="preserve">Dawn Vesta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Dawn (2007-043A); Vesta capture Jul 2011; JPL deep-space navigation with Delta-DOR</w:t>
            </w:r>
          </w:p>
        </w:tc>
      </w:tr>
      <w:tr>
        <w:tc>
          <w:tcPr>
            <w:tcW w:w="0" w:type="auto"/>
          </w:tcPr>
          <w:p>
            <w:pPr>
              <w:spacing w:line="240" w:lineRule="auto" w:before="0" w:after="0"/>
              <w:pStyle w:val="Compact"/>
            </w:pPr>
            <w:r>
              <w:rPr>
                <w:sz w:val="20"/>
                <w:szCs w:val="20"/>
              </w:rPr>
              <w:t xml:space="preserve">Phobos-Grunt (failed depart)</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NSSDCA Phobos-Grunt (2011-065A); stranded in LEO Nov 2011, never departed for Mars, event not achieved</w:t>
            </w:r>
          </w:p>
        </w:tc>
      </w:tr>
      <w:tr>
        <w:tc>
          <w:tcPr>
            <w:tcW w:w="0" w:type="auto"/>
          </w:tcPr>
          <w:p>
            <w:pPr>
              <w:spacing w:line="240" w:lineRule="auto" w:before="0" w:after="0"/>
              <w:pStyle w:val="Compact"/>
            </w:pPr>
            <w:r>
              <w:rPr>
                <w:sz w:val="20"/>
                <w:szCs w:val="20"/>
              </w:rPr>
              <w:t xml:space="preserve">Curiosity MSL landing</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Curiosity (2011-070A); EDL landing Aug 2012; JPL Delta-DOR approach navigation campaign</w:t>
            </w:r>
          </w:p>
        </w:tc>
      </w:tr>
      <w:tr>
        <w:tc>
          <w:tcPr>
            <w:tcW w:w="0" w:type="auto"/>
          </w:tcPr>
          <w:p>
            <w:pPr>
              <w:spacing w:line="240" w:lineRule="auto" w:before="0" w:after="0"/>
              <w:pStyle w:val="Compact"/>
            </w:pPr>
            <w:r>
              <w:rPr>
                <w:sz w:val="20"/>
                <w:szCs w:val="20"/>
              </w:rPr>
              <w:t xml:space="preserve">Mars Orbiter Mission insertion</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Ramamurthy &amp; Karkara, IEEE 2014</w:t>
            </w:r>
            <w:r>
              <w:rPr>
                <w:sz w:val="20"/>
                <w:szCs w:val="20"/>
              </w:rPr>
              <w:t xml:space="preserve"> </w:t>
            </w:r>
            <w:r>
              <w:rPr>
                <w:sz w:val="20"/>
                <w:szCs w:val="20"/>
              </w:rPr>
              <w:t xml:space="preserve">‘DDOR transmitter onboard Mars Orbiter Mission’</w:t>
            </w:r>
            <w:r>
              <w:rPr>
                <w:sz w:val="20"/>
                <w:szCs w:val="20"/>
              </w:rPr>
              <w:t xml:space="preserve">; MOM Mars orbit insertion Sep 2014</w:t>
            </w:r>
          </w:p>
        </w:tc>
      </w:tr>
      <w:tr>
        <w:tc>
          <w:tcPr>
            <w:tcW w:w="0" w:type="auto"/>
          </w:tcPr>
          <w:p>
            <w:pPr>
              <w:spacing w:line="240" w:lineRule="auto" w:before="0" w:after="0"/>
              <w:pStyle w:val="Compact"/>
            </w:pPr>
            <w:r>
              <w:rPr>
                <w:sz w:val="20"/>
                <w:szCs w:val="20"/>
              </w:rPr>
              <w:t xml:space="preserve">MAVEN Mars orbit insertion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MAVEN (2013-063A); MOI Sep 2014; JPL Delta-DOR approach navigation</w:t>
            </w:r>
          </w:p>
        </w:tc>
      </w:tr>
      <w:tr>
        <w:tc>
          <w:tcPr>
            <w:tcW w:w="0" w:type="auto"/>
          </w:tcPr>
          <w:p>
            <w:pPr>
              <w:spacing w:line="240" w:lineRule="auto" w:before="0" w:after="0"/>
              <w:pStyle w:val="Compact"/>
            </w:pPr>
            <w:r>
              <w:rPr>
                <w:sz w:val="20"/>
                <w:szCs w:val="20"/>
              </w:rPr>
              <w:t xml:space="preserve">Rosetta comet rendezvous</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Rosetta (2004-006A); 67P rendezvous Aug 2014; ESA Delta-DOR navigation (esa.int Delta-DOR results)</w:t>
            </w:r>
          </w:p>
        </w:tc>
      </w:tr>
      <w:tr>
        <w:tc>
          <w:tcPr>
            <w:tcW w:w="0" w:type="auto"/>
          </w:tcPr>
          <w:p>
            <w:pPr>
              <w:spacing w:line="240" w:lineRule="auto" w:before="0" w:after="0"/>
              <w:pStyle w:val="Compact"/>
            </w:pPr>
            <w:r>
              <w:rPr>
                <w:sz w:val="20"/>
                <w:szCs w:val="20"/>
              </w:rPr>
              <w:t xml:space="preserve">ExoMars TGO orbit insertion</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ExoMars TGO (2016-017A); Mars orbit insertion Oct 2016; ESA/ESOC Delta-DOR navigation</w:t>
            </w:r>
          </w:p>
        </w:tc>
      </w:tr>
      <w:tr>
        <w:tc>
          <w:tcPr>
            <w:tcW w:w="0" w:type="auto"/>
          </w:tcPr>
          <w:p>
            <w:pPr>
              <w:spacing w:line="240" w:lineRule="auto" w:before="0" w:after="0"/>
              <w:pStyle w:val="Compact"/>
            </w:pPr>
            <w:r>
              <w:rPr>
                <w:sz w:val="20"/>
                <w:szCs w:val="20"/>
              </w:rPr>
              <w:t xml:space="preserve">Schiaparelli EDM landing</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ExoMars Schiaparelli (2016-017C); crashed during EDL Oct 2016 (IMU saturation), landing not achieved; lander EDL not governed by an independent Delta-DOR approach campaign (coded control)</w:t>
            </w:r>
          </w:p>
        </w:tc>
      </w:tr>
      <w:tr>
        <w:tc>
          <w:tcPr>
            <w:tcW w:w="0" w:type="auto"/>
          </w:tcPr>
          <w:p>
            <w:pPr>
              <w:spacing w:line="240" w:lineRule="auto" w:before="0" w:after="0"/>
              <w:pStyle w:val="Compact"/>
            </w:pPr>
            <w:r>
              <w:rPr>
                <w:sz w:val="20"/>
                <w:szCs w:val="20"/>
              </w:rPr>
              <w:t xml:space="preserve">InSight Mars landing</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InSight (2018-042A); EDL landing Nov 2018; JPL Delta-DOR approach navigation</w:t>
            </w:r>
          </w:p>
        </w:tc>
      </w:tr>
      <w:tr>
        <w:tc>
          <w:tcPr>
            <w:tcW w:w="0" w:type="auto"/>
          </w:tcPr>
          <w:p>
            <w:pPr>
              <w:spacing w:line="240" w:lineRule="auto" w:before="0" w:after="0"/>
              <w:pStyle w:val="Compact"/>
            </w:pPr>
            <w:r>
              <w:rPr>
                <w:sz w:val="20"/>
                <w:szCs w:val="20"/>
              </w:rPr>
              <w:t xml:space="preserve">Hayabusa2 asteroid arrival</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Hayabusa2 (2014-076A); Ryugu arrival Jun 2018; JAXA/JPL Delta-DOR deep-space navigation</w:t>
            </w:r>
          </w:p>
        </w:tc>
      </w:tr>
      <w:tr>
        <w:tc>
          <w:tcPr>
            <w:tcW w:w="0" w:type="auto"/>
          </w:tcPr>
          <w:p>
            <w:pPr>
              <w:spacing w:line="240" w:lineRule="auto" w:before="0" w:after="0"/>
              <w:pStyle w:val="Compact"/>
            </w:pPr>
            <w:r>
              <w:rPr>
                <w:sz w:val="20"/>
                <w:szCs w:val="20"/>
              </w:rPr>
              <w:t xml:space="preserve">Tianwen-1 Mars orbit insertion</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Li et al. 2022 Remote Sens. 14:4117</w:t>
            </w:r>
            <w:r>
              <w:rPr>
                <w:sz w:val="20"/>
                <w:szCs w:val="20"/>
              </w:rPr>
              <w:t xml:space="preserve"> </w:t>
            </w:r>
            <w:r>
              <w:rPr>
                <w:sz w:val="20"/>
                <w:szCs w:val="20"/>
              </w:rPr>
              <w:t xml:space="preserve">‘First Cross-Support Interferometry Tracking in China Mars Mission’</w:t>
            </w:r>
            <w:r>
              <w:rPr>
                <w:sz w:val="20"/>
                <w:szCs w:val="20"/>
              </w:rPr>
              <w:t xml:space="preserve"> </w:t>
            </w:r>
            <w:r>
              <w:rPr>
                <w:sz w:val="20"/>
                <w:szCs w:val="20"/>
              </w:rPr>
              <w:t xml:space="preserve">(CLTC-ESOC Delta-DOR around MOI); MOI Feb 2021</w:t>
            </w:r>
          </w:p>
        </w:tc>
      </w:tr>
      <w:tr>
        <w:tc>
          <w:tcPr>
            <w:tcW w:w="0" w:type="auto"/>
          </w:tcPr>
          <w:p>
            <w:pPr>
              <w:spacing w:line="240" w:lineRule="auto" w:before="0" w:after="0"/>
              <w:pStyle w:val="Compact"/>
            </w:pPr>
            <w:r>
              <w:rPr>
                <w:sz w:val="20"/>
                <w:szCs w:val="20"/>
              </w:rPr>
              <w:t xml:space="preserve">Perseverance Mars landing</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Perseverance (2020-052A NASA); EDL landing Feb 2021; JPL Delta-DOR approach navigation campaign</w:t>
            </w:r>
          </w:p>
        </w:tc>
      </w:tr>
      <w:tr>
        <w:tc>
          <w:tcPr>
            <w:tcW w:w="0" w:type="auto"/>
          </w:tcPr>
          <w:p>
            <w:pPr>
              <w:spacing w:line="240" w:lineRule="auto" w:before="0" w:after="0"/>
              <w:pStyle w:val="Compact"/>
            </w:pPr>
            <w:r>
              <w:rPr>
                <w:sz w:val="20"/>
                <w:szCs w:val="20"/>
              </w:rPr>
              <w:t xml:space="preserve">Al Amal Hope Mars orbit insertion</w:t>
            </w:r>
          </w:p>
        </w:tc>
        <w:tc>
          <w:tcPr>
            <w:tcW w:w="0" w:type="auto"/>
          </w:tcPr>
          <w:p>
            <w:pPr>
              <w:spacing w:line="240" w:lineRule="auto" w:before="0" w:after="0"/>
              <w:pStyle w:val="Compact"/>
            </w:pPr>
            <w:r>
              <w:rPr>
                <w:sz w:val="20"/>
                <w:szCs w:val="20"/>
              </w:rPr>
              <w:t xml:space="preserve">UAESA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Emirates Mars Mission Hope (2020-047A); Mars orbit insertion Feb 2021; navigation with DSN/Delta-DOR support</w:t>
            </w:r>
          </w:p>
        </w:tc>
      </w:tr>
      <w:tr>
        <w:tc>
          <w:tcPr>
            <w:tcW w:w="0" w:type="auto"/>
          </w:tcPr>
          <w:p>
            <w:pPr>
              <w:spacing w:line="240" w:lineRule="auto" w:before="0" w:after="0"/>
              <w:pStyle w:val="Compact"/>
            </w:pPr>
            <w:r>
              <w:rPr>
                <w:sz w:val="20"/>
                <w:szCs w:val="20"/>
              </w:rPr>
              <w:t xml:space="preserve">Psyche cruise checkout</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NSSDCA Psyche (2023-157A); nominal early-cruise navigation 2023; JPL Delta-DOR tracking [illustrative: cruise checkpoint, lower-difficulty event]</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success</w:t>
            </w:r>
          </w:p>
        </w:tc>
        <w:tc>
          <w:tcPr>
            <w:tcW w:w="0" w:type="auto"/>
          </w:tcPr>
          <w:p>
            <w:pPr>
              <w:spacing w:line="240" w:lineRule="auto" w:before="0" w:after="0"/>
              <w:pStyle w:val="Compact"/>
            </w:pPr>
            <w:r>
              <w:rPr>
                <w:sz w:val="20"/>
                <w:szCs w:val="20"/>
              </w:rPr>
              <w:t xml:space="preserve">1 if the mission critical event (orbit insertion, landing, flyby, or rendezvous) was achieved within its targeting corridor; 0 if the event was not achieved</w:t>
            </w:r>
          </w:p>
        </w:tc>
        <w:tc>
          <w:tcPr>
            <w:tcW w:w="0" w:type="auto"/>
          </w:tcPr>
          <w:p>
            <w:pPr>
              <w:spacing w:line="240" w:lineRule="auto" w:before="0" w:after="0"/>
              <w:pStyle w:val="Compact"/>
            </w:pPr>
            <w:r>
              <w:rPr>
                <w:sz w:val="20"/>
                <w:szCs w:val="20"/>
              </w:rPr>
              <w:t xml:space="preserve">Coded from NSSDCA master catalog event records, mission mishap-investigation reports, and agency mission pages</w:t>
            </w:r>
          </w:p>
        </w:tc>
      </w:tr>
      <w:tr>
        <w:tc>
          <w:tcPr>
            <w:tcW w:w="0" w:type="auto"/>
          </w:tcPr>
          <w:p>
            <w:pPr>
              <w:spacing w:line="240" w:lineRule="auto" w:before="0" w:after="0"/>
              <w:pStyle w:val="Compact"/>
            </w:pPr>
            <w:r>
              <w:rPr>
                <w:sz w:val="20"/>
                <w:szCs w:val="20"/>
              </w:rPr>
              <w:t xml:space="preserve">delta_dor</w:t>
            </w:r>
          </w:p>
        </w:tc>
        <w:tc>
          <w:tcPr>
            <w:tcW w:w="0" w:type="auto"/>
          </w:tcPr>
          <w:p>
            <w:pPr>
              <w:spacing w:line="240" w:lineRule="auto" w:before="0" w:after="0"/>
              <w:pStyle w:val="Compact"/>
            </w:pPr>
            <w:r>
              <w:rPr>
                <w:sz w:val="20"/>
                <w:szCs w:val="20"/>
              </w:rPr>
              <w:t xml:space="preserve">1 if Delta-Differential One-way Ranging was scheduled in the approach/critical-event navigation campaign; 0 otherwise (including the pre-1980 era before the DSN Delta-DOR service)</w:t>
            </w:r>
          </w:p>
        </w:tc>
        <w:tc>
          <w:tcPr>
            <w:tcW w:w="0" w:type="auto"/>
          </w:tcPr>
          <w:p>
            <w:pPr>
              <w:spacing w:line="240" w:lineRule="auto" w:before="0" w:after="0"/>
              <w:pStyle w:val="Compact"/>
            </w:pPr>
            <w:r>
              <w:rPr>
                <w:sz w:val="20"/>
                <w:szCs w:val="20"/>
              </w:rPr>
              <w:t xml:space="preserve">Coded from documented tracking-campaign records: JPL/NTRS navigation papers, ESA/ESOC Delta-DOR reports, ISRO and CLTC mission tracking publications</w:t>
            </w:r>
          </w:p>
        </w:tc>
      </w:tr>
      <w:tr>
        <w:tc>
          <w:tcPr>
            <w:tcW w:w="0" w:type="auto"/>
          </w:tcPr>
          <w:p>
            <w:pPr>
              <w:spacing w:line="240" w:lineRule="auto" w:before="0" w:after="0"/>
              <w:pStyle w:val="Compact"/>
            </w:pPr>
            <w:r>
              <w:rPr>
                <w:sz w:val="20"/>
                <w:szCs w:val="20"/>
              </w:rPr>
              <w:t xml:space="preserve">event_difficulty</w:t>
            </w:r>
          </w:p>
        </w:tc>
        <w:tc>
          <w:tcPr>
            <w:tcW w:w="0" w:type="auto"/>
          </w:tcPr>
          <w:p>
            <w:pPr>
              <w:spacing w:line="240" w:lineRule="auto" w:before="0" w:after="0"/>
              <w:pStyle w:val="Compact"/>
            </w:pPr>
            <w:r>
              <w:rPr>
                <w:sz w:val="20"/>
                <w:szCs w:val="20"/>
              </w:rPr>
              <w:t xml:space="preserve">Ordinal event class: 1 = flyby or cruise checkpoint, 2 = orbit insertion or rendezvous, 3 = entry-descent-landing</w:t>
            </w:r>
          </w:p>
        </w:tc>
        <w:tc>
          <w:tcPr>
            <w:tcW w:w="0" w:type="auto"/>
          </w:tcPr>
          <w:p>
            <w:pPr>
              <w:spacing w:line="240" w:lineRule="auto" w:before="0" w:after="0"/>
              <w:pStyle w:val="Compact"/>
            </w:pPr>
            <w:r>
              <w:rPr>
                <w:sz w:val="20"/>
                <w:szCs w:val="20"/>
              </w:rPr>
              <w:t xml:space="preserve">Assigned from the documented event type per NSSDCA catalog and mission press kits</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1 if the operating agency had prior successful interplanetary critical-event heritage at the time of the event; 0 otherwise</w:t>
            </w:r>
          </w:p>
        </w:tc>
        <w:tc>
          <w:tcPr>
            <w:tcW w:w="0" w:type="auto"/>
          </w:tcPr>
          <w:p>
            <w:pPr>
              <w:spacing w:line="240" w:lineRule="auto" w:before="0" w:after="0"/>
              <w:pStyle w:val="Compact"/>
            </w:pPr>
            <w:r>
              <w:rPr>
                <w:sz w:val="20"/>
                <w:szCs w:val="20"/>
              </w:rPr>
              <w:t xml:space="preserve">Coded from agency mission history (carried in the panel as an auxiliary covariate)</w:t>
            </w:r>
          </w:p>
        </w:tc>
      </w:tr>
      <w:tr>
        <w:tc>
          <w:tcPr>
            <w:tcW w:w="0" w:type="auto"/>
          </w:tcPr>
          <w:p>
            <w:pPr>
              <w:spacing w:line="240" w:lineRule="auto" w:before="0" w:after="0"/>
              <w:pStyle w:val="Compact"/>
            </w:pPr>
            <w:r>
              <w:rPr>
                <w:sz w:val="20"/>
                <w:szCs w:val="20"/>
              </w:rPr>
              <w:t xml:space="preserve">agency</w:t>
            </w:r>
          </w:p>
        </w:tc>
        <w:tc>
          <w:tcPr>
            <w:tcW w:w="0" w:type="auto"/>
          </w:tcPr>
          <w:p>
            <w:pPr>
              <w:spacing w:line="240" w:lineRule="auto" w:before="0" w:after="0"/>
              <w:pStyle w:val="Compact"/>
            </w:pPr>
            <w:r>
              <w:rPr>
                <w:sz w:val="20"/>
                <w:szCs w:val="20"/>
              </w:rPr>
              <w:t xml:space="preserve">Operating space agency for the mission</w:t>
            </w:r>
          </w:p>
        </w:tc>
        <w:tc>
          <w:tcPr>
            <w:tcW w:w="0" w:type="auto"/>
          </w:tcPr>
          <w:p>
            <w:pPr>
              <w:spacing w:line="240" w:lineRule="auto" w:before="0" w:after="0"/>
              <w:pStyle w:val="Compact"/>
            </w:pPr>
            <w:r>
              <w:rPr>
                <w:sz w:val="20"/>
                <w:szCs w:val="20"/>
              </w:rPr>
              <w:t xml:space="preserve">NSSDCA master catalog / agency mission records</w:t>
            </w:r>
          </w:p>
        </w:tc>
      </w:tr>
      <w:tr>
        <w:tc>
          <w:tcPr>
            <w:tcW w:w="0" w:type="auto"/>
          </w:tcPr>
          <w:p>
            <w:pPr>
              <w:spacing w:line="240" w:lineRule="auto" w:before="0" w:after="0"/>
              <w:pStyle w:val="Compact"/>
            </w:pPr>
            <w:r>
              <w:rPr>
                <w:sz w:val="20"/>
                <w:szCs w:val="20"/>
              </w:rPr>
              <w:t xml:space="preserve">event_year</w:t>
            </w:r>
          </w:p>
        </w:tc>
        <w:tc>
          <w:tcPr>
            <w:tcW w:w="0" w:type="auto"/>
          </w:tcPr>
          <w:p>
            <w:pPr>
              <w:spacing w:line="240" w:lineRule="auto" w:before="0" w:after="0"/>
              <w:pStyle w:val="Compact"/>
            </w:pPr>
            <w:r>
              <w:rPr>
                <w:sz w:val="20"/>
                <w:szCs w:val="20"/>
              </w:rPr>
              <w:t xml:space="preserve">Calendar year of the critical event</w:t>
            </w:r>
          </w:p>
        </w:tc>
        <w:tc>
          <w:tcPr>
            <w:tcW w:w="0" w:type="auto"/>
          </w:tcPr>
          <w:p>
            <w:pPr>
              <w:spacing w:line="240" w:lineRule="auto" w:before="0" w:after="0"/>
              <w:pStyle w:val="Compact"/>
            </w:pPr>
            <w:r>
              <w:rPr>
                <w:sz w:val="20"/>
                <w:szCs w:val="20"/>
              </w:rPr>
              <w:t xml:space="preserve">NSSDCA master catalog / agency mission records</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0.6485</w:t>
            </w:r>
          </w:p>
        </w:tc>
        <w:tc>
          <w:tcPr>
            <w:tcW w:w="0" w:type="auto"/>
          </w:tcPr>
          <w:p>
            <w:pPr>
              <w:spacing w:line="240" w:lineRule="auto" w:before="0" w:after="0"/>
              <w:pStyle w:val="Compact"/>
            </w:pPr>
            <w:r>
              <w:rPr>
                <w:sz w:val="20"/>
                <w:szCs w:val="20"/>
              </w:rPr>
              <w:t xml:space="preserve">0.2722</w:t>
            </w:r>
          </w:p>
        </w:tc>
        <w:tc>
          <w:tcPr>
            <w:tcW w:w="0" w:type="auto"/>
          </w:tcPr>
          <w:p>
            <w:pPr>
              <w:spacing w:line="240" w:lineRule="auto" w:before="0" w:after="0"/>
              <w:pStyle w:val="Compact"/>
            </w:pPr>
            <w:r>
              <w:rPr>
                <w:sz w:val="20"/>
                <w:szCs w:val="20"/>
              </w:rPr>
              <w:t xml:space="preserve">2.3825</w:t>
            </w:r>
          </w:p>
        </w:tc>
        <w:tc>
          <w:tcPr>
            <w:tcW w:w="0" w:type="auto"/>
          </w:tcPr>
          <w:p>
            <w:pPr>
              <w:spacing w:line="240" w:lineRule="auto" w:before="0" w:after="0"/>
              <w:pStyle w:val="Compact"/>
            </w:pPr>
            <w:r>
              <w:rPr>
                <w:sz w:val="20"/>
                <w:szCs w:val="20"/>
              </w:rPr>
              <w:t xml:space="preserve">0.0172</w:t>
            </w:r>
          </w:p>
        </w:tc>
        <w:tc>
          <w:tcPr>
            <w:tcW w:w="0" w:type="auto"/>
          </w:tcPr>
          <w:p>
            <w:pPr>
              <w:spacing w:line="240" w:lineRule="auto" w:before="0" w:after="0"/>
              <w:pStyle w:val="Compact"/>
            </w:pPr>
            <w:r>
              <w:rPr>
                <w:sz w:val="20"/>
                <w:szCs w:val="20"/>
              </w:rPr>
              <w:t xml:space="preserve">[0.115, 1.182]</w:t>
            </w:r>
          </w:p>
        </w:tc>
      </w:tr>
      <w:tr>
        <w:tc>
          <w:tcPr>
            <w:tcW w:w="0" w:type="auto"/>
          </w:tcPr>
          <w:p>
            <w:pPr>
              <w:spacing w:line="240" w:lineRule="auto" w:before="0" w:after="0"/>
              <w:pStyle w:val="Compact"/>
            </w:pPr>
            <w:r>
              <w:rPr>
                <w:sz w:val="20"/>
                <w:szCs w:val="20"/>
              </w:rPr>
              <w:t xml:space="preserve">delta_dor</w:t>
            </w:r>
          </w:p>
        </w:tc>
        <w:tc>
          <w:tcPr>
            <w:tcW w:w="0" w:type="auto"/>
          </w:tcPr>
          <w:p>
            <w:pPr>
              <w:spacing w:line="240" w:lineRule="auto" w:before="0" w:after="0"/>
              <w:pStyle w:val="Compact"/>
            </w:pPr>
            <w:r>
              <w:rPr>
                <w:sz w:val="20"/>
                <w:szCs w:val="20"/>
              </w:rPr>
              <w:t xml:space="preserve">0.7079</w:t>
            </w:r>
          </w:p>
        </w:tc>
        <w:tc>
          <w:tcPr>
            <w:tcW w:w="0" w:type="auto"/>
          </w:tcPr>
          <w:p>
            <w:pPr>
              <w:spacing w:line="240" w:lineRule="auto" w:before="0" w:after="0"/>
              <w:pStyle w:val="Compact"/>
            </w:pPr>
            <w:r>
              <w:rPr>
                <w:sz w:val="20"/>
                <w:szCs w:val="20"/>
              </w:rPr>
              <w:t xml:space="preserve">0.135</w:t>
            </w:r>
          </w:p>
        </w:tc>
        <w:tc>
          <w:tcPr>
            <w:tcW w:w="0" w:type="auto"/>
          </w:tcPr>
          <w:p>
            <w:pPr>
              <w:spacing w:line="240" w:lineRule="auto" w:before="0" w:after="0"/>
              <w:pStyle w:val="Compact"/>
            </w:pPr>
            <w:r>
              <w:rPr>
                <w:sz w:val="20"/>
                <w:szCs w:val="20"/>
              </w:rPr>
              <w:t xml:space="preserve">5.2429</w:t>
            </w:r>
          </w:p>
        </w:tc>
        <w:tc>
          <w:tcPr>
            <w:tcW w:w="0" w:type="auto"/>
          </w:tcPr>
          <w:p>
            <w:pPr>
              <w:spacing w:line="240" w:lineRule="auto" w:before="0" w:after="0"/>
              <w:pStyle w:val="Compact"/>
            </w:pPr>
            <w:r>
              <w:rPr>
                <w:sz w:val="20"/>
                <w:szCs w:val="20"/>
              </w:rPr>
              <w:t xml:space="preserve">1.58e-07</w:t>
            </w:r>
          </w:p>
        </w:tc>
        <w:tc>
          <w:tcPr>
            <w:tcW w:w="0" w:type="auto"/>
          </w:tcPr>
          <w:p>
            <w:pPr>
              <w:spacing w:line="240" w:lineRule="auto" w:before="0" w:after="0"/>
              <w:pStyle w:val="Compact"/>
            </w:pPr>
            <w:r>
              <w:rPr>
                <w:sz w:val="20"/>
                <w:szCs w:val="20"/>
              </w:rPr>
              <w:t xml:space="preserve">[0.4433, 0.9726]</w:t>
            </w:r>
          </w:p>
        </w:tc>
      </w:tr>
      <w:tr>
        <w:tc>
          <w:tcPr>
            <w:tcW w:w="0" w:type="auto"/>
          </w:tcPr>
          <w:p>
            <w:pPr>
              <w:spacing w:line="240" w:lineRule="auto" w:before="0" w:after="0"/>
              <w:pStyle w:val="Compact"/>
            </w:pPr>
            <w:r>
              <w:rPr>
                <w:sz w:val="20"/>
                <w:szCs w:val="20"/>
              </w:rPr>
              <w:t xml:space="preserve">event_difficulty</w:t>
            </w:r>
          </w:p>
        </w:tc>
        <w:tc>
          <w:tcPr>
            <w:tcW w:w="0" w:type="auto"/>
          </w:tcPr>
          <w:p>
            <w:pPr>
              <w:spacing w:line="240" w:lineRule="auto" w:before="0" w:after="0"/>
              <w:pStyle w:val="Compact"/>
            </w:pPr>
            <w:r>
              <w:rPr>
                <w:sz w:val="20"/>
                <w:szCs w:val="20"/>
              </w:rPr>
              <w:t xml:space="preserve">-0.1584</w:t>
            </w:r>
          </w:p>
        </w:tc>
        <w:tc>
          <w:tcPr>
            <w:tcW w:w="0" w:type="auto"/>
          </w:tcPr>
          <w:p>
            <w:pPr>
              <w:spacing w:line="240" w:lineRule="auto" w:before="0" w:after="0"/>
              <w:pStyle w:val="Compact"/>
            </w:pPr>
            <w:r>
              <w:rPr>
                <w:sz w:val="20"/>
                <w:szCs w:val="20"/>
              </w:rPr>
              <w:t xml:space="preserve">0.0806</w:t>
            </w:r>
          </w:p>
        </w:tc>
        <w:tc>
          <w:tcPr>
            <w:tcW w:w="0" w:type="auto"/>
          </w:tcPr>
          <w:p>
            <w:pPr>
              <w:spacing w:line="240" w:lineRule="auto" w:before="0" w:after="0"/>
              <w:pStyle w:val="Compact"/>
            </w:pPr>
            <w:r>
              <w:rPr>
                <w:sz w:val="20"/>
                <w:szCs w:val="20"/>
              </w:rPr>
              <w:t xml:space="preserve">-1.9662</w:t>
            </w:r>
          </w:p>
        </w:tc>
        <w:tc>
          <w:tcPr>
            <w:tcW w:w="0" w:type="auto"/>
          </w:tcPr>
          <w:p>
            <w:pPr>
              <w:spacing w:line="240" w:lineRule="auto" w:before="0" w:after="0"/>
              <w:pStyle w:val="Compact"/>
            </w:pPr>
            <w:r>
              <w:rPr>
                <w:sz w:val="20"/>
                <w:szCs w:val="20"/>
              </w:rPr>
              <w:t xml:space="preserve">0.0493</w:t>
            </w:r>
          </w:p>
        </w:tc>
        <w:tc>
          <w:tcPr>
            <w:tcW w:w="0" w:type="auto"/>
          </w:tcPr>
          <w:p>
            <w:pPr>
              <w:spacing w:line="240" w:lineRule="auto" w:before="0" w:after="0"/>
              <w:pStyle w:val="Compact"/>
            </w:pPr>
            <w:r>
              <w:rPr>
                <w:sz w:val="20"/>
                <w:szCs w:val="20"/>
              </w:rPr>
              <w:t xml:space="preserve">[-0.3163, -0.0004986]</w:t>
            </w:r>
          </w:p>
        </w:tc>
      </w:tr>
    </w:tbl>
    <w:p>
      <w:pPr>
        <w:pStyle w:val="BodyText"/>
      </w:pPr>
      <w:r>
        <w:t xml:space="preserve">Fit: N = 34 R2 = 0.6678 R2_adj = 0.6464 F = 26.9734 F_p = 1.638e-07</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68" Target="https://doi.org/10.1016/j.actaastro.2022.04.020" TargetMode="External" /><Relationship Type="http://schemas.openxmlformats.org/officeDocument/2006/relationships/hyperlink" Id="rId76" Target="https://doi.org/10.3390/rs14164117" TargetMode="External" /><Relationship Type="http://schemas.openxmlformats.org/officeDocument/2006/relationships/hyperlink" Id="rId70" Target="https://doi.org/10.64861/JDHC4248"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2.04.020" TargetMode="External" /><Relationship Type="http://schemas.openxmlformats.org/officeDocument/2006/relationships/hyperlink" Id="rId76" Target="https://doi.org/10.3390/rs14164117" TargetMode="External" /><Relationship Type="http://schemas.openxmlformats.org/officeDocument/2006/relationships/hyperlink" Id="rId70" Target="https://doi.org/10.64861/JDHC424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2026-06-22T20:31:32Z</dcterms:created>
  <dcterms:modified xsi:type="dcterms:W3CDTF">2026-06-22T20:31:32Z</dcterms:modified>
</cp:coreProperties>
</file>

<file path=docProps/custom.xml><?xml version="1.0" encoding="utf-8"?>
<Properties xmlns="http://schemas.openxmlformats.org/officeDocument/2006/custom-properties" xmlns:vt="http://schemas.openxmlformats.org/officeDocument/2006/docPropsVTypes"/>
</file>