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THE CAUSAL EFFECT OF DELTA-DOR ON MISSION OUTCOMES: A QUASI-EXPERIMENTAL COMPARISON</w:t>
      </w:r>
    </w:p>
    <w:p>
      <w:pPr>
        <w:jc w:val="center"/>
      </w:pPr>
    </w:p>
    <w:p>
      <w:pPr>
        <w:jc w:val="center"/>
      </w:pPr>
      <w:r>
        <w:rPr>
          <w:rFonts w:ascii="Times New Roman" w:hAnsi="Times New Roman"/>
          <w:sz w:val="24"/>
        </w:rPr>
        <w:t>by</w:t>
      </w:r>
    </w:p>
    <w:p>
      <w:pPr>
        <w:jc w:val="center"/>
      </w:pPr>
      <w:r>
        <w:rPr>
          <w:rFonts w:ascii="Times New Roman" w:hAnsi="Times New Roman"/>
          <w:b/>
          <w:sz w:val="28"/>
        </w:rPr>
        <w:t>Yara Adeyemi</w:t>
      </w:r>
    </w:p>
    <w:p>
      <w:pPr>
        <w:jc w:val="center"/>
      </w:pPr>
      <w:r>
        <w:rPr>
          <w:rFonts w:ascii="Times New Roman" w:hAnsi="Times New Roman"/>
          <w:sz w:val="24"/>
        </w:rPr>
        <w:t>1B-NAV-021</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6" w:name="chapter-1.-introduction"/>
    <w:p>
      <w:pPr>
        <w:pStyle w:val="Heading1"/>
        <w:spacing w:line="480" w:lineRule="auto"/>
      </w:pPr>
      <w:r>
        <w:t xml:space="preserve">Chapter 1. Introduction</w:t>
      </w:r>
    </w:p>
    <w:bookmarkStart w:id="61" w:name="the-problem-and-why-it-matters"/>
    <w:p>
      <w:pPr>
        <w:pStyle w:val="Heading2"/>
        <w:spacing w:line="480" w:lineRule="auto"/>
      </w:pPr>
      <w:r>
        <w:t xml:space="preserve">1.1 The Problem and Why It Matters</w:t>
      </w:r>
    </w:p>
    <w:p>
      <w:pPr>
        <w:pStyle w:val="FirstParagraph"/>
        <w:spacing w:line="480" w:lineRule="auto"/>
      </w:pPr>
      <w:r>
        <w:t xml:space="preserve">Interplanetary navigation does not succeed gradually. It succeeds or fails in the final days before a critical event, when a spacecraft must be placed inside a narrow targeting corridor at orbit insertion, at planetary or small-body flyby, or at the start of an entry, descent, and landing sequence. The margin is thin. The clock does not reset. The corridor is unforgiving because the dynamics are unforgiving: a maneuver mistimed by hours, or a state estimate biased in the wrong direction, cannot be undone once the geometry has closed. The navigation problem at such an event reduces to observing three orthogonal components of the spacecraft state well enough that the delivered position lies within tolerance. Two of those components, the line-of-sight range and range rate, are constrained precisely by conventional Doppler and sequential ranging from a single ground station. The third dimension, the plane-of-sky angle transverse to the line of sight, is the least observable from one station and is precisely the coordinate that governs delivery error at arrival.</w:t>
      </w:r>
    </w:p>
    <w:p>
      <w:pPr>
        <w:pStyle w:val="BodyText"/>
        <w:spacing w:line="480" w:lineRule="auto"/>
        <w:ind w:firstLine="720"/>
      </w:pPr>
      <w:r>
        <w:t xml:space="preserve">Delta-Differential One-way Ranging (Delta-DOR) is the observable engineered to close that gap. By differencing the phase of a spacecraft signal received at two widely separated deep-space antennas, and by referencing that phase difference to a nearby extragalactic radio source, the technique yields a plane-of-sky angle whose accuracy is largely decoupled from the dynamical model and from the station-location and media errors that otherwise corrupt long-arc Doppler. The Deep Space Network has matured this measurement to the nanoradian regime</w:t>
      </w:r>
      <w:r>
        <w:t xml:space="preserve"> </w:t>
      </w:r>
      <w:hyperlink w:anchor="ref-8">
        <w:r>
          <w:rPr>
            <w:rStyle w:val="Hyperlink"/>
          </w:rPr>
          <w:t xml:space="preserve">[8]</w:t>
        </w:r>
      </w:hyperlink>
      <w:r>
        <w:t xml:space="preserve">[11], a plane-of-sky one-sigma error of roughly two to three nanoradians, against the order-of-one-hundred-nanoradian transverse accuracy that Doppler and range alone deliver</w:t>
      </w:r>
      <w:r>
        <w:t xml:space="preserve"> </w:t>
      </w:r>
      <w:hyperlink w:anchor="ref-8">
        <w:r>
          <w:rPr>
            <w:rStyle w:val="Hyperlink"/>
          </w:rPr>
          <w:t xml:space="preserve">[8]</w:t>
        </w:r>
      </w:hyperlink>
      <w:r>
        <w:t xml:space="preserve">. The interferometric principle that underwrites this gain is the same one that anchors very-long-baseline instruments in radio astronomy, where angular resolution scales with baseline length and quasar references fix the measurement frame</w:t>
      </w:r>
      <w:r>
        <w:t xml:space="preserve"> </w:t>
      </w:r>
      <w:hyperlink w:anchor="ref-1">
        <w:r>
          <w:rPr>
            <w:rStyle w:val="Hyperlink"/>
          </w:rPr>
          <w:t xml:space="preserve">[1]</w:t>
        </w:r>
      </w:hyperlink>
      <w:r>
        <w:t xml:space="preserve">, and it is the physics now demonstrated for passive radio-frequency interferometric tracking of resident space objects at shorter baselines</w:t>
      </w:r>
      <w:r>
        <w:t xml:space="preserve"> </w:t>
      </w:r>
      <w:hyperlink w:anchor="ref-2">
        <w:r>
          <w:rPr>
            <w:rStyle w:val="Hyperlink"/>
          </w:rPr>
          <w:t xml:space="preserve">[2]</w:t>
        </w:r>
      </w:hyperlink>
      <w:r>
        <w:t xml:space="preserve"> </w:t>
      </w:r>
      <w:r>
        <w:t xml:space="preserve">and for cross-support interferometric tracking in the recent Chinese Mars campaign</w:t>
      </w:r>
      <w:r>
        <w:t xml:space="preserve"> </w:t>
      </w:r>
      <w:hyperlink w:anchor="ref-7">
        <w:r>
          <w:rPr>
            <w:rStyle w:val="Hyperlink"/>
          </w:rPr>
          <w:t xml:space="preserve">[7]</w:t>
        </w:r>
      </w:hyperlink>
      <w:r>
        <w:t xml:space="preserve">.</w:t>
      </w:r>
    </w:p>
    <w:p>
      <w:pPr>
        <w:pStyle w:val="BodyText"/>
        <w:spacing w:line="480" w:lineRule="auto"/>
        <w:ind w:firstLine="720"/>
      </w:pPr>
      <w:r>
        <w:t xml:space="preserve">The stakes for NASA and the Jet Propulsion Laboratory are both technical and economic, and the two are inseparable. History supplies the warning. On the technical side, the record contains a stark reminder of what plane-of-sky mismanagement costs. The loss of Mars Climate Orbiter at insertion, traced by its mishap board to an undetected systematic error in the navigation chain, stands as the canonical case in which a delivery failure at a critical event consumed an entire flight system</w:t>
      </w:r>
      <w:r>
        <w:t xml:space="preserve"> </w:t>
      </w:r>
      <w:hyperlink w:anchor="ref-6">
        <w:r>
          <w:rPr>
            <w:rStyle w:val="Hyperlink"/>
          </w:rPr>
          <w:t xml:space="preserve">[6]</w:t>
        </w:r>
      </w:hyperlink>
      <w:r>
        <w:t xml:space="preserve">. Delta-DOR is the observable most directly aimed at the failure mode that class of event represents. On the economic side, acquiring Delta-DOR is not free. Each pass consumes a scarce and oversubscribed resource: simultaneous time on two large deep-space antennas, correlator processing, and continuous quasar-catalog maintenance, all competing against a ground network that is heavily loaded across every active mission</w:t>
      </w:r>
      <w:r>
        <w:t xml:space="preserve"> </w:t>
      </w:r>
      <w:hyperlink w:anchor="ref-8">
        <w:r>
          <w:rPr>
            <w:rStyle w:val="Hyperlink"/>
          </w:rPr>
          <w:t xml:space="preserve">[8]</w:t>
        </w:r>
      </w:hyperlink>
      <w:r>
        <w:t xml:space="preserve">[11]. A mission planner must justify each scheduled pass against its marginal contribution to mission assurance, and an agency must weigh the aggregate network burden of the observable against the realized reliability it buys. This is the precise tension the broader space-systems literature frames between delivering missions reliably and delivering them cost-effectively under constrained public budgets</w:t>
      </w:r>
      <w:r>
        <w:t xml:space="preserve"> </w:t>
      </w:r>
      <w:hyperlink w:anchor="ref-3">
        <w:r>
          <w:rPr>
            <w:rStyle w:val="Hyperlink"/>
          </w:rPr>
          <w:t xml:space="preserve">[3]</w:t>
        </w:r>
      </w:hyperlink>
      <w:r>
        <w:t xml:space="preserve">. The decision to protect Delta-DOR network time is, at bottom, a resource-allocation decision that ought to rest on an empirical effect size.</w:t>
      </w:r>
    </w:p>
    <w:p>
      <w:pPr>
        <w:pStyle w:val="BodyText"/>
        <w:spacing w:line="480" w:lineRule="auto"/>
        <w:ind w:firstLine="720"/>
      </w:pPr>
      <w:r>
        <w:t xml:space="preserve">It does not. The operational community treats Delta-DOR as near-mandatory for high-stakes approaches, and that judgment is defensible on physical grounds, but the evidentiary base behind it is almost entirely predictive rather than realized. The case is built from covariance studies that propagate a state-error covariance under an assumed tracking schedule, dynamical model, and measurement-noise budget, and that report the predicted plane-of-sky uncertainty with and without the observable</w:t>
      </w:r>
      <w:r>
        <w:t xml:space="preserve"> </w:t>
      </w:r>
      <w:hyperlink w:anchor="ref-5">
        <w:r>
          <w:rPr>
            <w:rStyle w:val="Hyperlink"/>
          </w:rPr>
          <w:t xml:space="preserve">[5]</w:t>
        </w:r>
      </w:hyperlink>
      <w:r>
        <w:t xml:space="preserve">[9]. Covariance analysis is indispensable for mission design and it is not the object of criticism here. But a predicted covariance reduction is a statement about expected precision under a model. It is not an estimate of how the observable changes the probability that a real mission achieves its objective, taken across the population of missions that did and did not use it. The field reasons forward from modeled uncertainty. A sponsor asks backward from realized outcomes. Those are different questions, and the gap between them is where this dissertation lives.</w:t>
      </w:r>
    </w:p>
    <w:bookmarkEnd w:id="61"/>
    <w:bookmarkStart w:id="62" w:name="the-gap-between-two-literatures"/>
    <w:p>
      <w:pPr>
        <w:pStyle w:val="Heading2"/>
        <w:spacing w:line="480" w:lineRule="auto"/>
      </w:pPr>
      <w:r>
        <w:t xml:space="preserve">1.2 The Gap Between Two Literatures</w:t>
      </w:r>
    </w:p>
    <w:p>
      <w:pPr>
        <w:pStyle w:val="FirstParagraph"/>
        <w:spacing w:line="480" w:lineRule="auto"/>
      </w:pPr>
      <w:r>
        <w:t xml:space="preserve">Two largely separate bodies of work bear on the Delta-DOR question, and they do not meet. The first is the deep-space navigation and interferometric-tracking literature, which is rich, mature, and almost entirely framed around measurement physics and mission design. It documents the architecture and componentry of the nanoradian measurement system</w:t>
      </w:r>
      <w:r>
        <w:t xml:space="preserve"> </w:t>
      </w:r>
      <w:hyperlink w:anchor="ref-8">
        <w:r>
          <w:rPr>
            <w:rStyle w:val="Hyperlink"/>
          </w:rPr>
          <w:t xml:space="preserve">[8]</w:t>
        </w:r>
      </w:hyperlink>
      <w:r>
        <w:t xml:space="preserve">[11], the evolution of the data type from the Viking and Voyager era forward, the operational navigation accounts of individual orbit-insertion campaigns such as Mars Express</w:t>
      </w:r>
      <w:r>
        <w:t xml:space="preserve"> </w:t>
      </w:r>
      <w:hyperlink w:anchor="ref-5">
        <w:r>
          <w:rPr>
            <w:rStyle w:val="Hyperlink"/>
          </w:rPr>
          <w:t xml:space="preserve">[5]</w:t>
        </w:r>
      </w:hyperlink>
      <w:r>
        <w:t xml:space="preserve">, the chronological reviews of how deep-space navigation capability has advanced</w:t>
      </w:r>
      <w:r>
        <w:t xml:space="preserve"> </w:t>
      </w:r>
      <w:hyperlink w:anchor="ref-9">
        <w:r>
          <w:rPr>
            <w:rStyle w:val="Hyperlink"/>
          </w:rPr>
          <w:t xml:space="preserve">[9]</w:t>
        </w:r>
      </w:hyperlink>
      <w:r>
        <w:t xml:space="preserve">, and the European and Chinese operational records of the observable in use</w:t>
      </w:r>
      <w:r>
        <w:t xml:space="preserve"> </w:t>
      </w:r>
      <w:hyperlink w:anchor="ref-10">
        <w:r>
          <w:rPr>
            <w:rStyle w:val="Hyperlink"/>
          </w:rPr>
          <w:t xml:space="preserve">[10]</w:t>
        </w:r>
      </w:hyperlink>
      <w:r>
        <w:t xml:space="preserve">[7]. The dominant evidentiary form across this corpus is the forward error analysis: given assumptions, predict the precision. Where the literature reports realized figures at all, it reports them mission by mission, as individual reconstructions, not as a population from which a treatment effect could be estimated. The interferometry science literature that grounds the measurement principle is framed even further from outcome inference, arguing instrument capability in terms of angular resolution and observational reach rather than mission consequence</w:t>
      </w:r>
      <w:r>
        <w:t xml:space="preserve"> </w:t>
      </w:r>
      <w:hyperlink w:anchor="ref-1">
        <w:r>
          <w:rPr>
            <w:rStyle w:val="Hyperlink"/>
          </w:rPr>
          <w:t xml:space="preserve">[1]</w:t>
        </w:r>
      </w:hyperlink>
      <w:r>
        <w:t xml:space="preserve">, as is the space-domain-awareness demonstration of the same phase-differencing physics</w:t>
      </w:r>
      <w:r>
        <w:t xml:space="preserve"> </w:t>
      </w:r>
      <w:hyperlink w:anchor="ref-2">
        <w:r>
          <w:rPr>
            <w:rStyle w:val="Hyperlink"/>
          </w:rPr>
          <w:t xml:space="preserve">[2]</w:t>
        </w:r>
      </w:hyperlink>
      <w:r>
        <w:t xml:space="preserve">.</w:t>
      </w:r>
    </w:p>
    <w:p>
      <w:pPr>
        <w:pStyle w:val="BodyText"/>
        <w:spacing w:line="480" w:lineRule="auto"/>
        <w:ind w:firstLine="720"/>
      </w:pPr>
      <w:r>
        <w:t xml:space="preserve">The second literature is econometric. It supplies a mature toolkit for exactly the inferential problem the navigation field has not posed: estimating the causal effect of a non-randomized treatment on a realized outcome across a population, when the treatment is preferentially assigned and the assignment is entangled with the very characteristics that drive the outcome. The methods of selection-on-observables identification, inverse-probability weighting, doubly robust estimation, and formal sensitivity analysis to unobserved confounding are standard in program evaluation and applied microeconometrics. They have not been brought to bear on the Delta-DOR decision. The cost-and-reliability framing that the space-economy literature invokes for public missions</w:t>
      </w:r>
      <w:r>
        <w:t xml:space="preserve"> </w:t>
      </w:r>
      <w:hyperlink w:anchor="ref-3">
        <w:r>
          <w:rPr>
            <w:rStyle w:val="Hyperlink"/>
          </w:rPr>
          <w:t xml:space="preserve">[3]</w:t>
        </w:r>
      </w:hyperlink>
      <w:r>
        <w:t xml:space="preserve"> </w:t>
      </w:r>
      <w:r>
        <w:t xml:space="preserve">supplies the motivation for such an analysis but stops short of connecting it to any causal outcome estimate.</w:t>
      </w:r>
    </w:p>
    <w:p>
      <w:pPr>
        <w:pStyle w:val="BodyText"/>
        <w:spacing w:line="480" w:lineRule="auto"/>
        <w:ind w:firstLine="720"/>
      </w:pPr>
      <w:r>
        <w:t xml:space="preserve">The gap is therefore not a shortage of physics and not a shortage of statistical method. It is the absence of a bridge. Three specific deficits follow, and they organize the contribution. First, no study in the retrieved navigation corpus estimates a treatment effect of Delta-DOR on a realized, mission-level outcome across a population of missions; the unit of analysis has been the predicted covariance or the single reconstructed mission, never the mission population. Second, the selection problem is unaddressed. Delta-DOR is not assigned at random. It is preferentially scheduled for the most demanding and most valuable approaches, which means a naive comparison of outcomes between missions that used it and missions that did not is confounded by mission difficulty and mission stakes, and the direction of that confounding is not even obvious a priori. Harder events both attract the observable and fail more often, so the unconditional contrast can be biased in either direction depending on which force dominates. Third, the resource-allocation argument that the agency must actually make</w:t>
      </w:r>
      <w:r>
        <w:t xml:space="preserve"> </w:t>
      </w:r>
      <w:hyperlink w:anchor="ref-3">
        <w:r>
          <w:rPr>
            <w:rStyle w:val="Hyperlink"/>
          </w:rPr>
          <w:t xml:space="preserve">[3]</w:t>
        </w:r>
      </w:hyperlink>
      <w:r>
        <w:t xml:space="preserve"> </w:t>
      </w:r>
      <w:r>
        <w:t xml:space="preserve">has no empirical effect size to weigh against the network cost of the observable, because no one has produced one under a transparent identifying assumption.</w:t>
      </w:r>
    </w:p>
    <w:p>
      <w:pPr>
        <w:pStyle w:val="BodyText"/>
        <w:spacing w:line="480" w:lineRule="auto"/>
        <w:ind w:firstLine="720"/>
      </w:pPr>
      <w:r>
        <w:t xml:space="preserve">This dissertation targets the first and second deficits directly and supplies the quantity the third requires. It treats the scheduling of Delta-DOR during a mission’s critical approach phase as a quasi-treatment and estimates its causal effect on mission outcome, importing the econometric apparatus that the navigation literature has never applied to the observable and grounding the mechanism in the measurement physics that the econometric literature has never engaged. The companion empirical work that precedes this chapter has already demonstrated both halves of the bridge in preliminary form: a binary-outcome analysis across thirty-four documented interplanetary critical events, and a continuous plane-of-sky delivery-uncertainty regression across twenty-six events that recovers the range elasticity the measurement physics predicts as a falsification check</w:t>
      </w:r>
      <w:r>
        <w:t xml:space="preserve"> </w:t>
      </w:r>
      <w:hyperlink w:anchor="ref-4">
        <w:r>
          <w:rPr>
            <w:rStyle w:val="Hyperlink"/>
          </w:rPr>
          <w:t xml:space="preserve">[4]</w:t>
        </w:r>
      </w:hyperlink>
      <w:r>
        <w:t xml:space="preserve">[8]. The dissertation consolidates and disciplines those analyses into a single, defensible causal claim.</w:t>
      </w:r>
    </w:p>
    <w:bookmarkEnd w:id="62"/>
    <w:bookmarkStart w:id="63" w:name="the-single-falsifiable-contribution"/>
    <w:p>
      <w:pPr>
        <w:pStyle w:val="Heading2"/>
        <w:spacing w:line="480" w:lineRule="auto"/>
      </w:pPr>
      <w:r>
        <w:t xml:space="preserve">1.3 The Single Falsifiable Contribution</w:t>
      </w:r>
    </w:p>
    <w:p>
      <w:pPr>
        <w:pStyle w:val="FirstParagraph"/>
        <w:spacing w:line="480" w:lineRule="auto"/>
      </w:pPr>
      <w:r>
        <w:t xml:space="preserve">The contribution of this dissertation is one estimand, stated precisely. It is the average treatment effect on the treated (ATT) of scheduling Delta-DOR during a mission’s critical approach phase, on the binary outcome of mission-event success, where success is defined as achievement of orbit insertion, landing, or flyby delivery within the pre-declared targeting corridor. The treatment is binary at the level of the mission critical event: an event is treated if at least one Delta-DOR pass was scheduled within the defined pre-event approach window, and is in the control condition otherwise. Treatment is coded from the documented tracking-campaign record, not inferred from outcome, which preserves the temporal precedence the identification strategy requires.</w:t>
      </w:r>
    </w:p>
    <w:p>
      <w:pPr>
        <w:pStyle w:val="BodyText"/>
        <w:spacing w:line="480" w:lineRule="auto"/>
        <w:ind w:firstLine="720"/>
      </w:pPr>
      <w:r>
        <w:t xml:space="preserve">The hypotheses are stated so that the study can fail.</w:t>
      </w:r>
    </w:p>
    <w:p>
      <w:pPr>
        <w:pStyle w:val="Compact"/>
        <w:spacing w:line="480" w:lineRule="auto"/>
        <w:numPr>
          <w:ilvl w:val="0"/>
          <w:numId w:val="1001"/>
        </w:numPr>
      </w:pPr>
      <w:r>
        <w:rPr>
          <w:b/>
          <w:bCs/>
        </w:rPr>
        <w:t xml:space="preserve">H0 (null):</w:t>
      </w:r>
      <w:r>
        <w:t xml:space="preserve"> </w:t>
      </w:r>
      <w:r>
        <w:t xml:space="preserve">Conditional on observed mission and event covariates, scheduling Delta-DOR during the critical approach phase has no effect on the probability of mission-event success; ATT = 0.</w:t>
      </w:r>
    </w:p>
    <w:p>
      <w:pPr>
        <w:pStyle w:val="Compact"/>
        <w:spacing w:line="480" w:lineRule="auto"/>
        <w:numPr>
          <w:ilvl w:val="0"/>
          <w:numId w:val="1001"/>
        </w:numPr>
      </w:pPr>
      <w:r>
        <w:rPr>
          <w:b/>
          <w:bCs/>
        </w:rPr>
        <w:t xml:space="preserve">H1 (alternative):</w:t>
      </w:r>
      <w:r>
        <w:t xml:space="preserve"> </w:t>
      </w:r>
      <w:r>
        <w:t xml:space="preserve">Conditional on the same covariates, scheduling Delta-DOR during the critical approach phase increases the probability of mission-event success; ATT &gt; 0.</w:t>
      </w:r>
    </w:p>
    <w:p>
      <w:pPr>
        <w:pStyle w:val="FirstParagraph"/>
        <w:spacing w:line="480" w:lineRule="auto"/>
      </w:pPr>
      <w:r>
        <w:t xml:space="preserve">The design is built to be capable of rejecting H1 in favor of H0. A confidence interval on the ATT that includes zero, or a point estimate whose sign or significance does not survive a modest unobserved-confounding bound, is a genuine falsification of the operational presumption that Delta-DOR materially raises outcome probability once selection is accounted for. Such a result would be a publishable negative finding, not a failure of the study, and the dissertation commits to reporting it that way. This commitment is what distinguishes the present work from advocacy. The contribution is the estimate and its sensitivity bound, reported together, rather than a defense of a position the field already holds.</w:t>
      </w:r>
    </w:p>
    <w:p>
      <w:pPr>
        <w:pStyle w:val="BodyText"/>
        <w:spacing w:line="480" w:lineRule="auto"/>
        <w:ind w:firstLine="720"/>
      </w:pPr>
      <w:r>
        <w:t xml:space="preserve">The narrowness of the claim is deliberate and is itself a methodological position. A single, transparently identified ATT with a documented sensitivity bound is worth more to a sponsor than a sprawling set of associations, because it can be interrogated, reproduced, and overturned. The estimand, the covariate set, the propensity-score trimming rule, and the sensitivity protocol are fixed before the outcome data are unblinded, so that the falsifiability is real and not retrofitted. The headline number is reported alongside the strength of unobserved confounder that would be required to nullify it, never as a point estimate alone, because in an observational deep-space panel the honest object of inference is a bounded effect rather than a clean randomized contrast.</w:t>
      </w:r>
    </w:p>
    <w:bookmarkEnd w:id="63"/>
    <w:bookmarkStart w:id="64" w:name="approach-in-brief"/>
    <w:p>
      <w:pPr>
        <w:pStyle w:val="Heading2"/>
        <w:spacing w:line="480" w:lineRule="auto"/>
      </w:pPr>
      <w:r>
        <w:t xml:space="preserve">1.4 Approach in Brief</w:t>
      </w:r>
    </w:p>
    <w:p>
      <w:pPr>
        <w:pStyle w:val="FirstParagraph"/>
        <w:spacing w:line="480" w:lineRule="auto"/>
      </w:pPr>
      <w:r>
        <w:t xml:space="preserve">The dissertation pursues the estimand through a quasi-experimental selection-on-observables strategy made explicit and then stress-tested. The primary estimator is doubly robust augmented inverse-probability-weighted regression. A propensity model estimates each event’s probability of receiving Delta-DOR as a function of pre-treatment covariates that proxy mission difficulty and stakes: target body and arrival geometry, approach-phase geocentric distance and Sun-Earth-probe angle, spacecraft class and navigation heritage, declared corridor tightness, and mission-era ground-network capability. Doubly robust estimation protects the ATT against misspecification of either the propensity or the outcome model so long as one is correct, common support is enforced by trimming events outside the overlap region of the propensity score, and covariate balance is reported before and after weighting. Two robustness layers accompany the primary estimate: a formal sensitivity analysis that quantifies how strong an unobserved confounder would have to be to move the ATT to zero, and, where the documentary record permits, an event-time within-mission check that does not rely solely on cross-mission comparability.</w:t>
      </w:r>
    </w:p>
    <w:p>
      <w:pPr>
        <w:pStyle w:val="BodyText"/>
        <w:spacing w:line="480" w:lineRule="auto"/>
        <w:ind w:firstLine="720"/>
      </w:pPr>
      <w:r>
        <w:t xml:space="preserve">The evidence base is a curated event panel built from public archives. Each row is one mission critical event drawn from documented interplanetary missions, with reconstructed approach trajectories and tracking-data records from the NASA Planetary Data System and the NAIF SPICE archive, reconstructed delivery states from JPL Horizons, and declared targeting corridors and difficulty covariates from the NSSDCA master catalog and mission documentation. The continuous plane-of-sky delivery-uncertainty outcome serves as a metric secondary outcome that tests sensitivity to the binary success cut and, through its recovered near-unit range elasticity, provides an internal falsification check on the construction of the panel itself</w:t>
      </w:r>
      <w:r>
        <w:t xml:space="preserve"> </w:t>
      </w:r>
      <w:hyperlink w:anchor="ref-8">
        <w:r>
          <w:rPr>
            <w:rStyle w:val="Hyperlink"/>
          </w:rPr>
          <w:t xml:space="preserve">[8]</w:t>
        </w:r>
      </w:hyperlink>
      <w:r>
        <w:t xml:space="preserve">. Provenance is recorded at the level of the individual approach phase so that the panel is reconstructable from public sources, and treatment misclassification, the principal archival risk in older holdings, is handled by excluding unclassifiable events with the exclusion logged and by a quantitative-bias analysis of plausible misclassification rates.</w:t>
      </w:r>
    </w:p>
    <w:bookmarkEnd w:id="64"/>
    <w:bookmarkStart w:id="65" w:name="roadmap"/>
    <w:p>
      <w:pPr>
        <w:pStyle w:val="Heading2"/>
        <w:spacing w:line="480" w:lineRule="auto"/>
      </w:pPr>
      <w:r>
        <w:t xml:space="preserve">1.5 Roadmap</w:t>
      </w:r>
    </w:p>
    <w:p>
      <w:pPr>
        <w:pStyle w:val="FirstParagraph"/>
        <w:spacing w:line="480" w:lineRule="auto"/>
      </w:pPr>
      <w:r>
        <w:t xml:space="preserve">The remainder of the dissertation proceeds as follows. Chapter 2 reviews the two literatures the introduction has set against each other, the deep-space navigation and interferometric-tracking corpus on one side</w:t>
      </w:r>
      <w:r>
        <w:t xml:space="preserve"> </w:t>
      </w:r>
      <w:hyperlink w:anchor="ref-1">
        <w:r>
          <w:rPr>
            <w:rStyle w:val="Hyperlink"/>
          </w:rPr>
          <w:t xml:space="preserve">[1]</w:t>
        </w:r>
      </w:hyperlink>
      <w:r>
        <w:t xml:space="preserve">[2][5][8][9][11] and the causal-inference and program-evaluation methodology on the other, and locates the unaddressed bridge between them. Chapter 3 develops the causal framework: it states the potential-outcomes model for the ATT, the selection-on-observables identifying assumption, the role of each pre-treatment covariate as a difficulty or stakes proxy, and the formal sensitivity model for unobserved confounding. Chapter 4 documents the data and provenance, specifying the construction of the event panel from the Planetary Data System, the SPICE archive, JPL Horizons, and the NSSDCA catalog, the treatment- and outcome-coding rules, and the exclusion logic. Chapter 5 presents the primary doubly robust ATT estimate, the overlap and balance diagnostics, and the binary-success findings that the preliminary linear-probability analysis foreshadowed. Chapter 6 reports the continuous delivery-uncertainty secondary outcome and the range-elasticity falsification check</w:t>
      </w:r>
      <w:r>
        <w:t xml:space="preserve"> </w:t>
      </w:r>
      <w:hyperlink w:anchor="ref-4">
        <w:r>
          <w:rPr>
            <w:rStyle w:val="Hyperlink"/>
          </w:rPr>
          <w:t xml:space="preserve">[4]</w:t>
        </w:r>
      </w:hyperlink>
      <w:r>
        <w:t xml:space="preserve">[8], extending the cross-mission regression evidence. Chapter 7 presents the sensitivity analysis and the full suite of threats-to-validity diagnostics, including the quantitative-bias treatment of treatment misclassification and the within-mission event-time check. Chapter 8 concludes by returning the estimate to the resource-allocation question that motivated it</w:t>
      </w:r>
      <w:r>
        <w:t xml:space="preserve"> </w:t>
      </w:r>
      <w:hyperlink w:anchor="ref-3">
        <w:r>
          <w:rPr>
            <w:rStyle w:val="Hyperlink"/>
          </w:rPr>
          <w:t xml:space="preserve">[3]</w:t>
        </w:r>
      </w:hyperlink>
      <w:r>
        <w:t xml:space="preserve">, stating the scope conditions under which the effect size generalizes, and identifying the boundaries of the claim. Throughout, the discipline is the same one the contribution demands: every number is sourced to a documented input or an estimator output, the identifying assumption is stated rather than assumed away, and the result is reported in a form that a skeptical reader can falsify.</w:t>
      </w:r>
    </w:p>
    <w:bookmarkEnd w:id="65"/>
    <w:bookmarkEnd w:id="66"/>
    <w:bookmarkStart w:id="82" w:name="chapter-2.-literature-review"/>
    <w:p>
      <w:pPr>
        <w:pStyle w:val="Heading1"/>
        <w:spacing w:line="480" w:lineRule="auto"/>
      </w:pPr>
      <w:r>
        <w:t xml:space="preserve">Chapter 2. Literature Review</w:t>
      </w:r>
    </w:p>
    <w:bookmarkStart w:id="67" w:name="introduction-and-organizing-logic"/>
    <w:p>
      <w:pPr>
        <w:pStyle w:val="Heading2"/>
        <w:spacing w:line="480" w:lineRule="auto"/>
      </w:pPr>
      <w:r>
        <w:t xml:space="preserve">2.1 Introduction and Organizing Logic</w:t>
      </w:r>
    </w:p>
    <w:p>
      <w:pPr>
        <w:pStyle w:val="FirstParagraph"/>
        <w:spacing w:line="480" w:lineRule="auto"/>
      </w:pPr>
      <w:r>
        <w:t xml:space="preserve">This dissertation sits at the intersection of two scholarly traditions that have developed in near-total isolation from one another. The first is the deep-space radiometric navigation literature, an engineering corpus that has characterized Delta-Differential One-way Ranging (Delta-DOR) with extraordinary physical precision, documenting its measurement architecture, its angular-accuracy budget, and its operational deployment across four decades of interplanetary missions. The second is the cliometric and quasi-experimental causal-inference tradition, a methodological corpus concerned with recovering treatment effects from observational records when randomization is unavailable and selection into treatment is endogenous to the very outcomes one wishes to study. The first literature knows everything about what Delta-DOR does to a covariance matrix and almost nothing about what it does to the realized probability that a mission achieves its objective. The gap is not subtle. The second literature knows a great deal about how to estimate such realized effects under selection but has never been pointed at a deep-space navigation observable. The purpose of this chapter is to review both bodies of work on their own terms, to demonstrate that each is mature and internally coherent, and then to show that the question this dissertation poses falls precisely in the seam between them, unaddressed by either.</w:t>
      </w:r>
    </w:p>
    <w:p>
      <w:pPr>
        <w:pStyle w:val="BodyText"/>
        <w:spacing w:line="480" w:lineRule="auto"/>
        <w:ind w:firstLine="720"/>
      </w:pPr>
      <w:r>
        <w:t xml:space="preserve">The review is organized into four substantive sections. Section 2.2 reviews the interferometric and radiometric-tracking literature, beginning from the radio-astronomy heritage of very-long-baseline interferometry and proceeding through the deep-space navigation application, the operational record, and the dominant evidentiary form of that literature, which is forward covariance analysis. Section 2.3 reviews the cliometric and quasi-experimental methodology literature, with attention to selection on observables, propensity-based estimation, doubly robust methods, and sensitivity analysis for unobserved confounding, and it situates the deep-space navigation problem against the small-sample and clustered-data challenges that the methodology literature has confronted in other domains. Section 2.4 synthesizes the two and states the gap as a formal proposition: that no extant work joins a population-level causal estimand to a deep-space navigation observable, and that the prevailing operational presumption about Delta-DOR therefore rests on predicted precision rather than estimated outcome change. Section 2.5 closes by positioning the dissertation’s contribution against the reviewed corpus and previewing how the two companion analyses that precede this manuscript already begin to bridge the divide.</w:t>
      </w:r>
    </w:p>
    <w:p>
      <w:pPr>
        <w:pStyle w:val="BodyText"/>
        <w:spacing w:line="480" w:lineRule="auto"/>
        <w:ind w:firstLine="720"/>
      </w:pPr>
      <w:r>
        <w:t xml:space="preserve">A note on scope and citation discipline is warranted. The corpus reviewed here is the shared reference pool curated for this dissertation, and every claim is anchored to a numbered source within that pool. Where the technical literature reports a physical quantity, that quantity is reproduced as the source states it and is not extrapolated. Where the methodology literature establishes an identification result, that result is described at the level of generality at which it was proved and is not overstated for the navigation application.</w:t>
      </w:r>
    </w:p>
    <w:bookmarkEnd w:id="67"/>
    <w:bookmarkStart w:id="73" w:name="X1ede106d75a12e3830fa19100a54df26c8f291a"/>
    <w:p>
      <w:pPr>
        <w:pStyle w:val="Heading2"/>
        <w:spacing w:line="480" w:lineRule="auto"/>
      </w:pPr>
      <w:r>
        <w:t xml:space="preserve">2.2 The Interferometric and Radiometric-Tracking Literature</w:t>
      </w:r>
    </w:p>
    <w:bookmarkStart w:id="68" w:name="the-radio-astronomy-heritage"/>
    <w:p>
      <w:pPr>
        <w:pStyle w:val="Heading3"/>
        <w:spacing w:line="480" w:lineRule="auto"/>
      </w:pPr>
      <w:r>
        <w:t xml:space="preserve">2.2.1 The Radio-Astronomy Heritage</w:t>
      </w:r>
    </w:p>
    <w:p>
      <w:pPr>
        <w:pStyle w:val="FirstParagraph"/>
        <w:spacing w:line="480" w:lineRule="auto"/>
      </w:pPr>
      <w:r>
        <w:t xml:space="preserve">The physical principle that makes Delta-DOR possible is not native to navigation; it is inherited from radio interferometry, where the angular resolution of an instrument scales with the length of the baseline separating its receiving elements and where extragalactic radio sources provide a quasi-inertial reference frame against which angular positions are fixed. The most ambitious articulation of this principle in the reviewed corpus is the science case for space-borne sub-millimeter interferometry, which argues for very-long-baseline instruments whose angular reach and observational capability are set by the same baseline-resolution relationship that underwrites ground-based VLBI</w:t>
      </w:r>
      <w:r>
        <w:t xml:space="preserve"> </w:t>
      </w:r>
      <w:hyperlink w:anchor="ref-1">
        <w:r>
          <w:rPr>
            <w:rStyle w:val="Hyperlink"/>
          </w:rPr>
          <w:t xml:space="preserve">[1]</w:t>
        </w:r>
      </w:hyperlink>
      <w:r>
        <w:t xml:space="preserve">. That work is framed entirely around instrument capability and the scientific questions that improved angular resolution would let astronomers answer; it reasons about what a longer baseline and a more stable reference frame buy in terms of resolving power, not about downstream decision outcomes. It is, in other words, a capability argument, and it is representative of how the interferometry literature characterizes its own contributions.</w:t>
      </w:r>
    </w:p>
    <w:p>
      <w:pPr>
        <w:pStyle w:val="BodyText"/>
        <w:spacing w:line="480" w:lineRule="auto"/>
        <w:ind w:firstLine="720"/>
      </w:pPr>
      <w:r>
        <w:t xml:space="preserve">The same phase-differencing physics has migrated into the space-domain-awareness setting, where passive radio-frequency interferometric techniques have been demonstrated for tracking resident space objects at baselines shorter than those of deep-space navigation but resting on identical principles</w:t>
      </w:r>
      <w:r>
        <w:t xml:space="preserve"> </w:t>
      </w:r>
      <w:hyperlink w:anchor="ref-2">
        <w:r>
          <w:rPr>
            <w:rStyle w:val="Hyperlink"/>
          </w:rPr>
          <w:t xml:space="preserve">[2]</w:t>
        </w:r>
      </w:hyperlink>
      <w:r>
        <w:t xml:space="preserve">. That demonstration is reported as a tracking-capability proof: the authors establish that the technique can recover angular information about a target, and they characterize the precision of that recovery, but the study stops at capability and does not connect the demonstrated tracking precision to any mission-level or decision-level outcome. The pattern recurs across adjacent interferometric and astrometric work. A milli-arcsecond astrometric pathfinder mission is presented through its measurement architecture and its angular-precision goals</w:t>
      </w:r>
      <w:r>
        <w:t xml:space="preserve"> </w:t>
      </w:r>
      <w:hyperlink w:anchor="ref-15">
        <w:r>
          <w:rPr>
            <w:rStyle w:val="Hyperlink"/>
          </w:rPr>
          <w:t xml:space="preserve">[15]</w:t>
        </w:r>
      </w:hyperlink>
      <w:r>
        <w:t xml:space="preserve">, and ground-based cislunar and space-surveillance tracking studies that exploit time-difference-of-arrival and frequency-difference-of-arrival observables, physically cousins of Delta-DOR’s phase difference, are likewise framed around orbit-determination capability rather than around the realized success of any operational campaign</w:t>
      </w:r>
      <w:r>
        <w:t xml:space="preserve"> </w:t>
      </w:r>
      <w:hyperlink w:anchor="ref-13">
        <w:r>
          <w:rPr>
            <w:rStyle w:val="Hyperlink"/>
          </w:rPr>
          <w:t xml:space="preserve">[13]</w:t>
        </w:r>
      </w:hyperlink>
      <w:r>
        <w:t xml:space="preserve">. The astrometric and surveillance literatures, in short, are capability literatures: they measure what can be measured and how well, and they leave the inferential question of how that capability changes outcomes to others.</w:t>
      </w:r>
    </w:p>
    <w:bookmarkEnd w:id="68"/>
    <w:bookmarkStart w:id="69" w:name="Xa1f25bdc66937e646fdc2716664cdf0b66c417a"/>
    <w:p>
      <w:pPr>
        <w:pStyle w:val="Heading3"/>
        <w:spacing w:line="480" w:lineRule="auto"/>
      </w:pPr>
      <w:r>
        <w:t xml:space="preserve">2.2.2 Delta-DOR as a Deep-Space Navigation Observable</w:t>
      </w:r>
    </w:p>
    <w:p>
      <w:pPr>
        <w:pStyle w:val="FirstParagraph"/>
        <w:spacing w:line="480" w:lineRule="auto"/>
      </w:pPr>
      <w:r>
        <w:t xml:space="preserve">When the interferometric principle is applied to interplanetary navigation, it produces Delta-DOR, and the reviewed corpus documents this application with unusual completeness. The canonical technical account characterizes Delta-DOR as the one-nanoradian navigation measurement system of the Deep Space Network and lays out its history, architecture, and componentry in full</w:t>
      </w:r>
      <w:r>
        <w:t xml:space="preserve"> </w:t>
      </w:r>
      <w:hyperlink w:anchor="ref-8">
        <w:r>
          <w:rPr>
            <w:rStyle w:val="Hyperlink"/>
          </w:rPr>
          <w:t xml:space="preserve">[8]</w:t>
        </w:r>
      </w:hyperlink>
      <w:r>
        <w:t xml:space="preserve">. The measurement proceeds by differencing the phase of a spacecraft’s downlink signal received at two widely separated ground stations and then referencing that difference to a nearby extragalactic radio source observed in the same geometry, which cancels common-mode station-location, clock, and media errors and yields a plane-of-sky angle largely decoupled from the dynamical model. The DSN telecommunications link design handbook formalizes the operational form of the observable, its scheduling requirements, and its error budget</w:t>
      </w:r>
      <w:r>
        <w:t xml:space="preserve"> </w:t>
      </w:r>
      <w:hyperlink w:anchor="ref-11">
        <w:r>
          <w:rPr>
            <w:rStyle w:val="Hyperlink"/>
          </w:rPr>
          <w:t xml:space="preserve">[11]</w:t>
        </w:r>
      </w:hyperlink>
      <w:r>
        <w:t xml:space="preserve">, and a companion synthesis traces the technique’s development from the Viking era through the Mars Science Laboratory, documenting the incremental innovations that drove the system toward nanoradian-class performance</w:t>
      </w:r>
      <w:r>
        <w:t xml:space="preserve"> </w:t>
      </w:r>
      <w:hyperlink w:anchor="ref-4">
        <w:r>
          <w:rPr>
            <w:rStyle w:val="Hyperlink"/>
          </w:rPr>
          <w:t xml:space="preserve">[4]</w:t>
        </w:r>
      </w:hyperlink>
      <w:r>
        <w:t xml:space="preserve">.</w:t>
      </w:r>
    </w:p>
    <w:p>
      <w:pPr>
        <w:pStyle w:val="BodyText"/>
        <w:spacing w:line="480" w:lineRule="auto"/>
        <w:ind w:firstLine="720"/>
      </w:pPr>
      <w:r>
        <w:t xml:space="preserve">The reviewed material is explicit about the magnitudes involved, and these magnitudes are central to the dissertation’s mechanism. The mature DSN form is characterized as a one-nanoradian system with a plane-of-sky one-sigma error of roughly two to three nanoradians</w:t>
      </w:r>
      <w:r>
        <w:t xml:space="preserve"> </w:t>
      </w:r>
      <w:hyperlink w:anchor="ref-4">
        <w:r>
          <w:rPr>
            <w:rStyle w:val="Hyperlink"/>
          </w:rPr>
          <w:t xml:space="preserve">[4]</w:t>
        </w:r>
      </w:hyperlink>
      <w:r>
        <w:t xml:space="preserve">[8], to be set against navigation built on Doppler and range alone, which is precise along the line of sight but weak in the transverse, declination-like component, where the documented accuracy is on the order of one hundred nanoradians</w:t>
      </w:r>
      <w:r>
        <w:t xml:space="preserve"> </w:t>
      </w:r>
      <w:hyperlink w:anchor="ref-4">
        <w:r>
          <w:rPr>
            <w:rStyle w:val="Hyperlink"/>
          </w:rPr>
          <w:t xml:space="preserve">[4]</w:t>
        </w:r>
      </w:hyperlink>
      <w:r>
        <w:t xml:space="preserve">. The handbook further supplies the conversion that links this angular gain to a position quantity, on the order of fifteen hundredths of a kilometre of position uncertainty per nanoradian of angular error per astronomical unit of Earth-spacecraft range</w:t>
      </w:r>
      <w:r>
        <w:t xml:space="preserve"> </w:t>
      </w:r>
      <w:hyperlink w:anchor="ref-11">
        <w:r>
          <w:rPr>
            <w:rStyle w:val="Hyperlink"/>
          </w:rPr>
          <w:t xml:space="preserve">[11]</w:t>
        </w:r>
      </w:hyperlink>
      <w:r>
        <w:t xml:space="preserve">, which makes the navigational consequence of the observable concrete: at a fixed angular accuracy, the position error subtended grows linearly with distance, so the value of replacing a hundred-nanoradian transverse regime with a two-to-three-nanoradian regime is largest precisely where missions go farthest and corridors are tightest. The European operational documentation corroborates the deep-space application from an independent agency’s vantage, describing how Delta-DOR is used to keep track of spacecraft during demanding mission phases</w:t>
      </w:r>
      <w:r>
        <w:t xml:space="preserve"> </w:t>
      </w:r>
      <w:hyperlink w:anchor="ref-10">
        <w:r>
          <w:rPr>
            <w:rStyle w:val="Hyperlink"/>
          </w:rPr>
          <w:t xml:space="preserve">[10]</w:t>
        </w:r>
      </w:hyperlink>
      <w:r>
        <w:t xml:space="preserve">, and the chronological navigation reviews place the data type and its absence into the historical record of specific missions, establishing which campaigns did and did not employ it</w:t>
      </w:r>
      <w:r>
        <w:t xml:space="preserve"> </w:t>
      </w:r>
      <w:hyperlink w:anchor="ref-9">
        <w:r>
          <w:rPr>
            <w:rStyle w:val="Hyperlink"/>
          </w:rPr>
          <w:t xml:space="preserve">[9]</w:t>
        </w:r>
      </w:hyperlink>
      <w:r>
        <w:t xml:space="preserve">.</w:t>
      </w:r>
    </w:p>
    <w:bookmarkEnd w:id="69"/>
    <w:bookmarkStart w:id="70" w:name="the-operational-and-cross-support-record"/>
    <w:p>
      <w:pPr>
        <w:pStyle w:val="Heading3"/>
        <w:spacing w:line="480" w:lineRule="auto"/>
      </w:pPr>
      <w:r>
        <w:t xml:space="preserve">2.2.3 The Operational and Cross-Support Record</w:t>
      </w:r>
    </w:p>
    <w:p>
      <w:pPr>
        <w:pStyle w:val="FirstParagraph"/>
        <w:spacing w:line="480" w:lineRule="auto"/>
      </w:pPr>
      <w:r>
        <w:t xml:space="preserve">Beyond the architectural accounts, the corpus contains a substantial body of mission-specific operational reporting that establishes, mission by mission, whether and how Delta-DOR was deployed. The Mars Express interplanetary navigation account documents the use of the observable from launch through Mars orbit insertion and reports the navigation team’s realized experience</w:t>
      </w:r>
      <w:r>
        <w:t xml:space="preserve"> </w:t>
      </w:r>
      <w:hyperlink w:anchor="ref-5">
        <w:r>
          <w:rPr>
            <w:rStyle w:val="Hyperlink"/>
          </w:rPr>
          <w:t xml:space="preserve">[5]</w:t>
        </w:r>
      </w:hyperlink>
      <w:r>
        <w:t xml:space="preserve">, and the chronological reviews of deep-space navigation extend this mission-level record across the modern era, documenting realized delivery and reconstruction figures for events such as the Dawn arrival at Ceres and the Juno approach to perijove</w:t>
      </w:r>
      <w:r>
        <w:t xml:space="preserve"> </w:t>
      </w:r>
      <w:hyperlink w:anchor="ref-9">
        <w:r>
          <w:rPr>
            <w:rStyle w:val="Hyperlink"/>
          </w:rPr>
          <w:t xml:space="preserve">[9]</w:t>
        </w:r>
      </w:hyperlink>
      <w:r>
        <w:t xml:space="preserve">. These operational accounts are the documentary substrate from which a population-level panel of treatment status can be assembled, because they record the tracking schedule as an operational fact rather than inferring it from the outcome.</w:t>
      </w:r>
    </w:p>
    <w:p>
      <w:pPr>
        <w:pStyle w:val="BodyText"/>
        <w:spacing w:line="480" w:lineRule="auto"/>
        <w:ind w:firstLine="720"/>
      </w:pPr>
      <w:r>
        <w:t xml:space="preserve">The record is also increasingly multinational. The first cross-support interferometric tracking demonstration in a Chinese Mars mission is reported in the corpus and establishes that the technique is no longer the exclusive province of a single agency or network</w:t>
      </w:r>
      <w:r>
        <w:t xml:space="preserve"> </w:t>
      </w:r>
      <w:hyperlink w:anchor="ref-7">
        <w:r>
          <w:rPr>
            <w:rStyle w:val="Hyperlink"/>
          </w:rPr>
          <w:t xml:space="preserve">[7]</w:t>
        </w:r>
      </w:hyperlink>
      <w:r>
        <w:t xml:space="preserve">, while the European operational documentation independently establishes Delta-DOR use across a series of ESA missions</w:t>
      </w:r>
      <w:r>
        <w:t xml:space="preserve"> </w:t>
      </w:r>
      <w:hyperlink w:anchor="ref-10">
        <w:r>
          <w:rPr>
            <w:rStyle w:val="Hyperlink"/>
          </w:rPr>
          <w:t xml:space="preserve">[10]</w:t>
        </w:r>
      </w:hyperlink>
      <w:r>
        <w:t xml:space="preserve">. This cross-support evidence matters for the dissertation in two ways. It widens the population of documented critical events from which a panel can be drawn, and it introduces era-and-agency clustering into that population, a feature that the methodology of Section 2.3 must accommodate. The autonomous-navigation literature for deep-space small satellites rounds out the operational picture by documenting the technological frontier toward which tracking is moving and the scientific and technological advances that are reshaping how spacecraft state is observed</w:t>
      </w:r>
      <w:r>
        <w:t xml:space="preserve"> </w:t>
      </w:r>
      <w:hyperlink w:anchor="ref-21">
        <w:r>
          <w:rPr>
            <w:rStyle w:val="Hyperlink"/>
          </w:rPr>
          <w:t xml:space="preserve">[21]</w:t>
        </w:r>
      </w:hyperlink>
      <w:r>
        <w:t xml:space="preserve">, a reminder that the ground-network regime represented in any historical panel is itself a moving target and a scope condition on any estimate.</w:t>
      </w:r>
    </w:p>
    <w:bookmarkEnd w:id="70"/>
    <w:bookmarkStart w:id="71" w:name="X7716a47d9e8ab6f0587fb4fb7b0be8d64db7646"/>
    <w:p>
      <w:pPr>
        <w:pStyle w:val="Heading3"/>
        <w:spacing w:line="480" w:lineRule="auto"/>
      </w:pPr>
      <w:r>
        <w:t xml:space="preserve">2.2.4 The Negative Case and the Stakes of Delivery Error</w:t>
      </w:r>
    </w:p>
    <w:p>
      <w:pPr>
        <w:pStyle w:val="FirstParagraph"/>
        <w:spacing w:line="480" w:lineRule="auto"/>
      </w:pPr>
      <w:r>
        <w:t xml:space="preserve">The corpus also contains the canonical demonstration of what is at stake when interplanetary delivery fails. The Mars Climate Orbiter mishap investigation documents a loss attributable to a navigation error, and it stands in the reviewed material as the clearest articulation of why delivery accuracy at a critical event is not a matter of academic precision but of mission survival</w:t>
      </w:r>
      <w:r>
        <w:t xml:space="preserve"> </w:t>
      </w:r>
      <w:hyperlink w:anchor="ref-6">
        <w:r>
          <w:rPr>
            <w:rStyle w:val="Hyperlink"/>
          </w:rPr>
          <w:t xml:space="preserve">[6]</w:t>
        </w:r>
      </w:hyperlink>
      <w:r>
        <w:t xml:space="preserve">. The negative case is evidentiarily important because it anchors the outcome variable that the dissertation studies. Mission success at a critical event is not an abstraction; it is the binary fact of whether the vehicle arrived inside its declared corridor, and the mishap record establishes both that this fact varies and that its variation is consequential. The broader astrodynamics and mission-execution literature reinforces the point with detailed accounts of demanding approaches, including the execution of an unprecedented flight to the Sun and its early results</w:t>
      </w:r>
      <w:r>
        <w:t xml:space="preserve"> </w:t>
      </w:r>
      <w:hyperlink w:anchor="ref-22">
        <w:r>
          <w:rPr>
            <w:rStyle w:val="Hyperlink"/>
          </w:rPr>
          <w:t xml:space="preserve">[22]</w:t>
        </w:r>
      </w:hyperlink>
      <w:r>
        <w:t xml:space="preserve"> </w:t>
      </w:r>
      <w:r>
        <w:t xml:space="preserve">and the orbit-injection problem at Mars under aerocapture and low-thrust control</w:t>
      </w:r>
      <w:r>
        <w:t xml:space="preserve"> </w:t>
      </w:r>
      <w:hyperlink w:anchor="ref-24">
        <w:r>
          <w:rPr>
            <w:rStyle w:val="Hyperlink"/>
          </w:rPr>
          <w:t xml:space="preserve">[24]</w:t>
        </w:r>
      </w:hyperlink>
      <w:r>
        <w:t xml:space="preserve">, each of which illustrates how tight the achievable corridor can be and how sensitive arrival is to the quality of the approach-phase state estimate.</w:t>
      </w:r>
    </w:p>
    <w:bookmarkEnd w:id="71"/>
    <w:bookmarkStart w:id="72" w:name="X66267fa829f4670ba6c37af5bbc1b305479da92"/>
    <w:p>
      <w:pPr>
        <w:pStyle w:val="Heading3"/>
        <w:spacing w:line="480" w:lineRule="auto"/>
      </w:pPr>
      <w:r>
        <w:t xml:space="preserve">2.2.5 The Dominant Evidentiary Form: Forward Covariance Analysis</w:t>
      </w:r>
    </w:p>
    <w:p>
      <w:pPr>
        <w:pStyle w:val="FirstParagraph"/>
        <w:spacing w:line="480" w:lineRule="auto"/>
      </w:pPr>
      <w:r>
        <w:t xml:space="preserve">What unifies the technical literature reviewed above, and what makes it insufficient for the question this dissertation poses, is its evidentiary form. The dominant mode of argument for Delta-DOR is forward covariance analysis: given an assumed tracking schedule, a dynamical model, and a measurement-noise budget, one propagates a state-error covariance and reports the predicted plane-of-sky uncertainty with and without the observable</w:t>
      </w:r>
      <w:r>
        <w:t xml:space="preserve"> </w:t>
      </w:r>
      <w:hyperlink w:anchor="ref-4">
        <w:r>
          <w:rPr>
            <w:rStyle w:val="Hyperlink"/>
          </w:rPr>
          <w:t xml:space="preserve">[4]</w:t>
        </w:r>
      </w:hyperlink>
      <w:r>
        <w:t xml:space="preserve">[8][11]. This is the appropriate and indispensable tool for mission design, and the corpus deploys it with rigor. But a covariance reduction is a statement about predicted precision under a model; it is not an estimate of the change in the probability that a mission achieves its objective. The distinction is not pedantic. A forward covariance study conditions on the assumption that the model is correct and asks how uncertainty would propagate; a causal outcome study makes no such assumption and asks how the realized outcome distribution differs between missions that did and did not receive the observable. The first answers a design question and the second answers a sponsor’s question, and the technical literature, however mature, answers only the first. That silence is not incidental. It is the whole problem.</w:t>
      </w:r>
    </w:p>
    <w:p>
      <w:pPr>
        <w:pStyle w:val="BodyText"/>
        <w:spacing w:line="480" w:lineRule="auto"/>
        <w:ind w:firstLine="720"/>
      </w:pPr>
      <w:r>
        <w:t xml:space="preserve">This limitation is visible even in the most quantitatively explicit sources. The one-nanoradian characterization, the two-to-three-nanoradian one-sigma plane-of-sky error, and the position-per-nanoradian-per-astronomical-unit conversion are all predicted or characterized precisions</w:t>
      </w:r>
      <w:r>
        <w:t xml:space="preserve"> </w:t>
      </w:r>
      <w:hyperlink w:anchor="ref-4">
        <w:r>
          <w:rPr>
            <w:rStyle w:val="Hyperlink"/>
          </w:rPr>
          <w:t xml:space="preserve">[4]</w:t>
        </w:r>
      </w:hyperlink>
      <w:r>
        <w:t xml:space="preserve">[8][11]; none is an estimated effect on a realized outcome across a population of missions. The operational accounts report individual missions’ experiences</w:t>
      </w:r>
      <w:r>
        <w:t xml:space="preserve"> </w:t>
      </w:r>
      <w:hyperlink w:anchor="ref-5">
        <w:r>
          <w:rPr>
            <w:rStyle w:val="Hyperlink"/>
          </w:rPr>
          <w:t xml:space="preserve">[5]</w:t>
        </w:r>
      </w:hyperlink>
      <w:r>
        <w:t xml:space="preserve">[9], but a collection of single-mission narratives is not a population-level effect size, and it carries no machinery for separating the contribution of the observable from the difficulty of the events to which the observable was preferentially applied. The technical literature, in other words, is internally complete on capability and precision and silent on population-level outcome inference. That silence is the first half of the gap.</w:t>
      </w:r>
    </w:p>
    <w:bookmarkEnd w:id="72"/>
    <w:bookmarkEnd w:id="73"/>
    <w:bookmarkStart w:id="79" w:name="X6b38c85c414e5fd11f194107f0dc7c71f498126"/>
    <w:p>
      <w:pPr>
        <w:pStyle w:val="Heading2"/>
        <w:spacing w:line="480" w:lineRule="auto"/>
      </w:pPr>
      <w:r>
        <w:t xml:space="preserve">2.3 The Cliometric and Quasi-Experimental Methodology Literature</w:t>
      </w:r>
    </w:p>
    <w:bookmarkStart w:id="74" w:name="X0dfddd16663b4d5e35dfb7c7541c8d19939fb34"/>
    <w:p>
      <w:pPr>
        <w:pStyle w:val="Heading3"/>
        <w:spacing w:line="480" w:lineRule="auto"/>
      </w:pPr>
      <w:r>
        <w:t xml:space="preserve">2.3.1 The Inferential Problem and the Selection-on-Observables Strategy</w:t>
      </w:r>
    </w:p>
    <w:p>
      <w:pPr>
        <w:pStyle w:val="FirstParagraph"/>
        <w:spacing w:line="480" w:lineRule="auto"/>
      </w:pPr>
      <w:r>
        <w:t xml:space="preserve">The second literature this dissertation draws on is the methodology of causal inference from observational data, the cliometric tradition of estimating treatment effects when assignment is not randomized. The defining problem of this tradition is selection: when a treatment is allocated by a process correlated with the potential outcomes, a naive comparison of treated and untreated units conflates the effect of the treatment with the differences that drove its allocation. In the navigation setting this problem is acute and structurally identical to the canonical case the methodology literature confronts. Delta-DOR is not assigned at random; it is preferentially scheduled for the most demanding and most valuable events, exactly those whose baseline success probability is lowest and whose delivery corridors are tightest, as the operational record makes plain</w:t>
      </w:r>
      <w:r>
        <w:t xml:space="preserve"> </w:t>
      </w:r>
      <w:hyperlink w:anchor="ref-5">
        <w:r>
          <w:rPr>
            <w:rStyle w:val="Hyperlink"/>
          </w:rPr>
          <w:t xml:space="preserve">[5]</w:t>
        </w:r>
      </w:hyperlink>
      <w:r>
        <w:t xml:space="preserve">[9][10]. A naive comparison of outcomes between missions that used the observable and those that did not is therefore confounded by mission difficulty and mission stakes, and the sign of the confounding bias is not even obvious a priori, because the same difficulty that depresses baseline success also raises the probability of treatment.</w:t>
      </w:r>
    </w:p>
    <w:p>
      <w:pPr>
        <w:pStyle w:val="BodyText"/>
        <w:spacing w:line="480" w:lineRule="auto"/>
        <w:ind w:firstLine="720"/>
      </w:pPr>
      <w:r>
        <w:t xml:space="preserve">The methodology literature’s primary response to this problem is the selection-on-observables strategy, which assumes that conditional on a sufficiently rich set of pre-treatment covariates, treatment assignment is as good as random with respect to the potential outcomes. Under this assumption, estimation proceeds by modeling the probability of treatment as a function of those covariates, the propensity score, and then by comparing outcomes within strata of comparable propensity, by weighting observations by the inverse of their probability of receiving the treatment they received, or by combining propensity weighting with direct outcome modeling. The strength of this family of estimators is that it makes the identifying assumption explicit and testable in its observable implications: covariate balance after weighting can be reported, common support can be checked, and the analyst can show whether treated and control units overlap in the covariate space at all. The weakness, equally explicit, is that the assumption is fundamentally untestable in its core, because it concerns the comparability of units on unobservables, and no amount of observed balance can certify that an unmeasured difference does not remain.</w:t>
      </w:r>
    </w:p>
    <w:bookmarkEnd w:id="74"/>
    <w:bookmarkStart w:id="75" w:name="Xa867f7f3511475477b2c860d2538c982b7bedbe"/>
    <w:p>
      <w:pPr>
        <w:pStyle w:val="Heading3"/>
        <w:spacing w:line="480" w:lineRule="auto"/>
      </w:pPr>
      <w:r>
        <w:t xml:space="preserve">2.3.2 Doubly Robust Estimation and the Discipline of Overlap</w:t>
      </w:r>
    </w:p>
    <w:p>
      <w:pPr>
        <w:pStyle w:val="FirstParagraph"/>
        <w:spacing w:line="480" w:lineRule="auto"/>
      </w:pPr>
      <w:r>
        <w:t xml:space="preserve">The methodological refinement most relevant to this dissertation is doubly robust estimation, which combines a propensity model and an outcome model in a single estimator with the property that the resulting treatment-effect estimate is consistent if either model is correctly specified, even if the other is wrong. This property is valuable in a setting where the analyst has genuine uncertainty about the functional form of both the treatment-assignment process and the outcome process, as is the case in deep-space navigation, where the mapping from mission covariates to scheduling decisions and the mapping from covariates and treatment to success are both governed by complex operational judgment rather than by a known parametric law. The doubly robust augmented inverse-probability-weighting specification therefore offers a defensible primary estimator: it guards the average treatment effect on the treated against misspecification of either model so long as one is correct, and it pairs naturally with the discipline of trimming observations outside the common support of the propensity score and of reporting covariate balance before and after weighting.</w:t>
      </w:r>
    </w:p>
    <w:p>
      <w:pPr>
        <w:pStyle w:val="BodyText"/>
        <w:spacing w:line="480" w:lineRule="auto"/>
        <w:ind w:firstLine="720"/>
      </w:pPr>
      <w:r>
        <w:t xml:space="preserve">The methodology literature is equally clear that this machinery does not manufacture identification where overlap is absent. When treated and control units do not share a region of covariate space, the estimator must either extrapolate, which reintroduces the modeling dependence that doubly robust methods were meant to limit, or trim, which redefines the estimand to the subpopulation where comparison is feasible. This tension is directly germane to the navigation panel, where the most difficult event classes may be almost entirely treated and the easiest almost entirely untreated, producing thin or absent overlap at the extremes. The companion analyses to this dissertation encountered exactly this pathology in its sharpest form: in the documented binary-outcome record, no event that scheduled Delta-DOR is recorded as having failed, so the treatment indicator perfectly predicts success and a maximum-likelihood logit does not converge to a finite coefficient. The methodologically honest response, taken in the first companion paper, was to estimate a linear probability model, the standard econometric specification for a binary outcome when logit separates, rather than to discard the variable or to invent treated failures that the record does not contain. That choice is itself an instance of the methodology literature’s discipline: when the identifying machinery breaks down, one changes the estimator transparently rather than forcing an inappropriate one.</w:t>
      </w:r>
    </w:p>
    <w:bookmarkEnd w:id="75"/>
    <w:bookmarkStart w:id="76" w:name="Xf2c2b8a2f4945a9a385b9be1d5d4746522d7142"/>
    <w:p>
      <w:pPr>
        <w:pStyle w:val="Heading3"/>
        <w:spacing w:line="480" w:lineRule="auto"/>
      </w:pPr>
      <w:r>
        <w:t xml:space="preserve">2.3.3 Sensitivity Analysis for Unobserved Confounding</w:t>
      </w:r>
    </w:p>
    <w:p>
      <w:pPr>
        <w:pStyle w:val="FirstParagraph"/>
        <w:spacing w:line="480" w:lineRule="auto"/>
      </w:pPr>
      <w:r>
        <w:t xml:space="preserve">Because the selection-on-observables assumption is untestable at its core, the methodology literature has developed a complementary apparatus of sensitivity analysis, whose purpose is not to test the assumption but to quantify how badly it would have to fail to overturn the conclusion. The standard form asks how strong an unobserved confounder would have to be, in its joint association with both treatment and outcome, to move the estimated effect to zero or to reverse its sign. This reframes the inferential claim from a point estimate, which a sceptic can reject by positing any unmeasured difference, to a bounded claim, which states the magnitude of unmeasured confounding required to undo the finding. A result that survives only a trivial confounder is fragile; a result that would require an implausibly strong hidden difference to overturn is robust, and robust enough to communicate to a decision-maker. This dissertation adopts the sensitivity-bound framing as a constitutive part of its headline claim rather than as an afterthought, reporting the average treatment effect alongside the strength of confounding needed to nullify it, because in a non-randomized navigation panel the bound is as much a part of the evidence as the estimate.</w:t>
      </w:r>
    </w:p>
    <w:p>
      <w:pPr>
        <w:pStyle w:val="BodyText"/>
        <w:spacing w:line="480" w:lineRule="auto"/>
        <w:ind w:firstLine="720"/>
      </w:pPr>
      <w:r>
        <w:t xml:space="preserve">The methodology literature also supplies the logic for treating an imprecise or null result as a legitimate finding rather than a failure. When the estimand is well-defined, the identifying assumption is explicit, and the sensitivity bound is reported, a confidence interval that includes zero is informative: it states that within the documented record and under the stated assumptions, the data cannot distinguish the treatment effect from no effect, which is a genuine and publishable result. This stance is essential in a domain where the population of documented events is modest and the operational presumption in favor of the treatment is strong, because it allows the analysis to function as a falsification test of that presumption rather than as an exercise in confirming it.</w:t>
      </w:r>
    </w:p>
    <w:bookmarkEnd w:id="76"/>
    <w:bookmarkStart w:id="77" w:name="X08a24d35adf185624e37f9b66f746cbdddbdd22"/>
    <w:p>
      <w:pPr>
        <w:pStyle w:val="Heading3"/>
        <w:spacing w:line="480" w:lineRule="auto"/>
      </w:pPr>
      <w:r>
        <w:t xml:space="preserve">2.3.4 Small-Sample, Clustered, and Provenance-Constrained Inference</w:t>
      </w:r>
    </w:p>
    <w:p>
      <w:pPr>
        <w:pStyle w:val="FirstParagraph"/>
        <w:spacing w:line="480" w:lineRule="auto"/>
      </w:pPr>
      <w:r>
        <w:t xml:space="preserve">The deep-space navigation application stresses the methodology literature along three further dimensions that the broader corpus has confronted in adjacent settings. The first is sample size. The population of documented interplanetary critical events is small in absolute terms and irreducibly so, because there have only ever been a few dozen such events, which depresses statistical power and forces honesty about the minimum detectable effect. The companion analyses in this dissertation work with panels of twenty-six and thirty-four events, sizes that demand parsimonious specifications and event-clustered standard errors rather than richly parameterized models. The methodology literature’s prescription here is unambiguous: report the realized precision honestly, pre-commit to the specification before unblinding, and resist padding the sample with weakly comparable units, all of which the design adopts.</w:t>
      </w:r>
    </w:p>
    <w:p>
      <w:pPr>
        <w:pStyle w:val="BodyText"/>
        <w:spacing w:line="480" w:lineRule="auto"/>
        <w:ind w:firstLine="720"/>
      </w:pPr>
      <w:r>
        <w:t xml:space="preserve">The second dimension is clustering. Documented critical events are not independent draws; they cluster by era, by agency, and by spacecraft lineage, because navigation heritage propagates across missions of a common design and because ground-network capability is a function of the epoch. This structure risks pseudo-replication, in which apparently distinct observations carry overlapping information, and the methodology literature’s response is clustered standard errors and explicit acknowledgment of the effective rather than nominal sample size. The cross-support and multinational expansion of the tracking record</w:t>
      </w:r>
      <w:r>
        <w:t xml:space="preserve"> </w:t>
      </w:r>
      <w:hyperlink w:anchor="ref-7">
        <w:r>
          <w:rPr>
            <w:rStyle w:val="Hyperlink"/>
          </w:rPr>
          <w:t xml:space="preserve">[7]</w:t>
        </w:r>
      </w:hyperlink>
      <w:r>
        <w:t xml:space="preserve">[10] both widens the panel and sharpens this clustering problem, because agency-specific operational conventions become a source of correlated treatment assignment.</w:t>
      </w:r>
    </w:p>
    <w:p>
      <w:pPr>
        <w:pStyle w:val="BodyText"/>
        <w:spacing w:line="480" w:lineRule="auto"/>
        <w:ind w:firstLine="720"/>
      </w:pPr>
      <w:r>
        <w:t xml:space="preserve">The third dimension is provenance and measurement completeness. The methodology literature on measurement error and misclassification establishes that a mismeasured treatment indicator biases estimates in directions that depend on the misclassification structure, and it prescribes quantitative-bias analysis to bound that exposure. In the navigation panel, the presence or absence of Delta-DOR in a tracking record may be incompletely documented in older archival holdings, so events whose tracking record cannot be unambiguously classified must be excluded with the exclusion logged, and the analysis must report how plausible misclassification rates would move the estimate. The dissertation’s provenance discipline, recording for every panel row the dataset identifier, the retrieval parameters, and the coding rule applied, is the operational expression of this methodological requirement, and it is what makes the panel reconstructable from public archives rather than a private artifact.</w:t>
      </w:r>
    </w:p>
    <w:bookmarkEnd w:id="77"/>
    <w:bookmarkStart w:id="78" w:name="X4f10e706b9e62b24f8cc6102aa284f8e9dfa607"/>
    <w:p>
      <w:pPr>
        <w:pStyle w:val="Heading3"/>
        <w:spacing w:line="480" w:lineRule="auto"/>
      </w:pPr>
      <w:r>
        <w:t xml:space="preserve">2.3.5 The Methodology Literature’s Distance from the Navigation Problem</w:t>
      </w:r>
    </w:p>
    <w:p>
      <w:pPr>
        <w:pStyle w:val="FirstParagraph"/>
        <w:spacing w:line="480" w:lineRule="auto"/>
      </w:pPr>
      <w:r>
        <w:t xml:space="preserve">For all its maturity, the cliometric and quasi-experimental literature reviewed here has, within the corpus, never been directed at a deep-space navigation observable. Its canonical applications lie in economics, epidemiology, and program evaluation, where the treatments are policies, prescriptions, and interventions on human populations, and where the outcomes are wages, recoveries, and behaviors. The transfer of this machinery to a navigation observable is not mechanical. The unit of analysis is a mission critical event rather than a person; the treatment is a scheduling decision constrained by a scarce shared resource rather than an individual assignment; and the covariates that proxy difficulty and stakes are mission-engineering quantities, target body and arrival geometry, approach-phase geocentric distance and Sun-Earth-probe angle, spacecraft class and navigation heritage, and declared corridor tightness, rather than demographic or clinical variables. The methodology literature supplies the inferential grammar but not the domain vocabulary, and the domain literature supplies the vocabulary but not the grammar. That asymmetry is the second half of the gap.</w:t>
      </w:r>
    </w:p>
    <w:bookmarkEnd w:id="78"/>
    <w:bookmarkEnd w:id="79"/>
    <w:bookmarkStart w:id="80" w:name="synthesis-and-the-gap"/>
    <w:p>
      <w:pPr>
        <w:pStyle w:val="Heading2"/>
        <w:spacing w:line="480" w:lineRule="auto"/>
      </w:pPr>
      <w:r>
        <w:t xml:space="preserve">2.4 Synthesis and the Gap</w:t>
      </w:r>
    </w:p>
    <w:p>
      <w:pPr>
        <w:pStyle w:val="FirstParagraph"/>
        <w:spacing w:line="480" w:lineRule="auto"/>
      </w:pPr>
      <w:r>
        <w:t xml:space="preserve">The two literatures reviewed above are each internally complete and mutually disjoint, and the gap this dissertation occupies is the precise seam between them. It can be stated as three propositions, each of which the reviewed corpus supports.</w:t>
      </w:r>
    </w:p>
    <w:p>
      <w:pPr>
        <w:pStyle w:val="BodyText"/>
        <w:spacing w:line="480" w:lineRule="auto"/>
        <w:ind w:firstLine="720"/>
      </w:pPr>
      <w:r>
        <w:t xml:space="preserve">First, no work in the corpus estimates a treatment effect of Delta-DOR on a realized, mission-level outcome across a population of missions. The technical literature characterizes the observable through predicted precision, the one-nanoradian system, the two-to-three-nanoradian plane-of-sky error, the position-per-nanoradian-per-astronomical-unit conversion</w:t>
      </w:r>
      <w:r>
        <w:t xml:space="preserve"> </w:t>
      </w:r>
      <w:hyperlink w:anchor="ref-4">
        <w:r>
          <w:rPr>
            <w:rStyle w:val="Hyperlink"/>
          </w:rPr>
          <w:t xml:space="preserve">[4]</w:t>
        </w:r>
      </w:hyperlink>
      <w:r>
        <w:t xml:space="preserve">[8][11], and reports individual missions’ operational experiences</w:t>
      </w:r>
      <w:r>
        <w:t xml:space="preserve"> </w:t>
      </w:r>
      <w:hyperlink w:anchor="ref-5">
        <w:r>
          <w:rPr>
            <w:rStyle w:val="Hyperlink"/>
          </w:rPr>
          <w:t xml:space="preserve">[5]</w:t>
        </w:r>
      </w:hyperlink>
      <w:r>
        <w:t xml:space="preserve">[9][10], but the unit of analysis in that literature is the predicted covariance or the single mission, never the population of missions and never a realized outcome distribution. The interferometry and space-domain-awareness sources that supply the physical principle are capability and demonstration studies that stop short of outcome inference altogether</w:t>
      </w:r>
      <w:r>
        <w:t xml:space="preserve"> </w:t>
      </w:r>
      <w:hyperlink w:anchor="ref-1">
        <w:r>
          <w:rPr>
            <w:rStyle w:val="Hyperlink"/>
          </w:rPr>
          <w:t xml:space="preserve">[1]</w:t>
        </w:r>
      </w:hyperlink>
      <w:r>
        <w:t xml:space="preserve">[2][13][15]. The first proposition, then, is that the outcome-inference question has not been asked of this observable.</w:t>
      </w:r>
    </w:p>
    <w:p>
      <w:pPr>
        <w:pStyle w:val="BodyText"/>
        <w:spacing w:line="480" w:lineRule="auto"/>
        <w:ind w:firstLine="720"/>
      </w:pPr>
      <w:r>
        <w:t xml:space="preserve">Second, the selection problem that makes the outcome-inference question hard is unaddressed in the technical literature and unapplied to this domain in the methodology literature. The technical corpus documents, as an operational fact, that Delta-DOR is preferentially scheduled for the hardest and most valuable events</w:t>
      </w:r>
      <w:r>
        <w:t xml:space="preserve"> </w:t>
      </w:r>
      <w:hyperlink w:anchor="ref-5">
        <w:r>
          <w:rPr>
            <w:rStyle w:val="Hyperlink"/>
          </w:rPr>
          <w:t xml:space="preserve">[5]</w:t>
        </w:r>
      </w:hyperlink>
      <w:r>
        <w:t xml:space="preserve">[9][10], which is to say it documents the confounding without naming it or correcting for it, because correcting for it is not the technical literature’s purpose. The methodology corpus possesses the full apparatus for correcting it, propensity modeling, doubly robust estimation, overlap discipline, and sensitivity bounding, but has not been pointed at a navigation observable. The second proposition is that the selection-aware estimation of this effect is exactly the join that neither literature has performed.</w:t>
      </w:r>
    </w:p>
    <w:p>
      <w:pPr>
        <w:pStyle w:val="BodyText"/>
        <w:spacing w:line="480" w:lineRule="auto"/>
        <w:ind w:firstLine="720"/>
      </w:pPr>
      <w:r>
        <w:t xml:space="preserve">Third, the cost-and-reliability framing that motivates the question empirically is connected to neither a realized outcome estimate nor a selection-aware effect size. The space-systems and space-economy literature frames the tension between delivering missions reliably and doing so cost-effectively under constrained public budgets</w:t>
      </w:r>
      <w:r>
        <w:t xml:space="preserve"> </w:t>
      </w:r>
      <w:hyperlink w:anchor="ref-3">
        <w:r>
          <w:rPr>
            <w:rStyle w:val="Hyperlink"/>
          </w:rPr>
          <w:t xml:space="preserve">[3]</w:t>
        </w:r>
      </w:hyperlink>
      <w:r>
        <w:t xml:space="preserve">, and the public-private and partnership literature reinforces that the resource environment for space activity is one of scarce, contested, and increasingly shared capacity</w:t>
      </w:r>
      <w:r>
        <w:t xml:space="preserve"> </w:t>
      </w:r>
      <w:hyperlink w:anchor="ref-20">
        <w:r>
          <w:rPr>
            <w:rStyle w:val="Hyperlink"/>
          </w:rPr>
          <w:t xml:space="preserve">[20]</w:t>
        </w:r>
      </w:hyperlink>
      <w:r>
        <w:t xml:space="preserve">. Acquiring Delta-DOR consumes precisely such a scarce resource: simultaneous time on two large deep-space antennas, correlator processing, and quasar-catalog maintenance, all competing against an oversubscribed network. The resource-allocation argument for or against protecting that network time requires an effect size to weigh against the cost, and at present that effect size does not exist in selection-aware form. The third proposition is that the economic framing of the problem is real, is documented, and currently lacks the causal quantity it needs.</w:t>
      </w:r>
    </w:p>
    <w:p>
      <w:pPr>
        <w:pStyle w:val="BodyText"/>
        <w:spacing w:line="480" w:lineRule="auto"/>
        <w:ind w:firstLine="720"/>
      </w:pPr>
      <w:r>
        <w:t xml:space="preserve">The gap is therefore not a gap in either literature taken alone; it is a gap between them. The interferometry and navigation corpus is a precision literature that does not do outcome inference; the cliometric corpus is an outcome-inference literature that has not engaged the navigation observable; and the economic corpus poses a resource question that neither of the other two can answer in isolation. The contribution of this dissertation is to perform the join: to treat the scheduling of Delta-DOR during a mission’s critical approach phase as a quasi-treatment, to assemble a provenance-disciplined panel of documented critical events from the operational record</w:t>
      </w:r>
      <w:r>
        <w:t xml:space="preserve"> </w:t>
      </w:r>
      <w:hyperlink w:anchor="ref-5">
        <w:r>
          <w:rPr>
            <w:rStyle w:val="Hyperlink"/>
          </w:rPr>
          <w:t xml:space="preserve">[5]</w:t>
        </w:r>
      </w:hyperlink>
      <w:r>
        <w:t xml:space="preserve">[7][9][10], to estimate a single average treatment effect on the treated under a transparent selection-on-observables assumption with a documented sensitivity bound, and thereby to supply the population-level, selection-aware effect size that the cost-and-reliability argument requires</w:t>
      </w:r>
      <w:r>
        <w:t xml:space="preserve"> </w:t>
      </w:r>
      <w:hyperlink w:anchor="ref-3">
        <w:r>
          <w:rPr>
            <w:rStyle w:val="Hyperlink"/>
          </w:rPr>
          <w:t xml:space="preserve">[3]</w:t>
        </w:r>
      </w:hyperlink>
      <w:r>
        <w:t xml:space="preserve">.</w:t>
      </w:r>
    </w:p>
    <w:bookmarkEnd w:id="80"/>
    <w:bookmarkStart w:id="81" w:name="X037d8d8b1a623e7f6fce0c375f2cee5b6d9a5af"/>
    <w:p>
      <w:pPr>
        <w:pStyle w:val="Heading2"/>
        <w:spacing w:line="480" w:lineRule="auto"/>
      </w:pPr>
      <w:r>
        <w:t xml:space="preserve">2.5 Positioning the Contribution Against the Reviewed Corpus</w:t>
      </w:r>
    </w:p>
    <w:p>
      <w:pPr>
        <w:pStyle w:val="FirstParagraph"/>
        <w:spacing w:line="480" w:lineRule="auto"/>
      </w:pPr>
      <w:r>
        <w:t xml:space="preserve">It is worth being precise about what this dissertation does and does not claim relative to the literature it joins, because the value of a join is undermined if it overreaches in either direction.</w:t>
      </w:r>
    </w:p>
    <w:p>
      <w:pPr>
        <w:pStyle w:val="BodyText"/>
        <w:spacing w:line="480" w:lineRule="auto"/>
        <w:ind w:firstLine="720"/>
      </w:pPr>
      <w:r>
        <w:t xml:space="preserve">The dissertation does not improve upon the technical literature’s characterization of the observable, and it does not pretend to. The one-nanoradian system, its error budget, its architecture, and its operational deployment are established by the engineering corpus with a fidelity this work neither possesses nor needs</w:t>
      </w:r>
      <w:r>
        <w:t xml:space="preserve"> </w:t>
      </w:r>
      <w:hyperlink w:anchor="ref-4">
        <w:r>
          <w:rPr>
            <w:rStyle w:val="Hyperlink"/>
          </w:rPr>
          <w:t xml:space="preserve">[4]</w:t>
        </w:r>
      </w:hyperlink>
      <w:r>
        <w:t xml:space="preserve">[8][11]. The dissertation imports the mechanism from that literature rather than re-deriving it: it takes as given, on documented authority, that Delta-DOR replaces a roughly one-hundred-nanoradian transverse regime with a two-to-three-nanoradian regime and that the resulting position gain scales with range</w:t>
      </w:r>
      <w:r>
        <w:t xml:space="preserve"> </w:t>
      </w:r>
      <w:hyperlink w:anchor="ref-4">
        <w:r>
          <w:rPr>
            <w:rStyle w:val="Hyperlink"/>
          </w:rPr>
          <w:t xml:space="preserve">[4]</w:t>
        </w:r>
      </w:hyperlink>
      <w:r>
        <w:t xml:space="preserve">[11], and it asks only what that imported mechanism does to a realized population outcome. This is a deliberate division of labor, and it is also a stated scope condition: because the mechanism is imported from astronomy and space-domain-awareness settings</w:t>
      </w:r>
      <w:r>
        <w:t xml:space="preserve"> </w:t>
      </w:r>
      <w:hyperlink w:anchor="ref-1">
        <w:r>
          <w:rPr>
            <w:rStyle w:val="Hyperlink"/>
          </w:rPr>
          <w:t xml:space="preserve">[1]</w:t>
        </w:r>
      </w:hyperlink>
      <w:r>
        <w:t xml:space="preserve">[2] rather than tested in a controlled navigation trial, the dissertation’s claim is about the realized outcome association under selection, not about the physics, which it treats as settled.</w:t>
      </w:r>
    </w:p>
    <w:p>
      <w:pPr>
        <w:pStyle w:val="BodyText"/>
        <w:spacing w:line="480" w:lineRule="auto"/>
        <w:ind w:firstLine="720"/>
      </w:pPr>
      <w:r>
        <w:t xml:space="preserve">Equally, the dissertation does not extend the methodology literature; it applies it. The doubly robust estimator, the overlap discipline, and the sensitivity-bound framing are taken from the cliometric tradition as established tools, and the contribution lies not in refining those tools but in being the first within the corpus to bring them to bear on a deep-space navigation observable. The novelty is the application and the resulting effect size, together with the provenance architecture that makes the panel reconstructable. The methodological care that the application demands, the parsimonious specifications forced by a small clustered sample, the honest reporting of separation and of the minimum detectable effect, the pre-registration of the estimand and covariate set before unblinding, and the treatment of a well-bounded null as a legitimate result, is care drawn from the methodology literature’s own standards rather than invented here.</w:t>
      </w:r>
    </w:p>
    <w:p>
      <w:pPr>
        <w:pStyle w:val="BodyText"/>
        <w:spacing w:line="480" w:lineRule="auto"/>
        <w:ind w:firstLine="720"/>
      </w:pPr>
      <w:r>
        <w:t xml:space="preserve">The two companion analyses that precede this manuscript already demonstrate the join in two complementary forms and motivate the primary estimator that follows. The first companion paper estimates a binary-outcome effect across a thirty-four-event panel and confronts the separation pathology directly, recovering a large conditional association between Delta-DOR and corridor-delivery success once event difficulty is held fixed, while being explicit that the documented record contains no treated failure and that the linear specification is therefore doing interpolative work that a continuous outcome would discipline. The second companion paper supplies that continuous outcome, regressing log plane-of-sky delivery uncertainty on the treatment indicator and log Earth-spacecraft range across a twenty-six-event panel, recovering a large proportional reduction in delivery uncertainty under treatment and a range elasticity statistically consistent with the unit value the measurement physics predicts</w:t>
      </w:r>
      <w:r>
        <w:t xml:space="preserve"> </w:t>
      </w:r>
      <w:hyperlink w:anchor="ref-4">
        <w:r>
          <w:rPr>
            <w:rStyle w:val="Hyperlink"/>
          </w:rPr>
          <w:t xml:space="preserve">[4]</w:t>
        </w:r>
      </w:hyperlink>
      <w:r>
        <w:t xml:space="preserve">[11], which serves as a falsification check on the panel’s construction. Both companion papers are careful to label their estimates as associations under transparent construction rather than as the randomized contrast the dissertation’s primary estimator pursues, and both close by pointing toward the selection-aware estimand that this dissertation develops. They are the bridge half-built. The chapters that follow complete it by supplying the doubly robust, sensitivity-bounded average treatment effect on the treated that the gap between the two literatures has left open.</w:t>
      </w:r>
    </w:p>
    <w:p>
      <w:pPr>
        <w:pStyle w:val="BodyText"/>
        <w:spacing w:line="480" w:lineRule="auto"/>
        <w:ind w:firstLine="720"/>
      </w:pPr>
      <w:r>
        <w:t xml:space="preserve">In sum, the literature review establishes a precise and defensible position. The technical literature is a mature precision corpus that does not do population-level outcome inference</w:t>
      </w:r>
      <w:r>
        <w:t xml:space="preserve"> </w:t>
      </w:r>
      <w:hyperlink w:anchor="ref-1">
        <w:r>
          <w:rPr>
            <w:rStyle w:val="Hyperlink"/>
          </w:rPr>
          <w:t xml:space="preserve">[1]</w:t>
        </w:r>
      </w:hyperlink>
      <w:r>
        <w:t xml:space="preserve">[2][4][5][8][9][10][11]; the cliometric literature is a mature inference corpus that has not engaged the navigation observable; the economic framing documents a real resource question that requires a causal effect size it does not yet have</w:t>
      </w:r>
      <w:r>
        <w:t xml:space="preserve"> </w:t>
      </w:r>
      <w:hyperlink w:anchor="ref-3">
        <w:r>
          <w:rPr>
            <w:rStyle w:val="Hyperlink"/>
          </w:rPr>
          <w:t xml:space="preserve">[3]</w:t>
        </w:r>
      </w:hyperlink>
      <w:r>
        <w:t xml:space="preserve">[20]; and the seam between these bodies of work is exactly where this dissertation makes its single, falsifiable, and modest contribution. The remainder of the dissertation occupies that seam.</w:t>
      </w:r>
    </w:p>
    <w:bookmarkEnd w:id="81"/>
    <w:bookmarkEnd w:id="82"/>
    <w:bookmarkStart w:id="92" w:name="Xcfcc00a3ded59aed0c781c16bfc121f2a509603"/>
    <w:p>
      <w:pPr>
        <w:pStyle w:val="Heading1"/>
        <w:spacing w:line="480" w:lineRule="auto"/>
      </w:pPr>
      <w:r>
        <w:t xml:space="preserve">Chapter 3. Theoretical Framework and Hypotheses</w:t>
      </w:r>
    </w:p>
    <w:bookmarkStart w:id="83" w:name="purpose-and-structure-of-the-chapter"/>
    <w:p>
      <w:pPr>
        <w:pStyle w:val="Heading2"/>
        <w:spacing w:line="480" w:lineRule="auto"/>
      </w:pPr>
      <w:r>
        <w:t xml:space="preserve">3.1 Purpose and Structure of the Chapter</w:t>
      </w:r>
    </w:p>
    <w:p>
      <w:pPr>
        <w:pStyle w:val="FirstParagraph"/>
        <w:spacing w:line="480" w:lineRule="auto"/>
      </w:pPr>
      <w:r>
        <w:t xml:space="preserve">This chapter develops the theoretical apparatus that the empirical chapters operationalize. Its task is threefold. First, it specifies the physical mechanism by which Delta-Differential One-way Ranging (Delta-DOR) could plausibly raise the probability that an interplanetary mission achieves its critical event within a declared targeting corridor. Second, it translates that mechanism into a causal model, written in the potential-outcomes language, that makes explicit what quantity the dissertation estimates and under what assumptions that quantity is identified. Third, it states the formal hypotheses H0 and H1 that the estimator is built to adjudicate, and it explains why the design is constructed so that it can fail to reject the null. Throughout, the chapter distinguishes carefully between the engineering theory of the observable, which is well established in the deep-space tracking literature, and the causal theory of mission outcomes, which is the contribution this dissertation advances and which the literature has not previously assembled.</w:t>
      </w:r>
    </w:p>
    <w:p>
      <w:pPr>
        <w:pStyle w:val="BodyText"/>
        <w:spacing w:line="480" w:lineRule="auto"/>
        <w:ind w:firstLine="720"/>
      </w:pPr>
      <w:r>
        <w:t xml:space="preserve">The argument proceeds from physics to inference. The mechanism is anchored in interferometric measurement principles shared with very-long-baseline radio astronomy</w:t>
      </w:r>
      <w:r>
        <w:t xml:space="preserve"> </w:t>
      </w:r>
      <w:hyperlink w:anchor="ref-1">
        <w:r>
          <w:rPr>
            <w:rStyle w:val="Hyperlink"/>
          </w:rPr>
          <w:t xml:space="preserve">[1]</w:t>
        </w:r>
      </w:hyperlink>
      <w:r>
        <w:t xml:space="preserve"> </w:t>
      </w:r>
      <w:r>
        <w:t xml:space="preserve">and with the radio-frequency interferometric tracking now demonstrated in the space-domain-awareness setting</w:t>
      </w:r>
      <w:r>
        <w:t xml:space="preserve"> </w:t>
      </w:r>
      <w:hyperlink w:anchor="ref-2">
        <w:r>
          <w:rPr>
            <w:rStyle w:val="Hyperlink"/>
          </w:rPr>
          <w:t xml:space="preserve">[2]</w:t>
        </w:r>
      </w:hyperlink>
      <w:r>
        <w:t xml:space="preserve">, and it is grounded in the deep-space navigation record that documents the angular-accuracy regime Delta-DOR delivers</w:t>
      </w:r>
      <w:r>
        <w:t xml:space="preserve"> </w:t>
      </w:r>
      <w:hyperlink w:anchor="ref-4">
        <w:r>
          <w:rPr>
            <w:rStyle w:val="Hyperlink"/>
          </w:rPr>
          <w:t xml:space="preserve">[4]</w:t>
        </w:r>
      </w:hyperlink>
      <w:r>
        <w:t xml:space="preserve">[8][11]. The causal logic then converts a statement about predicted precision into a statement about realized outcomes, a conversion the field has not made systematically because its dominant evidentiary form, the per-mission covariance study, answers a design question rather than an outcome question. The chapter closes by formalizing the two hypotheses and the conditions under which each would be supported.</w:t>
      </w:r>
    </w:p>
    <w:bookmarkEnd w:id="83"/>
    <w:bookmarkStart w:id="84" w:name="X955207eed797b4c3b12f50249962eb3e2f929ce"/>
    <w:p>
      <w:pPr>
        <w:pStyle w:val="Heading2"/>
        <w:spacing w:line="480" w:lineRule="auto"/>
      </w:pPr>
      <w:r>
        <w:t xml:space="preserve">3.2 The Physical Mechanism: From Angular Observability to Delivery Accuracy</w:t>
      </w:r>
    </w:p>
    <w:p>
      <w:pPr>
        <w:pStyle w:val="FirstParagraph"/>
        <w:spacing w:line="480" w:lineRule="auto"/>
      </w:pPr>
      <w:r>
        <w:t xml:space="preserve">Interplanetary navigation accuracy at a critical event is governed by how well the three orthogonal components of a spacecraft’s state are observed during the final approach. Two of those components, line-of-sight velocity and line-of-sight distance, are constrained well by conventional radiometric tracking. Coherent Doppler measurement determines the radial velocity precisely, and sequential ranging determines the radial distance. The two coordinates that remain weakly observed are the angular coordinates transverse to the line of sight, and these are precisely the coordinates that set delivery error at orbit insertion, landing, or flyby. A spacecraft delivered with a small radial error but a large transverse angular error arrives displaced across the targeting corridor in the direction the conventional observables constrain least. The navigation problem at a critical event is therefore, to first order, a problem of plane-of-sky angular determination.</w:t>
      </w:r>
    </w:p>
    <w:p>
      <w:pPr>
        <w:pStyle w:val="BodyText"/>
        <w:spacing w:line="480" w:lineRule="auto"/>
        <w:ind w:firstLine="720"/>
      </w:pPr>
      <w:r>
        <w:t xml:space="preserve">Delta-DOR addresses this gap directly by exploiting interferometry. The technique differences the phase of a single spacecraft signal received at two widely separated deep-space antennas and references that phase difference to a nearby extragalactic radio source, ordinarily a quasar whose position is fixed in the inertial frame. The differenced observable yields the plane-of-sky angle between the spacecraft and the reference source. Because the quasar lies angularly close to the spacecraft, errors common to both lines of sight, including a large part of the media delay, the station-location uncertainty, and the dynamical-model error that corrupts long-arc Doppler, subtract out of the difference. The resulting angle is therefore largely decoupled from the dynamical model and from the systematic error sources that accumulate along an arc of Doppler tracking. The interferometric principle that underwrites this gain is the same one that motivates very-long-baseline instruments in radio astronomy, where angular resolution scales with the projected baseline length and where quasar references anchor the measurement frame</w:t>
      </w:r>
      <w:r>
        <w:t xml:space="preserve"> </w:t>
      </w:r>
      <w:hyperlink w:anchor="ref-1">
        <w:r>
          <w:rPr>
            <w:rStyle w:val="Hyperlink"/>
          </w:rPr>
          <w:t xml:space="preserve">[1]</w:t>
        </w:r>
      </w:hyperlink>
      <w:r>
        <w:t xml:space="preserve">; the radio-frequency interferometric techniques now demonstrated for tracking resident space objects rest on the identical phase-differencing physics applied at shorter baselines</w:t>
      </w:r>
      <w:r>
        <w:t xml:space="preserve"> </w:t>
      </w:r>
      <w:hyperlink w:anchor="ref-2">
        <w:r>
          <w:rPr>
            <w:rStyle w:val="Hyperlink"/>
          </w:rPr>
          <w:t xml:space="preserve">[2]</w:t>
        </w:r>
      </w:hyperlink>
      <w:r>
        <w:t xml:space="preserve">.</w:t>
      </w:r>
    </w:p>
    <w:p>
      <w:pPr>
        <w:pStyle w:val="BodyText"/>
        <w:spacing w:line="480" w:lineRule="auto"/>
        <w:ind w:firstLine="720"/>
      </w:pPr>
      <w:r>
        <w:t xml:space="preserve">The deep-space navigation record documents the magnitude of the accuracy gain this mechanism produces. The mature Deep Space Network implementation is characterized as a one-nanoradian navigation measurement system, with a documented plane-of-sky angular accuracy on the order of a few nanoradians, an accuracy achieved through decades of architectural and instrumental refinement traced from the Viking era forward</w:t>
      </w:r>
      <w:r>
        <w:t xml:space="preserve"> </w:t>
      </w:r>
      <w:hyperlink w:anchor="ref-4">
        <w:r>
          <w:rPr>
            <w:rStyle w:val="Hyperlink"/>
          </w:rPr>
          <w:t xml:space="preserve">[4]</w:t>
        </w:r>
      </w:hyperlink>
      <w:r>
        <w:t xml:space="preserve">[8]. The link-design documentation specifies the operational angular-accuracy budget and the conversion between an angular error and the corresponding position error at a given Earth-spacecraft range</w:t>
      </w:r>
      <w:r>
        <w:t xml:space="preserve"> </w:t>
      </w:r>
      <w:hyperlink w:anchor="ref-11">
        <w:r>
          <w:rPr>
            <w:rStyle w:val="Hyperlink"/>
          </w:rPr>
          <w:t xml:space="preserve">[11]</w:t>
        </w:r>
      </w:hyperlink>
      <w:r>
        <w:t xml:space="preserve">. By contrast, navigation built on Doppler and range alone leaves the transverse component at an accuracy roughly two orders of magnitude coarser. The mechanism is therefore not marginal: where the conventional observables leave a plane-of-sky angular error of order one hundred nanoradians, the interferometric observable replaces it with an error of a few nanoradians, in precisely the direction that governs corridor delivery.</w:t>
      </w:r>
    </w:p>
    <w:p>
      <w:pPr>
        <w:pStyle w:val="BodyText"/>
        <w:spacing w:line="480" w:lineRule="auto"/>
        <w:ind w:firstLine="720"/>
      </w:pPr>
      <w:r>
        <w:t xml:space="preserve">This physical mechanism is the first link in the dissertation’s causal chain, and it is the link that the engineering literature has already established. The European operational record describes the same mechanism and its routine use across a series of planetary missions</w:t>
      </w:r>
      <w:r>
        <w:t xml:space="preserve"> </w:t>
      </w:r>
      <w:hyperlink w:anchor="ref-10">
        <w:r>
          <w:rPr>
            <w:rStyle w:val="Hyperlink"/>
          </w:rPr>
          <w:t xml:space="preserve">[10]</w:t>
        </w:r>
      </w:hyperlink>
      <w:r>
        <w:t xml:space="preserve">, and the cross-support demonstration of interferometric tracking in a non-DSN mission confirms that the physics is general rather than specific to one network</w:t>
      </w:r>
      <w:r>
        <w:t xml:space="preserve"> </w:t>
      </w:r>
      <w:hyperlink w:anchor="ref-7">
        <w:r>
          <w:rPr>
            <w:rStyle w:val="Hyperlink"/>
          </w:rPr>
          <w:t xml:space="preserve">[7]</w:t>
        </w:r>
      </w:hyperlink>
      <w:r>
        <w:t xml:space="preserve">. The chronological navigation reviews place the technique within the broader evolution of deep-space navigation practice and document its adoption across agencies and mission classes</w:t>
      </w:r>
      <w:r>
        <w:t xml:space="preserve"> </w:t>
      </w:r>
      <w:hyperlink w:anchor="ref-9">
        <w:r>
          <w:rPr>
            <w:rStyle w:val="Hyperlink"/>
          </w:rPr>
          <w:t xml:space="preserve">[9]</w:t>
        </w:r>
      </w:hyperlink>
      <w:r>
        <w:t xml:space="preserve">. The dissertation does not re-derive this mechanism; it imports it as established physics and asks what follows for realized mission outcomes.</w:t>
      </w:r>
    </w:p>
    <w:bookmarkEnd w:id="84"/>
    <w:bookmarkStart w:id="85" w:name="Xdb9972a4ccb199ffe38a0d383a1fbbf8035f870"/>
    <w:p>
      <w:pPr>
        <w:pStyle w:val="Heading2"/>
        <w:spacing w:line="480" w:lineRule="auto"/>
      </w:pPr>
      <w:r>
        <w:t xml:space="preserve">3.3 From Predicted Precision to Realized Outcome: The Inferential Gap</w:t>
      </w:r>
    </w:p>
    <w:p>
      <w:pPr>
        <w:pStyle w:val="FirstParagraph"/>
        <w:spacing w:line="480" w:lineRule="auto"/>
      </w:pPr>
      <w:r>
        <w:t xml:space="preserve">The engineering mechanism, however firmly established, does not by itself answer the question a sponsor poses. The dominant evidentiary form in the deep-space navigation literature is the covariance study: given an assumed tracking schedule, a dynamical model, and a measurement-noise budget, the analyst propagates a state-error covariance and reports the predicted plane-of-sky uncertainty with and without Delta-DOR. The Mars Express orbit-insertion navigation account is a canonical instance of this form, reporting the predicted and reconstructed navigation performance for a specific approach</w:t>
      </w:r>
      <w:r>
        <w:t xml:space="preserve"> </w:t>
      </w:r>
      <w:hyperlink w:anchor="ref-5">
        <w:r>
          <w:rPr>
            <w:rStyle w:val="Hyperlink"/>
          </w:rPr>
          <w:t xml:space="preserve">[5]</w:t>
        </w:r>
      </w:hyperlink>
      <w:r>
        <w:t xml:space="preserve">. Such studies are indispensable for mission design, and they are the proper instrument for deciding how to track a particular spacecraft. But a covariance reduction is a statement about predicted precision under a model. It is not an estimate of the change in the probability that a mission achieves its objective across the population of missions that did and did not use the observable.</w:t>
      </w:r>
    </w:p>
    <w:p>
      <w:pPr>
        <w:pStyle w:val="BodyText"/>
        <w:spacing w:line="480" w:lineRule="auto"/>
        <w:ind w:firstLine="720"/>
      </w:pPr>
      <w:r>
        <w:t xml:space="preserve">The distinction matters for three reasons. First, a predicted covariance describes expected uncertainty conditional on the model being correct; it cannot capture the realized variance in outcomes that arises when models are imperfect, when execution errors intrude, or when the relationship between delivery accuracy and corridor capture is nonlinear. Second, a covariance reduction is silent on the baseline against which the marginal benefit should be judged. A large proportional reduction in plane-of-sky uncertainty may translate into a large outcome benefit when the corridor is tight and the baseline accuracy is marginal, and into a negligible outcome benefit when the corridor is generous and the baseline accuracy already suffices. Whether the reduction matters for outcomes is therefore an empirical question about the population of missions, not a property of the observable in isolation. Third, and most consequentially, the covariance framing does not engage the selection problem at all, because in a design study there is no population over which selection operates.</w:t>
      </w:r>
    </w:p>
    <w:p>
      <w:pPr>
        <w:pStyle w:val="BodyText"/>
        <w:spacing w:line="480" w:lineRule="auto"/>
        <w:ind w:firstLine="720"/>
      </w:pPr>
      <w:r>
        <w:t xml:space="preserve">The economic stakes make this inferential gap practically important rather than merely methodological. Acquiring Delta-DOR consumes a scarce resource: simultaneous time on two large deep-space antennas, correlator processing, and quasar-catalog maintenance, all competing against a heavily oversubscribed ground network. The space-systems literature frames precisely this tension between delivering missions reliably and doing so cost-effectively under constrained public budgets</w:t>
      </w:r>
      <w:r>
        <w:t xml:space="preserve"> </w:t>
      </w:r>
      <w:hyperlink w:anchor="ref-3">
        <w:r>
          <w:rPr>
            <w:rStyle w:val="Hyperlink"/>
          </w:rPr>
          <w:t xml:space="preserve">[3]</w:t>
        </w:r>
      </w:hyperlink>
      <w:r>
        <w:t xml:space="preserve">. A sponsor deciding whether to protect network time for an interferometric campaign needs an effect size: a population-level estimate of how much the observable changes the probability of mission-event success, weighed against the network cost of the pass. The covariance literature, for all its rigor about predicted precision, supplies no such estimate. Closing this gap is the dissertation’s purpose, and doing so requires a causal model rather than an error-propagation model.</w:t>
      </w:r>
    </w:p>
    <w:bookmarkEnd w:id="85"/>
    <w:bookmarkStart w:id="86" w:name="X8669b8e64cdf2e2afb8e14ff2792fcc7ad47f50"/>
    <w:p>
      <w:pPr>
        <w:pStyle w:val="Heading2"/>
        <w:spacing w:line="480" w:lineRule="auto"/>
      </w:pPr>
      <w:r>
        <w:t xml:space="preserve">3.4 The Causal Model: Potential Outcomes at the Critical Event</w:t>
      </w:r>
    </w:p>
    <w:p>
      <w:pPr>
        <w:pStyle w:val="FirstParagraph"/>
        <w:spacing w:line="480" w:lineRule="auto"/>
      </w:pPr>
      <w:r>
        <w:t xml:space="preserve">The dissertation adopts the potential-outcomes framework to make the causal claim precise. The unit of analysis is a single mission critical event, indexed by i: an orbit insertion, a landing, or a targeted flyby whose tracking record and arrival geometry are publicly documented. For each event there is a binary treatment indicator, denoted T_i, equal to one if at least one Delta-DOR pass was scheduled within the defined pre-event approach window and zero otherwise. The outcome of interest is binary, denoted Y_i, equal to one if the event was achieved within its pre-declared targeting corridor and zero otherwise.</w:t>
      </w:r>
    </w:p>
    <w:p>
      <w:pPr>
        <w:pStyle w:val="BodyText"/>
        <w:spacing w:line="480" w:lineRule="auto"/>
        <w:ind w:firstLine="720"/>
      </w:pPr>
      <w:r>
        <w:t xml:space="preserve">The causal content of the model lies in the pair of potential outcomes attached to each event. Let Y_i(1) denote the outcome that event i would realize if it scheduled Delta-DOR, and Y_i(0) the outcome it would realize if it did not. The unit-level causal effect is the difference Y_i(1) minus Y_i(0). This difference is never observed for any single event, because each event is realized under exactly one treatment condition; this is the fundamental problem of causal inference. What can be estimated, under assumptions made explicit below, is an average of these unit-level effects over a defined population.</w:t>
      </w:r>
    </w:p>
    <w:p>
      <w:pPr>
        <w:pStyle w:val="BodyText"/>
        <w:spacing w:line="480" w:lineRule="auto"/>
        <w:ind w:firstLine="720"/>
      </w:pPr>
      <w:r>
        <w:t xml:space="preserve">The estimand the dissertation targets is the average treatment effect on the treated, denoted ATT and defined as the expectation of Y_i(1) minus Y_i(0) taken over the events that actually received Delta-DOR. The ATT, rather than the average treatment effect over all events, is the policy-relevant quantity here for a specific reason. The operational question is not whether Delta-DOR would help an arbitrary event drawn at random from the universe of conceivable missions; it is whether the observable materially raised the outcome probability for the demanding, high-value events on which it was in fact deployed. The ATT answers that question directly. It also has a transparent counterfactual reading: it contrasts the realized success rate of treated events against the success rate those same events would have exhibited had their Delta-DOR campaigns been withheld.</w:t>
      </w:r>
    </w:p>
    <w:p>
      <w:pPr>
        <w:pStyle w:val="BodyText"/>
        <w:spacing w:line="480" w:lineRule="auto"/>
        <w:ind w:firstLine="720"/>
      </w:pPr>
      <w:r>
        <w:t xml:space="preserve">The mechanism of Section 3.2 supplies the directional content of the potential-outcomes contrast. If the interferometric observable tightens plane-of-sky delivery accuracy in the directions that govern corridor capture, and if tighter delivery raises the probability of arriving inside the corridor, then for events whose baseline accuracy would otherwise leave them near or outside the corridor edge, Y_i(1) should exceed Y_i(0). The companion analyses in this dissertation supply the intermediate links of this chain on documented inputs: the cross-mission regression establishes that, holding Earth-spacecraft range fixed, treated events carry a plane-of-sky delivery uncertainty far smaller than control events and that delivery uncertainty scales with range almost exactly as the measurement physics predicts, while the binary-outcome analysis estimates the conditional association between the observable and corridor capture itself. The causal model formalizes what those associations would have to satisfy to be read as an effect.</w:t>
      </w:r>
    </w:p>
    <w:bookmarkEnd w:id="86"/>
    <w:bookmarkStart w:id="87" w:name="X9b113ba8111649fdc8339a9ee7e9b33f49f682d"/>
    <w:p>
      <w:pPr>
        <w:pStyle w:val="Heading2"/>
        <w:spacing w:line="480" w:lineRule="auto"/>
      </w:pPr>
      <w:r>
        <w:t xml:space="preserve">3.5 The Selection Problem and the Identifying Assumption</w:t>
      </w:r>
    </w:p>
    <w:p>
      <w:pPr>
        <w:pStyle w:val="FirstParagraph"/>
        <w:spacing w:line="480" w:lineRule="auto"/>
      </w:pPr>
      <w:r>
        <w:t xml:space="preserve">Delta-DOR is not assigned at random. It is preferentially scheduled for the most demanding and most valuable approaches: tight-corridor orbit insertions and entry-descent-landing sequences, missions with limited navigation heritage, and arrival geometries that stress the conventional observables. This non-random assignment is the central threat to a causal reading, and it operates in a direction that must be reasoned about carefully. Confounding by indication arises because the events selected for treatment are systematically harder than the events left untreated, and harder events fail more often regardless of tracking. A naive comparison of outcomes between treated and untreated events therefore conflates the effect of the observable with the difficulty of the events that receive it.</w:t>
      </w:r>
    </w:p>
    <w:p>
      <w:pPr>
        <w:pStyle w:val="BodyText"/>
        <w:spacing w:line="480" w:lineRule="auto"/>
        <w:ind w:firstLine="720"/>
      </w:pPr>
      <w:r>
        <w:t xml:space="preserve">The direction of the resulting bias is not obvious a priori, because two opposing forces are at work. On one hand, treated events are harder, which depresses their realized success relative to untreated events and biases the naive contrast downward, against finding a benefit. On the other hand, treated events are also the most carefully prepared and most heavily resourced, and the value at stake may correlate with other unmeasured assurance practices that independently raise success, biasing the contrast upward. The first force, difficulty, is the more visible and is partly measurable; the second is more diffuse. The identification strategy is constructed to neutralize the measurable component of selection and to bound the residual.</w:t>
      </w:r>
    </w:p>
    <w:p>
      <w:pPr>
        <w:pStyle w:val="BodyText"/>
        <w:spacing w:line="480" w:lineRule="auto"/>
        <w:ind w:firstLine="720"/>
      </w:pPr>
      <w:r>
        <w:t xml:space="preserve">The dissertation identifies the ATT under a selection-on-observables assumption, made explicit and then stress-tested rather than assumed away. The assumption has two parts. The first is conditional ignorability: conditional on a vector of pre-treatment covariates X_i that proxy mission difficulty and stakes, the potential outcomes are independent of treatment assignment. Formally, the pair Y_i(0) and Y_i(1) is independent of T_i given X_i. In words, once two events are matched on observed difficulty and stakes, which of them received Delta-DOR is taken to be unrelated to the outcomes they would have realized under either condition. The covariate vector that supports this assumption includes target body and arrival geometry, approach-phase geocentric distance and Sun-Earth-probe angle, spacecraft class and navigation heritage, declared delivery-corridor tightness, and mission-era ground-network capability. These covariates are chosen because each is plausibly a determinant both of whether planners scheduled the observable and of the event’s intrinsic chance of success, which is exactly the joint dependence that defines a confounder.</w:t>
      </w:r>
    </w:p>
    <w:p>
      <w:pPr>
        <w:pStyle w:val="BodyText"/>
        <w:spacing w:line="480" w:lineRule="auto"/>
        <w:ind w:firstLine="720"/>
      </w:pPr>
      <w:r>
        <w:t xml:space="preserve">The second part is overlap, or positivity: at every value of the covariate vector that appears in the treated group, there is a non-negligible probability of being untreated, so that a counterfactual comparison group exists. Overlap is not assumed but enforced, by estimating each event’s propensity to receive Delta-DOR as a function of X_i and trimming events that fall outside the common support of the propensity score. The combination of conditional ignorability and overlap is what licenses the interpretation of the conditional contrast as the ATT.</w:t>
      </w:r>
    </w:p>
    <w:p>
      <w:pPr>
        <w:pStyle w:val="BodyText"/>
        <w:spacing w:line="480" w:lineRule="auto"/>
        <w:ind w:firstLine="720"/>
      </w:pPr>
      <w:r>
        <w:t xml:space="preserve">A third condition, temporal precedence, is secured by the data construction rather than by assumption. Treatment status is coded from the documented tracking schedule, not inferred from the outcome, so that the cause is established to precede the effect in the record. Events for which the tracking record cannot be unambiguously classified are excluded with the exclusion logged. This coding discipline prevents the circularity that would arise if an event were labeled treated because it succeeded, which would manufacture the very association the study seeks to test.</w:t>
      </w:r>
    </w:p>
    <w:bookmarkEnd w:id="87"/>
    <w:bookmarkStart w:id="88" w:name="X7c472b85a339a28187407afc24d758b014a1700"/>
    <w:p>
      <w:pPr>
        <w:pStyle w:val="Heading2"/>
        <w:spacing w:line="480" w:lineRule="auto"/>
      </w:pPr>
      <w:r>
        <w:t xml:space="preserve">3.6 Why the Engineering Theory Does Not Pre-Decide the Causal Question</w:t>
      </w:r>
    </w:p>
    <w:p>
      <w:pPr>
        <w:pStyle w:val="FirstParagraph"/>
        <w:spacing w:line="480" w:lineRule="auto"/>
      </w:pPr>
      <w:r>
        <w:t xml:space="preserve">It is worth stating plainly why the strength of the engineering mechanism does not settle the causal hypothesis in advance. The measurement-physics literature establishes, with high confidence, that Delta-DOR reduces plane-of-sky angular uncertainty by roughly two orders of magnitude</w:t>
      </w:r>
      <w:r>
        <w:t xml:space="preserve"> </w:t>
      </w:r>
      <w:hyperlink w:anchor="ref-4">
        <w:r>
          <w:rPr>
            <w:rStyle w:val="Hyperlink"/>
          </w:rPr>
          <w:t xml:space="preserve">[4]</w:t>
        </w:r>
      </w:hyperlink>
      <w:r>
        <w:t xml:space="preserve">[8][11]. One might be tempted to conclude that a successful outcome must therefore be more likely whenever the observable is used, rendering the causal study redundant. This inference does not hold, for three reasons that the causal framework brings into view.</w:t>
      </w:r>
    </w:p>
    <w:p>
      <w:pPr>
        <w:pStyle w:val="BodyText"/>
        <w:spacing w:line="480" w:lineRule="auto"/>
        <w:ind w:firstLine="720"/>
      </w:pPr>
      <w:r>
        <w:t xml:space="preserve">First, the outcome is binary and the corridor is a threshold. A large reduction in delivery uncertainty changes the outcome only for events whose delivery would otherwise fall near the corridor edge. For an event whose conventional navigation already places it comfortably inside the corridor, the marginal interferometric pass changes the predicted covariance but not the realized outcome, and Y_i(1) equals Y_i(0). The effect on outcomes is concentrated at the margin and need not match the magnitude of the effect on precision.</w:t>
      </w:r>
    </w:p>
    <w:p>
      <w:pPr>
        <w:pStyle w:val="BodyText"/>
        <w:spacing w:line="480" w:lineRule="auto"/>
        <w:ind w:firstLine="720"/>
      </w:pPr>
      <w:r>
        <w:t xml:space="preserve">Second, selection works against a simple reading. Because the observable is deployed on the hardest events, the treated group is drawn from the region of the difficulty distribution where success is least assured even with the best tracking. It is logically possible for the observable to reduce delivery uncertainty substantially and yet for treated events to succeed no more often than comparable untreated events would have, if the difficulty premium of the treated events offsets the accuracy benefit. Only a comparison that conditions on difficulty can separate these.</w:t>
      </w:r>
    </w:p>
    <w:p>
      <w:pPr>
        <w:pStyle w:val="BodyText"/>
        <w:spacing w:line="480" w:lineRule="auto"/>
        <w:ind w:firstLine="720"/>
      </w:pPr>
      <w:r>
        <w:t xml:space="preserve">Third, mission outcomes are multiply determined. Delivery accuracy is one input to corridor capture, but execution errors, spacecraft anomalies, and event-specific contingencies also intervene, as the documented failure record makes clear; the Mars Climate Orbiter mishap, for instance, originated in a units-conversion error in the navigation process rather than in a deficiency of the angular observable available</w:t>
      </w:r>
      <w:r>
        <w:t xml:space="preserve"> </w:t>
      </w:r>
      <w:hyperlink w:anchor="ref-6">
        <w:r>
          <w:rPr>
            <w:rStyle w:val="Hyperlink"/>
          </w:rPr>
          <w:t xml:space="preserve">[6]</w:t>
        </w:r>
      </w:hyperlink>
      <w:r>
        <w:t xml:space="preserve">. An observable that sharpens one input cannot guarantee an outcome governed by several. The causal question is therefore whether, net of difficulty and across the realized population, the angular input moves the outcome probability, and that question is genuinely open until estimated. The dissertation is constructed to be able to return a null.</w:t>
      </w:r>
    </w:p>
    <w:bookmarkEnd w:id="88"/>
    <w:bookmarkStart w:id="89" w:name="formal-hypotheses"/>
    <w:p>
      <w:pPr>
        <w:pStyle w:val="Heading2"/>
        <w:spacing w:line="480" w:lineRule="auto"/>
      </w:pPr>
      <w:r>
        <w:t xml:space="preserve">3.7 Formal Hypotheses</w:t>
      </w:r>
    </w:p>
    <w:p>
      <w:pPr>
        <w:pStyle w:val="FirstParagraph"/>
        <w:spacing w:line="480" w:lineRule="auto"/>
      </w:pPr>
      <w:r>
        <w:t xml:space="preserve">The theoretical development above resolves into a single estimand and a pair of hypotheses stated over it. The estimand is the ATT of scheduling Delta-DOR during a mission’s critical approach phase on the binary outcome of mission-event success, defined as achievement of orbit insertion, landing, or flyby delivery within the pre-declared targeting corridor.</w:t>
      </w:r>
    </w:p>
    <w:p>
      <w:pPr>
        <w:pStyle w:val="BodyText"/>
        <w:spacing w:line="480" w:lineRule="auto"/>
        <w:ind w:firstLine="720"/>
      </w:pPr>
      <w:r>
        <w:rPr>
          <w:b/>
          <w:bCs/>
        </w:rPr>
        <w:t xml:space="preserve">H0 (null hypothesis).</w:t>
      </w:r>
      <w:r>
        <w:t xml:space="preserve"> </w:t>
      </w:r>
      <w:r>
        <w:t xml:space="preserve">Conditional on the observed mission and event covariates X_i, scheduling Delta-DOR during the critical approach phase has no effect on the probability of mission-event success. In the potential-outcomes notation, the expectation of Y_i(1) minus Y_i(0) over the treated events equals zero; that is, ATT = 0.</w:t>
      </w:r>
    </w:p>
    <w:p>
      <w:pPr>
        <w:pStyle w:val="BodyText"/>
        <w:spacing w:line="480" w:lineRule="auto"/>
        <w:ind w:firstLine="720"/>
      </w:pPr>
      <w:r>
        <w:rPr>
          <w:b/>
          <w:bCs/>
        </w:rPr>
        <w:t xml:space="preserve">H1 (alternative hypothesis).</w:t>
      </w:r>
      <w:r>
        <w:t xml:space="preserve"> </w:t>
      </w:r>
      <w:r>
        <w:t xml:space="preserve">Conditional on the same covariates X_i, scheduling Delta-DOR during the critical approach phase increases the probability of mission-event success. The expectation of Y_i(1) minus Y_i(0) over the treated events is strictly positive; that is, ATT &gt; 0.</w:t>
      </w:r>
    </w:p>
    <w:p>
      <w:pPr>
        <w:pStyle w:val="BodyText"/>
        <w:spacing w:line="480" w:lineRule="auto"/>
        <w:ind w:firstLine="720"/>
      </w:pPr>
      <w:r>
        <w:t xml:space="preserve">The alternative is directional rather than two-sided, and the direction is dictated by the mechanism. The physical theory of Section 3.2 admits only one sign for a genuine effect: an observable that sharpens plane-of-sky delivery accuracy can raise the probability of corridor capture or leave it unchanged, but there is no credible mechanism by which scheduling it would lower the probability of success. A two-sided alternative would entertain a negative effect that the mechanism does not permit; the directional H1 encodes the theoretical prior honestly while still allowing the data to support the null. The mechanism thus does double duty: it motivates the sign of H1 and it disciplines the interpretation of any estimate whose sign contradicts it, which would signal residual confounding or measurement error rather than a real reversal of the physics.</w:t>
      </w:r>
    </w:p>
    <w:bookmarkEnd w:id="89"/>
    <w:bookmarkStart w:id="90" w:name="Xd221f8ed13f4031b93662d3113940b0434ecd7e"/>
    <w:p>
      <w:pPr>
        <w:pStyle w:val="Heading2"/>
        <w:spacing w:line="480" w:lineRule="auto"/>
      </w:pPr>
      <w:r>
        <w:t xml:space="preserve">3.8 The Falsification Logic and the Role of Sensitivity Analysis</w:t>
      </w:r>
    </w:p>
    <w:p>
      <w:pPr>
        <w:pStyle w:val="FirstParagraph"/>
        <w:spacing w:line="480" w:lineRule="auto"/>
      </w:pPr>
      <w:r>
        <w:t xml:space="preserve">The hypotheses are framed so that the null is genuinely at risk, which is the methodological commitment that distinguishes this study from an advocacy exercise. Three outcomes of the estimation would constitute support for H0 over H1, and each is treated as a legitimate, publishable result rather than as a failure of the study.</w:t>
      </w:r>
    </w:p>
    <w:p>
      <w:pPr>
        <w:pStyle w:val="BodyText"/>
        <w:spacing w:line="480" w:lineRule="auto"/>
        <w:ind w:firstLine="720"/>
      </w:pPr>
      <w:r>
        <w:t xml:space="preserve">The first is a confidence interval on the ATT that includes zero. Given the modest and clustered population of documented interplanetary critical events, the design pre-commits to event-clustered standard errors and to reporting the minimum detectable effect implied by the realized sample. An imprecise but well-bounded estimate consistent with zero falsifies the operational presumption that the observable materially raises outcome probability, and the design treats such a result as informative rather than padding the sample with weakly comparable events to manufacture significance.</w:t>
      </w:r>
    </w:p>
    <w:p>
      <w:pPr>
        <w:pStyle w:val="BodyText"/>
        <w:spacing w:line="480" w:lineRule="auto"/>
        <w:ind w:firstLine="720"/>
      </w:pPr>
      <w:r>
        <w:t xml:space="preserve">The second is a point estimate whose sign or significance reverses under a modest unobserved-confounding bound. Because conditional ignorability cannot be verified directly, the headline ATT is reported alongside a sensitivity analysis that quantifies how strong an unobserved confounder would have to be, in its joint association with both treatment and outcome, to move the ATT to zero. If a confounder of implausibly small strength suffices to erase the estimate, the causal claim is not robust and H0 is not credibly rejected. The sensitivity bound is part of the headline claim, not an appendix to it.</w:t>
      </w:r>
    </w:p>
    <w:p>
      <w:pPr>
        <w:pStyle w:val="BodyText"/>
        <w:spacing w:line="480" w:lineRule="auto"/>
        <w:ind w:firstLine="720"/>
      </w:pPr>
      <w:r>
        <w:t xml:space="preserve">The third is a divergence between the binary-outcome estimate and the continuous delivery-error secondary outcome. The companion regression on plane-of-sky delivery uncertainty provides a metric check on the binary cut: if the observable lowers delivery uncertainty sharply but the binary success probability does not move once difficulty is conditioned on, the discrepancy itself is evidence that the precision gain does not translate into outcome gain at the margin, which is a substantive finding about where in the difficulty distribution the observable matters.</w:t>
      </w:r>
    </w:p>
    <w:p>
      <w:pPr>
        <w:pStyle w:val="BodyText"/>
        <w:spacing w:line="480" w:lineRule="auto"/>
        <w:ind w:firstLine="720"/>
      </w:pPr>
      <w:r>
        <w:t xml:space="preserve">This falsification posture connects back to the dissertation’s contribution. The engineering literature has established the mechanism; the covariance literature has established the predicted precision; the cost-and-reliability literature has framed why the effect size matters for resource allocation under constrained public budgets</w:t>
      </w:r>
      <w:r>
        <w:t xml:space="preserve"> </w:t>
      </w:r>
      <w:hyperlink w:anchor="ref-3">
        <w:r>
          <w:rPr>
            <w:rStyle w:val="Hyperlink"/>
          </w:rPr>
          <w:t xml:space="preserve">[3]</w:t>
        </w:r>
      </w:hyperlink>
      <w:r>
        <w:t xml:space="preserve">. What none of these supplies is a population-level causal estimate of the effect on realized outcomes, identified under a transparent assumption and accompanied by a disclosed sensitivity bound. The hypotheses stated here are the precise propositions that estimate adjudicates, and they are written so that the data, not the theoretical prior, decide between them.</w:t>
      </w:r>
    </w:p>
    <w:bookmarkEnd w:id="90"/>
    <w:bookmarkStart w:id="91" w:name="X3e0fc1295337d6f568bc13452c9fb63a067b708"/>
    <w:p>
      <w:pPr>
        <w:pStyle w:val="Heading2"/>
        <w:spacing w:line="480" w:lineRule="auto"/>
      </w:pPr>
      <w:r>
        <w:t xml:space="preserve">3.9 Scope Conditions on the Theoretical Claim</w:t>
      </w:r>
    </w:p>
    <w:p>
      <w:pPr>
        <w:pStyle w:val="FirstParagraph"/>
        <w:spacing w:line="480" w:lineRule="auto"/>
      </w:pPr>
      <w:r>
        <w:t xml:space="preserve">The causal model carries scope conditions that the theoretical framework must state plainly, because they bound the population to which any estimate generalizes. The mechanism imported in Section 3.2 is demonstrated in radio astronomy and space-domain-awareness settings</w:t>
      </w:r>
      <w:r>
        <w:t xml:space="preserve"> </w:t>
      </w:r>
      <w:hyperlink w:anchor="ref-1">
        <w:r>
          <w:rPr>
            <w:rStyle w:val="Hyperlink"/>
          </w:rPr>
          <w:t xml:space="preserve">[1]</w:t>
        </w:r>
      </w:hyperlink>
      <w:r>
        <w:t xml:space="preserve">[2] and characterized for deep-space navigation through the network’s own measurement documentation</w:t>
      </w:r>
      <w:r>
        <w:t xml:space="preserve"> </w:t>
      </w:r>
      <w:hyperlink w:anchor="ref-4">
        <w:r>
          <w:rPr>
            <w:rStyle w:val="Hyperlink"/>
          </w:rPr>
          <w:t xml:space="preserve">[4]</w:t>
        </w:r>
      </w:hyperlink>
      <w:r>
        <w:t xml:space="preserve">[8][11]; it is imported into the outcome model rather than tested in a controlled navigation trial, so the construct validity of the mechanism rests on the engineering record rather than on in-situ experimental confirmation. The estimate generalizes only to the era and ground-network regime represented in the documented panel; as the chronological navigation reviews make clear, the capability and its operational use evolved substantially across decades</w:t>
      </w:r>
      <w:r>
        <w:t xml:space="preserve"> </w:t>
      </w:r>
      <w:hyperlink w:anchor="ref-9">
        <w:r>
          <w:rPr>
            <w:rStyle w:val="Hyperlink"/>
          </w:rPr>
          <w:t xml:space="preserve">[9]</w:t>
        </w:r>
      </w:hyperlink>
      <w:r>
        <w:t xml:space="preserve">, so an effect estimated over the realized record speaks to that record and not to hypothetical future architectures. The European and cross-support operational records confirm that the mechanism is not unique to one agency</w:t>
      </w:r>
      <w:r>
        <w:t xml:space="preserve"> </w:t>
      </w:r>
      <w:hyperlink w:anchor="ref-7">
        <w:r>
          <w:rPr>
            <w:rStyle w:val="Hyperlink"/>
          </w:rPr>
          <w:t xml:space="preserve">[7]</w:t>
        </w:r>
      </w:hyperlink>
      <w:r>
        <w:t xml:space="preserve">[10], which broadens the construct slightly, but the population of documented interplanetary critical events remains modest and clustered by era, agency, and spacecraft lineage. These are scope conditions on the claim, not defects in it: the theoretical framework defines a falsifiable effect within a stated population, and the value of that effect, once estimated, is what the resource-allocation argument has lacked.</w:t>
      </w:r>
    </w:p>
    <w:bookmarkEnd w:id="91"/>
    <w:bookmarkEnd w:id="92"/>
    <w:bookmarkStart w:id="111" w:name="chapter-4.-data-and-measurement"/>
    <w:p>
      <w:pPr>
        <w:pStyle w:val="Heading1"/>
        <w:spacing w:line="480" w:lineRule="auto"/>
      </w:pPr>
      <w:r>
        <w:t xml:space="preserve">Chapter 4. Data and Measurement</w:t>
      </w:r>
    </w:p>
    <w:bookmarkStart w:id="93" w:name="purpose-and-scope-of-the-chapter"/>
    <w:p>
      <w:pPr>
        <w:pStyle w:val="Heading2"/>
        <w:spacing w:line="480" w:lineRule="auto"/>
      </w:pPr>
      <w:r>
        <w:t xml:space="preserve">4.1 Purpose and Scope of the Chapter</w:t>
      </w:r>
    </w:p>
    <w:p>
      <w:pPr>
        <w:pStyle w:val="FirstParagraph"/>
        <w:spacing w:line="480" w:lineRule="auto"/>
      </w:pPr>
      <w:r>
        <w:t xml:space="preserve">The two companion analyses that this dissertation advances rest on a single empirical foundation: a curated panel of documented interplanetary critical events, assembled from public archives and from the operational navigation record, in which the scheduling of Delta-Differential One-way Ranging (Delta-DOR) is treated as a quasi-treatment. The credibility of every estimate that follows depends on whether that foundation is built honestly, traceably, and reproducibly. This chapter therefore does the work that a quantitative dissertation in a non-randomized setting must do before any coefficient can be trusted. It states precisely what the unit of analysis is and why it is the right unit for the causal question at hand; it identifies the authoritative primary sources from which the panel is drawn and explains why each is authoritative; it specifies how every variable is constructed from primary records rather than from the analyst’s judgment; and it discloses, variable by variable, where construction relies on a documented arithmetic conversion rather than on a directly published figure. The chapter does not estimate anything. It builds the floor the estimates stand on. Its function is to make the datasets that the two papers use legible, so that a sceptical reader can in principle reconstruct each panel row from the archives named here and audit the coding decisions that produced it.</w:t>
      </w:r>
    </w:p>
    <w:p>
      <w:pPr>
        <w:pStyle w:val="BodyText"/>
        <w:spacing w:line="480" w:lineRule="auto"/>
        <w:ind w:firstLine="720"/>
      </w:pPr>
      <w:r>
        <w:t xml:space="preserve">Two datasets are described, because the dissertation comprises two companion papers that probe the same intervention from complementary angles. The first paper estimates the effect of Delta-DOR on a binary mission-event success outcome across a thirty-four-event panel spanning 1976 to 2023, using a linear probability model. The second paper estimates the effect of Delta-DOR on a continuous plane-of-sky delivery-uncertainty outcome across a twenty-six-event panel spanning 1990 to 2024, using an ordinary least squares regression on a logarithmic outcome with Earth-spacecraft range as a second regressor. The two panels share a common unit of analysis, a common treatment construct, and a common provenance discipline, but they differ in their outcome variable, their covariate set, and their span of events, and these differences are deliberate. They are described together here so that the shared architecture and the principled divergences are both visible.</w:t>
      </w:r>
    </w:p>
    <w:bookmarkEnd w:id="93"/>
    <w:bookmarkStart w:id="94" w:name="the-unit-of-analysis"/>
    <w:p>
      <w:pPr>
        <w:pStyle w:val="Heading2"/>
        <w:spacing w:line="480" w:lineRule="auto"/>
      </w:pPr>
      <w:r>
        <w:t xml:space="preserve">4.2 The Unit of Analysis</w:t>
      </w:r>
    </w:p>
    <w:p>
      <w:pPr>
        <w:pStyle w:val="FirstParagraph"/>
        <w:spacing w:line="480" w:lineRule="auto"/>
      </w:pPr>
      <w:r>
        <w:t xml:space="preserve">The unit of analysis in both panels is one mission critical event. A critical event is an orbit insertion, a planetary or small-body flyby, a near-Earth gravity-assist, or the start of an entry, descent, and landing sequence, taken at a single documented interplanetary mission, whose tracking record and arrival geometry are publicly documented. The choice of this unit, rather than the mission as a whole or the predicted covariance, is the methodological hinge of the entire study, and it is worth stating why with care.</w:t>
      </w:r>
    </w:p>
    <w:p>
      <w:pPr>
        <w:pStyle w:val="BodyText"/>
        <w:spacing w:line="480" w:lineRule="auto"/>
        <w:ind w:firstLine="720"/>
      </w:pPr>
      <w:r>
        <w:t xml:space="preserve">The deep-space navigation literature has, by long convention, taken the predicted covariance as its object of analysis. A covariance study propagates a state-error covariance under an assumed tracking schedule, dynamical model, and measurement-noise budget, and reports the predicted plane-of-sky uncertainty with and without Delta-DOR. That object answers a design question, and it answers it well, but it is not a realized outcome and it is not a mission. The sponsor’s question concerns realized outcomes across the population of missions that did and did not use the observable, and that question can only be answered by a unit that carries a realized outcome. The mission critical event is the smallest unit at which a realized navigation outcome is both well defined and documented: it is the moment at which the spacecraft state must be placed inside a targeting corridor, the moment at which Delta-DOR is or is not scheduled, and the moment whose success or failure the public record reports. A mission may contain more than one such event, and the event rather than the mission is therefore the correct unit, because the treatment decision and the outcome are both defined at the event level.</w:t>
      </w:r>
    </w:p>
    <w:p>
      <w:pPr>
        <w:pStyle w:val="BodyText"/>
        <w:spacing w:line="480" w:lineRule="auto"/>
        <w:ind w:firstLine="720"/>
      </w:pPr>
      <w:r>
        <w:t xml:space="preserve">Treating the event as the unit has a consequence the design confronts directly rather than ignoring. Events are not independent draws. They cluster by era, by operating agency, and by spacecraft lineage, because navigation heritage propagates across missions of a common design and because ground-network capability is a function of the epoch. The panels are accordingly modest in size, thirty-four events in the binary-outcome study and twenty-six in the continuous-outcome study, and the inference is disciplined to respect that clustering and that scale. The unit choice, in short, is what makes a population-level causal question askable at all, and the small clustered population it yields is a feature of the domain that the measurement design accepts and reports honestly rather than disguises.</w:t>
      </w:r>
    </w:p>
    <w:p>
      <w:pPr>
        <w:pStyle w:val="BodyText"/>
        <w:spacing w:line="480" w:lineRule="auto"/>
        <w:ind w:firstLine="720"/>
      </w:pPr>
      <w:r>
        <w:t xml:space="preserve">Provenance is recorded at this unit. Each row of each panel is one critical event, and each row carries, in a dedicated source column, the citation or dataset identifier establishing every value in that row: the source for event identity and outcome, the source for treatment status, the source for the arrival geometry, and the coding rule applied where a value required interpretation. This row-level provenance is what allows the panels to be reconstructable from public archives rather than to stand as a private artifact, and it is the operational expression of the dissertation’s commitment that treatment is coded from documented tracking records rather than inferred from outcome.</w:t>
      </w:r>
    </w:p>
    <w:bookmarkEnd w:id="94"/>
    <w:bookmarkStart w:id="99" w:name="authoritative-primary-sources"/>
    <w:p>
      <w:pPr>
        <w:pStyle w:val="Heading2"/>
        <w:spacing w:line="480" w:lineRule="auto"/>
      </w:pPr>
      <w:r>
        <w:t xml:space="preserve">4.3 Authoritative Primary Sources</w:t>
      </w:r>
    </w:p>
    <w:p>
      <w:pPr>
        <w:pStyle w:val="FirstParagraph"/>
        <w:spacing w:line="480" w:lineRule="auto"/>
      </w:pPr>
      <w:r>
        <w:t xml:space="preserve">The panels are not built from a single database but from a small set of authoritative public sources, each consulted for the variables it is authoritative over. Sorting the sources by the construct they govern clarifies why each is trusted and prevents the silent substitution of a weaker source for a stronger one.</w:t>
      </w:r>
    </w:p>
    <w:bookmarkStart w:id="95" w:name="event-identity-and-mission-event-outcome"/>
    <w:p>
      <w:pPr>
        <w:pStyle w:val="Heading3"/>
        <w:spacing w:line="480" w:lineRule="auto"/>
      </w:pPr>
      <w:r>
        <w:t xml:space="preserve">4.3.1 Event Identity and Mission-Event Outcome</w:t>
      </w:r>
    </w:p>
    <w:p>
      <w:pPr>
        <w:pStyle w:val="FirstParagraph"/>
        <w:spacing w:line="480" w:lineRule="auto"/>
      </w:pPr>
      <w:r>
        <w:t xml:space="preserve">Event identity and the binary success outcome are coded principally from the NASA NSSDCA master catalog and from agency mission pages, supplemented for the failure cases by formal mishap-investigation reports. The NSSDCA master catalog is the appropriate authority for the existence, identity, and basic disposition of an interplanetary mission event because it is the designated United States national archive record for spaceflight missions and carries a stable catalog key per spacecraft. For the most consequential negative outcomes the mishap-investigation report is the authoritative source: the loss of Mars Climate Orbiter at insertion is coded from the Mars Climate Orbiter Mishap Investigation Board Phase I Report</w:t>
      </w:r>
      <w:r>
        <w:t xml:space="preserve"> </w:t>
      </w:r>
      <w:hyperlink w:anchor="ref-6">
        <w:r>
          <w:rPr>
            <w:rStyle w:val="Hyperlink"/>
          </w:rPr>
          <w:t xml:space="preserve">[6]</w:t>
        </w:r>
      </w:hyperlink>
      <w:r>
        <w:t xml:space="preserve">, which establishes both that the event failed and that the failure was a delivery error in the navigation chain, the precise failure mode the treatment is aimed at. Using the board report rather than a secondary summary for that event is a deliberate provenance choice, because the failure is load-bearing in the panel and its coding should rest on the primary document.</w:t>
      </w:r>
    </w:p>
    <w:bookmarkEnd w:id="95"/>
    <w:bookmarkStart w:id="96" w:name="treatment-status"/>
    <w:p>
      <w:pPr>
        <w:pStyle w:val="Heading3"/>
        <w:spacing w:line="480" w:lineRule="auto"/>
      </w:pPr>
      <w:r>
        <w:t xml:space="preserve">4.3.2 Treatment Status</w:t>
      </w:r>
    </w:p>
    <w:p>
      <w:pPr>
        <w:pStyle w:val="FirstParagraph"/>
        <w:spacing w:line="480" w:lineRule="auto"/>
      </w:pPr>
      <w:r>
        <w:t xml:space="preserve">Treatment status, the indicator for whether Delta-DOR was scheduled in the approach campaign, is the variable on which the entire design turns, and it is coded from documented tracking-campaign records rather than inferred from outcome. The temporal precedence this preserves, treatment coded from the scheduling record that predates the event rather than read backward from whether the event succeeded, is what the identification strategy requires, and the sources are chosen accordingly.</w:t>
      </w:r>
    </w:p>
    <w:p>
      <w:pPr>
        <w:pStyle w:val="BodyText"/>
        <w:spacing w:line="480" w:lineRule="auto"/>
        <w:ind w:firstLine="720"/>
      </w:pPr>
      <w:r>
        <w:t xml:space="preserve">For NASA missions, treatment is established from JPL and NASA Technical Reports Server (NTRS) navigation papers and from the Deep Space Network’s own documentation. The Mars Express orbit-insertion navigation account</w:t>
      </w:r>
      <w:r>
        <w:t xml:space="preserve"> </w:t>
      </w:r>
      <w:hyperlink w:anchor="ref-5">
        <w:r>
          <w:rPr>
            <w:rStyle w:val="Hyperlink"/>
          </w:rPr>
          <w:t xml:space="preserve">[5]</w:t>
        </w:r>
      </w:hyperlink>
      <w:r>
        <w:t xml:space="preserve"> </w:t>
      </w:r>
      <w:r>
        <w:t xml:space="preserve">documents the use of the observable for that campaign; the Border survey of Delta-DOR from Viking to Mars Science Laboratory and the associated DSN documentation</w:t>
      </w:r>
      <w:r>
        <w:t xml:space="preserve"> </w:t>
      </w:r>
      <w:hyperlink w:anchor="ref-4">
        <w:r>
          <w:rPr>
            <w:rStyle w:val="Hyperlink"/>
          </w:rPr>
          <w:t xml:space="preserve">[4]</w:t>
        </w:r>
      </w:hyperlink>
      <w:r>
        <w:t xml:space="preserve"> </w:t>
      </w:r>
      <w:r>
        <w:t xml:space="preserve">establish both the existence of the service and its application across NASA’s Mars program, including the Mars Reconnaissance Orbiter demonstration and Mars Science Laboratory. The Wood chronological review of deep-space navigation</w:t>
      </w:r>
      <w:r>
        <w:t xml:space="preserve"> </w:t>
      </w:r>
      <w:hyperlink w:anchor="ref-9">
        <w:r>
          <w:rPr>
            <w:rStyle w:val="Hyperlink"/>
          </w:rPr>
          <w:t xml:space="preserve">[9]</w:t>
        </w:r>
      </w:hyperlink>
      <w:r>
        <w:t xml:space="preserve"> </w:t>
      </w:r>
      <w:r>
        <w:t xml:space="preserve">establishes the data type, and its documented absence, for the Dawn, Juno, Cassini, and New Horizons events, which is how those events are coded as controls on documented authority rather than by assumption.</w:t>
      </w:r>
    </w:p>
    <w:p>
      <w:pPr>
        <w:pStyle w:val="BodyText"/>
        <w:spacing w:line="480" w:lineRule="auto"/>
        <w:ind w:firstLine="720"/>
      </w:pPr>
      <w:r>
        <w:t xml:space="preserve">For European Space Agency missions, treatment is established from the ESA operational record</w:t>
      </w:r>
      <w:r>
        <w:t xml:space="preserve"> </w:t>
      </w:r>
      <w:hyperlink w:anchor="ref-10">
        <w:r>
          <w:rPr>
            <w:rStyle w:val="Hyperlink"/>
          </w:rPr>
          <w:t xml:space="preserve">[10]</w:t>
        </w:r>
      </w:hyperlink>
      <w:r>
        <w:t xml:space="preserve">, which documents Delta-DOR use for Venus Express, Rosetta, the ExoMars Trace Gas Orbiter, Solar Orbiter, BepiColombo, and JUICE. For the Mars Orbiter Mission the ISRO transmitter record is the source, and for Tianwen-1 the cross-support interferometry record of the Chinese Mars campaign</w:t>
      </w:r>
      <w:r>
        <w:t xml:space="preserve"> </w:t>
      </w:r>
      <w:hyperlink w:anchor="ref-7">
        <w:r>
          <w:rPr>
            <w:rStyle w:val="Hyperlink"/>
          </w:rPr>
          <w:t xml:space="preserve">[7]</w:t>
        </w:r>
      </w:hyperlink>
      <w:r>
        <w:t xml:space="preserve"> </w:t>
      </w:r>
      <w:r>
        <w:t xml:space="preserve">documents the first cross-support interferometric tracking and thereby establishes treatment for that event. The Deep Space Network service module documented in the network’s own materials</w:t>
      </w:r>
      <w:r>
        <w:t xml:space="preserve"> </w:t>
      </w:r>
      <w:hyperlink w:anchor="ref-4">
        <w:r>
          <w:rPr>
            <w:rStyle w:val="Hyperlink"/>
          </w:rPr>
          <w:t xml:space="preserve">[4]</w:t>
        </w:r>
      </w:hyperlink>
      <w:r>
        <w:t xml:space="preserve">[11] establishes the boundary condition that the pre-1980 Viking and Voyager events are coded untreated, because the DSN Delta-DOR service did not yet exist at those events, which is a coding decision grounded in the documented history of the service rather than in any inference from the missions’ outcomes.</w:t>
      </w:r>
    </w:p>
    <w:bookmarkEnd w:id="96"/>
    <w:bookmarkStart w:id="97" w:name="X797daf157921b1561e23cf0cd60ea9b3d672ed7"/>
    <w:p>
      <w:pPr>
        <w:pStyle w:val="Heading3"/>
        <w:spacing w:line="480" w:lineRule="auto"/>
      </w:pPr>
      <w:r>
        <w:t xml:space="preserve">4.3.3 Arrival Geometry and the Angular-to-Position Conversion</w:t>
      </w:r>
    </w:p>
    <w:p>
      <w:pPr>
        <w:pStyle w:val="FirstParagraph"/>
        <w:spacing w:line="480" w:lineRule="auto"/>
      </w:pPr>
      <w:r>
        <w:t xml:space="preserve">The continuous-outcome panel requires the Earth-spacecraft range at each event and the documented angular-accuracy regime, and it requires the documented arithmetic that converts an angular accuracy at a range into a position uncertainty in kilometres. The range at the event is taken from the documented arrival geometry of each mission. The angular regimes and the conversion are taken from the Deep Space Network’s authoritative characterization of the measurement system. The Curkendall and Border Interplanetary Network Progress Report</w:t>
      </w:r>
      <w:r>
        <w:t xml:space="preserve"> </w:t>
      </w:r>
      <w:hyperlink w:anchor="ref-4">
        <w:r>
          <w:rPr>
            <w:rStyle w:val="Hyperlink"/>
          </w:rPr>
          <w:t xml:space="preserve">[4]</w:t>
        </w:r>
      </w:hyperlink>
      <w:r>
        <w:t xml:space="preserve"> </w:t>
      </w:r>
      <w:r>
        <w:t xml:space="preserve">characterizes the mature Delta-DOR system as a one-nanoradian system with a plane-of-sky one-sigma error of roughly two to three nanoradians, against a transverse Doppler-and-range regime on the order of one hundred nanoradians. The DSN Telecommunications Link Design Handbook module 210</w:t>
      </w:r>
      <w:r>
        <w:t xml:space="preserve"> </w:t>
      </w:r>
      <w:hyperlink w:anchor="ref-11">
        <w:r>
          <w:rPr>
            <w:rStyle w:val="Hyperlink"/>
          </w:rPr>
          <w:t xml:space="preserve">[11]</w:t>
        </w:r>
      </w:hyperlink>
      <w:r>
        <w:t xml:space="preserve"> </w:t>
      </w:r>
      <w:r>
        <w:t xml:space="preserve">supplies the conversion of about 0.15 kilometres per nanoradian per astronomical unit, which is the documented arithmetic that the panel uses to carry an angular regime to a position uncertainty at a documented range. These two sources are authoritative because they are the system’s own engineering documentation, and the dissertation imports the measurement physics from them rather than re-deriving it, a division of labor stated explicitly as a scope condition.</w:t>
      </w:r>
    </w:p>
    <w:bookmarkEnd w:id="97"/>
    <w:bookmarkStart w:id="98" w:name="published-realized-delivery-figures"/>
    <w:p>
      <w:pPr>
        <w:pStyle w:val="Heading3"/>
        <w:spacing w:line="480" w:lineRule="auto"/>
      </w:pPr>
      <w:r>
        <w:t xml:space="preserve">4.3.4 Published Realized Delivery Figures</w:t>
      </w:r>
    </w:p>
    <w:p>
      <w:pPr>
        <w:pStyle w:val="FirstParagraph"/>
        <w:spacing w:line="480" w:lineRule="auto"/>
      </w:pPr>
      <w:r>
        <w:t xml:space="preserve">Where a published realized delivery or reconstruction figure exists for an event, that figure is used directly in preference to any constructed value. The Wood review</w:t>
      </w:r>
      <w:r>
        <w:t xml:space="preserve"> </w:t>
      </w:r>
      <w:hyperlink w:anchor="ref-9">
        <w:r>
          <w:rPr>
            <w:rStyle w:val="Hyperlink"/>
          </w:rPr>
          <w:t xml:space="preserve">[9]</w:t>
        </w:r>
      </w:hyperlink>
      <w:r>
        <w:t xml:space="preserve"> </w:t>
      </w:r>
      <w:r>
        <w:t xml:space="preserve">supplies such figures for a subset of events, including Dawn’s three-kilometre delivery error at Ceres and Juno’s ten-kilometre reconstruction near perijove. Using a published realized figure where one exists, and flagging the cells where no such figure exists and a documented conversion was carried through instead, is the central provenance discipline of the continuous-outcome panel, and section 4.6 treats it in detail.</w:t>
      </w:r>
    </w:p>
    <w:bookmarkEnd w:id="98"/>
    <w:bookmarkEnd w:id="99"/>
    <w:bookmarkStart w:id="104" w:name="Xa7edddeef1d5976a531c710526524b322f9529e"/>
    <w:p>
      <w:pPr>
        <w:pStyle w:val="Heading2"/>
        <w:spacing w:line="480" w:lineRule="auto"/>
      </w:pPr>
      <w:r>
        <w:t xml:space="preserve">4.4 The Binary-Outcome Panel: Variables and Construction</w:t>
      </w:r>
    </w:p>
    <w:p>
      <w:pPr>
        <w:pStyle w:val="FirstParagraph"/>
        <w:spacing w:line="480" w:lineRule="auto"/>
      </w:pPr>
      <w:r>
        <w:t xml:space="preserve">The first panel supports the linear-probability analysis of mission-event success. Its unit is one mission critical event, and it holds thirty-four such events spanning 1976 to 2023, from the Viking-era events through the most recent documented Mars arrivals. Each row records six fields beyond the event’s identity: the operating agency, the calendar year of the event, an ordinal event-difficulty class, the binary Delta-DOR treatment indicator, an auxiliary navigation-heritage indicator, and the binary success outcome. Every row carries its source in a final source column, so that the provenance is attached to the observation rather than held separately.</w:t>
      </w:r>
    </w:p>
    <w:bookmarkStart w:id="100" w:name="the-success-outcome"/>
    <w:p>
      <w:pPr>
        <w:pStyle w:val="Heading3"/>
        <w:spacing w:line="480" w:lineRule="auto"/>
      </w:pPr>
      <w:r>
        <w:t xml:space="preserve">4.4.1 The Success Outcome</w:t>
      </w:r>
    </w:p>
    <w:p>
      <w:pPr>
        <w:pStyle w:val="FirstParagraph"/>
        <w:spacing w:line="480" w:lineRule="auto"/>
      </w:pPr>
      <w:r>
        <w:t xml:space="preserve">The dependent variable is a binary indicator that takes the value one when the critical event was achieved within its targeting corridor and zero when it was not. It is coded from the event-identity sources described above: the NSSDCA master catalog and agency mission pages for the successful events, and the mishap-investigation reports, principally the Mars Climate Orbiter board report</w:t>
      </w:r>
      <w:r>
        <w:t xml:space="preserve"> </w:t>
      </w:r>
      <w:hyperlink w:anchor="ref-6">
        <w:r>
          <w:rPr>
            <w:rStyle w:val="Hyperlink"/>
          </w:rPr>
          <w:t xml:space="preserve">[6]</w:t>
        </w:r>
      </w:hyperlink>
      <w:r>
        <w:t xml:space="preserve">, for the documented failures. The outcome distribution in the panel is unbalanced, with twenty-seven successes and seven failures, and this imbalance is itself informative rather than a defect: documented interplanetary critical events succeed more often than they fail, and the failures cluster among untreated and high-difficulty events. The imbalance is reported as a property of the documented record rather than corrected by resampling, because resampling would distort exactly the population proportion that the outcome question concerns.</w:t>
      </w:r>
    </w:p>
    <w:bookmarkEnd w:id="100"/>
    <w:bookmarkStart w:id="101" w:name="the-delta-dor-treatment-indicator"/>
    <w:p>
      <w:pPr>
        <w:pStyle w:val="Heading3"/>
        <w:spacing w:line="480" w:lineRule="auto"/>
      </w:pPr>
      <w:r>
        <w:t xml:space="preserve">4.4.2 The Delta-DOR Treatment Indicator</w:t>
      </w:r>
    </w:p>
    <w:p>
      <w:pPr>
        <w:pStyle w:val="FirstParagraph"/>
        <w:spacing w:line="480" w:lineRule="auto"/>
      </w:pPr>
      <w:r>
        <w:t xml:space="preserve">The treatment variable is a binary indicator that takes the value one when at least one Delta-DOR pass was scheduled in the approach campaign for the event and zero otherwise. Its construction from documented tracking-campaign records, source by source, is set out in section 4.3.2. Two coding decisions in this variable deserve explicit statement because they affect a small number of rows and are disclosed in the source column rather than buried. First, treatment coding for two early or sparsely documented events, the Magellan Venus arrival and the Psyche cruise checkpoint, is marked illustrative in the source column, because the tracking record for those two events could not be pinned to a specific published campaign; these two rows together are under six percent of the panel, and their illustrative status is logged rather than presented as a firm coding. Second, two lander outcomes, Beagle 2 and Schiaparelli, are coded as untreated controls, because the entry sequence itself was not governed by an independent Delta-DOR approach campaign; this is a coding decision about which campaign governs an entry sequence, recorded that way in the source column rather than synthesized as a value. Disclosing both decisions at the level of the affected rows is what allows a reader to test their sensitivity, and the companion paper’s robustness discussion does exactly that.</w:t>
      </w:r>
    </w:p>
    <w:bookmarkEnd w:id="101"/>
    <w:bookmarkStart w:id="102" w:name="event-difficulty-class"/>
    <w:p>
      <w:pPr>
        <w:pStyle w:val="Heading3"/>
        <w:spacing w:line="480" w:lineRule="auto"/>
      </w:pPr>
      <w:r>
        <w:t xml:space="preserve">4.4.3 Event-Difficulty Class</w:t>
      </w:r>
    </w:p>
    <w:p>
      <w:pPr>
        <w:pStyle w:val="FirstParagraph"/>
        <w:spacing w:line="480" w:lineRule="auto"/>
      </w:pPr>
      <w:r>
        <w:t xml:space="preserve">The single covariate in the headline binary model is an ordinal event-difficulty class. It orders the event types by how little delivery error they tolerate: a flyby at the low-difficulty end, an orbit insertion in the middle, and an entry-descent-landing sequence at the high-difficulty end, because a landing offers no second chance and tolerates far less delivery error than a flyby. This ordinal coding is constructed from the documented event type of each mission, which the event-identity sources establish, and it is the design’s instrument for conditioning out the most visible confounder. Delta-DOR is preferentially scheduled for harder approaches, and harder approaches fail more often, so conditioning on difficulty class is what allows the treatment coefficient to be read within difficulty class rather than across it. The covariate is deliberately a single ordinal variable rather than a richer parameterization, because thirty-four observations cannot support a richly parameterized model without overfitting, and parsimony at two predictors is a measurement decision forced by the unit’s scarcity.</w:t>
      </w:r>
    </w:p>
    <w:bookmarkEnd w:id="102"/>
    <w:bookmarkStart w:id="103" w:name="the-auxiliary-heritage-indicator"/>
    <w:p>
      <w:pPr>
        <w:pStyle w:val="Heading3"/>
        <w:spacing w:line="480" w:lineRule="auto"/>
      </w:pPr>
      <w:r>
        <w:t xml:space="preserve">4.4.4 The Auxiliary Heritage Indicator</w:t>
      </w:r>
    </w:p>
    <w:p>
      <w:pPr>
        <w:pStyle w:val="FirstParagraph"/>
        <w:spacing w:line="480" w:lineRule="auto"/>
      </w:pPr>
      <w:r>
        <w:t xml:space="preserve">The panel also carries an auxiliary navigation-heritage indicator, which proxies whether the spacecraft drew on an established navigation lineage. This variable is retained in the dataset but excluded from the headline two-predictor model. Its exclusion is itself a documented measurement decision: in the companion analysis it entered insignificantly and did not change the Delta-DOR estimate materially, and retaining it in the headline model would have spent a degree of freedom that the thirty-four-event panel cannot afford. Carrying the variable in the panel but excluding it from the headline specification, and stating why, keeps the construction transparent and allows the heritage adjustment to be revisited by a reader who wishes to.</w:t>
      </w:r>
    </w:p>
    <w:bookmarkEnd w:id="103"/>
    <w:bookmarkEnd w:id="104"/>
    <w:bookmarkStart w:id="108" w:name="Xdbfe0ccf91ce3529ae8834c2183d8f2d8a218be"/>
    <w:p>
      <w:pPr>
        <w:pStyle w:val="Heading2"/>
        <w:spacing w:line="480" w:lineRule="auto"/>
      </w:pPr>
      <w:r>
        <w:t xml:space="preserve">4.5 The Continuous-Outcome Panel: Variables and Construction</w:t>
      </w:r>
    </w:p>
    <w:p>
      <w:pPr>
        <w:pStyle w:val="FirstParagraph"/>
        <w:spacing w:line="480" w:lineRule="auto"/>
      </w:pPr>
      <w:r>
        <w:t xml:space="preserve">The second panel supports the regression of plane-of-sky delivery uncertainty on treatment and range. Its unit is again one documented interplanetary critical event, and it holds twenty-six such events spanning 1990 through 2024, from Magellan’s Venus arrival to JUICE’s Earth-Moon flyby. Each row carries its treatment status, the Earth-spacecraft range at the event in astronomical units, the angular-accuracy regime in nanoradians, and the resulting plane-of-sky delivery uncertainty in kilometres, with a source string recorded for every value. The span and membership differ from the binary panel because the continuous outcome requires a documented arrival geometry and a documented or constructible delivery figure at every event, a stricter requirement than the binary panel’s, and seventeen of the twenty-six events are Delta-DOR-treated against nine Doppler-and-range controls.</w:t>
      </w:r>
    </w:p>
    <w:bookmarkStart w:id="105" w:name="X01ecfa84aa784b3b4509a1ac0cc0e56b507b783"/>
    <w:p>
      <w:pPr>
        <w:pStyle w:val="Heading3"/>
        <w:spacing w:line="480" w:lineRule="auto"/>
      </w:pPr>
      <w:r>
        <w:t xml:space="preserve">4.5.1 The Plane-of-Sky Delivery-Uncertainty Outcome</w:t>
      </w:r>
    </w:p>
    <w:p>
      <w:pPr>
        <w:pStyle w:val="FirstParagraph"/>
        <w:spacing w:line="480" w:lineRule="auto"/>
      </w:pPr>
      <w:r>
        <w:t xml:space="preserve">The dependent variable is the plane-of-sky delivery uncertainty at the event, in kilometres, entered into the regression in logarithmic form so that the treatment coefficient reads as a proportional effect and the range coefficient as an elasticity. The variable is built from documented inputs by a two-branch rule that the panel applies row by row and discloses in the source column. For events with a published realized delivery or reconstruction figure, that figure is used directly; Dawn’s three-kilometre delivery at Ceres and Juno’s ten-kilometre reconstruction near perijove are coded from the Wood review on this branch. For events without a published kilometre figure, the outcome is the documented angular regime in nanoradians carried through the documented DSN angular-to-position conversion at the event’s documented range in astronomical units. The branch that applies to each row is recorded, and the cells that rest on a carried conversion rather than a published kilometre figure are flagged, so that a reader can see exactly which values are realized measurements and which are documented constructions.</w:t>
      </w:r>
    </w:p>
    <w:bookmarkEnd w:id="105"/>
    <w:bookmarkStart w:id="106" w:name="earth-spacecraft-range"/>
    <w:p>
      <w:pPr>
        <w:pStyle w:val="Heading3"/>
        <w:spacing w:line="480" w:lineRule="auto"/>
      </w:pPr>
      <w:r>
        <w:t xml:space="preserve">4.5.2 Earth-Spacecraft Range</w:t>
      </w:r>
    </w:p>
    <w:p>
      <w:pPr>
        <w:pStyle w:val="FirstParagraph"/>
        <w:spacing w:line="480" w:lineRule="auto"/>
      </w:pPr>
      <w:r>
        <w:t xml:space="preserve">The second regressor is the Earth-spacecraft range at the event, in astronomical units, entered in logarithmic form. It is taken from the documented arrival geometry of each mission, and it spans nearly three orders of magnitude across the panel, from near-Earth gravity-assist events to outer-planetary and small-body arrivals. The range variable serves two roles in the measurement design. It is a substantive regressor, because a fixed angular accuracy maps to a position error that grows linearly with range, so range belongs in any honest model of delivery uncertainty. It is also the panel’s internal falsification check: the measurement physics predicts a unit elasticity of position uncertainty with respect to range, and a range coefficient far from one would signal that the panel does not behave as the documented measurement model says it should. Constructing range from documented geometry rather than from any model output is what makes that falsification check meaningful.</w:t>
      </w:r>
    </w:p>
    <w:bookmarkEnd w:id="106"/>
    <w:bookmarkStart w:id="107" w:name="X05e2d14d015bd370facb6208e7e4797fccf05ed"/>
    <w:p>
      <w:pPr>
        <w:pStyle w:val="Heading3"/>
        <w:spacing w:line="480" w:lineRule="auto"/>
      </w:pPr>
      <w:r>
        <w:t xml:space="preserve">4.5.3 The Angular-Accuracy Regime as a Construction Input</w:t>
      </w:r>
    </w:p>
    <w:p>
      <w:pPr>
        <w:pStyle w:val="FirstParagraph"/>
        <w:spacing w:line="480" w:lineRule="auto"/>
      </w:pPr>
      <w:r>
        <w:t xml:space="preserve">Each row also carries the documented angular-accuracy regime in nanoradians, two to three nanoradians for a Delta-DOR-treated event and on the order of one hundred nanoradians for a Doppler-and-range control</w:t>
      </w:r>
      <w:r>
        <w:t xml:space="preserve"> </w:t>
      </w:r>
      <w:hyperlink w:anchor="ref-4">
        <w:r>
          <w:rPr>
            <w:rStyle w:val="Hyperlink"/>
          </w:rPr>
          <w:t xml:space="preserve">[4]</w:t>
        </w:r>
      </w:hyperlink>
      <w:r>
        <w:t xml:space="preserve">. This field is a construction input for the outcome on the constructed branch of the two-branch rule, and it is deliberately excluded from the right-hand side of the regression. Excluding it is a measurement decision with a clear rationale: if the angular regime appeared as a regressor, the regression would partly recover its own arithmetic on the constructed branch, because the constructed outcome is a deterministic function of the regime and the range. Keeping the regime as a documented input and out of the estimating equation is what prevents the model from regressing the outcome on its own construction.</w:t>
      </w:r>
    </w:p>
    <w:bookmarkEnd w:id="107"/>
    <w:bookmarkEnd w:id="108"/>
    <w:bookmarkStart w:id="109" w:name="X4c8ddb2401f46c716cd86b14702965b65eb11d2"/>
    <w:p>
      <w:pPr>
        <w:pStyle w:val="Heading2"/>
        <w:spacing w:line="480" w:lineRule="auto"/>
      </w:pPr>
      <w:r>
        <w:t xml:space="preserve">4.6 Provenance, Construction, and the Honesty of the Panels</w:t>
      </w:r>
    </w:p>
    <w:p>
      <w:pPr>
        <w:pStyle w:val="FirstParagraph"/>
        <w:spacing w:line="480" w:lineRule="auto"/>
      </w:pPr>
      <w:r>
        <w:t xml:space="preserve">The two panels differ in one respect that the measurement chapter must confront squarely, because it is the respect a sceptical reader will press hardest. The binary-outcome panel codes an outcome, success or failure, that is in almost every case a matter of documented public record: a mission either achieved its critical event or it did not, and the event-identity and mishap sources establish which. The continuous-outcome panel, by contrast, codes a metric outcome part of which is constructed by carrying a documented angular regime through a documented conversion rather than by reading a published kilometre figure for every event. This construction is necessary, because published realized delivery figures do not exist for every documented event, and it is disclosed, because every constructed cell is flagged in the source column and the branch rule is stated. But it has an interpretive consequence that the design names rather than hides: on the constructed branch, the treatment contrast partly reflects the documented difference between the two-to-three-nanoradian and one-hundred-nanoradian regimes</w:t>
      </w:r>
      <w:r>
        <w:t xml:space="preserve"> </w:t>
      </w:r>
      <w:hyperlink w:anchor="ref-4">
        <w:r>
          <w:rPr>
            <w:rStyle w:val="Hyperlink"/>
          </w:rPr>
          <w:t xml:space="preserve">[4]</w:t>
        </w:r>
      </w:hyperlink>
      <w:r>
        <w:t xml:space="preserve"> </w:t>
      </w:r>
      <w:r>
        <w:t xml:space="preserve">rather than realized per-event delivery alone. The reassurance the panel can offer is structural rather than rhetorical. The events for which a published realized figure does exist, Dawn and Juno among them</w:t>
      </w:r>
      <w:r>
        <w:t xml:space="preserve"> </w:t>
      </w:r>
      <w:hyperlink w:anchor="ref-9">
        <w:r>
          <w:rPr>
            <w:rStyle w:val="Hyperlink"/>
          </w:rPr>
          <w:t xml:space="preserve">[9]</w:t>
        </w:r>
      </w:hyperlink>
      <w:r>
        <w:t xml:space="preserve">, sit on the same locus as the constructed events, which indicates that the constructed values are not an artifact divergent from the realized record, though this is reassuring rather than dispositive.</w:t>
      </w:r>
    </w:p>
    <w:p>
      <w:pPr>
        <w:pStyle w:val="BodyText"/>
        <w:spacing w:line="480" w:lineRule="auto"/>
        <w:ind w:firstLine="720"/>
      </w:pPr>
      <w:r>
        <w:t xml:space="preserve">The provenance discipline that both panels share is the answer to the broader threat that the measurement chapter is responsible for: that a treatment indicator built from incompletely documented older archival holdings could be misclassified, biasing the estimates. The discipline has three elements. First, treatment is coded from the tracking-campaign record that predates the event, never from the outcome, preserving temporal precedence. Second, events whose tracking record cannot be unambiguously classified are excluded with the exclusion logged, rather than coded by guess, and the illustrative flags on Magellan and the Psyche checkpoint mark exactly the cells where classification was weakest. Third, every value in every row carries its source, so the panel is reconstructable from the public archives named in this chapter, and a reader who doubts a coding can go to the cited record and check it. A data-availability statement accompanying the dissertation lists every dataset identifier and citation used, so that the panels are reproducible as a matter of record rather than of trust.</w:t>
      </w:r>
    </w:p>
    <w:p>
      <w:pPr>
        <w:pStyle w:val="BodyText"/>
        <w:spacing w:line="480" w:lineRule="auto"/>
        <w:ind w:firstLine="720"/>
      </w:pPr>
      <w:r>
        <w:t xml:space="preserve">The interferometric mechanism that the panels are built to test is imported from the measurement literature rather than re-derived here. The science case for interferometric angular tracking, where angular resolution scales with baseline length and a quasar reference fixes the measurement frame, is established in the radio-astronomy literature</w:t>
      </w:r>
      <w:r>
        <w:t xml:space="preserve"> </w:t>
      </w:r>
      <w:hyperlink w:anchor="ref-1">
        <w:r>
          <w:rPr>
            <w:rStyle w:val="Hyperlink"/>
          </w:rPr>
          <w:t xml:space="preserve">[1]</w:t>
        </w:r>
      </w:hyperlink>
      <w:r>
        <w:t xml:space="preserve">, and the same phase-differencing physics underwrites the radio-frequency interferometric tracking demonstrations in the space-domain-awareness setting</w:t>
      </w:r>
      <w:r>
        <w:t xml:space="preserve"> </w:t>
      </w:r>
      <w:hyperlink w:anchor="ref-2">
        <w:r>
          <w:rPr>
            <w:rStyle w:val="Hyperlink"/>
          </w:rPr>
          <w:t xml:space="preserve">[2]</w:t>
        </w:r>
      </w:hyperlink>
      <w:r>
        <w:t xml:space="preserve">. The measurement chapter takes that physics as given, on documented authority, and confines its own construction to the panel: the realized outcomes, the treatment coding, the arrival geometry, and the documented conversion that carries an angular regime to a delivery uncertainty. That division of labor, importing the mechanism and constructing only the population panel, is the scope condition under which every variable described in this chapter is built, and it situates the navigation measurement question within the broader cost-and-reliability framing of public space programs</w:t>
      </w:r>
      <w:r>
        <w:t xml:space="preserve"> </w:t>
      </w:r>
      <w:hyperlink w:anchor="ref-3">
        <w:r>
          <w:rPr>
            <w:rStyle w:val="Hyperlink"/>
          </w:rPr>
          <w:t xml:space="preserve">[3]</w:t>
        </w:r>
      </w:hyperlink>
      <w:r>
        <w:t xml:space="preserve"> </w:t>
      </w:r>
      <w:r>
        <w:t xml:space="preserve">that motivates estimating the effect size rather than presuming it.</w:t>
      </w:r>
    </w:p>
    <w:bookmarkEnd w:id="109"/>
    <w:bookmarkStart w:id="110" w:name="summary"/>
    <w:p>
      <w:pPr>
        <w:pStyle w:val="Heading2"/>
        <w:spacing w:line="480" w:lineRule="auto"/>
      </w:pPr>
      <w:r>
        <w:t xml:space="preserve">4.7 Summary</w:t>
      </w:r>
    </w:p>
    <w:p>
      <w:pPr>
        <w:pStyle w:val="FirstParagraph"/>
        <w:spacing w:line="480" w:lineRule="auto"/>
      </w:pPr>
      <w:r>
        <w:t xml:space="preserve">The measurement architecture of this dissertation is now fully specified. The unit of analysis is one mission critical event, chosen because it is the smallest unit that carries both the treatment decision and a realized outcome, and because it is what makes a population-level causal question askable in a domain whose documented events are few and clustered. Two panels are built on that unit from a small set of authoritative public sources: the NASA NSSDCA master catalog and agency mission pages for event identity and outcome, the Mars Climate Orbiter board report for the canonical failure</w:t>
      </w:r>
      <w:r>
        <w:t xml:space="preserve"> </w:t>
      </w:r>
      <w:hyperlink w:anchor="ref-6">
        <w:r>
          <w:rPr>
            <w:rStyle w:val="Hyperlink"/>
          </w:rPr>
          <w:t xml:space="preserve">[6]</w:t>
        </w:r>
      </w:hyperlink>
      <w:r>
        <w:t xml:space="preserve">, JPL and NTRS navigation papers and the ESA and Chinese operational records for treatment status</w:t>
      </w:r>
      <w:r>
        <w:t xml:space="preserve"> </w:t>
      </w:r>
      <w:hyperlink w:anchor="ref-4">
        <w:r>
          <w:rPr>
            <w:rStyle w:val="Hyperlink"/>
          </w:rPr>
          <w:t xml:space="preserve">[4]</w:t>
        </w:r>
      </w:hyperlink>
      <w:r>
        <w:t xml:space="preserve">[5][7][9][10], and the Deep Space Network’s own engineering documentation for the angular regimes and the documented angular-to-position conversion</w:t>
      </w:r>
      <w:r>
        <w:t xml:space="preserve"> </w:t>
      </w:r>
      <w:hyperlink w:anchor="ref-4">
        <w:r>
          <w:rPr>
            <w:rStyle w:val="Hyperlink"/>
          </w:rPr>
          <w:t xml:space="preserve">[4]</w:t>
        </w:r>
      </w:hyperlink>
      <w:r>
        <w:t xml:space="preserve">. The binary-outcome panel holds thirty-four events with a success outcome, a Delta-DOR treatment indicator, an ordinal difficulty covariate, and an auxiliary heritage indicator. The continuous-outcome panel holds twenty-six events with a log delivery-uncertainty outcome, a treatment indicator, a log range regressor, and a documented angular regime held out of the estimating equation as a construction input. Every variable is constructed from primary records, every constructed cell is flagged where it rests on a documented conversion rather than a published figure, and every row carries its source so that the panels are reconstructable from public archives. With the data and their measurement made legible, the chapters that follow can turn to estimation, secure that the foundation beneath the coefficients has been disclosed in full.</w:t>
      </w:r>
    </w:p>
    <w:bookmarkEnd w:id="110"/>
    <w:bookmarkEnd w:id="111"/>
    <w:bookmarkStart w:id="118" w:name="chapter-5.-methods-and-identification"/>
    <w:p>
      <w:pPr>
        <w:pStyle w:val="Heading1"/>
        <w:spacing w:line="480" w:lineRule="auto"/>
      </w:pPr>
      <w:r>
        <w:t xml:space="preserve">Chapter 5. Methods and Identification</w:t>
      </w:r>
    </w:p>
    <w:p>
      <w:pPr>
        <w:pStyle w:val="FirstParagraph"/>
        <w:spacing w:line="480" w:lineRule="auto"/>
      </w:pPr>
      <w:r>
        <w:t xml:space="preserve">This chapter specifies how the dissertation moves from a documented but non-experimental record of interplanetary tracking decisions to a defensible statement about the causal effect of Delta-Differential One-way Ranging (Delta-DOR) on mission outcomes. It does three things in turn. It states the estimands and the estimators that target them, distinguishing the binary mission-event success outcome from the continuous plane-of-sky delivery-uncertainty outcome and explaining why each demands a different specification. It then sets out the identification strategy, a selection-on-observables argument made explicit so that its load-bearing assumption is visible and falsifiable rather than buried in a regression table. Finally it enumerates the threats to validity and, for each, the design device that bounds it. The organizing commitment throughout is that no claim in this dissertation rests on an assumption that has not been named, and no effect size is reported without the sensitivity analysis that discloses how fragile or how robust it is.</w:t>
      </w:r>
    </w:p>
    <w:bookmarkStart w:id="112" w:name="estimands-and-the-unit-of-analysis"/>
    <w:p>
      <w:pPr>
        <w:pStyle w:val="Heading2"/>
        <w:spacing w:line="480" w:lineRule="auto"/>
      </w:pPr>
      <w:r>
        <w:t xml:space="preserve">5.1 Estimands and the Unit of Analysis</w:t>
      </w:r>
    </w:p>
    <w:p>
      <w:pPr>
        <w:pStyle w:val="FirstParagraph"/>
        <w:spacing w:line="480" w:lineRule="auto"/>
      </w:pPr>
      <w:r>
        <w:t xml:space="preserve">The unit of analysis is one mission critical event: an orbit insertion, a planetary or small-body flyby, an entry-descent-landing sequence, or a near-Earth gravity-assist whose tracking record and arrival geometry are publicly documented. Treatment is binary at this level. An event is treated if at least one Delta-DOR pass was scheduled within the defined pre-event approach window, and is a control otherwise. Treatment status is coded from the documented tracking-campaign record rather than inferred from the outcome, which preserves the temporal precedence that any causal reading requires: the scheduling decision is fixed in the historical record before the event resolves, so reverse causation from outcome to treatment is ruled out by construction rather than by assumption.</w:t>
      </w:r>
    </w:p>
    <w:p>
      <w:pPr>
        <w:pStyle w:val="BodyText"/>
        <w:spacing w:line="480" w:lineRule="auto"/>
        <w:ind w:firstLine="720"/>
      </w:pPr>
      <w:r>
        <w:t xml:space="preserve">Two estimands are pursued, corresponding to the two outcomes the dissertation defines. The primary estimand is the average treatment effect on the treated (ATT) of scheduling Delta-DOR on the probability of mission-event success, where success is achievement of the critical event within its pre-declared targeting corridor. The ATT, rather than the average treatment effect over the whole population, is the policy-relevant quantity here: the operational question is what the observable buys for the demanding, high-stakes approaches that actually receive it, not what it would buy if assigned to an arbitrary event including the easy flybys that never request it. The secondary estimand is the proportional effect of Delta-DOR on the continuous plane-of-sky delivery uncertainty in kilometres, holding Earth-spacecraft range fixed. The secondary outcome is metric and tests sensitivity to the binary corridor cut, recovering the magnitude of the accuracy gain that the success indicator discards.</w:t>
      </w:r>
    </w:p>
    <w:p>
      <w:pPr>
        <w:pStyle w:val="BodyText"/>
        <w:spacing w:line="480" w:lineRule="auto"/>
        <w:ind w:firstLine="720"/>
      </w:pPr>
      <w:r>
        <w:t xml:space="preserve">The mechanism that links treatment to both outcomes is the measurement physics of interferometric tracking. Delta-DOR differences the signal phase received at two widely separated deep-space antennas and references that difference to a nearby quasar, yielding a plane-of-sky angle whose accuracy is largely decoupled from the dynamical model and from the station-location and media errors that corrupt long-arc Doppler</w:t>
      </w:r>
      <w:r>
        <w:t xml:space="preserve"> </w:t>
      </w:r>
      <w:hyperlink w:anchor="ref-4">
        <w:r>
          <w:rPr>
            <w:rStyle w:val="Hyperlink"/>
          </w:rPr>
          <w:t xml:space="preserve">[4]</w:t>
        </w:r>
      </w:hyperlink>
      <w:r>
        <w:t xml:space="preserve">[8]. The interferometric principle is the one that anchors very-long-baseline instruments in radio astronomy, where angular resolution scales with baseline length and quasar references fix the measurement frame</w:t>
      </w:r>
      <w:r>
        <w:t xml:space="preserve"> </w:t>
      </w:r>
      <w:hyperlink w:anchor="ref-1">
        <w:r>
          <w:rPr>
            <w:rStyle w:val="Hyperlink"/>
          </w:rPr>
          <w:t xml:space="preserve">[1]</w:t>
        </w:r>
      </w:hyperlink>
      <w:r>
        <w:t xml:space="preserve">, and it is the same physics now demonstrated for passive radio-frequency tracking at shorter baselines</w:t>
      </w:r>
      <w:r>
        <w:t xml:space="preserve"> </w:t>
      </w:r>
      <w:hyperlink w:anchor="ref-2">
        <w:r>
          <w:rPr>
            <w:rStyle w:val="Hyperlink"/>
          </w:rPr>
          <w:t xml:space="preserve">[2]</w:t>
        </w:r>
      </w:hyperlink>
      <w:r>
        <w:t xml:space="preserve">. The mature Deep Space Network form of the measurement is characterized as a one-nanoradian system, with a plane-of-sky one-sigma error of roughly two to three nanoradians, against the order-of-one-hundred-nanoradian transverse accuracy that Doppler and range alone achieve</w:t>
      </w:r>
      <w:r>
        <w:t xml:space="preserve"> </w:t>
      </w:r>
      <w:hyperlink w:anchor="ref-4">
        <w:r>
          <w:rPr>
            <w:rStyle w:val="Hyperlink"/>
          </w:rPr>
          <w:t xml:space="preserve">[4]</w:t>
        </w:r>
      </w:hyperlink>
      <w:r>
        <w:t xml:space="preserve">[11]. This mechanism is imported from the measurement-physics literature, not tested in situ; the dissertation tests its mission-outcome consequence, which is a distinct and previously unestimated quantity.</w:t>
      </w:r>
    </w:p>
    <w:bookmarkEnd w:id="112"/>
    <w:bookmarkStart w:id="113" w:name="X7f789259319069aee20ece1a5e2f4a8ca84abe1"/>
    <w:p>
      <w:pPr>
        <w:pStyle w:val="Heading2"/>
        <w:spacing w:line="480" w:lineRule="auto"/>
      </w:pPr>
      <w:r>
        <w:t xml:space="preserve">5.2 The Primary Estimator: Doubly Robust ATT and Its Linear Fallback</w:t>
      </w:r>
    </w:p>
    <w:p>
      <w:pPr>
        <w:pStyle w:val="FirstParagraph"/>
        <w:spacing w:line="480" w:lineRule="auto"/>
      </w:pPr>
      <w:r>
        <w:t xml:space="preserve">The primary identification target is the ATT, and the preferred estimator is inverse-probability-weighted regression with covariate adjustment, an augmented inverse-probability-weighting (AIPW) specification that is doubly robust. A propensity model estimates each event’s probability of receiving Delta-DOR as a function of pre-treatment covariates that proxy mission difficulty and stakes: target body and arrival geometry, approach-phase geocentric distance and Sun-Earth-probe angle, spacecraft class and navigation heritage, declared delivery-corridor tightness, and mission-era ground-network capability. An outcome model regresses success on the same covariates. The doubly robust property is the reason for combining the two: the ATT estimate remains consistent if either the propensity model or the outcome model is correctly specified, even when the other is misspecified, which is a meaningful insurance policy in a setting where neither model can be validated against a randomized benchmark. Overlap is enforced by trimming events outside the common support of the propensity score, so that no treated event is compared against a region of covariate space where no controls exist; covariate balance is reported pre- and post-weighting for every covariate so that the weighting’s success or failure is auditable rather than assumed.</w:t>
      </w:r>
    </w:p>
    <w:p>
      <w:pPr>
        <w:pStyle w:val="BodyText"/>
        <w:spacing w:line="480" w:lineRule="auto"/>
        <w:ind w:firstLine="720"/>
      </w:pPr>
      <w:r>
        <w:t xml:space="preserve">The doubly robust ATT is the design’s destination, but the documented record imposes a discipline that the estimator must respect. In the assembled panel of thirty-four documented interplanetary critical events spanning 1976 to 2023, the treatment indicator is a near-perfect predictor of success: no event that scheduled Delta-DOR is recorded as having failed its critical event. This is quasi-complete separation, and it has a precise statistical consequence. A maximum-likelihood logit does not converge to a finite coefficient under separation; it returns a coefficient that diverges and a standard error inflated by several orders of magnitude, which is not an estimate but an artifact of the likelihood geometry. The honest response is neither to discard the treatment variable nor to fabricate treated failures that the record does not contain, but to estimate a linear probability model (LPM), the standard econometric specification for a binary outcome when logit separates. The companion analysis therefore regresses the success indicator on the Delta-DOR indicator and an ordinal event-difficulty class by ordinary least squares with heteroskedasticity-consistent (HC1) robust standard errors, which remain valid under the non-constant error variance a binary outcome induces. The coefficient on Delta-DOR is read directly as the change in success probability associated with scheduling the observable, holding difficulty fixed. In the documented record this coefficient is 0.708 with a robust standard error of 0.135 and a 95 percent confidence interval from 0.443 to 0.973, a conditional association that rejects the null at conventional levels and remains large in operational terms even at the lower bound of its interval.</w:t>
      </w:r>
    </w:p>
    <w:p>
      <w:pPr>
        <w:pStyle w:val="BodyText"/>
        <w:spacing w:line="480" w:lineRule="auto"/>
        <w:ind w:firstLine="720"/>
      </w:pPr>
      <w:r>
        <w:t xml:space="preserve">The relationship between the two estimators is one of aspiration and constraint. The doubly robust ATT is the cleaner identification target because it conditions on the full vector of difficulty and stakes proxies and weights toward common support; the LPM is the estimator the data permit once separation rules out the latent-index models that would otherwise be natural for a binary outcome. The dissertation reports the LPM as the headline because it is the specification the realized record supports without invention, and treats the doubly robust machinery as the framework within which the LPM coefficient is interpreted, namely as a conditional association that approaches an ATT only to the degree that the difficulty class and the broader covariate vector capture the selection. The separation that forces the LPM is not a nuisance to be smoothed away; it is itself the central empirical fact, because the absence of any documented treated failure is what makes the conditional contrast both striking and, as the threats section makes clear, in need of bounding.</w:t>
      </w:r>
    </w:p>
    <w:bookmarkEnd w:id="113"/>
    <w:bookmarkStart w:id="114" w:name="X3b4390a3db31467f96b091772f0be35f95f9258"/>
    <w:p>
      <w:pPr>
        <w:pStyle w:val="Heading2"/>
        <w:spacing w:line="480" w:lineRule="auto"/>
      </w:pPr>
      <w:r>
        <w:t xml:space="preserve">5.3 The Secondary Estimator: Log-Linear Regression on Delivery Uncertainty</w:t>
      </w:r>
    </w:p>
    <w:p>
      <w:pPr>
        <w:pStyle w:val="FirstParagraph"/>
        <w:spacing w:line="480" w:lineRule="auto"/>
      </w:pPr>
      <w:r>
        <w:t xml:space="preserve">The secondary outcome is continuous and metric, and its estimator is correspondingly different. Across a panel of twenty-six documented critical events spanning 1990 through 2024, an ordinary least squares regression of the log plane-of-sky delivery uncertainty on the Delta-DOR indicator and the log Earth-spacecraft range, with HC1 robust standard errors, recovers two quantities the theory names in advance. The logarithmic outcome lets the treatment coefficient read as a proportional accuracy effect rather than a level shift, and the logarithmic range term lets its coefficient read as an elasticity. The treatment coefficient tests the secondary hypothesis directly. The range coefficient serves a second and distinct purpose: it is a falsification check on the construction. The measurement physics predicts that a fixed angular accuracy maps to a position error growing linearly with range, because a constant angle subtends a larger arc at a larger distance, with the documented Deep Space Network conversion of about 0.15 kilometres per nanoradian per astronomical unit making the relationship explicit</w:t>
      </w:r>
      <w:r>
        <w:t xml:space="preserve"> </w:t>
      </w:r>
      <w:hyperlink w:anchor="ref-11">
        <w:r>
          <w:rPr>
            <w:rStyle w:val="Hyperlink"/>
          </w:rPr>
          <w:t xml:space="preserve">[11]</w:t>
        </w:r>
      </w:hyperlink>
      <w:r>
        <w:t xml:space="preserve">. The expected elasticity is therefore close to one, and an estimated elasticity sharply different from one would signal that the panel does not behave as the documented measurement model says it should.</w:t>
      </w:r>
    </w:p>
    <w:p>
      <w:pPr>
        <w:pStyle w:val="BodyText"/>
        <w:spacing w:line="480" w:lineRule="auto"/>
        <w:ind w:firstLine="720"/>
      </w:pPr>
      <w:r>
        <w:t xml:space="preserve">In the documented record the treatment coefficient is minus 3.233 with a robust standard error of 0.215 and a 95 percent confidence interval from minus 3.655 to minus 2.811, which on the multiplicative scale is a factor of about 0.039, a plane-of-sky delivery uncertainty roughly ninety-six percent lower for treated events at fixed range. The range coefficient is 1.068 with a robust standard error of 0.042 and a confidence interval from 0.986 to 1.150, an interval that contains one, so the construction passes its falsification check and the data behave as the measurement physics predicts. The angular-accuracy regime in nanoradians is the construction input for part of the outcome and is deliberately excluded from the right-hand side, so the regression does not recover its own arithmetic. The two estimators are complementary rather than redundant. The binary specification answers whether the observable changes realized success; the continuous specification recovers the magnitude of the accuracy gain that the binary cut suppresses, and its near-unit elasticity provides an internal consistency test that the binary model cannot supply.</w:t>
      </w:r>
    </w:p>
    <w:bookmarkEnd w:id="114"/>
    <w:bookmarkStart w:id="115" w:name="identification-strategy"/>
    <w:p>
      <w:pPr>
        <w:pStyle w:val="Heading2"/>
        <w:spacing w:line="480" w:lineRule="auto"/>
      </w:pPr>
      <w:r>
        <w:t xml:space="preserve">5.4 Identification Strategy</w:t>
      </w:r>
    </w:p>
    <w:p>
      <w:pPr>
        <w:pStyle w:val="FirstParagraph"/>
        <w:spacing w:line="480" w:lineRule="auto"/>
      </w:pPr>
      <w:r>
        <w:t xml:space="preserve">Delta-DOR is not randomized, so identification rests on a quasi-experimental selection-on-observables strategy that is stated explicitly and then stress-tested rather than asserted. The identifying assumption is conditional ignorability: conditional on the observed pre-treatment covariates that proxy mission difficulty and stakes, the assignment of Delta-DOR is independent of the potential outcomes. Under this assumption, together with the overlap condition that every covariate profile observed among treated events also appears among controls, the weighted or covariate-adjusted contrast identifies the ATT. The assumption is strong and it is named precisely so that its failure mode is legible: it fails to the extent that mission planners select events into Delta-DOR on some difficulty-relevant feature that the covariate vector does not capture and that also moves the outcome.</w:t>
      </w:r>
    </w:p>
    <w:p>
      <w:pPr>
        <w:pStyle w:val="BodyText"/>
        <w:spacing w:line="480" w:lineRule="auto"/>
        <w:ind w:firstLine="720"/>
      </w:pPr>
      <w:r>
        <w:t xml:space="preserve">The temporal structure of the data supports the precedence half of the identification argument. Treatment is coded from the documented tracking schedule, established in the historical record before the critical event resolves, so the design satisfies the requirement that the cause precede the effect and that treatment not be a function of the realized outcome. Where the documentary record permits, an event-time difference comparing pre-treatment-window delivery-error trends against post-window outcomes provides a within-mission check that does not rely solely on cross-mission comparability, addressing the concern that the treated and control missions differ in ways no cross-sectional covariate captures. The estimand, the covariate set, the trimming rule, and the sensitivity protocol are pre-registered before the outcome data are unblinded, which removes the degrees of freedom that would otherwise let specification search manufacture a result.</w:t>
      </w:r>
    </w:p>
    <w:p>
      <w:pPr>
        <w:pStyle w:val="BodyText"/>
        <w:spacing w:line="480" w:lineRule="auto"/>
        <w:ind w:firstLine="720"/>
      </w:pPr>
      <w:r>
        <w:t xml:space="preserve">Conditioning on event difficulty is the load-bearing adjustment, and its direction of bias is worth stating because it is not the naive one. Delta-DOR is preferentially scheduled for the hardest and most valuable approaches, and harder approaches fail more often regardless of tracking; an unconditional comparison therefore confounds the benefit of the observable with the penalty of the events that receive it, biasing the treatment estimate downward, not upward. The difficulty coefficient in the binary model confirms this structure, entering with the expected negative sign and a magnitude comparable per unit to the treatment effect, so that the success penalty of attempting a harder event class is roughly offset within the sample by scheduling the angular observable that a harder event most needs. Conditioning on difficulty absorbs the most visible form of this confounding; what it cannot absorb is the residual, unobserved component of difficulty, and that residual is precisely what the sensitivity analysis is built to bound.</w:t>
      </w:r>
    </w:p>
    <w:bookmarkEnd w:id="115"/>
    <w:bookmarkStart w:id="116" w:name="X1d189e0776bd0a9225211f020d00b109bd29bed"/>
    <w:p>
      <w:pPr>
        <w:pStyle w:val="Heading2"/>
        <w:spacing w:line="480" w:lineRule="auto"/>
      </w:pPr>
      <w:r>
        <w:t xml:space="preserve">5.5 Threats to Validity and How Each Is Bounded</w:t>
      </w:r>
    </w:p>
    <w:p>
      <w:pPr>
        <w:pStyle w:val="FirstParagraph"/>
        <w:spacing w:line="480" w:lineRule="auto"/>
      </w:pPr>
      <w:r>
        <w:t xml:space="preserve">The credibility of a quasi-experimental estimate is the credibility of its threat accounting. Five threats are material, and each is paired below with the design device that bounds it; none is claimed to be eliminated, because elimination would require randomization that the historical record cannot supply.</w:t>
      </w:r>
    </w:p>
    <w:p>
      <w:pPr>
        <w:pStyle w:val="BodyText"/>
        <w:spacing w:line="480" w:lineRule="auto"/>
        <w:ind w:firstLine="720"/>
      </w:pPr>
      <w:r>
        <w:rPr>
          <w:b/>
          <w:bCs/>
        </w:rPr>
        <w:t xml:space="preserve">Confounding by indication.</w:t>
      </w:r>
      <w:r>
        <w:t xml:space="preserve"> </w:t>
      </w:r>
      <w:r>
        <w:t xml:space="preserve">Delta-DOR is assigned to harder and higher-value events, so any estimate carries residual exposure to unobserved difficulty. The doubly robust IPW design conditions on the full vector of observed difficulty proxies, and a formal sensitivity analysis quantifies how strong an unobserved confounder would have to be, in its joint association with both treatment and outcome, to drive the ATT to zero. The headline effect is reported alongside this bound rather than as a point estimate alone, so the reader sees not only the estimated effect but the strength of hidden bias required to overturn it. This threat cannot be removed without randomization; it is named, conditioned upon, and bounded, and the bound is part of the result rather than an appendix to it.</w:t>
      </w:r>
    </w:p>
    <w:p>
      <w:pPr>
        <w:pStyle w:val="BodyText"/>
        <w:spacing w:line="480" w:lineRule="auto"/>
        <w:ind w:firstLine="720"/>
      </w:pPr>
      <w:r>
        <w:rPr>
          <w:b/>
          <w:bCs/>
        </w:rPr>
        <w:t xml:space="preserve">Limited and clustered sample.</w:t>
      </w:r>
      <w:r>
        <w:t xml:space="preserve"> </w:t>
      </w:r>
      <w:r>
        <w:t xml:space="preserve">The population of documented interplanetary critical events is modest and clustered by era, agency, and spacecraft lineage, which depresses statistical power and risks pseudo-replication, where era-correlated or lineage-correlated successes are mistaken for independent evidence. The design pre-commits to event-clustered standard errors, to reporting the minimum detectable effect given the realized sample, and to treating an imprecise but well-bounded null as a legitimate publishable result rather than padding the panel with weakly comparable events. The honest report of a thirty-four-event binary panel and a twenty-six-event continuous panel, with their robust standard errors shown rather than smoothed, makes the precision of each estimate visible alongside its magnitude.</w:t>
      </w:r>
    </w:p>
    <w:p>
      <w:pPr>
        <w:pStyle w:val="BodyText"/>
        <w:spacing w:line="480" w:lineRule="auto"/>
        <w:ind w:firstLine="720"/>
      </w:pPr>
      <w:r>
        <w:rPr>
          <w:b/>
          <w:bCs/>
        </w:rPr>
        <w:t xml:space="preserve">Outcome and corridor coding.</w:t>
      </w:r>
      <w:r>
        <w:t xml:space="preserve"> </w:t>
      </w:r>
      <w:r>
        <w:t xml:space="preserve">Mission success is multidimensional, and reducing it to a binary corridor-delivery indicator discards information and invites coding discretion. Three devices bound this. The targeting corridor is taken from pre-declared mission documentation rather than set post hoc, so the threshold cannot be tuned to the outcome. The coding rule is fixed before unblinding. And the continuous delivery-error secondary outcome is reported precisely to test sensitivity to the binary cut, so that any result driven by an arbitrary threshold choice would reveal itself as a discrepancy between the binary and continuous analyses. Two lander outcomes coded as untreated controls reflect a documented decision about which approach campaigns govern an entry sequence, recorded in the source column rather than synthesized, and two sparsely documented early events are flagged as illustrative where the tracking record could not be pinned to a published campaign; together these constitute under six percent of the binary panel.</w:t>
      </w:r>
    </w:p>
    <w:p>
      <w:pPr>
        <w:pStyle w:val="BodyText"/>
        <w:spacing w:line="480" w:lineRule="auto"/>
        <w:ind w:firstLine="720"/>
      </w:pPr>
      <w:r>
        <w:rPr>
          <w:b/>
          <w:bCs/>
        </w:rPr>
        <w:t xml:space="preserve">Measurement and archival completeness.</w:t>
      </w:r>
      <w:r>
        <w:t xml:space="preserve"> </w:t>
      </w:r>
      <w:r>
        <w:t xml:space="preserve">The presence of Delta-DOR in a tracking record may be incompletely documented in older holdings, risking treatment misclassification that would attenuate the estimate toward zero. Events whose tracking record cannot be unambiguously classified are excluded with the exclusion logged, and a quantitative-bias analysis reports how plausible misclassification rates would move the estimate. For the continuous outcome, values built by carrying a documented angular regime through the documented Deep Space Network conversion, rather than read from a published kilometre figure, are flagged in the source column and remain a minority of the panel’s cells; the events with published realized figures sit on the same locus as the constructed ones, which is reassuring without being dispositive. The provenance of every cell is recorded at the unit of analysis so that the panel is reconstructable from public archives, which is itself a bound on undetected coding error because it exposes the chain of evidence to audit.</w:t>
      </w:r>
    </w:p>
    <w:p>
      <w:pPr>
        <w:pStyle w:val="BodyText"/>
        <w:spacing w:line="480" w:lineRule="auto"/>
        <w:ind w:firstLine="720"/>
      </w:pPr>
      <w:r>
        <w:rPr>
          <w:b/>
          <w:bCs/>
        </w:rPr>
        <w:t xml:space="preserve">Construct and external validity.</w:t>
      </w:r>
      <w:r>
        <w:t xml:space="preserve"> </w:t>
      </w:r>
      <w:r>
        <w:t xml:space="preserve">The interferometric capability is documented in radio-astronomy and space-domain-awareness settings</w:t>
      </w:r>
      <w:r>
        <w:t xml:space="preserve"> </w:t>
      </w:r>
      <w:hyperlink w:anchor="ref-1">
        <w:r>
          <w:rPr>
            <w:rStyle w:val="Hyperlink"/>
          </w:rPr>
          <w:t xml:space="preserve">[1]</w:t>
        </w:r>
      </w:hyperlink>
      <w:r>
        <w:t xml:space="preserve">[2] rather than in a controlled navigation-outcome trial, so the mechanism is imported rather than tested in situ, and the estimate generalizes only to the era and ground-network regime represented in the panel. Both limits are stated as explicit scope conditions on the claim rather than left implicit. The dissertation does not assert that the measured association would hold under a different ground-segment architecture or a different mission population; it asserts a bounded effect for the documented regime and frames the cost-and-reliability implication accordingly, connecting the effect size to the resource-allocation tension that the broader space-systems literature describes</w:t>
      </w:r>
      <w:r>
        <w:t xml:space="preserve"> </w:t>
      </w:r>
      <w:hyperlink w:anchor="ref-3">
        <w:r>
          <w:rPr>
            <w:rStyle w:val="Hyperlink"/>
          </w:rPr>
          <w:t xml:space="preserve">[3]</w:t>
        </w:r>
      </w:hyperlink>
      <w:r>
        <w:t xml:space="preserve"> </w:t>
      </w:r>
      <w:r>
        <w:t xml:space="preserve">without overstating the range over which the number travels.</w:t>
      </w:r>
    </w:p>
    <w:bookmarkEnd w:id="116"/>
    <w:bookmarkStart w:id="117" w:name="summary-of-the-inferential-logic"/>
    <w:p>
      <w:pPr>
        <w:pStyle w:val="Heading2"/>
        <w:spacing w:line="480" w:lineRule="auto"/>
      </w:pPr>
      <w:r>
        <w:t xml:space="preserve">5.6 Summary of the Inferential Logic</w:t>
      </w:r>
    </w:p>
    <w:p>
      <w:pPr>
        <w:pStyle w:val="FirstParagraph"/>
        <w:spacing w:line="480" w:lineRule="auto"/>
      </w:pPr>
      <w:r>
        <w:t xml:space="preserve">The chapter’s logic can be stated compactly. The estimand is the ATT of Delta-DOR on mission-event success, with a continuous plane-of-sky uncertainty as the secondary estimand. The preferred estimator is a doubly robust AIPW specification; the realized record, exhibiting quasi-complete separation, forces a linear probability model as the headline for the binary outcome and a log-linear OLS for the continuous outcome, with HC1 robust standard errors throughout. Identification rests on conditional ignorability and overlap, with temporal precedence secured by coding treatment from the tracking schedule rather than the outcome, and with pre-registration removing specification-search degrees of freedom. The five threats to validity are each bounded rather than eliminated: confounding by indication by a named sensitivity bound, sample limitation by clustered errors and an honest minimum-detectable-effect report, outcome coding by pre-declared corridors and a continuous robustness outcome, archival completeness by logged exclusions and a quantitative-bias analysis, and construct and external validity by explicit scope conditions. The contribution the design is built to deliver is therefore not an advocacy position but an effect size and its disclosure: a number that can be weighed against the network cost of the observable</w:t>
      </w:r>
      <w:r>
        <w:t xml:space="preserve"> </w:t>
      </w:r>
      <w:hyperlink w:anchor="ref-3">
        <w:r>
          <w:rPr>
            <w:rStyle w:val="Hyperlink"/>
          </w:rPr>
          <w:t xml:space="preserve">[3]</w:t>
        </w:r>
      </w:hyperlink>
      <w:r>
        <w:t xml:space="preserve">, reported alongside the precise statement of how much hidden bias would be required to overturn it.</w:t>
      </w:r>
    </w:p>
    <w:bookmarkEnd w:id="117"/>
    <w:bookmarkEnd w:id="118"/>
    <w:bookmarkStart w:id="131" w:name="chapter-6.-results"/>
    <w:p>
      <w:pPr>
        <w:pStyle w:val="Heading1"/>
        <w:spacing w:line="480" w:lineRule="auto"/>
      </w:pPr>
      <w:r>
        <w:t xml:space="preserve">Chapter 6. Results</w:t>
      </w:r>
    </w:p>
    <w:p>
      <w:pPr>
        <w:pStyle w:val="FirstParagraph"/>
        <w:spacing w:line="480" w:lineRule="auto"/>
      </w:pPr>
      <w:r>
        <w:t xml:space="preserve">This chapter presents the realized findings of the two empirical analyses that constitute the quantitative core of the dissertation. The first analysis, reported in Section 6.2, estimates a binary-outcome model in which the dependent variable is whether a documented interplanetary critical event was achieved within its declared targeting corridor, and the focal regressor is whether Delta-Differential One-way Ranging (Delta-DOR) was scheduled during the approach phase. The second analysis, reported in Section 6.3, estimates a continuous-outcome model in which the dependent variable is the achievable plane-of-sky delivery uncertainty in kilometres, regressed jointly on the Delta-DOR indicator and on the Earth-spacecraft range at the event. The two analyses are designed to interrogate the same intervention from complementary angles: the binary success cut that a sponsor ultimately cares about, and the metric delivery uncertainty that the binary cut summarizes. Each section reports the model fit, the focal coefficient with its robust standard error and exact significance level, the supporting coefficients, and an interpretation of what the magnitude means in operational terms. The tables, estimator workbooks, fitted formulas, and diagnostic charts that underlie these numbers are reproduced in Appendix A; the discussion here reads directly from the estimator output and introduces no quantity that the estimator did not report.</w:t>
      </w:r>
    </w:p>
    <w:p>
      <w:pPr>
        <w:pStyle w:val="BodyText"/>
        <w:spacing w:line="480" w:lineRule="auto"/>
        <w:ind w:firstLine="720"/>
      </w:pPr>
      <w:r>
        <w:t xml:space="preserve">Two interpretive cautions govern the entire chapter and are stated once at the outset rather than repeated at every coefficient. First, neither model recovers a randomized treatment effect. Delta-DOR is not assigned by lottery; it is scheduled preferentially for the most demanding and most valuable approaches, which means the treated and untreated events differ in more than their tracking type. Both specifications condition on the most visible component of that difference, event difficulty in the first model and Earth-spacecraft range in the second, but residual confounding by unobserved difficulty cannot be eliminated without randomization. The coefficients are therefore conditional associations under a transparent specification, and the magnitudes reported below should be read as informative upper bounds on the realized benefit rather than as clean causal contrasts. Second, the panels are modest and clustered by era, agency, and spacecraft lineage. Heteroskedasticity-consistent (HC1) robust standard errors are reported throughout so that the precision of each estimate is visible alongside its magnitude, and the small sample sizes are stated plainly rather than smoothed. These cautions do not weaken the findings; they fix the claims the findings can support. The interferometric measurement physics that motivates the intervention, drawn from the very-long-baseline tradition in which angular resolution scales with baseline length and a quasar reference anchors the frame</w:t>
      </w:r>
      <w:r>
        <w:t xml:space="preserve"> </w:t>
      </w:r>
      <w:hyperlink w:anchor="ref-1">
        <w:r>
          <w:rPr>
            <w:rStyle w:val="Hyperlink"/>
          </w:rPr>
          <w:t xml:space="preserve">[1]</w:t>
        </w:r>
      </w:hyperlink>
      <w:r>
        <w:t xml:space="preserve">, and from the radio-frequency interferometric tracking demonstrations now reported in the space-domain-awareness setting</w:t>
      </w:r>
      <w:r>
        <w:t xml:space="preserve"> </w:t>
      </w:r>
      <w:hyperlink w:anchor="ref-2">
        <w:r>
          <w:rPr>
            <w:rStyle w:val="Hyperlink"/>
          </w:rPr>
          <w:t xml:space="preserve">[2]</w:t>
        </w:r>
      </w:hyperlink>
      <w:r>
        <w:t xml:space="preserve">, is imported rather than tested in a controlled navigation trial, and the resource-allocation framing that gives the effect sizes their relevance is the cost-and-reliability tension that governs scarce public space budgets</w:t>
      </w:r>
      <w:r>
        <w:t xml:space="preserve"> </w:t>
      </w:r>
      <w:hyperlink w:anchor="ref-3">
        <w:r>
          <w:rPr>
            <w:rStyle w:val="Hyperlink"/>
          </w:rPr>
          <w:t xml:space="preserve">[3]</w:t>
        </w:r>
      </w:hyperlink>
      <w:r>
        <w:t xml:space="preserve">.</w:t>
      </w:r>
    </w:p>
    <w:bookmarkStart w:id="119" w:name="overview-of-the-two-estimations"/>
    <w:p>
      <w:pPr>
        <w:pStyle w:val="Heading2"/>
        <w:spacing w:line="480" w:lineRule="auto"/>
      </w:pPr>
      <w:r>
        <w:t xml:space="preserve">6.1 Overview of the Two Estimations</w:t>
      </w:r>
    </w:p>
    <w:p>
      <w:pPr>
        <w:pStyle w:val="FirstParagraph"/>
        <w:spacing w:line="480" w:lineRule="auto"/>
      </w:pPr>
      <w:r>
        <w:t xml:space="preserve">Before presenting the coefficients it is worth fixing what each model is and is not doing, because the two specifications were chosen under different empirical constraints and answer different questions. The binary-success model in Section 6.2 confronts a feature of the documented record that dictates the choice of estimator. In the assembled panel, the Delta-DOR indicator is a near-perfect predictor of success: no event recorded as having scheduled Delta-DOR is recorded as having failed its critical event. Under that pattern of quasi-complete separation, a maximum-likelihood logit does not converge to a finite coefficient; it returns an estimate that diverges with the optimization tolerance and a standard error inflated by orders of magnitude, which is not an honest summary of the evidence. The disciplined response is neither to drop the variable nor to fabricate treated failures that the record does not contain, but to estimate a linear probability model by ordinary least squares with robust standard errors, which is the standard econometric specification for a binary outcome when logit separates. The coefficient on the Delta-DOR indicator then reads directly as a change in success probability, holding event difficulty fixed.</w:t>
      </w:r>
    </w:p>
    <w:p>
      <w:pPr>
        <w:pStyle w:val="BodyText"/>
        <w:spacing w:line="480" w:lineRule="auto"/>
        <w:ind w:firstLine="720"/>
      </w:pPr>
      <w:r>
        <w:t xml:space="preserve">The delivery-uncertainty model in Section 6.3 faces no such separation and is estimated as an ordinary least squares regression on a logarithmic outcome. The dependent variable is the natural logarithm of plane-of-sky delivery uncertainty in kilometres, and the two regressors are the Delta-DOR indicator and the natural logarithm of Earth-spacecraft range in astronomical units. The logarithmic transformation is not cosmetic. It lets the treatment coefficient be read as a proportional accuracy effect, invariant to the unit in which uncertainty is measured, and it lets the range coefficient be read as an elasticity that the measurement physics predicts should lie near unity, because a fixed angular accuracy subtends a position error that grows linearly with distance</w:t>
      </w:r>
      <w:r>
        <w:t xml:space="preserve"> </w:t>
      </w:r>
      <w:hyperlink w:anchor="ref-4">
        <w:r>
          <w:rPr>
            <w:rStyle w:val="Hyperlink"/>
          </w:rPr>
          <w:t xml:space="preserve">[4]</w:t>
        </w:r>
      </w:hyperlink>
      <w:r>
        <w:t xml:space="preserve">[7]. The range coefficient therefore doubles as a falsification check on the construction of the panel: an elasticity far from one would signal that the assembled events do not behave as the documented angular-to-position conversion says they should. The two estimations together move from the metric quantity that the physics governs, the plane-of-sky delivery uncertainty, to the binary success cut that a mission sponsor declares, and the consistency of their conclusions is itself part of the evidence.</w:t>
      </w:r>
    </w:p>
    <w:bookmarkEnd w:id="119"/>
    <w:bookmarkStart w:id="124" w:name="X050f982be0e1edcefe66f477d8730cdb4a3d88d"/>
    <w:p>
      <w:pPr>
        <w:pStyle w:val="Heading2"/>
        <w:spacing w:line="480" w:lineRule="auto"/>
      </w:pPr>
      <w:r>
        <w:t xml:space="preserve">6.2 The Binary-Success Model: Delta-DOR and the Probability of a Successful Critical Event</w:t>
      </w:r>
    </w:p>
    <w:bookmarkStart w:id="120" w:name="sample-and-model-fit"/>
    <w:p>
      <w:pPr>
        <w:pStyle w:val="Heading3"/>
        <w:spacing w:line="480" w:lineRule="auto"/>
      </w:pPr>
      <w:r>
        <w:t xml:space="preserve">6.2.1 Sample and Model Fit</w:t>
      </w:r>
    </w:p>
    <w:p>
      <w:pPr>
        <w:pStyle w:val="FirstParagraph"/>
        <w:spacing w:line="480" w:lineRule="auto"/>
      </w:pPr>
      <w:r>
        <w:t xml:space="preserve">The estimation sample comprises thirty-four documented interplanetary critical events spanning 1976 to 2023. The outcome is unbalanced, and the imbalance is itself informative: twenty-seven of the thirty-four events are coded as successes and seven as failures, so documented interplanetary critical events succeed more often than not, and the failures concentrate among the untreated and higher-difficulty events. The fitted linear probability model regresses the binary success indicator on the Delta-DOR indicator and an ordinal event-difficulty class, estimated by ordinary least squares with HC1 robust standard errors.</w:t>
      </w:r>
    </w:p>
    <w:p>
      <w:pPr>
        <w:pStyle w:val="BodyText"/>
        <w:spacing w:line="480" w:lineRule="auto"/>
        <w:ind w:firstLine="720"/>
      </w:pPr>
      <w:r>
        <w:t xml:space="preserve">The two-predictor specification accounts for a substantial share of the variation in whether a critical event succeeded. The fit is strong. The coefficient of determination is R-squared equal to 0.668, and the adjusted coefficient, which penalizes for the two estimated slopes against thirty-four observations, is 0.646. The joint F-test rejects the null of no explanatory power decisively, with F equal to 26.97 on the model degrees of freedom and a p-value of 1.6 times ten to the minus seven. For a two-variable model fitted to thirty-four binary outcomes, an R-squared near two-thirds is a strong fit, and the F-statistic confirms that the two regressors jointly carry genuine explanatory content rather than noise. The fit alone does not adjudicate the causal question, but it establishes that event difficulty and the presence of Delta-DOR together organize most of the observed variation in outcome.</w:t>
      </w:r>
    </w:p>
    <w:bookmarkEnd w:id="120"/>
    <w:bookmarkStart w:id="121" w:name="the-delta-dor-coefficient"/>
    <w:p>
      <w:pPr>
        <w:pStyle w:val="Heading3"/>
        <w:spacing w:line="480" w:lineRule="auto"/>
      </w:pPr>
      <w:r>
        <w:t xml:space="preserve">6.2.2 The Delta-DOR Coefficient</w:t>
      </w:r>
    </w:p>
    <w:p>
      <w:pPr>
        <w:pStyle w:val="FirstParagraph"/>
        <w:spacing w:line="480" w:lineRule="auto"/>
      </w:pPr>
      <w:r>
        <w:t xml:space="preserve">The focal estimate is the coefficient on the Delta-DOR indicator, which is 0.708 with a robust standard error of 0.135. Because the dependent variable is a success probability, this coefficient reads as a marginal effect on the probability scale: holding event difficulty fixed, scheduling Delta-DOR during the critical approach phase is associated with an increase of approximately 0.71, that is, about seventy-one percentage points, in the probability that the event is achieved within its targeting corridor. The estimate is precisely measured for a sample of this size. The implied t-statistic of roughly 5.24 corresponds to a p-value of 1.6 times ten to the minus seven, far below any conventional threshold, so the null hypothesis H0 of no conditional effect is rejected in favour of the directional alternative H1 that Delta-DOR raises the probability of success.</w:t>
      </w:r>
    </w:p>
    <w:p>
      <w:pPr>
        <w:pStyle w:val="BodyText"/>
        <w:spacing w:line="480" w:lineRule="auto"/>
        <w:ind w:firstLine="720"/>
      </w:pPr>
      <w:r>
        <w:t xml:space="preserve">The magnitude is large not only in statistical terms but in operational terms. A ninety-five percent confidence interval constructed from the point estimate and its robust standard error runs from approximately 0.443 to 0.973. The lower bound is the operationally consequential figure: even at the least favourable end of the interval, the conditional association implies a forty-four percentage-point advantage in corridor-delivery probability for events that scheduled the observable. The interval excludes zero comfortably, and its entire span lies in a region that would, if read causally, justify the operational presumption that protecting deep-space-network time for Delta-DOR during high-stakes approaches buys a large outcome margin. This is the empirical effect size that the resource-allocation debate had previously lacked, since the field has reasoned from predicted covariance reductions rather than from realized cross-mission outcomes</w:t>
      </w:r>
      <w:r>
        <w:t xml:space="preserve"> </w:t>
      </w:r>
      <w:hyperlink w:anchor="ref-3">
        <w:r>
          <w:rPr>
            <w:rStyle w:val="Hyperlink"/>
          </w:rPr>
          <w:t xml:space="preserve">[3]</w:t>
        </w:r>
      </w:hyperlink>
      <w:r>
        <w:t xml:space="preserve">.</w:t>
      </w:r>
    </w:p>
    <w:bookmarkEnd w:id="121"/>
    <w:bookmarkStart w:id="122" w:name="Xfe24c28b6f42c2b9c3e37bcfec25a278e4138d1"/>
    <w:p>
      <w:pPr>
        <w:pStyle w:val="Heading3"/>
        <w:spacing w:line="480" w:lineRule="auto"/>
      </w:pPr>
      <w:r>
        <w:t xml:space="preserve">6.2.3 The Event-Difficulty Coefficient and the Intercept</w:t>
      </w:r>
    </w:p>
    <w:p>
      <w:pPr>
        <w:pStyle w:val="FirstParagraph"/>
        <w:spacing w:line="480" w:lineRule="auto"/>
      </w:pPr>
      <w:r>
        <w:t xml:space="preserve">The event-difficulty regressor enters with the sign the theory predicts and with a magnitude that sharpens the reading of the Delta-DOR estimate. Its coefficient is minus 0.158 with a robust standard error of 0.081, a t-statistic of approximately minus 1.97, and a p-value of 0.049. Each step up the ordinal difficulty ladder, from a flyby class through orbit insertion to an entry-descent-landing sequence, is associated with about a sixteen percentage-point reduction in baseline success probability before any account is taken of tracking type. The p-value sits just under the conventional five-percent threshold, so the difficulty effect is statistically distinguishable from zero, though by a far narrower margin than the Delta-DOR effect, and this proximity to the threshold should be reported honestly rather than overstated. The substantive content of the coefficient does not depend on its borderline significance: harder event classes succeed less often, which is exactly the confounding structure that motivates conditioning on difficulty in the first place, because Delta-DOR is preferentially assigned to the harder approaches that carry lower baseline success.</w:t>
      </w:r>
    </w:p>
    <w:p>
      <w:pPr>
        <w:pStyle w:val="BodyText"/>
        <w:spacing w:line="480" w:lineRule="auto"/>
        <w:ind w:firstLine="720"/>
      </w:pPr>
      <w:r>
        <w:t xml:space="preserve">The intercept is 0.649 with a robust standard error of 0.272 and a p-value of 0.017. It anchors the fitted success probability for an untreated event at the lowest difficulty class, that is, the model’s prediction for a flyby-class approach that did not schedule Delta-DOR. A baseline near sixty-five percent for the easiest untreated events is plausible against the documented record and places the seventy-one-point Delta-DOR coefficient in context: adding the observable to such an event moves the fitted probability close to certainty, while each increment of difficulty subtracts about sixteen points. The two slopes work in opposite directions and are of broadly comparable magnitude per unit, so that within this sample the success penalty incurred by attempting a harder event class is roughly offset by scheduling the angular observable that a harder event most requires. The arithmetic of the fitted model thus encodes a coherent operational story, in which the missions that most need plane-of-sky accuracy are also the ones whose baseline odds the observable most improves.</w:t>
      </w:r>
    </w:p>
    <w:bookmarkEnd w:id="122"/>
    <w:bookmarkStart w:id="123" w:name="interpretation-and-the-separation-caveat"/>
    <w:p>
      <w:pPr>
        <w:pStyle w:val="Heading3"/>
        <w:spacing w:line="480" w:lineRule="auto"/>
      </w:pPr>
      <w:r>
        <w:t xml:space="preserve">6.2.4 Interpretation and the Separation Caveat</w:t>
      </w:r>
    </w:p>
    <w:p>
      <w:pPr>
        <w:pStyle w:val="FirstParagraph"/>
        <w:spacing w:line="480" w:lineRule="auto"/>
      </w:pPr>
      <w:r>
        <w:t xml:space="preserve">The single most important interpretive fact about this model is also the fact that dictated its specification. Treated approaches did not fail. The reason a logit could not be estimated is that, in the documented record assembled here, no Delta-DOR-treated event is recorded as a failure. That separation is not a nuisance to be smoothed over; it is the substantive finding rendered as an estimation problem. The linear probability coefficient of 0.708 is the disciplined summary of a record in which the treated and untreated outcomes are nearly disjoint, and the strength of the estimate, its sub-microscopic p-value and its interval bounded well away from zero, is a direct consequence of that near-disjointness. The same fact, however, bounds the claim. With no treated failures in the panel, the linear specification performs interpolative work across a region of the outcome space that the data populate sparsely, and a richer continuous outcome would discipline that interpolation. This is the methodological bridge to the second analysis, which replaces the binary success cut with the metric delivery uncertainty that the cut summarizes, and which, free of separation, can be estimated without the linear-probability workaround. The binary model establishes that Delta-DOR-treated approaches in the documented record succeeded essentially without exception once difficulty is held fixed; the continuous model asks how large the underlying accuracy gain is that produces that pattern.</w:t>
      </w:r>
    </w:p>
    <w:bookmarkEnd w:id="123"/>
    <w:bookmarkEnd w:id="124"/>
    <w:bookmarkStart w:id="129" w:name="Xa7c6d951ce448421ef8fbfd176525e23fde44f5"/>
    <w:p>
      <w:pPr>
        <w:pStyle w:val="Heading2"/>
        <w:spacing w:line="480" w:lineRule="auto"/>
      </w:pPr>
      <w:r>
        <w:t xml:space="preserve">6.3 The Delivery-Uncertainty Model: Delta-DOR, Range, and Plane-of-Sky Accuracy</w:t>
      </w:r>
    </w:p>
    <w:bookmarkStart w:id="125" w:name="sample-and-model-fit-1"/>
    <w:p>
      <w:pPr>
        <w:pStyle w:val="Heading3"/>
        <w:spacing w:line="480" w:lineRule="auto"/>
      </w:pPr>
      <w:r>
        <w:t xml:space="preserve">6.3.1 Sample and Model Fit</w:t>
      </w:r>
    </w:p>
    <w:p>
      <w:pPr>
        <w:pStyle w:val="FirstParagraph"/>
        <w:spacing w:line="480" w:lineRule="auto"/>
      </w:pPr>
      <w:r>
        <w:t xml:space="preserve">The continuous-outcome estimation is fitted to a panel of twenty-six documented interplanetary critical events spanning 1990 to 2024, ranging from Magellan’s arrival at Venus to JUICE’s Earth-Moon flyby. Seventeen of the twenty-six events are coded as Delta-DOR-treated and nine as Doppler-and-range controls, with treatment status sourced from documented tracking records rather than inferred from outcome, which preserves the temporal precedence the design requires. The dependent variable is the natural logarithm of plane-of-sky delivery uncertainty in kilometres, and the regressors are the Delta-DOR indicator and the natural logarithm of Earth-spacecraft range in astronomical units. The angular-accuracy regime, which is the construction input for the outcome on the subset of events without a published kilometre figure, is deliberately excluded from the right-hand side so that the regression does not recover its own arithmetic.</w:t>
      </w:r>
    </w:p>
    <w:p>
      <w:pPr>
        <w:pStyle w:val="BodyText"/>
        <w:spacing w:line="480" w:lineRule="auto"/>
        <w:ind w:firstLine="720"/>
      </w:pPr>
      <w:r>
        <w:t xml:space="preserve">The model explains very nearly all of the variation in log delivery uncertainty. The R-squared is 0.950 and the adjusted R-squared is 0.946, and the joint F-statistic is 869.7 with a p-value of approximately 2.1 times ten to the minus twenty-two. An R-squared of 0.95 on a two-regressor model is extremely high, and it is worth being explicit about why this should be expected rather than treated as suspicious. The outcome is a position uncertainty that, by the documented measurement physics, is governed almost entirely by two quantities: the angular accuracy regime, which the Delta-DOR indicator proxies as a switch between an approximately one-hundred-nanoradian transverse regime and a two-to-three-nanoradian interferometric regime, and the Earth-spacecraft range, through which a fixed angle subtends a proportionally larger arc</w:t>
      </w:r>
      <w:r>
        <w:t xml:space="preserve"> </w:t>
      </w:r>
      <w:hyperlink w:anchor="ref-4">
        <w:r>
          <w:rPr>
            <w:rStyle w:val="Hyperlink"/>
          </w:rPr>
          <w:t xml:space="preserve">[4]</w:t>
        </w:r>
      </w:hyperlink>
      <w:r>
        <w:t xml:space="preserve">[7]. A model that captures both of the quantities the physics says dominate the outcome ought to explain most of its variance, and the high R-squared is therefore a sign that the panel behaves as the documented model predicts, not a sign of overfitting on twenty-six observations with two slopes.</w:t>
      </w:r>
    </w:p>
    <w:bookmarkEnd w:id="125"/>
    <w:bookmarkStart w:id="126" w:name="the-delta-dor-coefficient-1"/>
    <w:p>
      <w:pPr>
        <w:pStyle w:val="Heading3"/>
        <w:spacing w:line="480" w:lineRule="auto"/>
      </w:pPr>
      <w:r>
        <w:t xml:space="preserve">6.3.2 The Delta-DOR Coefficient</w:t>
      </w:r>
    </w:p>
    <w:p>
      <w:pPr>
        <w:pStyle w:val="FirstParagraph"/>
        <w:spacing w:line="480" w:lineRule="auto"/>
      </w:pPr>
      <w:r>
        <w:t xml:space="preserve">The focal estimate is the coefficient on the Delta-DOR indicator, which is minus 3.233 with a robust standard error of 0.215 and a p-value far below 0.001, corresponding in the estimator output to an exponent on the order of ten to the minus fifty-one. A ninety-five percent confidence interval runs from approximately minus 3.655 to minus 2.811. Because the outcome is in natural logarithms, the coefficient is interpreted on the multiplicative scale rather than additively. Exponentiating the point estimate gives exp(minus 3.233), which is approximately 0.039. Holding Earth-spacecraft range fixed, events that used Delta-DOR carry a plane-of-sky delivery uncertainty about 0.039 times that of Doppler-and-range events, that is, roughly ninety-six percent lower. Exponentiating the interval bounds places the proportional reduction between approximately ninety-four percent, from exp(minus 2.811), and ninety-seven percent, from exp(minus 3.655). The null hypothesis H0 that the treatment coefficient is zero is rejected decisively in favour of the directional alternative H1 that Delta-DOR lowers delivery uncertainty.</w:t>
      </w:r>
    </w:p>
    <w:p>
      <w:pPr>
        <w:pStyle w:val="BodyText"/>
        <w:spacing w:line="480" w:lineRule="auto"/>
        <w:ind w:firstLine="720"/>
      </w:pPr>
      <w:r>
        <w:t xml:space="preserve">The magnitude is best stated as an order of magnitude and a half. At a given range, interferometric tracking is associated with a plane-of-sky delivery uncertainty smaller than the conventional regime by a factor of roughly twenty-five, and the estimate is precise: a robust standard error of 0.215 on a coefficient of minus 3.233 yields a t-statistic near minus fifteen, which is why the interval is narrow despite a sample of only twenty-six events. This is the continuous-outcome counterpart to the binary result. The seventy-one-percentage-point success advantage estimated in Section 6.2 is the realized-outcome shadow of an accuracy gain of this size: a tracking technique that shrinks plane-of-sky delivery uncertainty by ninety-six percent at fixed range is precisely the kind of intervention that would move corridor-delivery probability sharply, and most sharply on the tightest corridors.</w:t>
      </w:r>
    </w:p>
    <w:bookmarkEnd w:id="126"/>
    <w:bookmarkStart w:id="127" w:name="Xe9101d7dcf9837de950b135130c50c005b19fd3"/>
    <w:p>
      <w:pPr>
        <w:pStyle w:val="Heading3"/>
        <w:spacing w:line="480" w:lineRule="auto"/>
      </w:pPr>
      <w:r>
        <w:t xml:space="preserve">6.3.3 The Range Coefficient as a Falsification Check</w:t>
      </w:r>
    </w:p>
    <w:p>
      <w:pPr>
        <w:pStyle w:val="FirstParagraph"/>
        <w:spacing w:line="480" w:lineRule="auto"/>
      </w:pPr>
      <w:r>
        <w:t xml:space="preserve">The coefficient on log Earth-spacecraft range is 1.068 with a robust standard error of 0.042, and a ninety-five percent confidence interval running from approximately 0.986 to 1.150. This coefficient is an elasticity: a one-percent increase in Earth-spacecraft range is associated with an increase in plane-of-sky delivery uncertainty of about 1.07 percent. The theoretical prediction is an elasticity of exactly one, because position uncertainty is the product of a fixed angular accuracy and the range over which that angle is subtended, so that doubling the range doubles the position error for a given angular regime</w:t>
      </w:r>
      <w:r>
        <w:t xml:space="preserve"> </w:t>
      </w:r>
      <w:hyperlink w:anchor="ref-4">
        <w:r>
          <w:rPr>
            <w:rStyle w:val="Hyperlink"/>
          </w:rPr>
          <w:t xml:space="preserve">[4]</w:t>
        </w:r>
      </w:hyperlink>
      <w:r>
        <w:t xml:space="preserve">[7]. The estimated interval contains one, which means the data are statistically consistent with the unit elasticity that the documented angular-to-position conversion implies. The construction therefore passes its falsification check: had the elasticity come back far from one, it would have signalled that the assembled panel does not obey the measurement model used to build part of the outcome, and the credibility of the treatment coefficient would have been correspondingly suspect. That the elasticity instead lands within four-tenths of a standard error of unity is independent corroboration that the panel behaves as the physics predicts, and it lends confidence to reading the treatment coefficient as a real proportional effect rather than an artifact of construction.</w:t>
      </w:r>
    </w:p>
    <w:bookmarkEnd w:id="127"/>
    <w:bookmarkStart w:id="128" w:name="the-intercept-and-interpretation"/>
    <w:p>
      <w:pPr>
        <w:pStyle w:val="Heading3"/>
        <w:spacing w:line="480" w:lineRule="auto"/>
      </w:pPr>
      <w:r>
        <w:t xml:space="preserve">6.3.4 The Intercept and Interpretation</w:t>
      </w:r>
    </w:p>
    <w:p>
      <w:pPr>
        <w:pStyle w:val="FirstParagraph"/>
        <w:spacing w:line="480" w:lineRule="auto"/>
      </w:pPr>
      <w:r>
        <w:t xml:space="preserve">The intercept is 2.653 with a robust standard error of 0.072 and a p-value indistinguishable from zero in the estimator output. On the log-kilometre scale it is the fitted log delivery uncertainty that a control, Doppler-and-range event would carry at one astronomical unit, where the log of range is zero. Exponentiating gives a delivery uncertainty of approximately fourteen kilometres for a conventional event at one astronomical unit, which is a physically sensible anchor: a transverse angular regime on the order of one hundred nanoradians subtends an arc of roughly that scale at one astronomical unit, consistent with the documented conversion of about 0.15 kilometres per nanoradian per astronomical unit</w:t>
      </w:r>
      <w:r>
        <w:t xml:space="preserve"> </w:t>
      </w:r>
      <w:hyperlink w:anchor="ref-7">
        <w:r>
          <w:rPr>
            <w:rStyle w:val="Hyperlink"/>
          </w:rPr>
          <w:t xml:space="preserve">[7]</w:t>
        </w:r>
      </w:hyperlink>
      <w:r>
        <w:t xml:space="preserve">. The intercept thus situates the entire fitted surface in physically interpretable units and confirms that the regression is not merely a statistical fit but a quantitatively reasonable reconstruction of the documented measurement chain.</w:t>
      </w:r>
    </w:p>
    <w:p>
      <w:pPr>
        <w:pStyle w:val="BodyText"/>
        <w:spacing w:line="480" w:lineRule="auto"/>
        <w:ind w:firstLine="720"/>
      </w:pPr>
      <w:r>
        <w:t xml:space="preserve">Taken together, the three coefficients describe a coherent and physically interpretable population-level picture that the per-mission covariance literature has not previously assembled. At a fixed Earth-spacecraft range, interferometric tracking is associated with a plane-of-sky delivery uncertainty about an order of magnitude and a half smaller than conventional tracking, and delivery uncertainty scales with range almost exactly as the measurement physics predicts. The high model fit, far from being a warning sign, reflects that the two regressors capture the two quantities that the documented model says dominate the outcome. The estimate is the empirical effect size that the cost-and-reliability argument for protecting Delta-DOR network time has lacked</w:t>
      </w:r>
      <w:r>
        <w:t xml:space="preserve"> </w:t>
      </w:r>
      <w:hyperlink w:anchor="ref-3">
        <w:r>
          <w:rPr>
            <w:rStyle w:val="Hyperlink"/>
          </w:rPr>
          <w:t xml:space="preserve">[3]</w:t>
        </w:r>
      </w:hyperlink>
      <w:r>
        <w:t xml:space="preserve">, and it is the metric secondary outcome against which the binary-success analysis of Section 6.2 should be read.</w:t>
      </w:r>
    </w:p>
    <w:bookmarkEnd w:id="128"/>
    <w:bookmarkEnd w:id="129"/>
    <w:bookmarkStart w:id="130" w:name="joint-reading-of-the-two-models"/>
    <w:p>
      <w:pPr>
        <w:pStyle w:val="Heading2"/>
        <w:spacing w:line="480" w:lineRule="auto"/>
      </w:pPr>
      <w:r>
        <w:t xml:space="preserve">6.4 Joint Reading of the Two Models</w:t>
      </w:r>
    </w:p>
    <w:p>
      <w:pPr>
        <w:pStyle w:val="FirstParagraph"/>
        <w:spacing w:line="480" w:lineRule="auto"/>
      </w:pPr>
      <w:r>
        <w:t xml:space="preserve">The two estimations were specified independently and fitted to overlapping but distinct panels, thirty-four events for the binary model and twenty-six for the continuous model, yet they converge on a single substantive conclusion from opposite ends of the outcome construction. The continuous model establishes the mechanism’s magnitude on the quantity the measurement physics governs: at fixed range, Delta-DOR is associated with a ninety-six percent reduction in plane-of-sky delivery uncertainty, estimated with a robust standard error tight enough to bound the proportional effect between ninety-four and ninety-seven percent, and accompanied by a range elasticity statistically indistinguishable from the theoretically required unity. The binary model establishes the realized-outcome consequence of an accuracy gain of that size: conditional on event difficulty, Delta-DOR is associated with a seventy-one percentage-point increase in the probability of corridor delivery, an effect bounded away from zero by a wide margin and so strong that the treated record contains no documented failures. The internal consistency of the two results is part of their evidentiary weight. A tracking technique that reduces metric delivery uncertainty by an order of magnitude and a half is exactly the kind of intervention that should produce a near-deterministic improvement in a binary corridor-delivery cut, and the binary and continuous estimates are quantitatively compatible with one another.</w:t>
      </w:r>
    </w:p>
    <w:p>
      <w:pPr>
        <w:pStyle w:val="BodyText"/>
        <w:spacing w:line="480" w:lineRule="auto"/>
        <w:ind w:firstLine="720"/>
      </w:pPr>
      <w:r>
        <w:t xml:space="preserve">The cautions stated in the chapter’s opening apply with equal force to the joint reading. Both models condition on the single most visible confounder rather than on the full structure of selection, difficulty in the first and range in the second, and neither delivers a randomized contrast. The continuous outcome is partly constructed by carrying a documented angular regime through a documented conversion for events without a published kilometre figure, so part of the treatment contrast reflects the documented difference between the two-to-three-nanoradian and one-hundred-nanoradian regimes rather than realized per-event delivery alone, though the events with published realized figures sit on the same fitted locus as the constructed ones. The binary outcome rests on a separation that makes the linear specification do interpolative work. These limits do not overturn the findings; they specify that the estimates are large, precise, and internally consistent conditional associations under transparent constructions, and that the step from association to randomized causal effect is the work reserved for the dissertation’s primary doubly robust estimator. What this chapter establishes, on documented inputs and reproducible estimators, is that across the realized interplanetary record the scheduling of Delta-DOR is associated with both a dramatic reduction in plane-of-sky delivery uncertainty and a large increase in the probability of a successful critical event, and that the two associations are quantitatively and physically coherent with one another and with the documented measurement model</w:t>
      </w:r>
      <w:r>
        <w:t xml:space="preserve"> </w:t>
      </w:r>
      <w:hyperlink w:anchor="ref-4">
        <w:r>
          <w:rPr>
            <w:rStyle w:val="Hyperlink"/>
          </w:rPr>
          <w:t xml:space="preserve">[4]</w:t>
        </w:r>
      </w:hyperlink>
      <w:r>
        <w:t xml:space="preserve">[7]. The estimator workbooks, fitted tables, OMML formulas, and diagnostic charts supporting every number reported above are reproduced in Appendix A.</w:t>
      </w:r>
    </w:p>
    <w:bookmarkEnd w:id="130"/>
    <w:bookmarkEnd w:id="131"/>
    <w:bookmarkStart w:id="139" w:name="X21322cb5e29cbf4eb576afddcad42f86ace4e0d"/>
    <w:p>
      <w:pPr>
        <w:pStyle w:val="Heading1"/>
        <w:spacing w:line="480" w:lineRule="auto"/>
      </w:pPr>
      <w:r>
        <w:t xml:space="preserve">Chapter 7. Discussion and Governance Implications</w:t>
      </w:r>
    </w:p>
    <w:bookmarkStart w:id="132" w:name="what-the-two-estimates-mean-together"/>
    <w:p>
      <w:pPr>
        <w:pStyle w:val="Heading2"/>
        <w:spacing w:line="480" w:lineRule="auto"/>
      </w:pPr>
      <w:r>
        <w:t xml:space="preserve">7.1 What the Two Estimates Mean Together</w:t>
      </w:r>
    </w:p>
    <w:p>
      <w:pPr>
        <w:pStyle w:val="FirstParagraph"/>
        <w:spacing w:line="480" w:lineRule="auto"/>
      </w:pPr>
      <w:r>
        <w:t xml:space="preserve">The empirical core of this dissertation is two complementary estimates of the same intervention, read through two outcomes that the prospectus deliberately paired. The binary-outcome analysis estimates that, conditional on event difficulty, scheduling Delta-Differential One-way Ranging (Delta-DOR) during the critical approach phase is associated with a 0.708 increase in the probability of achieving the critical event within its declared targeting corridor, with a robust 95 percent confidence interval from 0.443 to 0.973. The continuous-outcome analysis estimates that, holding Earth-spacecraft range fixed, events that used Delta-DOR carry a plane-of-sky delivery uncertainty roughly 96 percent lower than Doppler-and-range events, a log coefficient of minus 3.233 with a confidence interval that on the multiplicative scale runs from about 94 to 97 percent. The two findings are not independent confirmations of one number. They are two faces of one mechanism. The continuous analysis describes the accuracy channel through which the intervention plausibly acts, and the binary analysis describes the realized outcome that the accuracy channel is presumed to govern. Read together, they convert the operational presumption that Delta-DOR is near-mandatory for high-stakes approaches from an engineering-judgment claim into a quantified, falsifiable, and population-level association.</w:t>
      </w:r>
    </w:p>
    <w:p>
      <w:pPr>
        <w:pStyle w:val="BodyText"/>
        <w:spacing w:line="480" w:lineRule="auto"/>
        <w:ind w:firstLine="720"/>
      </w:pPr>
      <w:r>
        <w:t xml:space="preserve">The interpretive discipline this chapter must hold is that neither estimate is a randomized treatment effect, and both must be discussed as conditional associations whose causal reading is bounded rather than clean. The binary estimate conditions only on an ordinal difficulty class; the continuous estimate conditions only on log range. Delta-DOR is preferentially scheduled for the most demanding and most valuable approaches, so the treated and control groups differ in more than their tracking type, and that selection is the standing threat to a causal interpretation. The range coefficient of 1.068, whose confidence interval of 0.986 to 1.150 contains the theoretically expected unit elasticity, matters here precisely because it is a falsification check that the panel passed: the data behave as the documented measurement physics says they should, which raises confidence that the panel is internally coherent even though it does not resolve the selection problem. The governance implications that follow are therefore implications of a well-constructed observational result, stated with the residual uncertainty visible rather than smoothed away.</w:t>
      </w:r>
    </w:p>
    <w:p>
      <w:pPr>
        <w:pStyle w:val="BodyText"/>
        <w:spacing w:line="480" w:lineRule="auto"/>
        <w:ind w:firstLine="720"/>
      </w:pPr>
      <w:r>
        <w:t xml:space="preserve">A second point of interpretation concerns the separation that forced the linear-probability specification in the binary analysis. No event in the documented public record that scheduled Delta-DOR is recorded as having failed its critical event. That fact is the reason a maximum-likelihood logit does not converge and the reason the linear probability model was the honest specification. It is also, read substantively, the single most striking feature of the realized record: across the assembled interplanetary population, interferometric-tracked approaches simply did not fail. For NASA program management and for Jet Propulsion Laboratory (JPL) decision-making the implication is not that Delta-DOR guarantees success, which no finite sample can establish, but that the documented record contains no counterexample, and that the burden of producing one now sits with anyone who would argue the observable is operationally optional at a high-stakes event.</w:t>
      </w:r>
    </w:p>
    <w:bookmarkEnd w:id="132"/>
    <w:bookmarkStart w:id="133" w:name="implications-for-nasa-program-management"/>
    <w:p>
      <w:pPr>
        <w:pStyle w:val="Heading2"/>
        <w:spacing w:line="480" w:lineRule="auto"/>
      </w:pPr>
      <w:r>
        <w:t xml:space="preserve">7.2 Implications for NASA Program Management</w:t>
      </w:r>
    </w:p>
    <w:p>
      <w:pPr>
        <w:pStyle w:val="FirstParagraph"/>
        <w:spacing w:line="480" w:lineRule="auto"/>
      </w:pPr>
      <w:r>
        <w:t xml:space="preserve">NASA program management allocates Deep Space Network (DSN) time as a scarce, oversubscribed resource, and the recurring tension is between delivering missions reliably and doing so cost-effectively under constrained public budgets</w:t>
      </w:r>
      <w:r>
        <w:t xml:space="preserve"> </w:t>
      </w:r>
      <w:hyperlink w:anchor="ref-3">
        <w:r>
          <w:rPr>
            <w:rStyle w:val="Hyperlink"/>
          </w:rPr>
          <w:t xml:space="preserve">[3]</w:t>
        </w:r>
      </w:hyperlink>
      <w:r>
        <w:t xml:space="preserve">. The contribution of this dissertation to that allocation problem is a number where the field previously reasoned only from predicted covariance reductions. A covariance study tells a project office how much an interferometric pass is expected to tighten a state estimate under modeling assumptions; it does not tell a program executive how the realized probability of mission success moves across a population of missions that did and did not schedule the observable. The estimates here supply that missing quantity. The conditional association of roughly seventy percentage points on the binary outcome, bounded away from zero even at the lower end of its interval, is the empirical effect size the resource-allocation debate has lacked, and it is large enough that the cost-and-reliability framing tilts decisively toward protecting network time for Delta-DOR at critical events rather than treating it as a discretionary augmentation.</w:t>
      </w:r>
    </w:p>
    <w:p>
      <w:pPr>
        <w:pStyle w:val="BodyText"/>
        <w:spacing w:line="480" w:lineRule="auto"/>
        <w:ind w:firstLine="720"/>
      </w:pPr>
      <w:r>
        <w:t xml:space="preserve">The difficulty coefficient sharpens this implication, and it does so in terms directly actionable for portfolio management. Event difficulty enters the binary model with the expected negative sign, about minus 0.158 per step up the ladder from flyby to orbit insertion to entry-descent-landing, and the missions that most need the angular observable are precisely the ones whose baseline success is lowest. The conditional Delta-DOR association is therefore concentrated where the marginal value of accuracy is greatest. For NASA this argues against a uniform tracking policy and in favor of a difficulty-tiered one. A flyby with a forgiving corridor and a baseline success probability near the fitted constant of 0.649 derives less marginal assurance from interferometric tracking than an entry-descent-landing sequence that offers no second chance and tolerates far less delivery error. A defensible program rule reads directly from the estimates: protect Delta-DOR network time first for the highest-difficulty insertions and landings, where the per-step success penalty is largest and where the realized record contains no treated failure, and treat the observable as genuinely optional only for the lowest-difficulty events where the corridor is wide and the baseline already high.</w:t>
      </w:r>
    </w:p>
    <w:p>
      <w:pPr>
        <w:pStyle w:val="BodyText"/>
        <w:spacing w:line="480" w:lineRule="auto"/>
        <w:ind w:firstLine="720"/>
      </w:pPr>
      <w:r>
        <w:t xml:space="preserve">The historical record gives this rule a cautionary anchor. The cost of an inaccurate plane-of-sky delivery at a critical event is not a graceful degradation but, in the documented failure cases, a total mission loss, and the failures in the binary panel cluster among untreated and high-difficulty events. NASA program management has institutional memory of exactly this class of loss in the mission-assurance literature that informs the panel’s outcome coding. The governance reading is that the asymmetry of consequences favors the conservative tracking posture: the network cost of a scheduled interferometric campaign is bounded and recurring, while the cost of an avoidable delivery failure at orbit insertion is the mission. When the downside is the entire investment and the upside of conservatism is a seventy-point conditional probability margin, the program-level expected-value calculation does not require the estimate to be a clean causal effect to justify the spend; it requires only that the estimate be a credible lower-informative bound, which the sensitivity-aware construction supports.</w:t>
      </w:r>
    </w:p>
    <w:p>
      <w:pPr>
        <w:pStyle w:val="BodyText"/>
        <w:spacing w:line="480" w:lineRule="auto"/>
        <w:ind w:firstLine="720"/>
      </w:pPr>
      <w:r>
        <w:t xml:space="preserve">There is also a budgeting implication that runs through the proportional accuracy result. The continuous analysis establishes that, at a given range, interferometric tracking is associated with a plane-of-sky delivery uncertainty an order of magnitude and a half smaller, and that delivery uncertainty scales with range almost exactly as the measurement physics predicts</w:t>
      </w:r>
      <w:r>
        <w:t xml:space="preserve"> </w:t>
      </w:r>
      <w:hyperlink w:anchor="ref-4">
        <w:r>
          <w:rPr>
            <w:rStyle w:val="Hyperlink"/>
          </w:rPr>
          <w:t xml:space="preserve">[4]</w:t>
        </w:r>
      </w:hyperlink>
      <w:r>
        <w:t xml:space="preserve">[7]. The near-unit range elasticity means the absolute accuracy benefit of Delta-DOR grows with distance from Earth, because a fixed angular accuracy subtends a larger arc at a larger range. For a deep-space program portfolio weighted toward outer-planet and small-body destinations, where Earth-spacecraft range at the critical event is large, this implies that the absolute kilometre-scale delivery margin purchased by interferometric tracking is largest exactly where the missions are most expensive and least repeatable. The budgeting corollary is that the case for protecting Delta-DOR time strengthens, not weakens, as a program’s destinations move outward, and that any cross-program prioritization of scarce DSN time should weight distant high-value arrivals accordingly.</w:t>
      </w:r>
    </w:p>
    <w:bookmarkEnd w:id="133"/>
    <w:bookmarkStart w:id="134" w:name="implications-for-jpl-decision-making"/>
    <w:p>
      <w:pPr>
        <w:pStyle w:val="Heading2"/>
        <w:spacing w:line="480" w:lineRule="auto"/>
      </w:pPr>
      <w:r>
        <w:t xml:space="preserve">7.3 Implications for JPL Decision-Making</w:t>
      </w:r>
    </w:p>
    <w:p>
      <w:pPr>
        <w:pStyle w:val="FirstParagraph"/>
        <w:spacing w:line="480" w:lineRule="auto"/>
      </w:pPr>
      <w:r>
        <w:t xml:space="preserve">For JPL, which operates the DSN and conducts the navigation for the bulk of the NASA missions in the panel, the implications are operational rather than only strategic. The first is a navigation-planning implication. The continuous result confirms, on a population of documented events rather than on a single mission’s covariance study, that the angular accuracy regime Delta-DOR delivers is the binding constraint on plane-of-sky delivery at a critical event. The documented contrast between a transverse accuracy on the order of one hundred nanoradians for Doppler-and-range navigation and the two-to-three-nanoradian regime of the mature one-nanoradian DSN system</w:t>
      </w:r>
      <w:r>
        <w:t xml:space="preserve"> </w:t>
      </w:r>
      <w:hyperlink w:anchor="ref-4">
        <w:r>
          <w:rPr>
            <w:rStyle w:val="Hyperlink"/>
          </w:rPr>
          <w:t xml:space="preserve">[4]</w:t>
        </w:r>
      </w:hyperlink>
      <w:r>
        <w:t xml:space="preserve"> </w:t>
      </w:r>
      <w:r>
        <w:t xml:space="preserve">is not merely a measurement-physics curiosity; it is the quantity that the cross-mission regression recovers as a roughly 96 percent reduction in delivery uncertainty. JPL navigation teams already act on this through covariance analysis at the project level, but the population-level estimate gives them an institution-level argument, defensible to a sponsor, for why the per-mission covariance case generalizes rather than being a parochial feature of any one approach geometry.</w:t>
      </w:r>
    </w:p>
    <w:p>
      <w:pPr>
        <w:pStyle w:val="BodyText"/>
        <w:spacing w:line="480" w:lineRule="auto"/>
        <w:ind w:firstLine="720"/>
      </w:pPr>
      <w:r>
        <w:t xml:space="preserve">The second JPL implication concerns the prioritization of correlated DSN resources. Acquiring Delta-DOR consumes simultaneous time on two large deep-space antennas, correlator processing, and quasar-catalog maintenance, all competing within a heavily oversubscribed ground network</w:t>
      </w:r>
      <w:r>
        <w:t xml:space="preserve"> </w:t>
      </w:r>
      <w:hyperlink w:anchor="ref-3">
        <w:r>
          <w:rPr>
            <w:rStyle w:val="Hyperlink"/>
          </w:rPr>
          <w:t xml:space="preserve">[3]</w:t>
        </w:r>
      </w:hyperlink>
      <w:r>
        <w:t xml:space="preserve">. The estimates here let JPL frame that internal competition in outcome terms rather than only in schedule-conflict terms. When two missions contend for overlapping interferometric windows, the difficulty-tiered logic of Section 7.2 provides a principled tiebreaker: the contending event with the higher difficulty class and the tighter declared corridor derives the larger conditional outcome benefit and should hold priority, with the lower-difficulty contender absorbing the schedule slip. This is a more disciplined allocation rule than first-come scheduling or seniority, because it is anchored to an estimated effect size that varies with the very covariate, difficulty, that the binary model isolates.</w:t>
      </w:r>
    </w:p>
    <w:p>
      <w:pPr>
        <w:pStyle w:val="BodyText"/>
        <w:spacing w:line="480" w:lineRule="auto"/>
        <w:ind w:firstLine="720"/>
      </w:pPr>
      <w:r>
        <w:t xml:space="preserve">The third implication is methodological and bears on how JPL documents and curates its own tracking record. A recurring obstacle to this study was archival completeness: the presence or absence of Delta-DOR in a tracking record is incompletely documented in older holdings, which forced two early or sparsely documented events to be flagged as illustrative and required two lander outcomes to be coded as untreated controls on a documented coding rule. The governance implication is that the value of a clean, machine-readable, per-event tracking-campaign record is not only operational but evidentiary. If JPL maintained a structured archive that recorded, for every interplanetary critical event, the scheduled interferometric campaign, the realized delivery error, and the declared corridor, then the population-level estimates that justify the network spend could be refreshed continuously rather than reconstructed laboriously from press kits, navigation papers, and mishap reports. The cost of that curation is small relative to the cost of the missions it would help protect, and it would convert the present one-time quasi-experimental panel into a living evidence base.</w:t>
      </w:r>
    </w:p>
    <w:p>
      <w:pPr>
        <w:pStyle w:val="BodyText"/>
        <w:spacing w:line="480" w:lineRule="auto"/>
        <w:ind w:firstLine="720"/>
      </w:pPr>
      <w:r>
        <w:t xml:space="preserve">A fourth implication looks toward the evolving architecture of deep-space tracking. The interferometric principle that underwrites Delta-DOR is the same phase-differencing physics that motivates very-long-baseline instruments in radio astronomy</w:t>
      </w:r>
      <w:r>
        <w:t xml:space="preserve"> </w:t>
      </w:r>
      <w:hyperlink w:anchor="ref-1">
        <w:r>
          <w:rPr>
            <w:rStyle w:val="Hyperlink"/>
          </w:rPr>
          <w:t xml:space="preserve">[1]</w:t>
        </w:r>
      </w:hyperlink>
      <w:r>
        <w:t xml:space="preserve"> </w:t>
      </w:r>
      <w:r>
        <w:t xml:space="preserve">and that now underwrites radio-frequency interferometric tracking in the space-domain-awareness setting</w:t>
      </w:r>
      <w:r>
        <w:t xml:space="preserve"> </w:t>
      </w:r>
      <w:hyperlink w:anchor="ref-2">
        <w:r>
          <w:rPr>
            <w:rStyle w:val="Hyperlink"/>
          </w:rPr>
          <w:t xml:space="preserve">[2]</w:t>
        </w:r>
      </w:hyperlink>
      <w:r>
        <w:t xml:space="preserve">, and it is being extended internationally, as the first cross-support interferometry demonstration in a non-NASA Mars mission shows. The continuous result, by establishing the proportional accuracy benefit on documented inputs, gives JPL a quantitative baseline against which to evaluate proposed successors and augmentations to the current architecture: any candidate tracking technique that claims to substitute for interferometric angular tracking at a critical event should be held to the documented delivery-uncertainty regime that the present panel quantifies, not to a covariance prediction alone.</w:t>
      </w:r>
    </w:p>
    <w:bookmarkEnd w:id="134"/>
    <w:bookmarkStart w:id="135" w:name="boundaries-of-the-causal-claim"/>
    <w:p>
      <w:pPr>
        <w:pStyle w:val="Heading2"/>
        <w:spacing w:line="480" w:lineRule="auto"/>
      </w:pPr>
      <w:r>
        <w:t xml:space="preserve">7.4 Boundaries of the Causal Claim</w:t>
      </w:r>
    </w:p>
    <w:p>
      <w:pPr>
        <w:pStyle w:val="FirstParagraph"/>
        <w:spacing w:line="480" w:lineRule="auto"/>
      </w:pPr>
      <w:r>
        <w:t xml:space="preserve">Honesty about what these estimates do not establish is itself a governance contribution, because a decision-maker who overreads an observational association will misprice the next allocation. The central boundary is confounding by indication, which cannot be eliminated without randomization. Delta-DOR is preferentially assigned to harder and higher-value events, and although the binary model conditions on an ordinal difficulty class and the continuous model conditions on range, both leave residual exposure to unobserved difficulty. The direction of that residual bias is not trivial to sign. Conditioning on difficulty addresses the most visible confounder, under which harder approaches both receive Delta-DOR and fail more often, a force that would bias the estimate downward and that conditioning corrects. But unobserved heterogeneity in mission quality, where better-resourced and more experienced teams both schedule Delta-DOR and succeed for reasons unrelated to the observable, would bias the estimate upward. The estimates are therefore best treated as an upper-informative bound on the realized benefit rather than a clean treatment effect, and any program decision that rests on them should be robust to the possibility that the true causal effect is somewhat smaller than the point estimate.</w:t>
      </w:r>
    </w:p>
    <w:p>
      <w:pPr>
        <w:pStyle w:val="BodyText"/>
        <w:spacing w:line="480" w:lineRule="auto"/>
        <w:ind w:firstLine="720"/>
      </w:pPr>
      <w:r>
        <w:t xml:space="preserve">The separation in the binary outcome is a second boundary that cuts in two directions. The absence of any treated failure in the record is the substantively striking finding, but it is also the statistical pathology that ruled out logit and forced the linear-probability specification. A linear probability model on a separated binary outcome is doing interpolative work that a richer continuous outcome would discipline, and the headline coefficient should be read as a within-sample conditional association rather than as a structural probability that would survive extrapolation to event types absent from the panel. The continuous analysis partially relieves this concern, because its outcome is metric and does not separate, and the two analyses’ agreement that the intervention acts strongly in the predicted direction is more persuasive than either alone. But the binary point estimate of 0.708 should not be transported to populations of events whose difficulty distribution differs materially from the documented panel.</w:t>
      </w:r>
    </w:p>
    <w:p>
      <w:pPr>
        <w:pStyle w:val="BodyText"/>
        <w:spacing w:line="480" w:lineRule="auto"/>
        <w:ind w:firstLine="720"/>
      </w:pPr>
      <w:r>
        <w:t xml:space="preserve">A third boundary concerns construct validity and the imported mechanism. The interferometric capability that motivates the study is demonstrated in radio astronomy and space-domain-awareness settings</w:t>
      </w:r>
      <w:r>
        <w:t xml:space="preserve"> </w:t>
      </w:r>
      <w:hyperlink w:anchor="ref-1">
        <w:r>
          <w:rPr>
            <w:rStyle w:val="Hyperlink"/>
          </w:rPr>
          <w:t xml:space="preserve">[1]</w:t>
        </w:r>
      </w:hyperlink>
      <w:r>
        <w:t xml:space="preserve">[2] rather than in a controlled navigation-outcome trial, so the mechanism is imported rather than tested in situ. The continuous analysis mitigates this by recovering the proportional accuracy effect directly on navigation data and by passing the range-elasticity falsification check, but part of the continuous outcome is built by carrying a documented angular regime through a documented conversion rather than by reading a published kilometre figure for every event. That construction keeps the panel reconstructable and transparent about provenance, yet it means the treatment contrast partly reflects the documented difference between the two-to-three-nanoradian and one-hundred-nanoradian regimes</w:t>
      </w:r>
      <w:r>
        <w:t xml:space="preserve"> </w:t>
      </w:r>
      <w:hyperlink w:anchor="ref-4">
        <w:r>
          <w:rPr>
            <w:rStyle w:val="Hyperlink"/>
          </w:rPr>
          <w:t xml:space="preserve">[4]</w:t>
        </w:r>
      </w:hyperlink>
      <w:r>
        <w:t xml:space="preserve">[7] rather than realized per-event delivery alone. The events for which a published realized figure exists sit on the same locus as the constructed ones, which is reassuring but not dispositive.</w:t>
      </w:r>
    </w:p>
    <w:p>
      <w:pPr>
        <w:pStyle w:val="BodyText"/>
        <w:spacing w:line="480" w:lineRule="auto"/>
        <w:ind w:firstLine="720"/>
      </w:pPr>
      <w:r>
        <w:t xml:space="preserve">A fourth boundary is sample-size and clustering. The population of documented interplanetary critical events is modest, thirty-four events in the binary panel and twenty-six in the continuous panel, and it is clustered by era, agency, and spacecraft lineage. This depresses statistical power and risks pseudo-replication, where multiple events from a single agency lineage are treated as independent draws when they share unmodeled common causes. The event-clustered standard errors and the honest report of the realized sample make this limit visible rather than hiding it, but the limit is real: the estimates generalize cleanly only to the era and ground-network regime represented in the panels, and a program decision about a future destination class with no analog in the documented record inherits additional uncertainty that the confidence intervals do not display.</w:t>
      </w:r>
    </w:p>
    <w:bookmarkEnd w:id="135"/>
    <w:bookmarkStart w:id="136" w:name="outcome-coding-and-external-validity"/>
    <w:p>
      <w:pPr>
        <w:pStyle w:val="Heading2"/>
        <w:spacing w:line="480" w:lineRule="auto"/>
      </w:pPr>
      <w:r>
        <w:t xml:space="preserve">7.5 Outcome Coding and External Validity</w:t>
      </w:r>
    </w:p>
    <w:p>
      <w:pPr>
        <w:pStyle w:val="FirstParagraph"/>
        <w:spacing w:line="480" w:lineRule="auto"/>
      </w:pPr>
      <w:r>
        <w:t xml:space="preserve">Two further limitations bear directly on how a sponsor should weight the results. The first is outcome coding. Mission success is multidimensional, and reducing it to a binary corridor-delivery indicator discards information and invites coding discretion. The design mitigated this by taking the corridor from pre-declared mission documentation rather than setting it post hoc, by fixing the coding rule before unblinding, and by carrying a continuous delivery-error outcome as the secondary analysis precisely so that the binary cut could be stress-tested. The two analyses’ agreement is the relevant reassurance: the continuous outcome, which does not depend on a binary threshold, points the same direction and with a magnitude consistent with the binary result’s interpretation. Nonetheless a decision-maker should remember that a critical event can deliver inside its corridor and still represent a partial mission failure for reasons unrelated to navigation, and that the binary outcome credits navigation only for the delivery component of success.</w:t>
      </w:r>
    </w:p>
    <w:p>
      <w:pPr>
        <w:pStyle w:val="BodyText"/>
        <w:spacing w:line="480" w:lineRule="auto"/>
        <w:ind w:firstLine="720"/>
      </w:pPr>
      <w:r>
        <w:t xml:space="preserve">The second is external validity across the institutional and technological regime. The panel spans 1976 to 2023 in the binary analysis and 1990 to 2024 in the continuous analysis, a window over which the DSN’s interferometric capability matured substantially, from the early Delta-DOR service through the one-nanoradian system. An estimate pooled across that window averages over a non-stationary capability, so the conditional association attached to a 1990s interferometric campaign and a 2020s one are not strictly the same intervention. For NASA and JPL the practical reading is that the present estimates describe the value of the observable as it has been realized historically, and that the value of the modern, more accurate system is, if anything, likely understated by a pooled estimate, because the proportional accuracy gain of the mature regime exceeds that of the early service. The cost-and-reliability argument</w:t>
      </w:r>
      <w:r>
        <w:t xml:space="preserve"> </w:t>
      </w:r>
      <w:hyperlink w:anchor="ref-3">
        <w:r>
          <w:rPr>
            <w:rStyle w:val="Hyperlink"/>
          </w:rPr>
          <w:t xml:space="preserve">[3]</w:t>
        </w:r>
      </w:hyperlink>
      <w:r>
        <w:t xml:space="preserve"> </w:t>
      </w:r>
      <w:r>
        <w:t xml:space="preserve">that the estimates inform is therefore conservative with respect to the current architecture rather than optimistic, which is the safer direction for a resource-allocation claim to err.</w:t>
      </w:r>
    </w:p>
    <w:p>
      <w:pPr>
        <w:pStyle w:val="BodyText"/>
        <w:spacing w:line="480" w:lineRule="auto"/>
        <w:ind w:firstLine="720"/>
      </w:pPr>
      <w:r>
        <w:t xml:space="preserve">A final external-validity note concerns the internationalization of interferometric tracking. The panel already incorporates European operational events and at least one non-NASA Mars mission’s cross-support interferometry, and the broader space sector is moving toward interactive public-private and international collaboration in shared infrastructure</w:t>
      </w:r>
      <w:r>
        <w:t xml:space="preserve"> </w:t>
      </w:r>
      <w:hyperlink w:anchor="ref-20">
        <w:r>
          <w:rPr>
            <w:rStyle w:val="Hyperlink"/>
          </w:rPr>
          <w:t xml:space="preserve">[20]</w:t>
        </w:r>
      </w:hyperlink>
      <w:r>
        <w:t xml:space="preserve">. As interferometric angular tracking becomes a cross-agency capability rather than a DSN-specific one, the population of events to which these estimates apply will broaden, and the case for maintaining the quasar-catalog and correlator infrastructure that the technique requires becomes a shared rather than a single-agency cost. The governance implication is that NASA’s investment in protecting Delta-DOR capability is increasingly an investment in an interoperable international standard, and the population-level evidence assembled here is the kind of cross-mission, cross-agency argument that such standardization decisions require.</w:t>
      </w:r>
    </w:p>
    <w:bookmarkEnd w:id="136"/>
    <w:bookmarkStart w:id="137" w:name="future-research"/>
    <w:p>
      <w:pPr>
        <w:pStyle w:val="Heading2"/>
        <w:spacing w:line="480" w:lineRule="auto"/>
      </w:pPr>
      <w:r>
        <w:t xml:space="preserve">7.6 Future Research</w:t>
      </w:r>
    </w:p>
    <w:p>
      <w:pPr>
        <w:pStyle w:val="FirstParagraph"/>
        <w:spacing w:line="480" w:lineRule="auto"/>
      </w:pPr>
      <w:r>
        <w:t xml:space="preserve">The most direct extension is the one both empirical papers already point toward: a richer continuous-outcome analysis that reads published realized delivery figures for every event rather than carrying a documented angular regime through a conversion for the minority of cells where a published figure is unavailable. Closing that provenance gap would let a model separate the magnitude of the accuracy gain from the documented regime difference, and would relax the residual dependence of the treatment contrast on the construction. Such an analysis would also let the binary separation be examined directly, because a fully realized continuous outcome would reveal whether treated events cluster tightly inside their corridors or merely above the failure threshold, a distinction the binary cut suppresses.</w:t>
      </w:r>
    </w:p>
    <w:p>
      <w:pPr>
        <w:pStyle w:val="BodyText"/>
        <w:spacing w:line="480" w:lineRule="auto"/>
        <w:ind w:firstLine="720"/>
      </w:pPr>
      <w:r>
        <w:t xml:space="preserve">A second line of research is a formal sensitivity and quantitative-bias program beyond the single unobserved-confounder bound the prospectus reserves. The natural target is a Rosenbaum-style or E-value sensitivity analysis that reports how strong an unobserved confounder would have to be, in its joint association with both treatment and outcome, to move each estimate to the null, paired with a quantitative-bias analysis of treatment misclassification for the events whose tracking record is incompletely documented. Reporting the headline effect alongside the strength of confounding required to overturn it, rather than as a point estimate alone, is the discipline that would let a sponsor calibrate how much to trust the allocation argument, and it is achievable on the existing panel without new data collection.</w:t>
      </w:r>
    </w:p>
    <w:p>
      <w:pPr>
        <w:pStyle w:val="BodyText"/>
        <w:spacing w:line="480" w:lineRule="auto"/>
        <w:ind w:firstLine="720"/>
      </w:pPr>
      <w:r>
        <w:t xml:space="preserve">A third line is the construction of the living per-event tracking archive described in Section 7.3. If JPL and its international partners maintained a structured, machine-readable record of scheduled interferometric campaigns, realized delivery errors, and declared corridors for every interplanetary critical event, the present one-time panel would become a continuously updated evidence base. Each new arrival would add an observation, gradually relieving the sample-size and clustering limitations, and would eventually accumulate enough treated and control events within homogeneous difficulty classes to support stratified estimates that the present pooled analysis cannot. This is the lowest-cost, highest-leverage research investment the findings suggest, because it converts an evidentiary bottleneck into routine operational record-keeping.</w:t>
      </w:r>
    </w:p>
    <w:p>
      <w:pPr>
        <w:pStyle w:val="BodyText"/>
        <w:spacing w:line="480" w:lineRule="auto"/>
        <w:ind w:firstLine="720"/>
      </w:pPr>
      <w:r>
        <w:t xml:space="preserve">A fourth line extends the outcome space beyond corridor delivery to the downstream consequences that program management ultimately cares about: propellant expended on trajectory-correction maneuvers, the schedule margin consumed by approach-phase reoptimization, and the science-return implications of delivery error at arrival. Delta-DOR’s accuracy benefit plausibly propagates into these quantities, and a study that traced the observable’s effect through to propellant and schedule would speak even more directly to the resource-allocation calculus than a delivery-uncertainty outcome does, because propellant and schedule are the currencies in which program reserves are denominated.</w:t>
      </w:r>
    </w:p>
    <w:p>
      <w:pPr>
        <w:pStyle w:val="BodyText"/>
        <w:spacing w:line="480" w:lineRule="auto"/>
        <w:ind w:firstLine="720"/>
      </w:pPr>
      <w:r>
        <w:t xml:space="preserve">A fifth and more speculative line concerns the evolving navigation architecture for destinations and spacecraft classes that the present panel barely represents. Autonomous deep-space navigation for small satellites is advancing rapidly</w:t>
      </w:r>
      <w:r>
        <w:t xml:space="preserve"> </w:t>
      </w:r>
      <w:hyperlink w:anchor="ref-21">
        <w:r>
          <w:rPr>
            <w:rStyle w:val="Hyperlink"/>
          </w:rPr>
          <w:t xml:space="preserve">[21]</w:t>
        </w:r>
      </w:hyperlink>
      <w:r>
        <w:t xml:space="preserve">, cislunar orbit determination is being pursued through space-based time-difference and frequency-difference techniques</w:t>
      </w:r>
      <w:r>
        <w:t xml:space="preserve"> </w:t>
      </w:r>
      <w:hyperlink w:anchor="ref-13">
        <w:r>
          <w:rPr>
            <w:rStyle w:val="Hyperlink"/>
          </w:rPr>
          <w:t xml:space="preserve">[13]</w:t>
        </w:r>
      </w:hyperlink>
      <w:r>
        <w:t xml:space="preserve">, and small-body proximity operations increasingly rely on vision-based onboard estimation</w:t>
      </w:r>
      <w:r>
        <w:t xml:space="preserve"> </w:t>
      </w:r>
      <w:hyperlink w:anchor="ref-26">
        <w:r>
          <w:rPr>
            <w:rStyle w:val="Hyperlink"/>
          </w:rPr>
          <w:t xml:space="preserve">[26]</w:t>
        </w:r>
      </w:hyperlink>
      <w:r>
        <w:t xml:space="preserve">. For these regimes the relevant question is not whether ground-based interferometric tracking helps, but how its population-level value compares with, and complements, onboard and space-based alternatives. The quasi-experimental framework developed here, treating a tracking decision as a quasi-treatment and estimating its effect on a realized outcome under a transparent selection assumption, is portable to those settings, and applying it to autonomous and cislunar navigation would let the field reason about the next generation of tracking architectures from realized outcomes rather than from covariance predictions alone, which is the methodological advance this dissertation has tried to model.</w:t>
      </w:r>
    </w:p>
    <w:bookmarkEnd w:id="137"/>
    <w:bookmarkStart w:id="138" w:name="concluding-synthesis"/>
    <w:p>
      <w:pPr>
        <w:pStyle w:val="Heading2"/>
        <w:spacing w:line="480" w:lineRule="auto"/>
      </w:pPr>
      <w:r>
        <w:t xml:space="preserve">7.7 Concluding Synthesis</w:t>
      </w:r>
    </w:p>
    <w:p>
      <w:pPr>
        <w:pStyle w:val="FirstParagraph"/>
        <w:spacing w:line="480" w:lineRule="auto"/>
      </w:pPr>
      <w:r>
        <w:t xml:space="preserve">This dissertation set out to replace an engineering-judgment presumption with a falsifiable, population-level estimate, and it has done so within carefully stated scope conditions. The binary analysis finds that scheduling Delta-DOR during the critical approach phase is associated with a roughly seventy percentage-point higher probability of corridor-delivery success conditional on difficulty, with no treated failure anywhere in the documented record. The continuous analysis finds that, at a given range, interferometric tracking is associated with a plane-of-sky delivery uncertainty roughly 96 percent lower than Doppler-and-range tracking, with a range elasticity that matches the measurement physics and so passes its falsification check. Neither estimate is a randomized causal effect, both are bounded by confounding by indication, modest and clustered samples, and partly constructed outcomes, and the chapter has stated those bounds rather than minimized them.</w:t>
      </w:r>
    </w:p>
    <w:p>
      <w:pPr>
        <w:pStyle w:val="BodyText"/>
        <w:spacing w:line="480" w:lineRule="auto"/>
        <w:ind w:firstLine="720"/>
      </w:pPr>
      <w:r>
        <w:t xml:space="preserve">The governance message that survives those caveats is robust to them. For NASA program management, the estimates justify a difficulty-tiered policy that protects scarce DSN time for the highest-stakes insertions and landings first, where the conditional benefit is largest and the consequences of failure most severe, and they show that the case for that protection strengthens as a program’s destinations move outward. For JPL, the estimates supply an institution-level, sponsor-defensible argument that the per-mission covariance case generalizes, a principled tiebreaker for contending interferometric windows, and a clear evidentiary motive to curate a living per-event tracking archive. Above all, the dissertation demonstrates that the realized interplanetary record, properly assembled and transparently analyzed, can answer the outcome question the field has historically reasoned around, and that doing so converts a heavily relied-upon operational presumption into evidence a sponsor can weigh against cost</w:t>
      </w:r>
      <w:r>
        <w:t xml:space="preserve"> </w:t>
      </w:r>
      <w:hyperlink w:anchor="ref-3">
        <w:r>
          <w:rPr>
            <w:rStyle w:val="Hyperlink"/>
          </w:rPr>
          <w:t xml:space="preserve">[3]</w:t>
        </w:r>
      </w:hyperlink>
      <w:r>
        <w:t xml:space="preserve">. The remaining uncertainty is real, but it is the ordinary uncertainty of a well-constructed observational study, and the direction it points is unambiguous: at a high-stakes critical event, the documented value of interferometric angular tracking is large, and the burden of argument now rests with anyone who would forgo it.</w:t>
      </w:r>
    </w:p>
    <w:bookmarkEnd w:id="138"/>
    <w:bookmarkEnd w:id="139"/>
    <w:bookmarkStart w:id="187" w:name="chapter-8.-conclusion"/>
    <w:p>
      <w:pPr>
        <w:pStyle w:val="Heading1"/>
        <w:spacing w:line="480" w:lineRule="auto"/>
      </w:pPr>
      <w:r>
        <w:t xml:space="preserve">Chapter 8. Conclusion</w:t>
      </w:r>
    </w:p>
    <w:bookmarkStart w:id="140" w:name="the-argument-in-one-movement"/>
    <w:p>
      <w:pPr>
        <w:pStyle w:val="Heading2"/>
        <w:spacing w:line="480" w:lineRule="auto"/>
      </w:pPr>
      <w:r>
        <w:t xml:space="preserve">8.1 The Argument in One Movement</w:t>
      </w:r>
    </w:p>
    <w:p>
      <w:pPr>
        <w:pStyle w:val="FirstParagraph"/>
        <w:spacing w:line="480" w:lineRule="auto"/>
      </w:pPr>
      <w:r>
        <w:t xml:space="preserve">This dissertation began with a question that the deep-space navigation community has long answered by judgment rather than by evidence: does Delta-Differential One-way Ranging (Delta-DOR) actually change what happens at a mission’s critical event, or does it merely tighten a predicted covariance that may or may not translate into a realized outcome, The distinction is not pedantic. It decides what the number means. A covariance reduction is a statement about expected precision under a model; a change in the probability that a spacecraft inserts, lands, or flies by within its declared corridor is a statement about the world. The operational presumption that Delta-DOR is near-mandatory at high-stakes approaches has rested almost entirely on the former while being asked to justify decisions that are properly governed by the latter. The interferometric principle that underwrites the technique, the same phase-differencing physics that anchors very-long-baseline instruments in radio astronomy</w:t>
      </w:r>
      <w:r>
        <w:t xml:space="preserve"> </w:t>
      </w:r>
      <w:hyperlink w:anchor="ref-1">
        <w:r>
          <w:rPr>
            <w:rStyle w:val="Hyperlink"/>
          </w:rPr>
          <w:t xml:space="preserve">[1]</w:t>
        </w:r>
      </w:hyperlink>
      <w:r>
        <w:t xml:space="preserve"> </w:t>
      </w:r>
      <w:r>
        <w:t xml:space="preserve">and that now underwrites radio-frequency interferometric tracking in the space-domain-awareness setting</w:t>
      </w:r>
      <w:r>
        <w:t xml:space="preserve"> </w:t>
      </w:r>
      <w:hyperlink w:anchor="ref-2">
        <w:r>
          <w:rPr>
            <w:rStyle w:val="Hyperlink"/>
          </w:rPr>
          <w:t xml:space="preserve">[2]</w:t>
        </w:r>
      </w:hyperlink>
      <w:r>
        <w:t xml:space="preserve">, is not in dispute. What was in dispute, or rather what had never been estimated, was whether that principle, applied across the realized population of interplanetary missions, moves the outcome a sponsor actually buys.</w:t>
      </w:r>
    </w:p>
    <w:p>
      <w:pPr>
        <w:pStyle w:val="BodyText"/>
        <w:spacing w:line="480" w:lineRule="auto"/>
        <w:ind w:firstLine="720"/>
      </w:pPr>
      <w:r>
        <w:t xml:space="preserve">The dissertation answered that question in a single coherent movement built from two complementary estimates of one intervention. The first analysis treated the binary outcome the field cares about most directly, achievement of the critical event within its declared targeting corridor, and estimated that, conditional on event difficulty, scheduling Delta-DOR during the approach phase is associated with a 0.708 increase in the probability of success, with a robust 95 percent confidence interval from 0.443 to 0.973. The second analysis treated the continuous accuracy channel through which that outcome is presumed to act, the plane-of-sky delivery uncertainty in kilometres, and estimated that, holding Earth-spacecraft range fixed, interferometric-tracked events carry a delivery uncertainty roughly 96 percent lower than Doppler-and-range events, a log coefficient of minus 3.233 whose range elasticity of 1.068 sits squarely on the unit value the measurement physics predicts and thereby passes a falsification check on the construction. The two findings are not redundant confirmations of one number. The continuous result describes the mechanism; the binary result describes the realized consequence the mechanism is presumed to produce. Read in sequence, they convert an engineering-judgment claim into a quantified, falsifiable, population-level association, which is exactly the transformation the prospectus promised and the body of the dissertation delivered.</w:t>
      </w:r>
    </w:p>
    <w:p>
      <w:pPr>
        <w:pStyle w:val="BodyText"/>
        <w:spacing w:line="480" w:lineRule="auto"/>
        <w:ind w:firstLine="720"/>
      </w:pPr>
      <w:r>
        <w:t xml:space="preserve">The movement holds together because each estimate disciplines the reading of the other. The binary analysis carries a striking feature that, taken alone, would invite either overclaiming or dismissal: no event in the documented public record that scheduled Delta-DOR is recorded as having failed its critical event. That separation is the reason a maximum-likelihood logit does not converge and the reason a linear probability model was the honest specification rather than a default one. Standing by itself, a separated binary outcome is a statistical pathology as much as a substantive finding. But the continuous analysis, whose metric outcome does not separate and whose elasticity behaves as the documented conversion of about 0.15 kilometres per nanoradian per astronomical unit says it should</w:t>
      </w:r>
      <w:r>
        <w:t xml:space="preserve"> </w:t>
      </w:r>
      <w:hyperlink w:anchor="ref-4">
        <w:r>
          <w:rPr>
            <w:rStyle w:val="Hyperlink"/>
          </w:rPr>
          <w:t xml:space="preserve">[4]</w:t>
        </w:r>
      </w:hyperlink>
      <w:r>
        <w:t xml:space="preserve">[7], supplies the independent corroboration that the binary separation is tracking a real mechanism and not an artifact of a thin sample. The agreement of two analyses that probe the same intervention from a binary and a continuous angle, and that fail in different ways under different stresses, is more persuasive than either could be alone. This is the methodological reason the dissertation was built as a paired study rather than a single regression, and it is the reason the conclusion can speak of one argument rather than two results.</w:t>
      </w:r>
    </w:p>
    <w:bookmarkEnd w:id="140"/>
    <w:bookmarkStart w:id="141" w:name="the-contribution-to-knowledge"/>
    <w:p>
      <w:pPr>
        <w:pStyle w:val="Heading2"/>
        <w:spacing w:line="480" w:lineRule="auto"/>
      </w:pPr>
      <w:r>
        <w:t xml:space="preserve">8.2 The Contribution to Knowledge</w:t>
      </w:r>
    </w:p>
    <w:p>
      <w:pPr>
        <w:pStyle w:val="FirstParagraph"/>
        <w:spacing w:line="480" w:lineRule="auto"/>
      </w:pPr>
      <w:r>
        <w:t xml:space="preserve">The contribution this dissertation makes to knowledge is narrow by design and, precisely because it is narrow, defensible. It is not a claim that Delta-DOR causes mission success, which no observational study on a modest and clustered population could establish, and the dissertation has been scrupulous never to overstate it that far. It is the supply of a quantity that the field genuinely lacked: a population-level, falsifiable effect size for a tracking decision that had previously been reasoned about only through per-mission covariance prediction. Before this work, a NASA program executive or a Jet Propulsion Laboratory (JPL) navigation lead who asked how much the realized probability of mission success moves across the population of missions that did and did not schedule the observable had no number to point to, only an accumulation of single-mission design studies and the institutional conviction that the studies generalized. The dissertation closes that gap with two estimates, each with a transparent estimator, an explicit identifying assumption, and a stated sensitivity boundary, and it does so on a dataset reconstructable from public archives rather than on proprietary or synthesized values.</w:t>
      </w:r>
    </w:p>
    <w:p>
      <w:pPr>
        <w:pStyle w:val="BodyText"/>
        <w:spacing w:line="480" w:lineRule="auto"/>
        <w:ind w:firstLine="720"/>
      </w:pPr>
      <w:r>
        <w:t xml:space="preserve">A second and less obvious contribution is methodological. The field’s evidentiary habit has been forward error analysis: assume a tracking schedule and a noise budget, propagate a covariance, report the predicted uncertainty. That habit is indispensable for mission design and useless for the resource-allocation question, because it never observes a realized outcome and never confronts the fact that Delta-DOR is not assigned at random. This dissertation imported a quasi-experimental framework into a domain that had not previously framed the tracking decision as a treatment at all. Treating the scheduling of an interferometric campaign as a quasi-treatment, conditioning on the difficulty and range covariates that drive its non-random assignment, and reporting the resulting association alongside the strength of unobserved confounding that would be required to overturn it, is a way of reasoning about navigation infrastructure that the covariance literature does not contain. The portability of that framework is itself part of the contribution. The same logic applies to autonomous deep-space navigation for small satellites</w:t>
      </w:r>
      <w:r>
        <w:t xml:space="preserve"> </w:t>
      </w:r>
      <w:hyperlink w:anchor="ref-21">
        <w:r>
          <w:rPr>
            <w:rStyle w:val="Hyperlink"/>
          </w:rPr>
          <w:t xml:space="preserve">[21]</w:t>
        </w:r>
      </w:hyperlink>
      <w:r>
        <w:t xml:space="preserve">, to cislunar orbit determination through space-based time-difference and frequency-difference techniques</w:t>
      </w:r>
      <w:r>
        <w:t xml:space="preserve"> </w:t>
      </w:r>
      <w:hyperlink w:anchor="ref-13">
        <w:r>
          <w:rPr>
            <w:rStyle w:val="Hyperlink"/>
          </w:rPr>
          <w:t xml:space="preserve">[13]</w:t>
        </w:r>
      </w:hyperlink>
      <w:r>
        <w:t xml:space="preserve">, and to vision-based onboard estimation in small-body proximity operations</w:t>
      </w:r>
      <w:r>
        <w:t xml:space="preserve"> </w:t>
      </w:r>
      <w:hyperlink w:anchor="ref-26">
        <w:r>
          <w:rPr>
            <w:rStyle w:val="Hyperlink"/>
          </w:rPr>
          <w:t xml:space="preserve">[26]</w:t>
        </w:r>
      </w:hyperlink>
      <w:r>
        <w:t xml:space="preserve">, where the relevant question is again not whether a capability helps in a single covariance study but how its population-level value compares with its alternatives. The dissertation offers a worked template for asking that question from realized outcomes rather than from predictions.</w:t>
      </w:r>
    </w:p>
    <w:p>
      <w:pPr>
        <w:pStyle w:val="BodyText"/>
        <w:spacing w:line="480" w:lineRule="auto"/>
        <w:ind w:firstLine="720"/>
      </w:pPr>
      <w:r>
        <w:t xml:space="preserve">A third contribution is evidentiary infrastructure, surfaced as a by-product of the difficulty of doing the work. Assembling the panel required reconstructing per-event tracking records from navigation papers, agency operational reports, mishap-investigation findings, and mission press kits, because no structured, machine-readable archive records, for each interplanetary critical event, the scheduled interferometric campaign, the realized delivery error, and the declared corridor. Two early or sparsely documented events had to be flagged as illustrative and two lander outcomes coded as untreated controls under a documented rule precisely because the archival record was incomplete. The dissertation therefore demonstrates, by the labor it cost, that the value of curating such an archive is not merely operational but evidentiary: a living per-event record would convert the present one-time quasi-experimental panel into a continuously refreshable evidence base, and the cost of that curation is small against the cost of the missions it would help protect. Identifying that the bottleneck to better navigation evidence is record-keeping rather than method is a finding in its own right, and it points to the lowest-cost, highest-leverage investment the work suggests.</w:t>
      </w:r>
    </w:p>
    <w:p>
      <w:pPr>
        <w:pStyle w:val="BodyText"/>
        <w:spacing w:line="480" w:lineRule="auto"/>
        <w:ind w:firstLine="720"/>
      </w:pPr>
      <w:r>
        <w:t xml:space="preserve">Taken together, these three contributions answer the prospectus on its own terms. The single estimand it proposed has been estimated, twice, from complementary outcomes. The selection problem it identified as the central threat has been confronted directly through conditioning and bounded through sensitivity reasoning rather than assumed away. And the cost-and-reliability framing it borrowed from the broader space-economy literature</w:t>
      </w:r>
      <w:r>
        <w:t xml:space="preserve"> </w:t>
      </w:r>
      <w:hyperlink w:anchor="ref-3">
        <w:r>
          <w:rPr>
            <w:rStyle w:val="Hyperlink"/>
          </w:rPr>
          <w:t xml:space="preserve">[3]</w:t>
        </w:r>
      </w:hyperlink>
      <w:r>
        <w:t xml:space="preserve"> </w:t>
      </w:r>
      <w:r>
        <w:t xml:space="preserve">has been connected, for the first time in the retrieved corpus, to an empirical effect size that a resource argument can weigh against network cost. The contribution is the estimate and its boundaries, offered as evidence rather than as advocacy, which is what a falsifiable doctoral claim should be.</w:t>
      </w:r>
    </w:p>
    <w:bookmarkEnd w:id="141"/>
    <w:bookmarkStart w:id="142" w:name="X6b41e8f4ae15e6fd481f38a1e21c9b8fe3ebe0c"/>
    <w:p>
      <w:pPr>
        <w:pStyle w:val="Heading2"/>
        <w:spacing w:line="480" w:lineRule="auto"/>
      </w:pPr>
      <w:r>
        <w:t xml:space="preserve">8.3 What the Evidence Licenses, and What It Does Not</w:t>
      </w:r>
    </w:p>
    <w:p>
      <w:pPr>
        <w:pStyle w:val="FirstParagraph"/>
        <w:spacing w:line="480" w:lineRule="auto"/>
      </w:pPr>
      <w:r>
        <w:t xml:space="preserve">A conclusion earns its claims by being equally clear about their limits, because a decision-maker who overreads an observational association will misprice the next allocation, and a dissertation that blurs the boundary between what it has shown and what it has presumed forfeits the trust that makes its number useful. The evidence licenses a strong directional conclusion: at a high-stakes critical event, the documented value of interferometric angular tracking is large, the realized record contains no treated failure, and the conditional association points unambiguously in the direction the measurement physics predicts. It licenses a governance posture, developed in the preceding chapter, that protects scarce Deep Space Network time first for the highest-difficulty insertions and landings, where the per-step success penalty is steepest, where the absolute kilometre-scale accuracy benefit grows with range because a fixed angle subtends a larger arc at a larger distance, and where the consequences of an avoidable delivery failure are the entire mission rather than a graceful degradation. And it licenses the methodological claim that the realized interplanetary record, properly assembled and transparently analyzed, can answer an outcome question the field has historically reasoned around.</w:t>
      </w:r>
    </w:p>
    <w:p>
      <w:pPr>
        <w:pStyle w:val="BodyText"/>
        <w:spacing w:line="480" w:lineRule="auto"/>
        <w:ind w:firstLine="720"/>
      </w:pPr>
      <w:r>
        <w:t xml:space="preserve">The evidence does not license a clean causal coefficient. Confounding by indication cannot be eliminated without randomization, and Delta-DOR is preferentially scheduled for the most demanding and most valuable approaches, so the treated and control groups differ in more than their tracking type. Conditioning on an ordinal difficulty class in the binary analysis and on log range in the continuous analysis addresses the most visible confounder, under which harder approaches both receive the observable and fail more often, a force that would bias the estimate downward and that conditioning corrects; but unobserved heterogeneity in mission quality, under which better-resourced teams both schedule Delta-DOR and succeed for reasons unrelated to it, would bias the estimate upward. The honest summary is that both estimates are best treated as upper-informative bounds on the realized benefit, and that any allocation resting on them should remain robust to a true effect somewhat smaller than the point estimate. The separation that makes the binary result striking is also the pathology that forced the linear specification, so the headline 0.708 is a within-sample conditional association and not a structural probability to be transported to event types absent from the panel. Part of the continuous outcome is built by carrying a documented angular regime through a documented conversion rather than by reading a published kilometre figure for every event, so the treatment contrast partly reflects the documented difference between the two-to-three-nanoradian and one-hundred-nanoradian regimes</w:t>
      </w:r>
      <w:r>
        <w:t xml:space="preserve"> </w:t>
      </w:r>
      <w:hyperlink w:anchor="ref-4">
        <w:r>
          <w:rPr>
            <w:rStyle w:val="Hyperlink"/>
          </w:rPr>
          <w:t xml:space="preserve">[4]</w:t>
        </w:r>
      </w:hyperlink>
      <w:r>
        <w:t xml:space="preserve"> </w:t>
      </w:r>
      <w:r>
        <w:t xml:space="preserve">rather than realized per-event delivery alone. And the panels are modest and clustered by era, agency, and spacecraft lineage, which depresses power and risks pseudo-replication, so the estimates generalize cleanly only to the historical ground-network regime they represent. None of these boundaries was discovered after the fact; each was anticipated in the prospectus and confronted in the analysis. Stating them plainly is not a hedge against the conclusion but a condition of it, because the value of the number to a sponsor is exactly proportional to the candor with which its uncertainty is disclosed.</w:t>
      </w:r>
    </w:p>
    <w:p>
      <w:pPr>
        <w:pStyle w:val="BodyText"/>
        <w:spacing w:line="480" w:lineRule="auto"/>
        <w:ind w:firstLine="720"/>
      </w:pPr>
      <w:r>
        <w:t xml:space="preserve">The relationship between these licensed and unlicensed claims is the heart of the dissertation’s intellectual posture. The work does not ask a program executive to believe that Delta-DOR is causally responsible for the absence of treated failures in the record. It asks something more modest and more durable: that the documented record contains no counterexample to the operational presumption, that the burden of producing one now sits with anyone who would argue the observable is optional at a high-stakes event, and that the expected-value calculation favoring a conservative tracking posture does not require the estimate to be a clean causal effect, only a credible bound. That is the most a well-constructed observational study can deliver, and the dissertation has tried to deliver exactly that and not one inference more.</w:t>
      </w:r>
    </w:p>
    <w:bookmarkEnd w:id="142"/>
    <w:bookmarkStart w:id="143" w:name="Xefd72cfd68311976073a56a265da4fae0e80f8a"/>
    <w:p>
      <w:pPr>
        <w:pStyle w:val="Heading2"/>
        <w:spacing w:line="480" w:lineRule="auto"/>
      </w:pPr>
      <w:r>
        <w:t xml:space="preserve">8.4 The Place of This Work in the Larger Inquiry</w:t>
      </w:r>
    </w:p>
    <w:p>
      <w:pPr>
        <w:pStyle w:val="FirstParagraph"/>
        <w:spacing w:line="480" w:lineRule="auto"/>
      </w:pPr>
      <w:r>
        <w:t xml:space="preserve">This dissertation is one estimate of one intervention, and its lasting value may lie less in the number than in the example it sets for how the navigation field can reason about its own infrastructure. The deep-space tracking architecture is not static. Interferometric capability has matured across the panel’s window from the early Delta-DOR service to the one-nanoradian system, so a pooled estimate averages over a non-stationary capability and, if anything, understates the value of the modern instrument, which is the conservative direction for a resource claim to err. The capability is also internationalizing: the panel already incorporates European operational events and a non-NASA Mars mission’s cross-support interferometry, and the broader sector is moving toward the interactive public-private and cross-agency collaboration in shared infrastructure that such standardization requires</w:t>
      </w:r>
      <w:r>
        <w:t xml:space="preserve"> </w:t>
      </w:r>
      <w:hyperlink w:anchor="ref-20">
        <w:r>
          <w:rPr>
            <w:rStyle w:val="Hyperlink"/>
          </w:rPr>
          <w:t xml:space="preserve">[20]</w:t>
        </w:r>
      </w:hyperlink>
      <w:r>
        <w:t xml:space="preserve">. As interferometric angular tracking becomes an interoperable standard rather than a single-agency asset, the population to which an estimate like this one applies broadens, and the case for maintaining the quasar-catalog and correlator infrastructure the technique depends on becomes a shared rather than a parochial cost. The framework developed here, which reasons from realized outcomes under a transparent selection assumption, is built to travel with that broadening population.</w:t>
      </w:r>
    </w:p>
    <w:p>
      <w:pPr>
        <w:pStyle w:val="BodyText"/>
        <w:spacing w:line="480" w:lineRule="auto"/>
        <w:ind w:firstLine="720"/>
      </w:pPr>
      <w:r>
        <w:t xml:space="preserve">It is also built to travel to the navigation regimes the present panel barely represents. The same quasi-experimental logic that treated a ground-based interferometric campaign as a quasi-treatment can treat an onboard autonomous-navigation decision, a cislunar space-based tracking decision, or a vision-based proximity-operations decision the same way, estimating each capability’s population-level value against its realized alternatives rather than against a covariance prediction. The methodological advance the dissertation has tried to model is precisely this: that infrastructure decisions in deep-space navigation, which have historically been justified by forward error analysis, can and should also be examined through the realized record, and that doing so requires neither randomization nor proprietary data but only a disciplined panel, an explicit identifying assumption, and the candor to bound what the assumption cannot deliver. If the next generation of tracking architectures is evaluated even partly through realized outcomes because this framework made the approach legible, that would be a contribution larger than the coefficient that motivated it.</w:t>
      </w:r>
    </w:p>
    <w:bookmarkEnd w:id="143"/>
    <w:bookmarkStart w:id="144" w:name="closing-statement"/>
    <w:p>
      <w:pPr>
        <w:pStyle w:val="Heading2"/>
        <w:spacing w:line="480" w:lineRule="auto"/>
      </w:pPr>
      <w:r>
        <w:t xml:space="preserve">8.5 Closing Statement</w:t>
      </w:r>
    </w:p>
    <w:p>
      <w:pPr>
        <w:pStyle w:val="FirstParagraph"/>
        <w:spacing w:line="480" w:lineRule="auto"/>
      </w:pPr>
      <w:r>
        <w:t xml:space="preserve">This dissertation set out to replace a presumption with an estimate, and it has done so within carefully stated scope conditions and with its uncertainty fully in view. The realized interplanetary record, assembled from public archives and analyzed transparently, shows that scheduling Delta-DOR during a critical approach phase is associated with a large increase in the probability of corridor-delivery success, conditional on how hard the event was, with no treated failure anywhere in the documented record; and it shows, on the same population, that interferometric tracking is associated with a plane-of-sky delivery uncertainty an order of magnitude and a half smaller at a given range, with a range elasticity that matches the measurement physics and so passes its own falsification check. Neither estimate is a randomized causal effect. Both are bounded by confounding by indication, by modest and clustered samples, and by partly constructed outcomes, and this conclusion has named those bounds rather than minimized them. What survives the caveats is a directional finding that is unambiguous and a governance message that is robust to the residual uncertainty: at a high-stakes critical event, the documented value of interferometric angular tracking is large, the cost of an avoidable delivery failure is the mission, and the resource-allocation argument that the field has long made from engineering judgment can now be made from evidence a sponsor can weigh against cost</w:t>
      </w:r>
      <w:r>
        <w:t xml:space="preserve"> </w:t>
      </w:r>
      <w:hyperlink w:anchor="ref-3">
        <w:r>
          <w:rPr>
            <w:rStyle w:val="Hyperlink"/>
          </w:rPr>
          <w:t xml:space="preserve">[3]</w:t>
        </w:r>
      </w:hyperlink>
      <w:r>
        <w:t xml:space="preserve">. The remaining uncertainty is the ordinary uncertainty of a well-constructed observational study, and the direction it points is not in doubt. The burden of argument now rests with anyone who would forgo the observable at the moment it matters most.</w:t>
      </w:r>
    </w:p>
    <w:bookmarkEnd w:id="144"/>
    <w:bookmarkStart w:id="186" w:name="references"/>
    <w:p>
      <w:pPr>
        <w:pStyle w:val="Heading2"/>
        <w:spacing w:line="480" w:lineRule="auto"/>
      </w:pPr>
      <w:r>
        <w:t xml:space="preserve">References</w:t>
      </w:r>
    </w:p>
    <w:p>
      <w:pPr>
        <w:pStyle w:val="FirstParagraph"/>
        <w:spacing w:line="480" w:lineRule="auto"/>
      </w:pPr>
      <w:bookmarkStart w:id="145" w:name="ref-1"/>
      <w:bookmarkEnd w:id="145"/>
      <w:r>
        <w:t xml:space="preserve">1. L. Gurvits, Z. Paragi, R. Amils, I. van Bemmel, P. Boven, V. Casasola, J. Conway, et al.,</w:t>
      </w:r>
      <w:r>
        <w:t xml:space="preserve"> </w:t>
      </w:r>
      <w:r>
        <w:t xml:space="preserve">“The science case and challenges of space-borne sub-millimeter interferometry,”</w:t>
      </w:r>
      <w:r>
        <w:t xml:space="preserve"> </w:t>
      </w:r>
      <w:r>
        <w:rPr>
          <w:i/>
          <w:iCs/>
        </w:rPr>
        <w:t xml:space="preserve">Acta Astronautica</w:t>
      </w:r>
      <w:r>
        <w:t xml:space="preserve">, vol. 196, 2022. doi:</w:t>
      </w:r>
      <w:r>
        <w:t xml:space="preserve"> </w:t>
      </w:r>
      <w:hyperlink r:id="rId146">
        <w:r>
          <w:rPr>
            <w:rStyle w:val="Hyperlink"/>
          </w:rPr>
          <w:t xml:space="preserve">10.1016/j.actaastro.2022.04.020</w:t>
        </w:r>
      </w:hyperlink>
      <w:r>
        <w:t xml:space="preserve">.</w:t>
      </w:r>
    </w:p>
    <w:p>
      <w:pPr>
        <w:pStyle w:val="BodyText"/>
        <w:spacing w:line="480" w:lineRule="auto"/>
        <w:ind w:firstLine="720"/>
      </w:pPr>
      <w:bookmarkStart w:id="147" w:name="ref-2"/>
      <w:bookmarkEnd w:id="147"/>
      <w:r>
        <w:t xml:space="preserve">2. Z. Leffke, K. Schroeder, M. Phelps, and J. Fletcher,</w:t>
      </w:r>
      <w:r>
        <w:t xml:space="preserve"> </w:t>
      </w:r>
      <w:r>
        <w:t xml:space="preserve">“Passive Radio Frequency Techniques &amp; Demonstration for Space Domain Awareness,”</w:t>
      </w:r>
      <w:r>
        <w:t xml:space="preserve"> </w:t>
      </w:r>
      <w:r>
        <w:rPr>
          <w:i/>
          <w:iCs/>
        </w:rPr>
        <w:t xml:space="preserve">Proc. Advanced Maui Optical and Space Surveillance Technologies (AMOS) Conference</w:t>
      </w:r>
      <w:r>
        <w:t xml:space="preserve">, 2024. doi:</w:t>
      </w:r>
      <w:r>
        <w:t xml:space="preserve"> </w:t>
      </w:r>
      <w:hyperlink r:id="rId148">
        <w:r>
          <w:rPr>
            <w:rStyle w:val="Hyperlink"/>
          </w:rPr>
          <w:t xml:space="preserve">10.64861/JDHC4248</w:t>
        </w:r>
      </w:hyperlink>
      <w:r>
        <w:t xml:space="preserve">.</w:t>
      </w:r>
    </w:p>
    <w:p>
      <w:pPr>
        <w:pStyle w:val="BodyText"/>
        <w:spacing w:line="480" w:lineRule="auto"/>
        <w:ind w:firstLine="720"/>
      </w:pPr>
      <w:bookmarkStart w:id="149" w:name="ref-3"/>
      <w:bookmarkEnd w:id="149"/>
      <w:r>
        <w:t xml:space="preserve">3.</w:t>
      </w:r>
      <w:r>
        <w:t xml:space="preserve"> </w:t>
      </w:r>
      <w:r>
        <w:t xml:space="preserve">“The Role of Space in Driving Sustainability, Security, and Development”</w:t>
      </w:r>
      <w:r>
        <w:t xml:space="preserve"> </w:t>
      </w:r>
      <w:r>
        <w:t xml:space="preserve">(Space Economy Papers corpus, source key SD13), COLLEGIUM Brain Trust.</w:t>
      </w:r>
    </w:p>
    <w:p>
      <w:pPr>
        <w:pStyle w:val="BodyText"/>
        <w:spacing w:line="480" w:lineRule="auto"/>
        <w:ind w:firstLine="720"/>
      </w:pPr>
      <w:bookmarkStart w:id="150" w:name="ref-4"/>
      <w:bookmarkEnd w:id="150"/>
      <w:r>
        <w:t xml:space="preserve">4. J. S. Border,</w:t>
      </w:r>
      <w:r>
        <w:t xml:space="preserve"> </w:t>
      </w:r>
      <w:r>
        <w:t xml:space="preserve">“Innovations in Delta Differential One-way Range: From Viking to Mars Science Laboratory,”</w:t>
      </w:r>
      <w:r>
        <w:t xml:space="preserve"> </w:t>
      </w:r>
      <w:r>
        <w:t xml:space="preserve">and related Deep Space Network Delta-DOR documentation, NASA Technical Reports Server, NTRS 20100032906 and JPL 810-005 module 210A.</w:t>
      </w:r>
    </w:p>
    <w:p>
      <w:pPr>
        <w:pStyle w:val="BodyText"/>
        <w:spacing w:line="480" w:lineRule="auto"/>
        <w:ind w:firstLine="720"/>
      </w:pPr>
      <w:bookmarkStart w:id="151" w:name="ref-5"/>
      <w:bookmarkEnd w:id="151"/>
      <w:r>
        <w:t xml:space="preserve">5. T. Morley and F. Budnik,</w:t>
      </w:r>
      <w:r>
        <w:t xml:space="preserve"> </w:t>
      </w:r>
      <w:r>
        <w:t xml:space="preserve">“Mars Express Interplanetary Navigation from Launch to Mars Orbit Insertion: The JPL Experience,”</w:t>
      </w:r>
      <w:r>
        <w:t xml:space="preserve"> </w:t>
      </w:r>
      <w:r>
        <w:t xml:space="preserve">NASA Technical Reports Server, NTRS 20090007583, 2009.</w:t>
      </w:r>
    </w:p>
    <w:p>
      <w:pPr>
        <w:pStyle w:val="BodyText"/>
        <w:spacing w:line="480" w:lineRule="auto"/>
        <w:ind w:firstLine="720"/>
      </w:pPr>
      <w:bookmarkStart w:id="152" w:name="ref-6"/>
      <w:bookmarkEnd w:id="152"/>
      <w:r>
        <w:t xml:space="preserve">6. Mars Climate Orbiter Mishap Investigation Board,</w:t>
      </w:r>
      <w:r>
        <w:t xml:space="preserve"> </w:t>
      </w:r>
      <w:r>
        <w:t xml:space="preserve">“Phase I Report,”</w:t>
      </w:r>
      <w:r>
        <w:t xml:space="preserve"> </w:t>
      </w:r>
      <w:r>
        <w:t xml:space="preserve">NASA, 1999.</w:t>
      </w:r>
    </w:p>
    <w:p>
      <w:pPr>
        <w:pStyle w:val="BodyText"/>
        <w:spacing w:line="480" w:lineRule="auto"/>
        <w:ind w:firstLine="720"/>
      </w:pPr>
      <w:bookmarkStart w:id="153" w:name="ref-7"/>
      <w:bookmarkEnd w:id="153"/>
      <w:r>
        <w:t xml:space="preserve">7. X. Li et al.,</w:t>
      </w:r>
      <w:r>
        <w:t xml:space="preserve"> </w:t>
      </w:r>
      <w:r>
        <w:t xml:space="preserve">“Analysis and Demonstration of First Cross-Support Interferometry Tracking in China Mars Mission,”</w:t>
      </w:r>
      <w:r>
        <w:t xml:space="preserve"> </w:t>
      </w:r>
      <w:r>
        <w:t xml:space="preserve">Remote Sensing, vol. 14, no. 16, 4117, 2022. doi:</w:t>
      </w:r>
      <w:r>
        <w:t xml:space="preserve"> </w:t>
      </w:r>
      <w:hyperlink r:id="rId154">
        <w:r>
          <w:rPr>
            <w:rStyle w:val="Hyperlink"/>
          </w:rPr>
          <w:t xml:space="preserve">10.3390/rs14164117</w:t>
        </w:r>
      </w:hyperlink>
    </w:p>
    <w:p>
      <w:pPr>
        <w:pStyle w:val="BodyText"/>
        <w:spacing w:line="480" w:lineRule="auto"/>
        <w:ind w:firstLine="720"/>
      </w:pPr>
      <w:bookmarkStart w:id="155" w:name="ref-8"/>
      <w:bookmarkEnd w:id="155"/>
      <w:r>
        <w:t xml:space="preserve">8. D. W. Curkendall and J. S. Border,</w:t>
      </w:r>
      <w:r>
        <w:t xml:space="preserve"> </w:t>
      </w:r>
      <w:r>
        <w:t xml:space="preserve">“Delta-DOR: The One-Nanoradian Navigation Measurement System of the Deep Space Network, History, Architecture, and Componentry,”</w:t>
      </w:r>
      <w:r>
        <w:t xml:space="preserve"> </w:t>
      </w:r>
      <w:r>
        <w:t xml:space="preserve">Interplanetary Network Progress Report 42-193, Jet Propulsion Laboratory, 2013. Available: https://ipnpr.jpl.nasa.gov/progress_report/42-193/193D.pdf.</w:t>
      </w:r>
    </w:p>
    <w:p>
      <w:pPr>
        <w:pStyle w:val="BodyText"/>
        <w:spacing w:line="480" w:lineRule="auto"/>
        <w:ind w:firstLine="720"/>
      </w:pPr>
      <w:bookmarkStart w:id="156" w:name="ref-9"/>
      <w:bookmarkEnd w:id="156"/>
      <w:r>
        <w:t xml:space="preserve">9. L. J. Wood,</w:t>
      </w:r>
      <w:r>
        <w:t xml:space="preserve"> </w:t>
      </w:r>
      <w:r>
        <w:t xml:space="preserve">“The Evolution of Deep Space Navigation: 2016-2018,”</w:t>
      </w:r>
      <w:r>
        <w:t xml:space="preserve"> </w:t>
      </w:r>
      <w:r>
        <w:t xml:space="preserve">AAS/AIAA Astrodynamics Specialist Conference, paper AAS 21-550, 2021. Available: https://descanso.jpl.nasa.gov/evolution/AAS%2021-550.pdf.</w:t>
      </w:r>
    </w:p>
    <w:p>
      <w:pPr>
        <w:pStyle w:val="BodyText"/>
        <w:spacing w:line="480" w:lineRule="auto"/>
        <w:ind w:firstLine="720"/>
      </w:pPr>
      <w:bookmarkStart w:id="157" w:name="ref-10"/>
      <w:bookmarkEnd w:id="157"/>
      <w:r>
        <w:t xml:space="preserve">10. European Space Agency,</w:t>
      </w:r>
      <w:r>
        <w:t xml:space="preserve"> </w:t>
      </w:r>
      <w:r>
        <w:t xml:space="preserve">“Keeping track of spacecraft with Delta-DOR,”</w:t>
      </w:r>
      <w:r>
        <w:t xml:space="preserve"> </w:t>
      </w:r>
      <w:r>
        <w:t xml:space="preserve">ESA Operations, retrieved 2026. Available: https://www.esa.int/Enabling_Support/Operations/Keeping_track_of_spacecraft_with_Delta-DOR.</w:t>
      </w:r>
    </w:p>
    <w:p>
      <w:pPr>
        <w:pStyle w:val="BodyText"/>
        <w:spacing w:line="480" w:lineRule="auto"/>
        <w:ind w:firstLine="720"/>
      </w:pPr>
      <w:bookmarkStart w:id="158" w:name="ref-11"/>
      <w:bookmarkEnd w:id="158"/>
      <w:r>
        <w:t xml:space="preserve">11. Jet Propulsion Laboratory,</w:t>
      </w:r>
      <w:r>
        <w:t xml:space="preserve"> </w:t>
      </w:r>
      <w:r>
        <w:t xml:space="preserve">“Delta Differential One-way Ranging,”</w:t>
      </w:r>
      <w:r>
        <w:t xml:space="preserve"> </w:t>
      </w:r>
      <w:r>
        <w:t xml:space="preserve">DSN Telecommunications Link Design Handbook 810-005, Module 210, retrieved 2026. Available: https://deepspace.jpl.nasa.gov/dsndocs/810-005/210/210A.pdf.</w:t>
      </w:r>
    </w:p>
    <w:p>
      <w:pPr>
        <w:pStyle w:val="BodyText"/>
        <w:spacing w:line="480" w:lineRule="auto"/>
        <w:ind w:firstLine="720"/>
      </w:pPr>
      <w:bookmarkStart w:id="159" w:name="ref-12"/>
      <w:bookmarkEnd w:id="159"/>
      <w:r>
        <w:t xml:space="preserve">12. Yasir Latif, Space Protocol; Samya Bagchi, Space Protocol; Latha Madhuri Pratti, Space Protocol; Harvey Reed, MITRE; Ruth Stilwell, Aerospace Policy Solutions, LLC; Greg Furlich, University of Colorado Boulder. Towards an AI-enabled Space Battle Management System on Space Protocol’s Quantum Resilient Blockchain (2025). doi:</w:t>
      </w:r>
      <w:r>
        <w:t xml:space="preserve"> </w:t>
      </w:r>
      <w:hyperlink r:id="rId160">
        <w:r>
          <w:rPr>
            <w:rStyle w:val="Hyperlink"/>
          </w:rPr>
          <w:t xml:space="preserve">10.64861/CEPU7718</w:t>
        </w:r>
      </w:hyperlink>
    </w:p>
    <w:p>
      <w:pPr>
        <w:pStyle w:val="BodyText"/>
        <w:spacing w:line="480" w:lineRule="auto"/>
        <w:ind w:firstLine="720"/>
      </w:pPr>
      <w:bookmarkStart w:id="161" w:name="ref-13"/>
      <w:bookmarkEnd w:id="161"/>
      <w:r>
        <w:t xml:space="preserve">13. Michael R. Thompson, Advanced Space, LLC; Matthew D. Popplewell, Advanced Space, LLC; Bradley Cheetham, Advanced Space, LLC. Utilization of Space-Based TDoA and FDoA for Cislunar Orbit Determination (2022).</w:t>
      </w:r>
    </w:p>
    <w:p>
      <w:pPr>
        <w:pStyle w:val="BodyText"/>
        <w:spacing w:line="480" w:lineRule="auto"/>
        <w:ind w:firstLine="720"/>
      </w:pPr>
      <w:bookmarkStart w:id="162" w:name="ref-14"/>
      <w:bookmarkEnd w:id="162"/>
      <w:r>
        <w:t xml:space="preserve">14. Carlos Maldonado, Los Alamos National Laboratory; August Gula, Los Alamos National Laboratory; Martin Kroupa, Los Alamos National Laboratory; Jonathan Barney, Los Alamos National Laboratory; Michael Caffrey, Los Alamos National Laboratory; Susan Mendel, Los Alamos National Laboratory; Rachel Simms, Los Alamos National Laboratory; Kerry Boyd, Los Alamos National Laboratory; Zachary Miller, Los Alamos National Laboratory; Justin McGlown, Los Alamos National Laboratory; Jonathan Deming, Los Alamos National Laboratory; Kim Katko, Los Alamos National Laboratory; Markus Hehlen, Los Alamos National Laboratory; Brooke Mosley, Los Alamos National Laboratory; Justin Tripp, Los Alamos National Laboratory; Keith Morgan, Los Alamos National Laboratory; John Michel, Los Alamos National Laboratory; Anthony Nelson, Los Alamos National Laboratory; Robert Merl, Los Alamos National Laboratory; Michael Holloway, Los Alamos National Laboratory; Heidi Morning, Los Alamos National Laboratory; Daniel Arnold, Los Alamos National Laboratory; Ruth Skoug, Los Alamos National Laboratory; Phil Fernandes, Los Alamos National Laboratory; Ted Schultz, Los Alamos National Laboratory; Angus Guider, Los Alamos National Laboratory; Daniel Reisenfeld, Los Alamos National Laboratory; Brian Larsen, Los Alamos National Laboratory; John Steinberg, Los Alamos National Laboratory; Erik Krause, Los Alamos National Laboratory; Darrel Beckman, Los Alamos National Laboratory; Benigno Sandoval, Los Alamos National Laboratory; Paul Graham, Los Alamos National Laboratory; Zephram Tripp, Los Alamos National Laboratory; Bradley Hoose, Los Alamos National Laboratory; Rory Scobie, Los Alamos National Laboratory; Joshua Ortner, Los Alamos National Laboratory; Quinten Cole, Los Alamos National Laboratory; Thomas Fairbanks, Los Alamos National Laboratory; Jeffrey George, Los Alamos National Laboratory; Rustam Niyazov, Los Alamos National Laboratory; Robert Clanton, Los Alamos National Laboratory; Andrew Kirby, Los Alamos National Laboratory; J.P. Martinez, Los Alamos National Laboratory; Tracy Gambill, Los Alamos National Laboratory; Melissa Ma, Los Alamos National Laboratory; Kasidit Subsomboon, Los Alamos National Laboratory; Darren Harvey, Los Alamos National Laboratory; Katherine Alano, Los Alamos National Laboratory; Kristina McKeown, Los Alamos National Laboratory; Donathan Ortega, Los Alamos National Laboratory. The Experiment for Space Radiation Analysis (ESRA): Technology maturation of next generation charged particle detectors in GTO (2022).</w:t>
      </w:r>
    </w:p>
    <w:p>
      <w:pPr>
        <w:pStyle w:val="BodyText"/>
        <w:spacing w:line="480" w:lineRule="auto"/>
        <w:ind w:firstLine="720"/>
      </w:pPr>
      <w:bookmarkStart w:id="163" w:name="ref-15"/>
      <w:bookmarkEnd w:id="163"/>
      <w:r>
        <w:t xml:space="preserve">15. Bryan Dorland (U.S. Naval Observatory), Ralph Gaume (U.S. Naval Observatory), Norbert Zacharias (U.S. Naval Observatory), Valeri Makarov (Alpha Proximi), Chris Rollins (Research Support Instruments), Greg Hennessy (U.S. Naval Observatory) Kenneth Johnston (U.S. Naval Observatory), Dave Monet (U.S. Naval Observatory Flagstaff Station). The Joint Milli-Arcsecond Pathfinder Survey: Mission Overview (2006).</w:t>
      </w:r>
    </w:p>
    <w:p>
      <w:pPr>
        <w:pStyle w:val="BodyText"/>
        <w:spacing w:line="480" w:lineRule="auto"/>
        <w:ind w:firstLine="720"/>
      </w:pPr>
      <w:bookmarkStart w:id="164" w:name="ref-16"/>
      <w:bookmarkEnd w:id="164"/>
      <w:r>
        <w:t xml:space="preserve">16. John Boh, The University of Texas at Austin; Zachary Funke, AFIT/CIG; Maruthi Akella, The University of Texas at Austin. A Game-Theoretical Exploration of L1/L2 Cislunar Space Situational Awareness Using Bayesian Games (2025). doi:</w:t>
      </w:r>
      <w:r>
        <w:t xml:space="preserve"> </w:t>
      </w:r>
      <w:hyperlink r:id="rId165">
        <w:r>
          <w:rPr>
            <w:rStyle w:val="Hyperlink"/>
          </w:rPr>
          <w:t xml:space="preserve">10.64861/SIJX9169</w:t>
        </w:r>
      </w:hyperlink>
    </w:p>
    <w:p>
      <w:pPr>
        <w:pStyle w:val="BodyText"/>
        <w:spacing w:line="480" w:lineRule="auto"/>
        <w:ind w:firstLine="720"/>
      </w:pPr>
      <w:bookmarkStart w:id="166" w:name="ref-17"/>
      <w:bookmarkEnd w:id="166"/>
      <w:r>
        <w:t xml:space="preserve">17. David Finkleman, (Center for Space Standards and Innovation). What is the “Right” Answer? (2013).</w:t>
      </w:r>
    </w:p>
    <w:p>
      <w:pPr>
        <w:pStyle w:val="BodyText"/>
        <w:spacing w:line="480" w:lineRule="auto"/>
        <w:ind w:firstLine="720"/>
      </w:pPr>
      <w:bookmarkStart w:id="167" w:name="ref-18"/>
      <w:bookmarkEnd w:id="167"/>
      <w:r>
        <w:t xml:space="preserve">18. Charles J. Wetterer, KBR; David Strong, Strong EO Imaging, Inc.; Timothy Giblin, i2 Strategic Services LLC; Matthew Fitzgerald, USAFA. Spectral Calibrations of the USAFA 1-Meter for GEO Satellite Spectral Signatures (2023). doi:</w:t>
      </w:r>
      <w:r>
        <w:t xml:space="preserve"> </w:t>
      </w:r>
      <w:hyperlink r:id="rId168">
        <w:r>
          <w:rPr>
            <w:rStyle w:val="Hyperlink"/>
          </w:rPr>
          <w:t xml:space="preserve">10.64861/UXLM4988</w:t>
        </w:r>
      </w:hyperlink>
    </w:p>
    <w:p>
      <w:pPr>
        <w:pStyle w:val="BodyText"/>
        <w:spacing w:line="480" w:lineRule="auto"/>
        <w:ind w:firstLine="720"/>
      </w:pPr>
      <w:bookmarkStart w:id="169" w:name="ref-19"/>
      <w:bookmarkEnd w:id="169"/>
      <w:r>
        <w:t xml:space="preserve">19. David Jefferson (Lawrence Livermore National Laboratory), James Leek (Lawrence Livermore National Laboratory). Application of Parallel Discrete Event Simulation to the Space Surveillance Network (2010).</w:t>
      </w:r>
    </w:p>
    <w:p>
      <w:pPr>
        <w:pStyle w:val="BodyText"/>
        <w:spacing w:line="480" w:lineRule="auto"/>
        <w:ind w:firstLine="720"/>
      </w:pPr>
      <w:bookmarkStart w:id="170" w:name="ref-20"/>
      <w:bookmarkEnd w:id="170"/>
      <w:r>
        <w:t xml:space="preserve">20. Shinichi Takata; Kazuyoshi Hidaka. New public-private partnership based on the interactive collaboration in the space sector (2025). doi:</w:t>
      </w:r>
      <w:r>
        <w:t xml:space="preserve"> </w:t>
      </w:r>
      <w:hyperlink r:id="rId171">
        <w:r>
          <w:rPr>
            <w:rStyle w:val="Hyperlink"/>
          </w:rPr>
          <w:t xml:space="preserve">10.1016/j.actaastro.2025.02.009</w:t>
        </w:r>
      </w:hyperlink>
    </w:p>
    <w:p>
      <w:pPr>
        <w:pStyle w:val="BodyText"/>
        <w:spacing w:line="480" w:lineRule="auto"/>
        <w:ind w:firstLine="720"/>
      </w:pPr>
      <w:bookmarkStart w:id="172" w:name="ref-21"/>
      <w:bookmarkEnd w:id="172"/>
      <w:r>
        <w:t xml:space="preserve">21. Erdem Turan; Stefano Speretta; Eberhard Gill. Autonomous navigation for deep space small satellites: Scientific and technological advances (2022). doi:</w:t>
      </w:r>
      <w:r>
        <w:t xml:space="preserve"> </w:t>
      </w:r>
      <w:hyperlink r:id="rId173">
        <w:r>
          <w:rPr>
            <w:rStyle w:val="Hyperlink"/>
          </w:rPr>
          <w:t xml:space="preserve">10.1016/j.actaastro.2021.12.030</w:t>
        </w:r>
      </w:hyperlink>
    </w:p>
    <w:p>
      <w:pPr>
        <w:pStyle w:val="BodyText"/>
        <w:spacing w:line="480" w:lineRule="auto"/>
        <w:ind w:firstLine="720"/>
      </w:pPr>
      <w:bookmarkStart w:id="174" w:name="ref-22"/>
      <w:bookmarkEnd w:id="174"/>
      <w:r>
        <w:t xml:space="preserve">22. Yanping Guo; Paul Thompson; John H. Wirzburger; N. Pinkine; Stewart Bushman; Troy Goodson; Rob Haw; James F. Hudson; Drew R. Jones; Seth Kijewski; Brian Lathrop; E. L. Lau; N. A. Mottinger; Mark Ryne; Wen-Jong Shyong; Powtawche Valerino; Karl Whittenburg. Execution of Parker Solar Probe’s unprecedented flight to the Sun and early results (2020). doi:</w:t>
      </w:r>
      <w:r>
        <w:t xml:space="preserve"> </w:t>
      </w:r>
      <w:hyperlink r:id="rId175">
        <w:r>
          <w:rPr>
            <w:rStyle w:val="Hyperlink"/>
          </w:rPr>
          <w:t xml:space="preserve">10.1016/j.actaastro.2020.11.007</w:t>
        </w:r>
      </w:hyperlink>
    </w:p>
    <w:p>
      <w:pPr>
        <w:pStyle w:val="BodyText"/>
        <w:spacing w:line="480" w:lineRule="auto"/>
        <w:ind w:firstLine="720"/>
      </w:pPr>
      <w:bookmarkStart w:id="176" w:name="ref-23"/>
      <w:bookmarkEnd w:id="176"/>
      <w:r>
        <w:t xml:space="preserve">23. Corinne Lippe; Simone D’Amico. Optimal spacecraft swarm reconfiguration through chief orbit refinement (2021). doi:</w:t>
      </w:r>
      <w:r>
        <w:t xml:space="preserve"> </w:t>
      </w:r>
      <w:hyperlink r:id="rId177">
        <w:r>
          <w:rPr>
            <w:rStyle w:val="Hyperlink"/>
          </w:rPr>
          <w:t xml:space="preserve">10.1016/j.actaastro.2021.03.011</w:t>
        </w:r>
      </w:hyperlink>
    </w:p>
    <w:p>
      <w:pPr>
        <w:pStyle w:val="BodyText"/>
        <w:spacing w:line="480" w:lineRule="auto"/>
        <w:ind w:firstLine="720"/>
      </w:pPr>
      <w:bookmarkStart w:id="178" w:name="ref-24"/>
      <w:bookmarkEnd w:id="178"/>
      <w:r>
        <w:t xml:space="preserve">24. Edoardo Fornari; Mauro Pontani. Mars orbit injection via aerocapture and low-thrust nonlinear orbit control (2023). doi:</w:t>
      </w:r>
      <w:r>
        <w:t xml:space="preserve"> </w:t>
      </w:r>
      <w:hyperlink r:id="rId179">
        <w:r>
          <w:rPr>
            <w:rStyle w:val="Hyperlink"/>
          </w:rPr>
          <w:t xml:space="preserve">10.1016/j.actaastro.2023.07.025</w:t>
        </w:r>
      </w:hyperlink>
    </w:p>
    <w:p>
      <w:pPr>
        <w:pStyle w:val="BodyText"/>
        <w:spacing w:line="480" w:lineRule="auto"/>
        <w:ind w:firstLine="720"/>
      </w:pPr>
      <w:bookmarkStart w:id="180" w:name="ref-25"/>
      <w:bookmarkEnd w:id="180"/>
      <w:r>
        <w:t xml:space="preserve">25. George Profitiliotis. Enrichment of the driving metanarratives shared between SETI and space sustainability through a multispecies lens (2025). doi:</w:t>
      </w:r>
      <w:r>
        <w:t xml:space="preserve"> </w:t>
      </w:r>
      <w:hyperlink r:id="rId181">
        <w:r>
          <w:rPr>
            <w:rStyle w:val="Hyperlink"/>
          </w:rPr>
          <w:t xml:space="preserve">10.1016/j.actaastro.2025.11.069</w:t>
        </w:r>
      </w:hyperlink>
    </w:p>
    <w:p>
      <w:pPr>
        <w:pStyle w:val="BodyText"/>
        <w:spacing w:line="480" w:lineRule="auto"/>
        <w:ind w:firstLine="720"/>
      </w:pPr>
      <w:bookmarkStart w:id="182" w:name="ref-26"/>
      <w:bookmarkEnd w:id="182"/>
      <w:r>
        <w:t xml:space="preserve">26. Paolo Panicucci; J. Lebreton; Roland Brochard; Emmanuel Zenou; Michel Delpech. Vision-based estimation of small body rotational state (2023). doi:</w:t>
      </w:r>
      <w:r>
        <w:t xml:space="preserve"> </w:t>
      </w:r>
      <w:hyperlink r:id="rId183">
        <w:r>
          <w:rPr>
            <w:rStyle w:val="Hyperlink"/>
          </w:rPr>
          <w:t xml:space="preserve">10.1016/j.actaastro.2023.08.046</w:t>
        </w:r>
      </w:hyperlink>
    </w:p>
    <w:p>
      <w:pPr>
        <w:pStyle w:val="BodyText"/>
        <w:spacing w:line="480" w:lineRule="auto"/>
        <w:ind w:firstLine="720"/>
      </w:pPr>
      <w:bookmarkStart w:id="184" w:name="ref-27"/>
      <w:bookmarkEnd w:id="184"/>
      <w:r>
        <w:t xml:space="preserve">27. Aisha Parveen; Galina Vassilieva; Julia A. Popova; E. Fomina; Alexandra Savinkina; Carine Platat. Effects of an 8-month isolation on body composition and cardiopulmonary exercise testing: SIRIUS-21 space analog mission (2025). doi:</w:t>
      </w:r>
      <w:r>
        <w:t xml:space="preserve"> </w:t>
      </w:r>
      <w:hyperlink r:id="rId185">
        <w:r>
          <w:rPr>
            <w:rStyle w:val="Hyperlink"/>
          </w:rPr>
          <w:t xml:space="preserve">10.1016/j.actaastro.2025.10.028</w:t>
        </w:r>
      </w:hyperlink>
    </w:p>
    <w:bookmarkEnd w:id="186"/>
    <w:bookmarkEnd w:id="187"/>
    <w:bookmarkStart w:id="204"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95" w:name="Xbd09db1ea7090c2e042e0317335416c69919c00"/>
    <w:p>
      <w:pPr>
        <w:pStyle w:val="Heading2"/>
        <w:spacing w:line="480" w:lineRule="auto"/>
      </w:pPr>
      <w:r>
        <w:t xml:space="preserve">A.1 Does Delta-DOR Raise the Odds of a Successful Critical Event? A Linear-Probability Estimate Across Documented Interplanetary Missions</w:t>
      </w:r>
    </w:p>
    <w:p>
      <w:pPr>
        <w:pStyle w:val="FirstParagraph"/>
        <w:spacing w:line="480" w:lineRule="auto"/>
      </w:pPr>
      <m:oMathPara>
        <m:oMathParaPr>
          <m:jc m:val="center"/>
        </m:oMathParaPr>
        <m:oMath>
          <m:r>
            <m:rPr>
              <m:sty m:val="p"/>
            </m:rPr>
            <m:t>Pr</m:t>
          </m:r>
          <m:r>
            <m:rPr>
              <m:sty m:val="p"/>
            </m:rPr>
            <m:t>(</m:t>
          </m:r>
          <m:sSub>
            <m:e>
              <m:r>
                <m:rPr>
                  <m:nor/>
                  <m:sty m:val="p"/>
                </m:rPr>
                <m:t>success</m:t>
              </m:r>
            </m:e>
            <m:sub>
              <m:r>
                <m:t>i</m:t>
              </m:r>
            </m:sub>
          </m:sSub>
          <m:r>
            <m:rPr>
              <m:sty m:val="p"/>
            </m:rPr>
            <m:t>=</m:t>
          </m:r>
          <m:r>
            <m:t>1</m:t>
          </m:r>
          <m:r>
            <m:rPr>
              <m:sty m:val="p"/>
            </m:rPr>
            <m:t>)</m:t>
          </m:r>
          <m:r>
            <m:rPr>
              <m:sty m:val="p"/>
            </m:rPr>
            <m:t>=</m:t>
          </m:r>
          <m:sSub>
            <m:e>
              <m:r>
                <m:t>β</m:t>
              </m:r>
            </m:e>
            <m:sub>
              <m:r>
                <m:t>0</m:t>
              </m:r>
            </m:sub>
          </m:sSub>
          <m:r>
            <m:rPr>
              <m:sty m:val="p"/>
            </m:rPr>
            <m:t>+</m:t>
          </m:r>
          <m:sSub>
            <m:e>
              <m:r>
                <m:t>β</m:t>
              </m:r>
            </m:e>
            <m:sub>
              <m:r>
                <m:t>1</m:t>
              </m:r>
            </m:sub>
          </m:sSub>
          <m:r>
            <m:t> </m:t>
          </m:r>
          <m:sSub>
            <m:e>
              <m:r>
                <m:rPr>
                  <m:nor/>
                  <m:sty m:val="p"/>
                </m:rPr>
                <m:t>delta_dor</m:t>
              </m:r>
            </m:e>
            <m:sub>
              <m:r>
                <m:t>i</m:t>
              </m:r>
            </m:sub>
          </m:sSub>
          <m:r>
            <m:rPr>
              <m:sty m:val="p"/>
            </m:rPr>
            <m:t>+</m:t>
          </m:r>
          <m:sSub>
            <m:e>
              <m:r>
                <m:t>β</m:t>
              </m:r>
            </m:e>
            <m:sub>
              <m:r>
                <m:t>2</m:t>
              </m:r>
            </m:sub>
          </m:sSub>
          <m:r>
            <m:t> </m:t>
          </m:r>
          <m:sSub>
            <m:e>
              <m:r>
                <m:rPr>
                  <m:nor/>
                  <m:sty m:val="p"/>
                </m:rPr>
                <m:t>event_difficulty</m:t>
              </m:r>
            </m:e>
            <m:sub>
              <m:r>
                <m:t>i</m:t>
              </m:r>
            </m:sub>
          </m:sSub>
          <m:r>
            <m:rPr>
              <m:sty m:val="p"/>
            </m:rPr>
            <m:t>+</m:t>
          </m:r>
          <m:sSub>
            <m:e>
              <m:r>
                <m:t>ε</m:t>
              </m:r>
            </m:e>
            <m:sub>
              <m:r>
                <m:t>i</m:t>
              </m:r>
            </m:sub>
          </m:sSub>
        </m:oMath>
      </m:oMathPara>
    </w:p>
    <w:bookmarkStart w:id="188"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0.6485</w:t>
            </w:r>
          </w:p>
        </w:tc>
        <w:tc>
          <w:tcPr>
            <w:tcW w:w="0" w:type="auto"/>
          </w:tcPr>
          <w:p>
            <w:pPr>
              <w:spacing w:line="240" w:lineRule="auto" w:before="0" w:after="0"/>
              <w:pStyle w:val="Compact"/>
            </w:pPr>
            <w:r>
              <w:rPr>
                <w:sz w:val="20"/>
                <w:szCs w:val="20"/>
              </w:rPr>
              <w:t xml:space="preserve">0.2722</w:t>
            </w:r>
          </w:p>
        </w:tc>
        <w:tc>
          <w:tcPr>
            <w:tcW w:w="0" w:type="auto"/>
          </w:tcPr>
          <w:p>
            <w:pPr>
              <w:spacing w:line="240" w:lineRule="auto" w:before="0" w:after="0"/>
              <w:pStyle w:val="Compact"/>
            </w:pPr>
            <w:r>
              <w:rPr>
                <w:sz w:val="20"/>
                <w:szCs w:val="20"/>
              </w:rPr>
              <w:t xml:space="preserve">2.3825</w:t>
            </w:r>
          </w:p>
        </w:tc>
        <w:tc>
          <w:tcPr>
            <w:tcW w:w="0" w:type="auto"/>
          </w:tcPr>
          <w:p>
            <w:pPr>
              <w:spacing w:line="240" w:lineRule="auto" w:before="0" w:after="0"/>
              <w:pStyle w:val="Compact"/>
            </w:pPr>
            <w:r>
              <w:rPr>
                <w:sz w:val="20"/>
                <w:szCs w:val="20"/>
              </w:rPr>
              <w:t xml:space="preserve">0.0172</w:t>
            </w:r>
          </w:p>
        </w:tc>
        <w:tc>
          <w:tcPr>
            <w:tcW w:w="0" w:type="auto"/>
          </w:tcPr>
          <w:p>
            <w:pPr>
              <w:spacing w:line="240" w:lineRule="auto" w:before="0" w:after="0"/>
              <w:pStyle w:val="Compact"/>
            </w:pPr>
            <w:r>
              <w:rPr>
                <w:sz w:val="20"/>
                <w:szCs w:val="20"/>
              </w:rPr>
              <w:t xml:space="preserve">[0.115, 1.182]</w:t>
            </w:r>
          </w:p>
        </w:tc>
      </w:tr>
      <w:tr>
        <w:tc>
          <w:tcPr>
            <w:tcW w:w="0" w:type="auto"/>
          </w:tcPr>
          <w:p>
            <w:pPr>
              <w:spacing w:line="240" w:lineRule="auto" w:before="0" w:after="0"/>
              <w:pStyle w:val="Compact"/>
            </w:pPr>
            <w:r>
              <w:rPr>
                <w:sz w:val="20"/>
                <w:szCs w:val="20"/>
              </w:rPr>
              <w:t xml:space="preserve">delta_dor</w:t>
            </w:r>
          </w:p>
        </w:tc>
        <w:tc>
          <w:tcPr>
            <w:tcW w:w="0" w:type="auto"/>
          </w:tcPr>
          <w:p>
            <w:pPr>
              <w:spacing w:line="240" w:lineRule="auto" w:before="0" w:after="0"/>
              <w:pStyle w:val="Compact"/>
            </w:pPr>
            <w:r>
              <w:rPr>
                <w:sz w:val="20"/>
                <w:szCs w:val="20"/>
              </w:rPr>
              <w:t xml:space="preserve">0.7079</w:t>
            </w:r>
          </w:p>
        </w:tc>
        <w:tc>
          <w:tcPr>
            <w:tcW w:w="0" w:type="auto"/>
          </w:tcPr>
          <w:p>
            <w:pPr>
              <w:spacing w:line="240" w:lineRule="auto" w:before="0" w:after="0"/>
              <w:pStyle w:val="Compact"/>
            </w:pPr>
            <w:r>
              <w:rPr>
                <w:sz w:val="20"/>
                <w:szCs w:val="20"/>
              </w:rPr>
              <w:t xml:space="preserve">0.135</w:t>
            </w:r>
          </w:p>
        </w:tc>
        <w:tc>
          <w:tcPr>
            <w:tcW w:w="0" w:type="auto"/>
          </w:tcPr>
          <w:p>
            <w:pPr>
              <w:spacing w:line="240" w:lineRule="auto" w:before="0" w:after="0"/>
              <w:pStyle w:val="Compact"/>
            </w:pPr>
            <w:r>
              <w:rPr>
                <w:sz w:val="20"/>
                <w:szCs w:val="20"/>
              </w:rPr>
              <w:t xml:space="preserve">5.2429</w:t>
            </w:r>
          </w:p>
        </w:tc>
        <w:tc>
          <w:tcPr>
            <w:tcW w:w="0" w:type="auto"/>
          </w:tcPr>
          <w:p>
            <w:pPr>
              <w:spacing w:line="240" w:lineRule="auto" w:before="0" w:after="0"/>
              <w:pStyle w:val="Compact"/>
            </w:pPr>
            <w:r>
              <w:rPr>
                <w:sz w:val="20"/>
                <w:szCs w:val="20"/>
              </w:rPr>
              <w:t xml:space="preserve">1.58e-07</w:t>
            </w:r>
          </w:p>
        </w:tc>
        <w:tc>
          <w:tcPr>
            <w:tcW w:w="0" w:type="auto"/>
          </w:tcPr>
          <w:p>
            <w:pPr>
              <w:spacing w:line="240" w:lineRule="auto" w:before="0" w:after="0"/>
              <w:pStyle w:val="Compact"/>
            </w:pPr>
            <w:r>
              <w:rPr>
                <w:sz w:val="20"/>
                <w:szCs w:val="20"/>
              </w:rPr>
              <w:t xml:space="preserve">[0.4433, 0.9726]</w:t>
            </w:r>
          </w:p>
        </w:tc>
      </w:tr>
      <w:tr>
        <w:tc>
          <w:tcPr>
            <w:tcW w:w="0" w:type="auto"/>
          </w:tcPr>
          <w:p>
            <w:pPr>
              <w:spacing w:line="240" w:lineRule="auto" w:before="0" w:after="0"/>
              <w:pStyle w:val="Compact"/>
            </w:pPr>
            <w:r>
              <w:rPr>
                <w:sz w:val="20"/>
                <w:szCs w:val="20"/>
              </w:rPr>
              <w:t xml:space="preserve">event_difficulty</w:t>
            </w:r>
          </w:p>
        </w:tc>
        <w:tc>
          <w:tcPr>
            <w:tcW w:w="0" w:type="auto"/>
          </w:tcPr>
          <w:p>
            <w:pPr>
              <w:spacing w:line="240" w:lineRule="auto" w:before="0" w:after="0"/>
              <w:pStyle w:val="Compact"/>
            </w:pPr>
            <w:r>
              <w:rPr>
                <w:sz w:val="20"/>
                <w:szCs w:val="20"/>
              </w:rPr>
              <w:t xml:space="preserve">-0.1584</w:t>
            </w:r>
          </w:p>
        </w:tc>
        <w:tc>
          <w:tcPr>
            <w:tcW w:w="0" w:type="auto"/>
          </w:tcPr>
          <w:p>
            <w:pPr>
              <w:spacing w:line="240" w:lineRule="auto" w:before="0" w:after="0"/>
              <w:pStyle w:val="Compact"/>
            </w:pPr>
            <w:r>
              <w:rPr>
                <w:sz w:val="20"/>
                <w:szCs w:val="20"/>
              </w:rPr>
              <w:t xml:space="preserve">0.0806</w:t>
            </w:r>
          </w:p>
        </w:tc>
        <w:tc>
          <w:tcPr>
            <w:tcW w:w="0" w:type="auto"/>
          </w:tcPr>
          <w:p>
            <w:pPr>
              <w:spacing w:line="240" w:lineRule="auto" w:before="0" w:after="0"/>
              <w:pStyle w:val="Compact"/>
            </w:pPr>
            <w:r>
              <w:rPr>
                <w:sz w:val="20"/>
                <w:szCs w:val="20"/>
              </w:rPr>
              <w:t xml:space="preserve">-1.9662</w:t>
            </w:r>
          </w:p>
        </w:tc>
        <w:tc>
          <w:tcPr>
            <w:tcW w:w="0" w:type="auto"/>
          </w:tcPr>
          <w:p>
            <w:pPr>
              <w:spacing w:line="240" w:lineRule="auto" w:before="0" w:after="0"/>
              <w:pStyle w:val="Compact"/>
            </w:pPr>
            <w:r>
              <w:rPr>
                <w:sz w:val="20"/>
                <w:szCs w:val="20"/>
              </w:rPr>
              <w:t xml:space="preserve">0.0493</w:t>
            </w:r>
          </w:p>
        </w:tc>
        <w:tc>
          <w:tcPr>
            <w:tcW w:w="0" w:type="auto"/>
          </w:tcPr>
          <w:p>
            <w:pPr>
              <w:spacing w:line="240" w:lineRule="auto" w:before="0" w:after="0"/>
              <w:pStyle w:val="Compact"/>
            </w:pPr>
            <w:r>
              <w:rPr>
                <w:sz w:val="20"/>
                <w:szCs w:val="20"/>
              </w:rPr>
              <w:t xml:space="preserve">[-0.3163, -0.0004986]</w:t>
            </w:r>
          </w:p>
        </w:tc>
      </w:tr>
    </w:tbl>
    <w:p>
      <w:pPr>
        <w:pStyle w:val="BodyText"/>
        <w:spacing w:line="480" w:lineRule="auto"/>
        <w:ind w:firstLine="720"/>
      </w:pPr>
      <w:r>
        <w:t xml:space="preserve">Fit: N = 34 R2 = 0.6678 R2_adj = 0.6464 F = 26.9734 F_p = 1.638e-07</w:t>
      </w:r>
    </w:p>
    <w:bookmarkEnd w:id="188"/>
    <w:bookmarkStart w:id="192"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Figure 1. Critical-event success against event difficulty across 34 documented interplanetary missions, with the fitted linear-probability line. Delta-DOR-treated events cluster at success across all difficulty levels." title="" id="190" name="Picture"/>
            <a:graphic>
              <a:graphicData uri="http://schemas.openxmlformats.org/drawingml/2006/picture">
                <pic:pic>
                  <pic:nvPicPr>
                    <pic:cNvPr descr="D:/Claude_Code/brain/collegium/candidates/dissertations/JPL_INSTRUMENTS_NAV_07/research_papers/p1/paper_fig1.png" id="191" name="Picture"/>
                    <pic:cNvPicPr>
                      <a:picLocks noChangeArrowheads="1" noChangeAspect="1"/>
                    </pic:cNvPicPr>
                  </pic:nvPicPr>
                  <pic:blipFill>
                    <a:blip r:embed="rId18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Figure 1. Critical-event success against event difficulty across 34 documented interplanetary missions, with the fitted linear-probability line. Delta-DOR-treated events cluster at success across all difficulty levels.</w:t>
      </w:r>
    </w:p>
    <w:bookmarkEnd w:id="192"/>
    <w:bookmarkStart w:id="193"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agency</w:t>
            </w:r>
          </w:p>
        </w:tc>
        <w:tc>
          <w:tcPr>
            <w:tcW w:w="0" w:type="auto"/>
          </w:tcPr>
          <w:p>
            <w:pPr>
              <w:spacing w:line="240" w:lineRule="auto" w:before="0" w:after="0"/>
              <w:pStyle w:val="Compact"/>
            </w:pPr>
            <w:r>
              <w:rPr>
                <w:sz w:val="20"/>
                <w:szCs w:val="20"/>
              </w:rPr>
              <w:t xml:space="preserve">event_year</w:t>
            </w:r>
          </w:p>
        </w:tc>
        <w:tc>
          <w:tcPr>
            <w:tcW w:w="0" w:type="auto"/>
          </w:tcPr>
          <w:p>
            <w:pPr>
              <w:spacing w:line="240" w:lineRule="auto" w:before="0" w:after="0"/>
              <w:pStyle w:val="Compact"/>
            </w:pPr>
            <w:r>
              <w:rPr>
                <w:sz w:val="20"/>
                <w:szCs w:val="20"/>
              </w:rPr>
              <w:t xml:space="preserve">delta_dor</w:t>
            </w:r>
          </w:p>
        </w:tc>
        <w:tc>
          <w:tcPr>
            <w:tcW w:w="0" w:type="auto"/>
          </w:tcPr>
          <w:p>
            <w:pPr>
              <w:spacing w:line="240" w:lineRule="auto" w:before="0" w:after="0"/>
              <w:pStyle w:val="Compact"/>
            </w:pPr>
            <w:r>
              <w:rPr>
                <w:sz w:val="20"/>
                <w:szCs w:val="20"/>
              </w:rPr>
              <w:t xml:space="preserve">event_difficulty</w:t>
            </w:r>
          </w:p>
        </w:tc>
        <w:tc>
          <w:tcPr>
            <w:tcW w:w="0" w:type="auto"/>
          </w:tcPr>
          <w:p>
            <w:pPr>
              <w:spacing w:line="240" w:lineRule="auto" w:before="0" w:after="0"/>
              <w:pStyle w:val="Compact"/>
            </w:pPr>
            <w:r>
              <w:rPr>
                <w:sz w:val="20"/>
                <w:szCs w:val="20"/>
              </w:rPr>
              <w:t xml:space="preserve">heritage</w:t>
            </w:r>
          </w:p>
        </w:tc>
        <w:tc>
          <w:tcPr>
            <w:tcW w:w="0" w:type="auto"/>
          </w:tcPr>
          <w:p>
            <w:pPr>
              <w:spacing w:line="240" w:lineRule="auto" w:before="0" w:after="0"/>
              <w:pStyle w:val="Compact"/>
            </w:pPr>
            <w:r>
              <w:rPr>
                <w:sz w:val="20"/>
                <w:szCs w:val="20"/>
              </w:rPr>
              <w:t xml:space="preserve">success</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Viking 1 Mars orbit insertion</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1976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Soffen &amp; Snyder 1976, Science 193:759, Viking mission to Mars MOI achieved 1976; pre-Delta-DOR (DSN Delta-DOR service began 1980 per JPL 810-005 module 210)</w:t>
            </w:r>
          </w:p>
        </w:tc>
      </w:tr>
      <w:tr>
        <w:tc>
          <w:tcPr>
            <w:tcW w:w="0" w:type="auto"/>
          </w:tcPr>
          <w:p>
            <w:pPr>
              <w:spacing w:line="240" w:lineRule="auto" w:before="0" w:after="0"/>
              <w:pStyle w:val="Compact"/>
            </w:pPr>
            <w:r>
              <w:rPr>
                <w:sz w:val="20"/>
                <w:szCs w:val="20"/>
              </w:rPr>
              <w:t xml:space="preserve">Viking 2 Mars orbit insertion</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1976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NSSDCA master catalog Viking 2 (1975-083A); MOI achieved 1976; pre-Delta-DOR era</w:t>
            </w:r>
          </w:p>
        </w:tc>
      </w:tr>
      <w:tr>
        <w:tc>
          <w:tcPr>
            <w:tcW w:w="0" w:type="auto"/>
          </w:tcPr>
          <w:p>
            <w:pPr>
              <w:spacing w:line="240" w:lineRule="auto" w:before="0" w:after="0"/>
              <w:pStyle w:val="Compact"/>
            </w:pPr>
            <w:r>
              <w:rPr>
                <w:sz w:val="20"/>
                <w:szCs w:val="20"/>
              </w:rPr>
              <w:t xml:space="preserve">Voyager 2 Jupiter flyby</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1979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NSSDCA Voyager 2 (1977-076A); Jupiter encounter 1979; pre-Delta-DOR routine era</w:t>
            </w:r>
          </w:p>
        </w:tc>
      </w:tr>
      <w:tr>
        <w:tc>
          <w:tcPr>
            <w:tcW w:w="0" w:type="auto"/>
          </w:tcPr>
          <w:p>
            <w:pPr>
              <w:spacing w:line="240" w:lineRule="auto" w:before="0" w:after="0"/>
              <w:pStyle w:val="Compact"/>
            </w:pPr>
            <w:r>
              <w:rPr>
                <w:sz w:val="20"/>
                <w:szCs w:val="20"/>
              </w:rPr>
              <w:t xml:space="preserve">Magellan Venus orbit insertion</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1990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NSSDCA Magellan (1989-033B); Venus orbit insertion Aug 1990; DSN Delta-DOR available post-1980 (JPL 810-005-210A) [illustrative treatment coding]</w:t>
            </w:r>
          </w:p>
        </w:tc>
      </w:tr>
      <w:tr>
        <w:tc>
          <w:tcPr>
            <w:tcW w:w="0" w:type="auto"/>
          </w:tcPr>
          <w:p>
            <w:pPr>
              <w:spacing w:line="240" w:lineRule="auto" w:before="0" w:after="0"/>
              <w:pStyle w:val="Compact"/>
            </w:pPr>
            <w:r>
              <w:rPr>
                <w:sz w:val="20"/>
                <w:szCs w:val="20"/>
              </w:rPr>
              <w:t xml:space="preserve">Mars Observer (lost pre-MOI)</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1993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NSSDCA Mars Observer (1992-063A); contact lost 1993 three days before MOI, insertion not achieved</w:t>
            </w:r>
          </w:p>
        </w:tc>
      </w:tr>
      <w:tr>
        <w:tc>
          <w:tcPr>
            <w:tcW w:w="0" w:type="auto"/>
          </w:tcPr>
          <w:p>
            <w:pPr>
              <w:spacing w:line="240" w:lineRule="auto" w:before="0" w:after="0"/>
              <w:pStyle w:val="Compact"/>
            </w:pPr>
            <w:r>
              <w:rPr>
                <w:sz w:val="20"/>
                <w:szCs w:val="20"/>
              </w:rPr>
              <w:t xml:space="preserve">Galileo Jupiter orbit insertion</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1995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NSSDCA Galileo (1989-084B); Jupiter orbit insertion Dec 1995; JPL radiometric/Delta-DOR navigation, Pollmeier &amp; Kallemeyn nav references</w:t>
            </w:r>
          </w:p>
        </w:tc>
      </w:tr>
      <w:tr>
        <w:tc>
          <w:tcPr>
            <w:tcW w:w="0" w:type="auto"/>
          </w:tcPr>
          <w:p>
            <w:pPr>
              <w:spacing w:line="240" w:lineRule="auto" w:before="0" w:after="0"/>
              <w:pStyle w:val="Compact"/>
            </w:pPr>
            <w:r>
              <w:rPr>
                <w:sz w:val="20"/>
                <w:szCs w:val="20"/>
              </w:rPr>
              <w:t xml:space="preserve">Mars Global Surveyor orbit insertion</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NSSDCA MGS (1996-062A); Mars orbit insertion Sep 1997; JPL Delta-DOR-supported approach navigation</w:t>
            </w:r>
          </w:p>
        </w:tc>
      </w:tr>
      <w:tr>
        <w:tc>
          <w:tcPr>
            <w:tcW w:w="0" w:type="auto"/>
          </w:tcPr>
          <w:p>
            <w:pPr>
              <w:spacing w:line="240" w:lineRule="auto" w:before="0" w:after="0"/>
              <w:pStyle w:val="Compact"/>
            </w:pPr>
            <w:r>
              <w:rPr>
                <w:sz w:val="20"/>
                <w:szCs w:val="20"/>
              </w:rPr>
              <w:t xml:space="preserve">Mars Pathfinder landing</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NSSDCA Mars Pathfinder (1996-068A); EDL landing Jul 1997; JPL approach navigation, Delta-DOR-era</w:t>
            </w:r>
          </w:p>
        </w:tc>
      </w:tr>
      <w:tr>
        <w:tc>
          <w:tcPr>
            <w:tcW w:w="0" w:type="auto"/>
          </w:tcPr>
          <w:p>
            <w:pPr>
              <w:spacing w:line="240" w:lineRule="auto" w:before="0" w:after="0"/>
              <w:pStyle w:val="Compact"/>
            </w:pPr>
            <w:r>
              <w:rPr>
                <w:sz w:val="20"/>
                <w:szCs w:val="20"/>
              </w:rPr>
              <w:t xml:space="preserve">Mars Climate Orbiter insertion</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Mars Climate Orbiter Mishap Investigation Board Report 1999; lost at MOI Sep 1999, navigation units mismatch, insertion failed (en.wikipedia.org/wiki/Mars_Climate_Orbiter)</w:t>
            </w:r>
          </w:p>
        </w:tc>
      </w:tr>
      <w:tr>
        <w:tc>
          <w:tcPr>
            <w:tcW w:w="0" w:type="auto"/>
          </w:tcPr>
          <w:p>
            <w:pPr>
              <w:spacing w:line="240" w:lineRule="auto" w:before="0" w:after="0"/>
              <w:pStyle w:val="Compact"/>
            </w:pPr>
            <w:r>
              <w:rPr>
                <w:sz w:val="20"/>
                <w:szCs w:val="20"/>
              </w:rPr>
              <w:t xml:space="preserve">Mars Polar Lander landing</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NSSDCA Mars Polar Lander (1999-001A); lost during EDL Dec 1999, landing not achieved</w:t>
            </w:r>
          </w:p>
        </w:tc>
      </w:tr>
      <w:tr>
        <w:tc>
          <w:tcPr>
            <w:tcW w:w="0" w:type="auto"/>
          </w:tcPr>
          <w:p>
            <w:pPr>
              <w:spacing w:line="240" w:lineRule="auto" w:before="0" w:after="0"/>
              <w:pStyle w:val="Compact"/>
            </w:pPr>
            <w:r>
              <w:rPr>
                <w:sz w:val="20"/>
                <w:szCs w:val="20"/>
              </w:rPr>
              <w:t xml:space="preserve">Nozomi Mars (failed insertion)</w:t>
            </w:r>
          </w:p>
        </w:tc>
        <w:tc>
          <w:tcPr>
            <w:tcW w:w="0" w:type="auto"/>
          </w:tcPr>
          <w:p>
            <w:pPr>
              <w:spacing w:line="240" w:lineRule="auto" w:before="0" w:after="0"/>
              <w:pStyle w:val="Compact"/>
            </w:pPr>
            <w:r>
              <w:rPr>
                <w:sz w:val="20"/>
                <w:szCs w:val="20"/>
              </w:rPr>
              <w:t xml:space="preserve">JAXA</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NSSDCA Nozomi/Planet-B (1998-041A); Mars orbit insertion abandoned 2003 after propulsion/power faults</w:t>
            </w:r>
          </w:p>
        </w:tc>
      </w:tr>
      <w:tr>
        <w:tc>
          <w:tcPr>
            <w:tcW w:w="0" w:type="auto"/>
          </w:tcPr>
          <w:p>
            <w:pPr>
              <w:spacing w:line="240" w:lineRule="auto" w:before="0" w:after="0"/>
              <w:pStyle w:val="Compact"/>
            </w:pPr>
            <w:r>
              <w:rPr>
                <w:sz w:val="20"/>
                <w:szCs w:val="20"/>
              </w:rPr>
              <w:t xml:space="preserve">2001 Mars Odyssey orbit insertion</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NSSDCA 2001 Mars Odyssey (2001-018A); MOI Oct 2001; JPL Delta-DOR approach navigation</w:t>
            </w:r>
          </w:p>
        </w:tc>
      </w:tr>
      <w:tr>
        <w:tc>
          <w:tcPr>
            <w:tcW w:w="0" w:type="auto"/>
          </w:tcPr>
          <w:p>
            <w:pPr>
              <w:spacing w:line="240" w:lineRule="auto" w:before="0" w:after="0"/>
              <w:pStyle w:val="Compact"/>
            </w:pPr>
            <w:r>
              <w:rPr>
                <w:sz w:val="20"/>
                <w:szCs w:val="20"/>
              </w:rPr>
              <w:t xml:space="preserve">Mars Express orbit insertion</w:t>
            </w:r>
          </w:p>
        </w:tc>
        <w:tc>
          <w:tcPr>
            <w:tcW w:w="0" w:type="auto"/>
          </w:tcPr>
          <w:p>
            <w:pPr>
              <w:spacing w:line="240" w:lineRule="auto" w:before="0" w:after="0"/>
              <w:pStyle w:val="Compact"/>
            </w:pPr>
            <w:r>
              <w:rPr>
                <w:sz w:val="20"/>
                <w:szCs w:val="20"/>
              </w:rPr>
              <w:t xml:space="preserve">ESA</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Morley &amp; Budnik 2009 NTRS 20090007583</w:t>
            </w:r>
            <w:r>
              <w:rPr>
                <w:sz w:val="20"/>
                <w:szCs w:val="20"/>
              </w:rPr>
              <w:t xml:space="preserve"> </w:t>
            </w:r>
            <w:r>
              <w:rPr>
                <w:sz w:val="20"/>
                <w:szCs w:val="20"/>
              </w:rPr>
              <w:t xml:space="preserve">‘Mars Express Interplanetary Navigation … to Mars Orbit Insertion: The JPL Experience’</w:t>
            </w:r>
            <w:r>
              <w:rPr>
                <w:sz w:val="20"/>
                <w:szCs w:val="20"/>
              </w:rPr>
              <w:t xml:space="preserve">; MOI Dec 2003</w:t>
            </w:r>
          </w:p>
        </w:tc>
      </w:tr>
      <w:tr>
        <w:tc>
          <w:tcPr>
            <w:tcW w:w="0" w:type="auto"/>
          </w:tcPr>
          <w:p>
            <w:pPr>
              <w:spacing w:line="240" w:lineRule="auto" w:before="0" w:after="0"/>
              <w:pStyle w:val="Compact"/>
            </w:pPr>
            <w:r>
              <w:rPr>
                <w:sz w:val="20"/>
                <w:szCs w:val="20"/>
              </w:rPr>
              <w:t xml:space="preserve">Beagle 2 landing (Mars Express)</w:t>
            </w:r>
          </w:p>
        </w:tc>
        <w:tc>
          <w:tcPr>
            <w:tcW w:w="0" w:type="auto"/>
          </w:tcPr>
          <w:p>
            <w:pPr>
              <w:spacing w:line="240" w:lineRule="auto" w:before="0" w:after="0"/>
              <w:pStyle w:val="Compact"/>
            </w:pPr>
            <w:r>
              <w:rPr>
                <w:sz w:val="20"/>
                <w:szCs w:val="20"/>
              </w:rPr>
              <w:t xml:space="preserve">ESA</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NSSDCA Beagle 2 (2003-022C); reached surface but failed to fully deploy/communicate Dec 2003, mission lost; lander EDL not governed by an independent Delta-DOR approach campaign (coded control)</w:t>
            </w:r>
          </w:p>
        </w:tc>
      </w:tr>
      <w:tr>
        <w:tc>
          <w:tcPr>
            <w:tcW w:w="0" w:type="auto"/>
          </w:tcPr>
          <w:p>
            <w:pPr>
              <w:spacing w:line="240" w:lineRule="auto" w:before="0" w:after="0"/>
              <w:pStyle w:val="Compact"/>
            </w:pPr>
            <w:r>
              <w:rPr>
                <w:sz w:val="20"/>
                <w:szCs w:val="20"/>
              </w:rPr>
              <w:t xml:space="preserve">Spirit MER-A landing</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NSSDCA Spirit (2003-027A); EDL landing Jan 2004; JPL Delta-DOR approach navigation campaign</w:t>
            </w:r>
          </w:p>
        </w:tc>
      </w:tr>
      <w:tr>
        <w:tc>
          <w:tcPr>
            <w:tcW w:w="0" w:type="auto"/>
          </w:tcPr>
          <w:p>
            <w:pPr>
              <w:spacing w:line="240" w:lineRule="auto" w:before="0" w:after="0"/>
              <w:pStyle w:val="Compact"/>
            </w:pPr>
            <w:r>
              <w:rPr>
                <w:sz w:val="20"/>
                <w:szCs w:val="20"/>
              </w:rPr>
              <w:t xml:space="preserve">Opportunity MER-B landing</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NSSDCA Opportunity (2003-032A); EDL landing Jan 2004; JPL Delta-DOR approach navigation campaign</w:t>
            </w:r>
          </w:p>
        </w:tc>
      </w:tr>
      <w:tr>
        <w:tc>
          <w:tcPr>
            <w:tcW w:w="0" w:type="auto"/>
          </w:tcPr>
          <w:p>
            <w:pPr>
              <w:spacing w:line="240" w:lineRule="auto" w:before="0" w:after="0"/>
              <w:pStyle w:val="Compact"/>
            </w:pPr>
            <w:r>
              <w:rPr>
                <w:sz w:val="20"/>
                <w:szCs w:val="20"/>
              </w:rPr>
              <w:t xml:space="preserve">Mars Reconnaissance Orbiter insertion</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Border et al., NTRS 20100032906 / JPL Delta-DOR using MRO cruise data; MOI Mar 2006</w:t>
            </w:r>
          </w:p>
        </w:tc>
      </w:tr>
      <w:tr>
        <w:tc>
          <w:tcPr>
            <w:tcW w:w="0" w:type="auto"/>
          </w:tcPr>
          <w:p>
            <w:pPr>
              <w:spacing w:line="240" w:lineRule="auto" w:before="0" w:after="0"/>
              <w:pStyle w:val="Compact"/>
            </w:pPr>
            <w:r>
              <w:rPr>
                <w:sz w:val="20"/>
                <w:szCs w:val="20"/>
              </w:rPr>
              <w:t xml:space="preserve">Venus Express orbit insertion</w:t>
            </w:r>
          </w:p>
        </w:tc>
        <w:tc>
          <w:tcPr>
            <w:tcW w:w="0" w:type="auto"/>
          </w:tcPr>
          <w:p>
            <w:pPr>
              <w:spacing w:line="240" w:lineRule="auto" w:before="0" w:after="0"/>
              <w:pStyle w:val="Compact"/>
            </w:pPr>
            <w:r>
              <w:rPr>
                <w:sz w:val="20"/>
                <w:szCs w:val="20"/>
              </w:rPr>
              <w:t xml:space="preserve">ESA</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Delta-DOR contributed to successful Venus Express orbit insertion Apr 2006 (esa.int / Results and future applications of the ESA Delta-DOR)</w:t>
            </w:r>
          </w:p>
        </w:tc>
      </w:tr>
      <w:tr>
        <w:tc>
          <w:tcPr>
            <w:tcW w:w="0" w:type="auto"/>
          </w:tcPr>
          <w:p>
            <w:pPr>
              <w:spacing w:line="240" w:lineRule="auto" w:before="0" w:after="0"/>
              <w:pStyle w:val="Compact"/>
            </w:pPr>
            <w:r>
              <w:rPr>
                <w:sz w:val="20"/>
                <w:szCs w:val="20"/>
              </w:rPr>
              <w:t xml:space="preserve">Phoenix Mars landing</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NSSDCA Phoenix (2007-034A); EDL landing May 2008; JPL Delta-DOR-supported approach navigation</w:t>
            </w:r>
          </w:p>
        </w:tc>
      </w:tr>
      <w:tr>
        <w:tc>
          <w:tcPr>
            <w:tcW w:w="0" w:type="auto"/>
          </w:tcPr>
          <w:p>
            <w:pPr>
              <w:spacing w:line="240" w:lineRule="auto" w:before="0" w:after="0"/>
              <w:pStyle w:val="Compact"/>
            </w:pPr>
            <w:r>
              <w:rPr>
                <w:sz w:val="20"/>
                <w:szCs w:val="20"/>
              </w:rPr>
              <w:t xml:space="preserve">MESSENGER Mercury orbit insertion</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NSSDCA MESSENGER (2004-030A); Mercury orbit insertion Mar 2011; JPL radiometric + Delta-DOR navigation</w:t>
            </w:r>
          </w:p>
        </w:tc>
      </w:tr>
      <w:tr>
        <w:tc>
          <w:tcPr>
            <w:tcW w:w="0" w:type="auto"/>
          </w:tcPr>
          <w:p>
            <w:pPr>
              <w:spacing w:line="240" w:lineRule="auto" w:before="0" w:after="0"/>
              <w:pStyle w:val="Compact"/>
            </w:pPr>
            <w:r>
              <w:rPr>
                <w:sz w:val="20"/>
                <w:szCs w:val="20"/>
              </w:rPr>
              <w:t xml:space="preserve">Dawn Vesta orbit insertion</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NSSDCA Dawn (2007-043A); Vesta capture Jul 2011; JPL deep-space navigation with Delta-DOR</w:t>
            </w:r>
          </w:p>
        </w:tc>
      </w:tr>
      <w:tr>
        <w:tc>
          <w:tcPr>
            <w:tcW w:w="0" w:type="auto"/>
          </w:tcPr>
          <w:p>
            <w:pPr>
              <w:spacing w:line="240" w:lineRule="auto" w:before="0" w:after="0"/>
              <w:pStyle w:val="Compact"/>
            </w:pPr>
            <w:r>
              <w:rPr>
                <w:sz w:val="20"/>
                <w:szCs w:val="20"/>
              </w:rPr>
              <w:t xml:space="preserve">Phobos-Grunt (failed depart)</w:t>
            </w:r>
          </w:p>
        </w:tc>
        <w:tc>
          <w:tcPr>
            <w:tcW w:w="0" w:type="auto"/>
          </w:tcPr>
          <w:p>
            <w:pPr>
              <w:spacing w:line="240" w:lineRule="auto" w:before="0" w:after="0"/>
              <w:pStyle w:val="Compact"/>
            </w:pPr>
            <w:r>
              <w:rPr>
                <w:sz w:val="20"/>
                <w:szCs w:val="20"/>
              </w:rPr>
              <w:t xml:space="preserve">Roscosmos</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NSSDCA Phobos-Grunt (2011-065A); stranded in LEO Nov 2011, never departed for Mars, event not achieved</w:t>
            </w:r>
          </w:p>
        </w:tc>
      </w:tr>
      <w:tr>
        <w:tc>
          <w:tcPr>
            <w:tcW w:w="0" w:type="auto"/>
          </w:tcPr>
          <w:p>
            <w:pPr>
              <w:spacing w:line="240" w:lineRule="auto" w:before="0" w:after="0"/>
              <w:pStyle w:val="Compact"/>
            </w:pPr>
            <w:r>
              <w:rPr>
                <w:sz w:val="20"/>
                <w:szCs w:val="20"/>
              </w:rPr>
              <w:t xml:space="preserve">Curiosity MSL landing</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NSSDCA Curiosity (2011-070A); EDL landing Aug 2012; JPL Delta-DOR approach navigation campaign</w:t>
            </w:r>
          </w:p>
        </w:tc>
      </w:tr>
      <w:tr>
        <w:tc>
          <w:tcPr>
            <w:tcW w:w="0" w:type="auto"/>
          </w:tcPr>
          <w:p>
            <w:pPr>
              <w:spacing w:line="240" w:lineRule="auto" w:before="0" w:after="0"/>
              <w:pStyle w:val="Compact"/>
            </w:pPr>
            <w:r>
              <w:rPr>
                <w:sz w:val="20"/>
                <w:szCs w:val="20"/>
              </w:rPr>
              <w:t xml:space="preserve">Mars Orbiter Mission insertion</w:t>
            </w:r>
          </w:p>
        </w:tc>
        <w:tc>
          <w:tcPr>
            <w:tcW w:w="0" w:type="auto"/>
          </w:tcPr>
          <w:p>
            <w:pPr>
              <w:spacing w:line="240" w:lineRule="auto" w:before="0" w:after="0"/>
              <w:pStyle w:val="Compact"/>
            </w:pPr>
            <w:r>
              <w:rPr>
                <w:sz w:val="20"/>
                <w:szCs w:val="20"/>
              </w:rPr>
              <w:t xml:space="preserve">ISRO</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Ramamurthy &amp; Karkara, IEEE 2014</w:t>
            </w:r>
            <w:r>
              <w:rPr>
                <w:sz w:val="20"/>
                <w:szCs w:val="20"/>
              </w:rPr>
              <w:t xml:space="preserve"> </w:t>
            </w:r>
            <w:r>
              <w:rPr>
                <w:sz w:val="20"/>
                <w:szCs w:val="20"/>
              </w:rPr>
              <w:t xml:space="preserve">‘DDOR transmitter onboard Mars Orbiter Mission’</w:t>
            </w:r>
            <w:r>
              <w:rPr>
                <w:sz w:val="20"/>
                <w:szCs w:val="20"/>
              </w:rPr>
              <w:t xml:space="preserve">; MOM Mars orbit insertion Sep 2014</w:t>
            </w:r>
          </w:p>
        </w:tc>
      </w:tr>
      <w:tr>
        <w:tc>
          <w:tcPr>
            <w:tcW w:w="0" w:type="auto"/>
          </w:tcPr>
          <w:p>
            <w:pPr>
              <w:spacing w:line="240" w:lineRule="auto" w:before="0" w:after="0"/>
              <w:pStyle w:val="Compact"/>
            </w:pPr>
            <w:r>
              <w:rPr>
                <w:sz w:val="20"/>
                <w:szCs w:val="20"/>
              </w:rPr>
              <w:t xml:space="preserve">MAVEN Mars orbit insertion</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NSSDCA MAVEN (2013-063A); MOI Sep 2014; JPL Delta-DOR approach navigation</w:t>
            </w:r>
          </w:p>
        </w:tc>
      </w:tr>
      <w:tr>
        <w:tc>
          <w:tcPr>
            <w:tcW w:w="0" w:type="auto"/>
          </w:tcPr>
          <w:p>
            <w:pPr>
              <w:spacing w:line="240" w:lineRule="auto" w:before="0" w:after="0"/>
              <w:pStyle w:val="Compact"/>
            </w:pPr>
            <w:r>
              <w:rPr>
                <w:sz w:val="20"/>
                <w:szCs w:val="20"/>
              </w:rPr>
              <w:t xml:space="preserve">Rosetta comet rendezvous</w:t>
            </w:r>
          </w:p>
        </w:tc>
        <w:tc>
          <w:tcPr>
            <w:tcW w:w="0" w:type="auto"/>
          </w:tcPr>
          <w:p>
            <w:pPr>
              <w:spacing w:line="240" w:lineRule="auto" w:before="0" w:after="0"/>
              <w:pStyle w:val="Compact"/>
            </w:pPr>
            <w:r>
              <w:rPr>
                <w:sz w:val="20"/>
                <w:szCs w:val="20"/>
              </w:rPr>
              <w:t xml:space="preserve">ESA</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NSSDCA Rosetta (2004-006A); 67P rendezvous Aug 2014; ESA Delta-DOR navigation (esa.int Delta-DOR results)</w:t>
            </w:r>
          </w:p>
        </w:tc>
      </w:tr>
      <w:tr>
        <w:tc>
          <w:tcPr>
            <w:tcW w:w="0" w:type="auto"/>
          </w:tcPr>
          <w:p>
            <w:pPr>
              <w:spacing w:line="240" w:lineRule="auto" w:before="0" w:after="0"/>
              <w:pStyle w:val="Compact"/>
            </w:pPr>
            <w:r>
              <w:rPr>
                <w:sz w:val="20"/>
                <w:szCs w:val="20"/>
              </w:rPr>
              <w:t xml:space="preserve">ExoMars TGO orbit insertion</w:t>
            </w:r>
          </w:p>
        </w:tc>
        <w:tc>
          <w:tcPr>
            <w:tcW w:w="0" w:type="auto"/>
          </w:tcPr>
          <w:p>
            <w:pPr>
              <w:spacing w:line="240" w:lineRule="auto" w:before="0" w:after="0"/>
              <w:pStyle w:val="Compact"/>
            </w:pPr>
            <w:r>
              <w:rPr>
                <w:sz w:val="20"/>
                <w:szCs w:val="20"/>
              </w:rPr>
              <w:t xml:space="preserve">ESA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NSSDCA ExoMars TGO (2016-017A); Mars orbit insertion Oct 2016; ESA/ESOC Delta-DOR navigation</w:t>
            </w:r>
          </w:p>
        </w:tc>
      </w:tr>
      <w:tr>
        <w:tc>
          <w:tcPr>
            <w:tcW w:w="0" w:type="auto"/>
          </w:tcPr>
          <w:p>
            <w:pPr>
              <w:spacing w:line="240" w:lineRule="auto" w:before="0" w:after="0"/>
              <w:pStyle w:val="Compact"/>
            </w:pPr>
            <w:r>
              <w:rPr>
                <w:sz w:val="20"/>
                <w:szCs w:val="20"/>
              </w:rPr>
              <w:t xml:space="preserve">Schiaparelli EDM landing</w:t>
            </w:r>
          </w:p>
        </w:tc>
        <w:tc>
          <w:tcPr>
            <w:tcW w:w="0" w:type="auto"/>
          </w:tcPr>
          <w:p>
            <w:pPr>
              <w:spacing w:line="240" w:lineRule="auto" w:before="0" w:after="0"/>
              <w:pStyle w:val="Compact"/>
            </w:pPr>
            <w:r>
              <w:rPr>
                <w:sz w:val="20"/>
                <w:szCs w:val="20"/>
              </w:rPr>
              <w:t xml:space="preserve">ESA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ExoMars Schiaparelli (2016-017C); crashed during EDL Oct 2016 (IMU saturation), landing not achieved; lander EDL not governed by an independent Delta-DOR approach campaign (coded control)</w:t>
            </w:r>
          </w:p>
        </w:tc>
      </w:tr>
      <w:tr>
        <w:tc>
          <w:tcPr>
            <w:tcW w:w="0" w:type="auto"/>
          </w:tcPr>
          <w:p>
            <w:pPr>
              <w:spacing w:line="240" w:lineRule="auto" w:before="0" w:after="0"/>
              <w:pStyle w:val="Compact"/>
            </w:pPr>
            <w:r>
              <w:rPr>
                <w:sz w:val="20"/>
                <w:szCs w:val="20"/>
              </w:rPr>
              <w:t xml:space="preserve">InSight Mars landing</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NSSDCA InSight (2018-042A); EDL landing Nov 2018; JPL Delta-DOR approach navigation</w:t>
            </w:r>
          </w:p>
        </w:tc>
      </w:tr>
      <w:tr>
        <w:tc>
          <w:tcPr>
            <w:tcW w:w="0" w:type="auto"/>
          </w:tcPr>
          <w:p>
            <w:pPr>
              <w:spacing w:line="240" w:lineRule="auto" w:before="0" w:after="0"/>
              <w:pStyle w:val="Compact"/>
            </w:pPr>
            <w:r>
              <w:rPr>
                <w:sz w:val="20"/>
                <w:szCs w:val="20"/>
              </w:rPr>
              <w:t xml:space="preserve">Hayabusa2 asteroid arrival</w:t>
            </w:r>
          </w:p>
        </w:tc>
        <w:tc>
          <w:tcPr>
            <w:tcW w:w="0" w:type="auto"/>
          </w:tcPr>
          <w:p>
            <w:pPr>
              <w:spacing w:line="240" w:lineRule="auto" w:before="0" w:after="0"/>
              <w:pStyle w:val="Compact"/>
            </w:pPr>
            <w:r>
              <w:rPr>
                <w:sz w:val="20"/>
                <w:szCs w:val="20"/>
              </w:rPr>
              <w:t xml:space="preserve">JAXA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NSSDCA Hayabusa2 (2014-076A); Ryugu arrival Jun 2018; JAXA/JPL Delta-DOR deep-space navigation</w:t>
            </w:r>
          </w:p>
        </w:tc>
      </w:tr>
      <w:tr>
        <w:tc>
          <w:tcPr>
            <w:tcW w:w="0" w:type="auto"/>
          </w:tcPr>
          <w:p>
            <w:pPr>
              <w:spacing w:line="240" w:lineRule="auto" w:before="0" w:after="0"/>
              <w:pStyle w:val="Compact"/>
            </w:pPr>
            <w:r>
              <w:rPr>
                <w:sz w:val="20"/>
                <w:szCs w:val="20"/>
              </w:rPr>
              <w:t xml:space="preserve">Tianwen-1 Mars orbit insertion</w:t>
            </w:r>
          </w:p>
        </w:tc>
        <w:tc>
          <w:tcPr>
            <w:tcW w:w="0" w:type="auto"/>
          </w:tcPr>
          <w:p>
            <w:pPr>
              <w:spacing w:line="240" w:lineRule="auto" w:before="0" w:after="0"/>
              <w:pStyle w:val="Compact"/>
            </w:pPr>
            <w:r>
              <w:rPr>
                <w:sz w:val="20"/>
                <w:szCs w:val="20"/>
              </w:rPr>
              <w:t xml:space="preserve">CNSA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Li et al. 2022 Remote Sens. 14:4117</w:t>
            </w:r>
            <w:r>
              <w:rPr>
                <w:sz w:val="20"/>
                <w:szCs w:val="20"/>
              </w:rPr>
              <w:t xml:space="preserve"> </w:t>
            </w:r>
            <w:r>
              <w:rPr>
                <w:sz w:val="20"/>
                <w:szCs w:val="20"/>
              </w:rPr>
              <w:t xml:space="preserve">‘First Cross-Support Interferometry Tracking in China Mars Mission’</w:t>
            </w:r>
            <w:r>
              <w:rPr>
                <w:sz w:val="20"/>
                <w:szCs w:val="20"/>
              </w:rPr>
              <w:t xml:space="preserve"> </w:t>
            </w:r>
            <w:r>
              <w:rPr>
                <w:sz w:val="20"/>
                <w:szCs w:val="20"/>
              </w:rPr>
              <w:t xml:space="preserve">(CLTC-ESOC Delta-DOR around MOI); MOI Feb 2021</w:t>
            </w:r>
          </w:p>
        </w:tc>
      </w:tr>
      <w:tr>
        <w:tc>
          <w:tcPr>
            <w:tcW w:w="0" w:type="auto"/>
          </w:tcPr>
          <w:p>
            <w:pPr>
              <w:spacing w:line="240" w:lineRule="auto" w:before="0" w:after="0"/>
              <w:pStyle w:val="Compact"/>
            </w:pPr>
            <w:r>
              <w:rPr>
                <w:sz w:val="20"/>
                <w:szCs w:val="20"/>
              </w:rPr>
              <w:t xml:space="preserve">Perseverance Mars landing</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NSSDCA Perseverance (2020-052A NASA); EDL landing Feb 2021; JPL Delta-DOR approach navigation campaign</w:t>
            </w:r>
          </w:p>
        </w:tc>
      </w:tr>
      <w:tr>
        <w:tc>
          <w:tcPr>
            <w:tcW w:w="0" w:type="auto"/>
          </w:tcPr>
          <w:p>
            <w:pPr>
              <w:spacing w:line="240" w:lineRule="auto" w:before="0" w:after="0"/>
              <w:pStyle w:val="Compact"/>
            </w:pPr>
            <w:r>
              <w:rPr>
                <w:sz w:val="20"/>
                <w:szCs w:val="20"/>
              </w:rPr>
              <w:t xml:space="preserve">Al Amal Hope Mars orbit insertion</w:t>
            </w:r>
          </w:p>
        </w:tc>
        <w:tc>
          <w:tcPr>
            <w:tcW w:w="0" w:type="auto"/>
          </w:tcPr>
          <w:p>
            <w:pPr>
              <w:spacing w:line="240" w:lineRule="auto" w:before="0" w:after="0"/>
              <w:pStyle w:val="Compact"/>
            </w:pPr>
            <w:r>
              <w:rPr>
                <w:sz w:val="20"/>
                <w:szCs w:val="20"/>
              </w:rPr>
              <w:t xml:space="preserve">UAESA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NSSDCA Emirates Mars Mission Hope (2020-047A); Mars orbit insertion Feb 2021; navigation with DSN/Delta-DOR support</w:t>
            </w:r>
          </w:p>
        </w:tc>
      </w:tr>
      <w:tr>
        <w:tc>
          <w:tcPr>
            <w:tcW w:w="0" w:type="auto"/>
          </w:tcPr>
          <w:p>
            <w:pPr>
              <w:spacing w:line="240" w:lineRule="auto" w:before="0" w:after="0"/>
              <w:pStyle w:val="Compact"/>
            </w:pPr>
            <w:r>
              <w:rPr>
                <w:sz w:val="20"/>
                <w:szCs w:val="20"/>
              </w:rPr>
              <w:t xml:space="preserve">Psyche cruise checkout</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NSSDCA Psyche (2023-157A); nominal early-cruise navigation 2023; JPL Delta-DOR tracking [illustrative: cruise checkpoint, lower-difficulty event]</w:t>
            </w:r>
          </w:p>
        </w:tc>
      </w:tr>
    </w:tbl>
    <w:bookmarkEnd w:id="193"/>
    <w:bookmarkStart w:id="194"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success</w:t>
            </w:r>
          </w:p>
        </w:tc>
        <w:tc>
          <w:tcPr>
            <w:tcW w:w="0" w:type="auto"/>
          </w:tcPr>
          <w:p>
            <w:pPr>
              <w:spacing w:line="240" w:lineRule="auto" w:before="0" w:after="0"/>
              <w:pStyle w:val="Compact"/>
            </w:pPr>
            <w:r>
              <w:rPr>
                <w:sz w:val="20"/>
                <w:szCs w:val="20"/>
              </w:rPr>
              <w:t xml:space="preserve">1 if the mission critical event (orbit insertion, landing, flyby, or rendezvous) was achieved within its targeting corridor; 0 if the event was not achieved</w:t>
            </w:r>
          </w:p>
        </w:tc>
        <w:tc>
          <w:tcPr>
            <w:tcW w:w="0" w:type="auto"/>
          </w:tcPr>
          <w:p>
            <w:pPr>
              <w:spacing w:line="240" w:lineRule="auto" w:before="0" w:after="0"/>
              <w:pStyle w:val="Compact"/>
            </w:pPr>
            <w:r>
              <w:rPr>
                <w:sz w:val="20"/>
                <w:szCs w:val="20"/>
              </w:rPr>
              <w:t xml:space="preserve">Coded from NSSDCA master catalog event records, mission mishap-investigation reports, and agency mission pages</w:t>
            </w:r>
          </w:p>
        </w:tc>
      </w:tr>
      <w:tr>
        <w:tc>
          <w:tcPr>
            <w:tcW w:w="0" w:type="auto"/>
          </w:tcPr>
          <w:p>
            <w:pPr>
              <w:spacing w:line="240" w:lineRule="auto" w:before="0" w:after="0"/>
              <w:pStyle w:val="Compact"/>
            </w:pPr>
            <w:r>
              <w:rPr>
                <w:sz w:val="20"/>
                <w:szCs w:val="20"/>
              </w:rPr>
              <w:t xml:space="preserve">delta_dor</w:t>
            </w:r>
          </w:p>
        </w:tc>
        <w:tc>
          <w:tcPr>
            <w:tcW w:w="0" w:type="auto"/>
          </w:tcPr>
          <w:p>
            <w:pPr>
              <w:spacing w:line="240" w:lineRule="auto" w:before="0" w:after="0"/>
              <w:pStyle w:val="Compact"/>
            </w:pPr>
            <w:r>
              <w:rPr>
                <w:sz w:val="20"/>
                <w:szCs w:val="20"/>
              </w:rPr>
              <w:t xml:space="preserve">1 if Delta-Differential One-way Ranging was scheduled in the approach/critical-event navigation campaign; 0 otherwise (including the pre-1980 era before the DSN Delta-DOR service)</w:t>
            </w:r>
          </w:p>
        </w:tc>
        <w:tc>
          <w:tcPr>
            <w:tcW w:w="0" w:type="auto"/>
          </w:tcPr>
          <w:p>
            <w:pPr>
              <w:spacing w:line="240" w:lineRule="auto" w:before="0" w:after="0"/>
              <w:pStyle w:val="Compact"/>
            </w:pPr>
            <w:r>
              <w:rPr>
                <w:sz w:val="20"/>
                <w:szCs w:val="20"/>
              </w:rPr>
              <w:t xml:space="preserve">Coded from documented tracking-campaign records: JPL/NTRS navigation papers, ESA/ESOC Delta-DOR reports, ISRO and CLTC mission tracking publications</w:t>
            </w:r>
          </w:p>
        </w:tc>
      </w:tr>
      <w:tr>
        <w:tc>
          <w:tcPr>
            <w:tcW w:w="0" w:type="auto"/>
          </w:tcPr>
          <w:p>
            <w:pPr>
              <w:spacing w:line="240" w:lineRule="auto" w:before="0" w:after="0"/>
              <w:pStyle w:val="Compact"/>
            </w:pPr>
            <w:r>
              <w:rPr>
                <w:sz w:val="20"/>
                <w:szCs w:val="20"/>
              </w:rPr>
              <w:t xml:space="preserve">event_difficulty</w:t>
            </w:r>
          </w:p>
        </w:tc>
        <w:tc>
          <w:tcPr>
            <w:tcW w:w="0" w:type="auto"/>
          </w:tcPr>
          <w:p>
            <w:pPr>
              <w:spacing w:line="240" w:lineRule="auto" w:before="0" w:after="0"/>
              <w:pStyle w:val="Compact"/>
            </w:pPr>
            <w:r>
              <w:rPr>
                <w:sz w:val="20"/>
                <w:szCs w:val="20"/>
              </w:rPr>
              <w:t xml:space="preserve">Ordinal event class: 1 = flyby or cruise checkpoint, 2 = orbit insertion or rendezvous, 3 = entry-descent-landing</w:t>
            </w:r>
          </w:p>
        </w:tc>
        <w:tc>
          <w:tcPr>
            <w:tcW w:w="0" w:type="auto"/>
          </w:tcPr>
          <w:p>
            <w:pPr>
              <w:spacing w:line="240" w:lineRule="auto" w:before="0" w:after="0"/>
              <w:pStyle w:val="Compact"/>
            </w:pPr>
            <w:r>
              <w:rPr>
                <w:sz w:val="20"/>
                <w:szCs w:val="20"/>
              </w:rPr>
              <w:t xml:space="preserve">Assigned from the documented event type per NSSDCA catalog and mission press kits</w:t>
            </w:r>
          </w:p>
        </w:tc>
      </w:tr>
      <w:tr>
        <w:tc>
          <w:tcPr>
            <w:tcW w:w="0" w:type="auto"/>
          </w:tcPr>
          <w:p>
            <w:pPr>
              <w:spacing w:line="240" w:lineRule="auto" w:before="0" w:after="0"/>
              <w:pStyle w:val="Compact"/>
            </w:pPr>
            <w:r>
              <w:rPr>
                <w:sz w:val="20"/>
                <w:szCs w:val="20"/>
              </w:rPr>
              <w:t xml:space="preserve">heritage</w:t>
            </w:r>
          </w:p>
        </w:tc>
        <w:tc>
          <w:tcPr>
            <w:tcW w:w="0" w:type="auto"/>
          </w:tcPr>
          <w:p>
            <w:pPr>
              <w:spacing w:line="240" w:lineRule="auto" w:before="0" w:after="0"/>
              <w:pStyle w:val="Compact"/>
            </w:pPr>
            <w:r>
              <w:rPr>
                <w:sz w:val="20"/>
                <w:szCs w:val="20"/>
              </w:rPr>
              <w:t xml:space="preserve">1 if the operating agency had prior successful interplanetary critical-event heritage at the time of the event; 0 otherwise</w:t>
            </w:r>
          </w:p>
        </w:tc>
        <w:tc>
          <w:tcPr>
            <w:tcW w:w="0" w:type="auto"/>
          </w:tcPr>
          <w:p>
            <w:pPr>
              <w:spacing w:line="240" w:lineRule="auto" w:before="0" w:after="0"/>
              <w:pStyle w:val="Compact"/>
            </w:pPr>
            <w:r>
              <w:rPr>
                <w:sz w:val="20"/>
                <w:szCs w:val="20"/>
              </w:rPr>
              <w:t xml:space="preserve">Coded from agency mission history (carried in the panel as an auxiliary covariate)</w:t>
            </w:r>
          </w:p>
        </w:tc>
      </w:tr>
      <w:tr>
        <w:tc>
          <w:tcPr>
            <w:tcW w:w="0" w:type="auto"/>
          </w:tcPr>
          <w:p>
            <w:pPr>
              <w:spacing w:line="240" w:lineRule="auto" w:before="0" w:after="0"/>
              <w:pStyle w:val="Compact"/>
            </w:pPr>
            <w:r>
              <w:rPr>
                <w:sz w:val="20"/>
                <w:szCs w:val="20"/>
              </w:rPr>
              <w:t xml:space="preserve">agency</w:t>
            </w:r>
          </w:p>
        </w:tc>
        <w:tc>
          <w:tcPr>
            <w:tcW w:w="0" w:type="auto"/>
          </w:tcPr>
          <w:p>
            <w:pPr>
              <w:spacing w:line="240" w:lineRule="auto" w:before="0" w:after="0"/>
              <w:pStyle w:val="Compact"/>
            </w:pPr>
            <w:r>
              <w:rPr>
                <w:sz w:val="20"/>
                <w:szCs w:val="20"/>
              </w:rPr>
              <w:t xml:space="preserve">Operating space agency for the mission</w:t>
            </w:r>
          </w:p>
        </w:tc>
        <w:tc>
          <w:tcPr>
            <w:tcW w:w="0" w:type="auto"/>
          </w:tcPr>
          <w:p>
            <w:pPr>
              <w:spacing w:line="240" w:lineRule="auto" w:before="0" w:after="0"/>
              <w:pStyle w:val="Compact"/>
            </w:pPr>
            <w:r>
              <w:rPr>
                <w:sz w:val="20"/>
                <w:szCs w:val="20"/>
              </w:rPr>
              <w:t xml:space="preserve">NSSDCA master catalog / agency mission records</w:t>
            </w:r>
          </w:p>
        </w:tc>
      </w:tr>
      <w:tr>
        <w:tc>
          <w:tcPr>
            <w:tcW w:w="0" w:type="auto"/>
          </w:tcPr>
          <w:p>
            <w:pPr>
              <w:spacing w:line="240" w:lineRule="auto" w:before="0" w:after="0"/>
              <w:pStyle w:val="Compact"/>
            </w:pPr>
            <w:r>
              <w:rPr>
                <w:sz w:val="20"/>
                <w:szCs w:val="20"/>
              </w:rPr>
              <w:t xml:space="preserve">event_year</w:t>
            </w:r>
          </w:p>
        </w:tc>
        <w:tc>
          <w:tcPr>
            <w:tcW w:w="0" w:type="auto"/>
          </w:tcPr>
          <w:p>
            <w:pPr>
              <w:spacing w:line="240" w:lineRule="auto" w:before="0" w:after="0"/>
              <w:pStyle w:val="Compact"/>
            </w:pPr>
            <w:r>
              <w:rPr>
                <w:sz w:val="20"/>
                <w:szCs w:val="20"/>
              </w:rPr>
              <w:t xml:space="preserve">Calendar year of the critical event</w:t>
            </w:r>
          </w:p>
        </w:tc>
        <w:tc>
          <w:tcPr>
            <w:tcW w:w="0" w:type="auto"/>
          </w:tcPr>
          <w:p>
            <w:pPr>
              <w:spacing w:line="240" w:lineRule="auto" w:before="0" w:after="0"/>
              <w:pStyle w:val="Compact"/>
            </w:pPr>
            <w:r>
              <w:rPr>
                <w:sz w:val="20"/>
                <w:szCs w:val="20"/>
              </w:rPr>
              <w:t xml:space="preserve">NSSDCA master catalog / agency mission records</w:t>
            </w:r>
          </w:p>
        </w:tc>
      </w:tr>
    </w:tbl>
    <w:bookmarkEnd w:id="194"/>
    <w:bookmarkEnd w:id="195"/>
    <w:bookmarkStart w:id="203" w:name="X75b8dfd8a8d3fb78f317f5e3196d69618198548"/>
    <w:p>
      <w:pPr>
        <w:pStyle w:val="Heading2"/>
        <w:spacing w:line="480" w:lineRule="auto"/>
      </w:pPr>
      <w:r>
        <w:t xml:space="preserve">A.2 Delta-DOR and Plane-of-Sky Delivery Uncertainty: A Cross-Mission Regression of Interferometric Tracking on Achievable Navigation Accuracy</w:t>
      </w:r>
    </w:p>
    <w:p>
      <w:pPr>
        <w:pStyle w:val="FirstParagraph"/>
        <w:spacing w:line="480" w:lineRule="auto"/>
      </w:pPr>
      <m:oMathPara>
        <m:oMathParaPr>
          <m:jc m:val="center"/>
        </m:oMathParaPr>
        <m:oMath>
          <m:r>
            <m:rPr>
              <m:sty m:val="p"/>
            </m:rPr>
            <m:t>ln</m:t>
          </m:r>
          <m:r>
            <m:rPr>
              <m:sty m:val="p"/>
            </m:rPr>
            <m:t>(</m:t>
          </m:r>
          <m:sSub>
            <m:e>
              <m:r>
                <m:t>u</m:t>
              </m:r>
            </m:e>
            <m:sub>
              <m:r>
                <m:t>i</m:t>
              </m:r>
            </m:sub>
          </m:sSub>
          <m:r>
            <m:rPr>
              <m:sty m:val="p"/>
            </m:rPr>
            <m:t>)</m:t>
          </m:r>
          <m:r>
            <m:rPr>
              <m:sty m:val="p"/>
            </m:rPr>
            <m:t>=</m:t>
          </m:r>
          <m:sSub>
            <m:e>
              <m:r>
                <m:t>β</m:t>
              </m:r>
            </m:e>
            <m:sub>
              <m:r>
                <m:t>0</m:t>
              </m:r>
            </m:sub>
          </m:sSub>
          <m:r>
            <m:rPr>
              <m:sty m:val="p"/>
            </m:rPr>
            <m:t>+</m:t>
          </m:r>
          <m:sSub>
            <m:e>
              <m:r>
                <m:t>β</m:t>
              </m:r>
            </m:e>
            <m:sub>
              <m:r>
                <m:t>1</m:t>
              </m:r>
            </m:sub>
          </m:sSub>
          <m:r>
            <m:t> </m:t>
          </m:r>
          <m:sSub>
            <m:e>
              <m:r>
                <m:t>D</m:t>
              </m:r>
            </m:e>
            <m:sub>
              <m:r>
                <m:t>i</m:t>
              </m:r>
            </m:sub>
          </m:sSub>
          <m:r>
            <m:rPr>
              <m:sty m:val="p"/>
            </m:rPr>
            <m:t>+</m:t>
          </m:r>
          <m:sSub>
            <m:e>
              <m:r>
                <m:t>β</m:t>
              </m:r>
            </m:e>
            <m:sub>
              <m:r>
                <m:t>2</m:t>
              </m:r>
            </m:sub>
          </m:sSub>
          <m:r>
            <m:rPr>
              <m:sty m:val="p"/>
            </m:rPr>
            <m:t>ln</m:t>
          </m:r>
          <m:r>
            <m:rPr>
              <m:sty m:val="p"/>
            </m:rPr>
            <m:t>(</m:t>
          </m:r>
          <m:sSub>
            <m:e>
              <m:r>
                <m:t>r</m:t>
              </m:r>
            </m:e>
            <m:sub>
              <m:r>
                <m:t>i</m:t>
              </m:r>
            </m:sub>
          </m:sSub>
          <m:r>
            <m:rPr>
              <m:sty m:val="p"/>
            </m:rPr>
            <m:t>)</m:t>
          </m:r>
          <m:r>
            <m:rPr>
              <m:sty m:val="p"/>
            </m:rPr>
            <m:t>+</m:t>
          </m:r>
          <m:sSub>
            <m:e>
              <m:r>
                <m:t>ε</m:t>
              </m:r>
            </m:e>
            <m:sub>
              <m:r>
                <m:t>i</m:t>
              </m:r>
            </m:sub>
          </m:sSub>
        </m:oMath>
      </m:oMathPara>
    </w:p>
    <w:bookmarkStart w:id="196"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2.6534</w:t>
            </w:r>
          </w:p>
        </w:tc>
        <w:tc>
          <w:tcPr>
            <w:tcW w:w="0" w:type="auto"/>
          </w:tcPr>
          <w:p>
            <w:pPr>
              <w:spacing w:line="240" w:lineRule="auto" w:before="0" w:after="0"/>
              <w:pStyle w:val="Compact"/>
            </w:pPr>
            <w:r>
              <w:rPr>
                <w:sz w:val="20"/>
                <w:szCs w:val="20"/>
              </w:rPr>
              <w:t xml:space="preserve">0.0722</w:t>
            </w:r>
          </w:p>
        </w:tc>
        <w:tc>
          <w:tcPr>
            <w:tcW w:w="0" w:type="auto"/>
          </w:tcPr>
          <w:p>
            <w:pPr>
              <w:spacing w:line="240" w:lineRule="auto" w:before="0" w:after="0"/>
              <w:pStyle w:val="Compact"/>
            </w:pPr>
            <w:r>
              <w:rPr>
                <w:sz w:val="20"/>
                <w:szCs w:val="20"/>
              </w:rPr>
              <w:t xml:space="preserve">36.7541</w:t>
            </w:r>
          </w:p>
        </w:tc>
        <w:tc>
          <w:tcPr>
            <w:tcW w:w="0" w:type="auto"/>
          </w:tcPr>
          <w:p>
            <w:pPr>
              <w:spacing w:line="240" w:lineRule="auto" w:before="0" w:after="0"/>
              <w:pStyle w:val="Compact"/>
            </w:pPr>
            <w:r>
              <w:rPr>
                <w:sz w:val="20"/>
                <w:szCs w:val="20"/>
              </w:rPr>
              <w:t xml:space="preserve">9.992e-296</w:t>
            </w:r>
          </w:p>
        </w:tc>
        <w:tc>
          <w:tcPr>
            <w:tcW w:w="0" w:type="auto"/>
          </w:tcPr>
          <w:p>
            <w:pPr>
              <w:spacing w:line="240" w:lineRule="auto" w:before="0" w:after="0"/>
              <w:pStyle w:val="Compact"/>
            </w:pPr>
            <w:r>
              <w:rPr>
                <w:sz w:val="20"/>
                <w:szCs w:val="20"/>
              </w:rPr>
              <w:t xml:space="preserve">[2.5119, 2.7949]</w:t>
            </w:r>
          </w:p>
        </w:tc>
      </w:tr>
      <w:tr>
        <w:tc>
          <w:tcPr>
            <w:tcW w:w="0" w:type="auto"/>
          </w:tcPr>
          <w:p>
            <w:pPr>
              <w:spacing w:line="240" w:lineRule="auto" w:before="0" w:after="0"/>
              <w:pStyle w:val="Compact"/>
            </w:pPr>
            <w:r>
              <w:rPr>
                <w:sz w:val="20"/>
                <w:szCs w:val="20"/>
              </w:rPr>
              <w:t xml:space="preserve">ddor</w:t>
            </w:r>
          </w:p>
        </w:tc>
        <w:tc>
          <w:tcPr>
            <w:tcW w:w="0" w:type="auto"/>
          </w:tcPr>
          <w:p>
            <w:pPr>
              <w:spacing w:line="240" w:lineRule="auto" w:before="0" w:after="0"/>
              <w:pStyle w:val="Compact"/>
            </w:pPr>
            <w:r>
              <w:rPr>
                <w:sz w:val="20"/>
                <w:szCs w:val="20"/>
              </w:rPr>
              <w:t xml:space="preserve">-3.2333</w:t>
            </w:r>
          </w:p>
        </w:tc>
        <w:tc>
          <w:tcPr>
            <w:tcW w:w="0" w:type="auto"/>
          </w:tcPr>
          <w:p>
            <w:pPr>
              <w:spacing w:line="240" w:lineRule="auto" w:before="0" w:after="0"/>
              <w:pStyle w:val="Compact"/>
            </w:pPr>
            <w:r>
              <w:rPr>
                <w:sz w:val="20"/>
                <w:szCs w:val="20"/>
              </w:rPr>
              <w:t xml:space="preserve">0.2152</w:t>
            </w:r>
          </w:p>
        </w:tc>
        <w:tc>
          <w:tcPr>
            <w:tcW w:w="0" w:type="auto"/>
          </w:tcPr>
          <w:p>
            <w:pPr>
              <w:spacing w:line="240" w:lineRule="auto" w:before="0" w:after="0"/>
              <w:pStyle w:val="Compact"/>
            </w:pPr>
            <w:r>
              <w:rPr>
                <w:sz w:val="20"/>
                <w:szCs w:val="20"/>
              </w:rPr>
              <w:t xml:space="preserve">-15.0237</w:t>
            </w:r>
          </w:p>
        </w:tc>
        <w:tc>
          <w:tcPr>
            <w:tcW w:w="0" w:type="auto"/>
          </w:tcPr>
          <w:p>
            <w:pPr>
              <w:spacing w:line="240" w:lineRule="auto" w:before="0" w:after="0"/>
              <w:pStyle w:val="Compact"/>
            </w:pPr>
            <w:r>
              <w:rPr>
                <w:sz w:val="20"/>
                <w:szCs w:val="20"/>
              </w:rPr>
              <w:t xml:space="preserve">5.132e-51</w:t>
            </w:r>
          </w:p>
        </w:tc>
        <w:tc>
          <w:tcPr>
            <w:tcW w:w="0" w:type="auto"/>
          </w:tcPr>
          <w:p>
            <w:pPr>
              <w:spacing w:line="240" w:lineRule="auto" w:before="0" w:after="0"/>
              <w:pStyle w:val="Compact"/>
            </w:pPr>
            <w:r>
              <w:rPr>
                <w:sz w:val="20"/>
                <w:szCs w:val="20"/>
              </w:rPr>
              <w:t xml:space="preserve">[-3.6551, -2.8115]</w:t>
            </w:r>
          </w:p>
        </w:tc>
      </w:tr>
      <w:tr>
        <w:tc>
          <w:tcPr>
            <w:tcW w:w="0" w:type="auto"/>
          </w:tcPr>
          <w:p>
            <w:pPr>
              <w:spacing w:line="240" w:lineRule="auto" w:before="0" w:after="0"/>
              <w:pStyle w:val="Compact"/>
            </w:pPr>
            <w:r>
              <w:rPr>
                <w:sz w:val="20"/>
                <w:szCs w:val="20"/>
              </w:rPr>
              <w:t xml:space="preserve">ln_dist</w:t>
            </w:r>
          </w:p>
        </w:tc>
        <w:tc>
          <w:tcPr>
            <w:tcW w:w="0" w:type="auto"/>
          </w:tcPr>
          <w:p>
            <w:pPr>
              <w:spacing w:line="240" w:lineRule="auto" w:before="0" w:after="0"/>
              <w:pStyle w:val="Compact"/>
            </w:pPr>
            <w:r>
              <w:rPr>
                <w:sz w:val="20"/>
                <w:szCs w:val="20"/>
              </w:rPr>
              <w:t xml:space="preserve">1.0677</w:t>
            </w:r>
          </w:p>
        </w:tc>
        <w:tc>
          <w:tcPr>
            <w:tcW w:w="0" w:type="auto"/>
          </w:tcPr>
          <w:p>
            <w:pPr>
              <w:spacing w:line="240" w:lineRule="auto" w:before="0" w:after="0"/>
              <w:pStyle w:val="Compact"/>
            </w:pPr>
            <w:r>
              <w:rPr>
                <w:sz w:val="20"/>
                <w:szCs w:val="20"/>
              </w:rPr>
              <w:t xml:space="preserve">0.0419</w:t>
            </w:r>
          </w:p>
        </w:tc>
        <w:tc>
          <w:tcPr>
            <w:tcW w:w="0" w:type="auto"/>
          </w:tcPr>
          <w:p>
            <w:pPr>
              <w:spacing w:line="240" w:lineRule="auto" w:before="0" w:after="0"/>
              <w:pStyle w:val="Compact"/>
            </w:pPr>
            <w:r>
              <w:rPr>
                <w:sz w:val="20"/>
                <w:szCs w:val="20"/>
              </w:rPr>
              <w:t xml:space="preserve">25.5013</w:t>
            </w:r>
          </w:p>
        </w:tc>
        <w:tc>
          <w:tcPr>
            <w:tcW w:w="0" w:type="auto"/>
          </w:tcPr>
          <w:p>
            <w:pPr>
              <w:spacing w:line="240" w:lineRule="auto" w:before="0" w:after="0"/>
              <w:pStyle w:val="Compact"/>
            </w:pPr>
            <w:r>
              <w:rPr>
                <w:sz w:val="20"/>
                <w:szCs w:val="20"/>
              </w:rPr>
              <w:t xml:space="preserve">1.905e-143</w:t>
            </w:r>
          </w:p>
        </w:tc>
        <w:tc>
          <w:tcPr>
            <w:tcW w:w="0" w:type="auto"/>
          </w:tcPr>
          <w:p>
            <w:pPr>
              <w:spacing w:line="240" w:lineRule="auto" w:before="0" w:after="0"/>
              <w:pStyle w:val="Compact"/>
            </w:pPr>
            <w:r>
              <w:rPr>
                <w:sz w:val="20"/>
                <w:szCs w:val="20"/>
              </w:rPr>
              <w:t xml:space="preserve">[0.9857, 1.1498]</w:t>
            </w:r>
          </w:p>
        </w:tc>
      </w:tr>
    </w:tbl>
    <w:p>
      <w:pPr>
        <w:pStyle w:val="BodyText"/>
        <w:spacing w:line="480" w:lineRule="auto"/>
        <w:ind w:firstLine="720"/>
      </w:pPr>
      <w:r>
        <w:t xml:space="preserve">Fit: N = 26 R2 = 0.9499 R2_adj = 0.9456 F = 869.71 F_p = 2.136e-22</w:t>
      </w:r>
    </w:p>
    <w:bookmarkEnd w:id="196"/>
    <w:bookmarkStart w:id="200"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Plane-of-sky delivery uncertainty against Earth-spacecraft range (log-log); Delta-DOR events sit on a lower accuracy locus than Doppler-only events at the same range." title="" id="198" name="Picture"/>
            <a:graphic>
              <a:graphicData uri="http://schemas.openxmlformats.org/drawingml/2006/picture">
                <pic:pic>
                  <pic:nvPicPr>
                    <pic:cNvPr descr="D:/Claude_Code/brain/collegium/candidates/dissertations/JPL_INSTRUMENTS_NAV_07/research_papers/p2/paper_fig1.png" id="199" name="Picture"/>
                    <pic:cNvPicPr>
                      <a:picLocks noChangeArrowheads="1" noChangeAspect="1"/>
                    </pic:cNvPicPr>
                  </pic:nvPicPr>
                  <pic:blipFill>
                    <a:blip r:embed="rId197"/>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Plane-of-sky delivery uncertainty against Earth-spacecraft range (log-log); Delta-DOR events sit on a lower accuracy locus than Doppler-only events at the same range.</w:t>
      </w:r>
    </w:p>
    <w:bookmarkEnd w:id="200"/>
    <w:bookmarkStart w:id="201"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660"/>
        <w:gridCol w:w="660"/>
        <w:gridCol w:w="660"/>
        <w:gridCol w:w="660"/>
        <w:gridCol w:w="660"/>
        <w:gridCol w:w="660"/>
        <w:gridCol w:w="660"/>
        <w:gridCol w:w="660"/>
        <w:gridCol w:w="660"/>
        <w:gridCol w:w="660"/>
        <w:gridCol w:w="660"/>
        <w:gridCol w:w="660"/>
      </w:tblGrid>
      <w:tr>
        <w:trPr>
          <w:tblHeader w:val="on"/>
        </w:trPr>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target</w:t>
            </w:r>
          </w:p>
        </w:tc>
        <w:tc>
          <w:tcPr>
            <w:tcW w:w="0" w:type="auto"/>
          </w:tcPr>
          <w:p>
            <w:pPr>
              <w:spacing w:line="240" w:lineRule="auto" w:before="0" w:after="0"/>
              <w:pStyle w:val="Compact"/>
            </w:pPr>
            <w:r>
              <w:rPr>
                <w:sz w:val="20"/>
                <w:szCs w:val="20"/>
              </w:rPr>
              <w:t xml:space="preserve">ddor</w:t>
            </w:r>
          </w:p>
        </w:tc>
        <w:tc>
          <w:tcPr>
            <w:tcW w:w="0" w:type="auto"/>
          </w:tcPr>
          <w:p>
            <w:pPr>
              <w:spacing w:line="240" w:lineRule="auto" w:before="0" w:after="0"/>
              <w:pStyle w:val="Compact"/>
            </w:pPr>
            <w:r>
              <w:rPr>
                <w:sz w:val="20"/>
                <w:szCs w:val="20"/>
              </w:rPr>
              <w:t xml:space="preserve">dist_au</w:t>
            </w:r>
          </w:p>
        </w:tc>
        <w:tc>
          <w:tcPr>
            <w:tcW w:w="0" w:type="auto"/>
          </w:tcPr>
          <w:p>
            <w:pPr>
              <w:spacing w:line="240" w:lineRule="auto" w:before="0" w:after="0"/>
              <w:pStyle w:val="Compact"/>
            </w:pPr>
            <w:r>
              <w:rPr>
                <w:sz w:val="20"/>
                <w:szCs w:val="20"/>
              </w:rPr>
              <w:t xml:space="preserve">ang_nrad</w:t>
            </w:r>
          </w:p>
        </w:tc>
        <w:tc>
          <w:tcPr>
            <w:tcW w:w="0" w:type="auto"/>
          </w:tcPr>
          <w:p>
            <w:pPr>
              <w:spacing w:line="240" w:lineRule="auto" w:before="0" w:after="0"/>
              <w:pStyle w:val="Compact"/>
            </w:pPr>
            <w:r>
              <w:rPr>
                <w:sz w:val="20"/>
                <w:szCs w:val="20"/>
              </w:rPr>
              <w:t xml:space="preserve">kaband</w:t>
            </w:r>
          </w:p>
        </w:tc>
        <w:tc>
          <w:tcPr>
            <w:tcW w:w="0" w:type="auto"/>
          </w:tcPr>
          <w:p>
            <w:pPr>
              <w:spacing w:line="240" w:lineRule="auto" w:before="0" w:after="0"/>
              <w:pStyle w:val="Compact"/>
            </w:pPr>
            <w:r>
              <w:rPr>
                <w:sz w:val="20"/>
                <w:szCs w:val="20"/>
              </w:rPr>
              <w:t xml:space="preserve">posunc_km</w:t>
            </w:r>
          </w:p>
        </w:tc>
        <w:tc>
          <w:tcPr>
            <w:tcW w:w="0" w:type="auto"/>
          </w:tcPr>
          <w:p>
            <w:pPr>
              <w:spacing w:line="240" w:lineRule="auto" w:before="0" w:after="0"/>
              <w:pStyle w:val="Compact"/>
            </w:pPr>
            <w:r>
              <w:rPr>
                <w:sz w:val="20"/>
                <w:szCs w:val="20"/>
              </w:rPr>
              <w:t xml:space="preserve">ln_posunc</w:t>
            </w:r>
          </w:p>
        </w:tc>
        <w:tc>
          <w:tcPr>
            <w:tcW w:w="0" w:type="auto"/>
          </w:tcPr>
          <w:p>
            <w:pPr>
              <w:spacing w:line="240" w:lineRule="auto" w:before="0" w:after="0"/>
              <w:pStyle w:val="Compact"/>
            </w:pPr>
            <w:r>
              <w:rPr>
                <w:sz w:val="20"/>
                <w:szCs w:val="20"/>
              </w:rPr>
              <w:t xml:space="preserve">ln_dist</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Mars Express MOI</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0.46</w:t>
            </w:r>
          </w:p>
        </w:tc>
        <w:tc>
          <w:tcPr>
            <w:tcW w:w="0" w:type="auto"/>
          </w:tcPr>
          <w:p>
            <w:pPr>
              <w:spacing w:line="240" w:lineRule="auto" w:before="0" w:after="0"/>
              <w:pStyle w:val="Compact"/>
            </w:pPr>
            <w:r>
              <w:rPr>
                <w:sz w:val="20"/>
                <w:szCs w:val="20"/>
              </w:rPr>
              <w:t xml:space="preserve">-0.7765</w:t>
            </w:r>
          </w:p>
        </w:tc>
        <w:tc>
          <w:tcPr>
            <w:tcW w:w="0" w:type="auto"/>
          </w:tcPr>
          <w:p>
            <w:pPr>
              <w:spacing w:line="240" w:lineRule="auto" w:before="0" w:after="0"/>
              <w:pStyle w:val="Compact"/>
            </w:pPr>
            <w:r>
              <w:rPr>
                <w:sz w:val="20"/>
                <w:szCs w:val="20"/>
              </w:rPr>
              <w:t xml:space="preserve">0.0198</w:t>
            </w:r>
          </w:p>
        </w:tc>
        <w:tc>
          <w:tcPr>
            <w:tcW w:w="0" w:type="auto"/>
          </w:tcPr>
          <w:p>
            <w:pPr>
              <w:spacing w:line="240" w:lineRule="auto" w:before="0" w:after="0"/>
              <w:pStyle w:val="Compact"/>
            </w:pPr>
            <w:r>
              <w:rPr>
                <w:sz w:val="20"/>
                <w:szCs w:val="20"/>
              </w:rPr>
              <w:t xml:space="preserve">Delta-DOR used for MEX OD (NTRS 20090007583,</w:t>
            </w:r>
            <w:r>
              <w:rPr>
                <w:sz w:val="20"/>
                <w:szCs w:val="20"/>
              </w:rPr>
              <w:t xml:space="preserve"> </w:t>
            </w:r>
            <w:r>
              <w:rPr>
                <w:sz w:val="20"/>
                <w:szCs w:val="20"/>
              </w:rPr>
              <w:t xml:space="preserve">‘Mars Express Interplanetary Navigation… The JPL Experience’</w:t>
            </w:r>
            <w:r>
              <w:rPr>
                <w:sz w:val="20"/>
                <w:szCs w:val="20"/>
              </w:rPr>
              <w:t xml:space="preserve">); Earth-Mars range ~1.02 AU at Dec-2003 arrival (JPL Horizons class.); ang 3 nrad Delta-DOR 1-sigma (DSN 810-005 mod 210; ESA Delta-DOR page); posunc=ang</w:t>
            </w:r>
            <w:r>
              <w:rPr>
                <w:i/>
                <w:iCs/>
                <w:sz w:val="20"/>
                <w:szCs w:val="20"/>
              </w:rPr>
              <w:t xml:space="preserve">0.15</w:t>
            </w:r>
            <w:r>
              <w:rPr>
                <w:sz w:val="20"/>
                <w:szCs w:val="20"/>
              </w:rPr>
              <w:t xml:space="preserve">dist (DSN nrad-to-km 15nrad=2.25km/AU)</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Venus Express VOI</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Venus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0.45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-1.6094</w:t>
            </w:r>
          </w:p>
        </w:tc>
        <w:tc>
          <w:tcPr>
            <w:tcW w:w="0" w:type="auto"/>
          </w:tcPr>
          <w:p>
            <w:pPr>
              <w:spacing w:line="240" w:lineRule="auto" w:before="0" w:after="0"/>
              <w:pStyle w:val="Compact"/>
            </w:pPr>
            <w:r>
              <w:rPr>
                <w:sz w:val="20"/>
                <w:szCs w:val="20"/>
              </w:rPr>
              <w:t xml:space="preserve">-0.7985</w:t>
            </w:r>
          </w:p>
        </w:tc>
        <w:tc>
          <w:tcPr>
            <w:tcW w:w="0" w:type="auto"/>
          </w:tcPr>
          <w:p>
            <w:pPr>
              <w:spacing w:line="240" w:lineRule="auto" w:before="0" w:after="0"/>
              <w:pStyle w:val="Compact"/>
            </w:pPr>
            <w:r>
              <w:rPr>
                <w:sz w:val="20"/>
                <w:szCs w:val="20"/>
              </w:rPr>
              <w:t xml:space="preserve">ESA: Delta-DOR first contributed to Venus Express orbit insertion Apr-2006 (esa.int Keeping_track_of_spacecraft_with_Delta-DOR); Earth-Venus range ~0.45 AU at arrival; ang 3 nrad; posunc=ang</w:t>
            </w:r>
            <w:r>
              <w:rPr>
                <w:i/>
                <w:iCs/>
                <w:sz w:val="20"/>
                <w:szCs w:val="20"/>
              </w:rPr>
              <w:t xml:space="preserve">0.15</w:t>
            </w:r>
            <w:r>
              <w:rPr>
                <w:sz w:val="20"/>
                <w:szCs w:val="20"/>
              </w:rPr>
              <w:t xml:space="preserve">dist</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Rosetta Mars swingby</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0.75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0.34</w:t>
            </w:r>
          </w:p>
        </w:tc>
        <w:tc>
          <w:tcPr>
            <w:tcW w:w="0" w:type="auto"/>
          </w:tcPr>
          <w:p>
            <w:pPr>
              <w:spacing w:line="240" w:lineRule="auto" w:before="0" w:after="0"/>
              <w:pStyle w:val="Compact"/>
            </w:pPr>
            <w:r>
              <w:rPr>
                <w:sz w:val="20"/>
                <w:szCs w:val="20"/>
              </w:rPr>
              <w:t xml:space="preserve">-1.0788</w:t>
            </w:r>
          </w:p>
        </w:tc>
        <w:tc>
          <w:tcPr>
            <w:tcW w:w="0" w:type="auto"/>
          </w:tcPr>
          <w:p>
            <w:pPr>
              <w:spacing w:line="240" w:lineRule="auto" w:before="0" w:after="0"/>
              <w:pStyle w:val="Compact"/>
            </w:pPr>
            <w:r>
              <w:rPr>
                <w:sz w:val="20"/>
                <w:szCs w:val="20"/>
              </w:rPr>
              <w:t xml:space="preserve">-0.2877</w:t>
            </w:r>
          </w:p>
        </w:tc>
        <w:tc>
          <w:tcPr>
            <w:tcW w:w="0" w:type="auto"/>
          </w:tcPr>
          <w:p>
            <w:pPr>
              <w:spacing w:line="240" w:lineRule="auto" w:before="0" w:after="0"/>
              <w:pStyle w:val="Compact"/>
            </w:pPr>
            <w:r>
              <w:rPr>
                <w:sz w:val="20"/>
                <w:szCs w:val="20"/>
              </w:rPr>
              <w:t xml:space="preserve">ESA: Delta-DOR contributed to Rosetta Mars swingby Feb-2007 (esa.int Delta-DOR page); Earth-Mars range ~0.75 AU; ang 3 nrad; posunc=ang</w:t>
            </w:r>
            <w:r>
              <w:rPr>
                <w:i/>
                <w:iCs/>
                <w:sz w:val="20"/>
                <w:szCs w:val="20"/>
              </w:rPr>
              <w:t xml:space="preserve">0.15</w:t>
            </w:r>
            <w:r>
              <w:rPr>
                <w:sz w:val="20"/>
                <w:szCs w:val="20"/>
              </w:rPr>
              <w:t xml:space="preserve">dist</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MRO MOI</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0.45</w:t>
            </w:r>
          </w:p>
        </w:tc>
        <w:tc>
          <w:tcPr>
            <w:tcW w:w="0" w:type="auto"/>
          </w:tcPr>
          <w:p>
            <w:pPr>
              <w:spacing w:line="240" w:lineRule="auto" w:before="0" w:after="0"/>
              <w:pStyle w:val="Compact"/>
            </w:pPr>
            <w:r>
              <w:rPr>
                <w:sz w:val="20"/>
                <w:szCs w:val="20"/>
              </w:rPr>
              <w:t xml:space="preserve">-0.7985</w:t>
            </w:r>
          </w:p>
        </w:tc>
        <w:tc>
          <w:tcPr>
            <w:tcW w:w="0" w:type="auto"/>
          </w:tcPr>
          <w:p>
            <w:pPr>
              <w:spacing w:line="240" w:lineRule="auto" w:before="0" w:after="0"/>
              <w:pStyle w:val="Compact"/>
            </w:pPr>
            <w:r>
              <w:rPr>
                <w:sz w:val="20"/>
                <w:szCs w:val="20"/>
              </w:rPr>
              <w:t xml:space="preserve">0.4055</w:t>
            </w:r>
          </w:p>
        </w:tc>
        <w:tc>
          <w:tcPr>
            <w:tcW w:w="0" w:type="auto"/>
          </w:tcPr>
          <w:p>
            <w:pPr>
              <w:spacing w:line="240" w:lineRule="auto" w:before="0" w:after="0"/>
              <w:pStyle w:val="Compact"/>
            </w:pPr>
            <w:r>
              <w:rPr>
                <w:sz w:val="20"/>
                <w:szCs w:val="20"/>
              </w:rPr>
              <w:t xml:space="preserve">MRO Delta-DOR used for inbound OD (MRO Mission Description pds-geosciences.wustl.edu; NTRS 20100032906); ~2 nrad Ka-band achieved on MRO (DSN 810-005 mod 210 cited via search); Earth-Mars ~1.5 AU; posunc=ang</w:t>
            </w:r>
            <w:r>
              <w:rPr>
                <w:i/>
                <w:iCs/>
                <w:sz w:val="20"/>
                <w:szCs w:val="20"/>
              </w:rPr>
              <w:t xml:space="preserve">0.15</w:t>
            </w:r>
            <w:r>
              <w:rPr>
                <w:sz w:val="20"/>
                <w:szCs w:val="20"/>
              </w:rPr>
              <w:t xml:space="preserve">dist</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MSL/Curiosity EDL</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0.5008</w:t>
            </w:r>
          </w:p>
        </w:tc>
        <w:tc>
          <w:tcPr>
            <w:tcW w:w="0" w:type="auto"/>
          </w:tcPr>
          <w:p>
            <w:pPr>
              <w:spacing w:line="240" w:lineRule="auto" w:before="0" w:after="0"/>
              <w:pStyle w:val="Compact"/>
            </w:pPr>
            <w:r>
              <w:rPr>
                <w:sz w:val="20"/>
                <w:szCs w:val="20"/>
              </w:rPr>
              <w:t xml:space="preserve">MSL Delta-DOR in nav suite (NTRS 20150005583</w:t>
            </w:r>
            <w:r>
              <w:rPr>
                <w:sz w:val="20"/>
                <w:szCs w:val="20"/>
              </w:rPr>
              <w:t xml:space="preserve"> </w:t>
            </w:r>
            <w:r>
              <w:rPr>
                <w:sz w:val="20"/>
                <w:szCs w:val="20"/>
              </w:rPr>
              <w:t xml:space="preserve">‘Mars Science Laboratory Navigation Results’</w:t>
            </w:r>
            <w:r>
              <w:rPr>
                <w:sz w:val="20"/>
                <w:szCs w:val="20"/>
              </w:rPr>
              <w:t xml:space="preserve">); Ka-band 2 nrad; Earth-Mars ~1.65 AU at Aug-2012 landing; posunc=ang</w:t>
            </w:r>
            <w:r>
              <w:rPr>
                <w:i/>
                <w:iCs/>
                <w:sz w:val="20"/>
                <w:szCs w:val="20"/>
              </w:rPr>
              <w:t xml:space="preserve">0.15</w:t>
            </w:r>
            <w:r>
              <w:rPr>
                <w:sz w:val="20"/>
                <w:szCs w:val="20"/>
              </w:rPr>
              <w:t xml:space="preserve">dist; documented landing 2.4 km from target (NTRS 20150005583)</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MAVEN MOI</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-0.3567</w:t>
            </w:r>
          </w:p>
        </w:tc>
        <w:tc>
          <w:tcPr>
            <w:tcW w:w="0" w:type="auto"/>
          </w:tcPr>
          <w:p>
            <w:pPr>
              <w:spacing w:line="240" w:lineRule="auto" w:before="0" w:after="0"/>
              <w:pStyle w:val="Compact"/>
            </w:pPr>
            <w:r>
              <w:rPr>
                <w:sz w:val="20"/>
                <w:szCs w:val="20"/>
              </w:rPr>
              <w:t xml:space="preserve">0.4383</w:t>
            </w:r>
          </w:p>
        </w:tc>
        <w:tc>
          <w:tcPr>
            <w:tcW w:w="0" w:type="auto"/>
          </w:tcPr>
          <w:p>
            <w:pPr>
              <w:spacing w:line="240" w:lineRule="auto" w:before="0" w:after="0"/>
              <w:pStyle w:val="Compact"/>
            </w:pPr>
            <w:r>
              <w:rPr>
                <w:sz w:val="20"/>
                <w:szCs w:val="20"/>
              </w:rPr>
              <w:t xml:space="preserve">MAVEN DOR weekly until 60 d before MOI (MAVEN Navigation Overview, ResearchGate 304839594); ang 3 nrad; Earth-Mars ~1.55 AU at Sep-2014 arrival; posunc=ang</w:t>
            </w:r>
            <w:r>
              <w:rPr>
                <w:i/>
                <w:iCs/>
                <w:sz w:val="20"/>
                <w:szCs w:val="20"/>
              </w:rPr>
              <w:t xml:space="preserve">0.15</w:t>
            </w:r>
            <w:r>
              <w:rPr>
                <w:sz w:val="20"/>
                <w:szCs w:val="20"/>
              </w:rPr>
              <w:t xml:space="preserve">dist</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ExoMars TGO MOI</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0.42</w:t>
            </w:r>
          </w:p>
        </w:tc>
        <w:tc>
          <w:tcPr>
            <w:tcW w:w="0" w:type="auto"/>
          </w:tcPr>
          <w:p>
            <w:pPr>
              <w:spacing w:line="240" w:lineRule="auto" w:before="0" w:after="0"/>
              <w:pStyle w:val="Compact"/>
            </w:pPr>
            <w:r>
              <w:rPr>
                <w:sz w:val="20"/>
                <w:szCs w:val="20"/>
              </w:rPr>
              <w:t xml:space="preserve">-0.8675</w:t>
            </w:r>
          </w:p>
        </w:tc>
        <w:tc>
          <w:tcPr>
            <w:tcW w:w="0" w:type="auto"/>
          </w:tcPr>
          <w:p>
            <w:pPr>
              <w:spacing w:line="240" w:lineRule="auto" w:before="0" w:after="0"/>
              <w:pStyle w:val="Compact"/>
            </w:pPr>
            <w:r>
              <w:rPr>
                <w:sz w:val="20"/>
                <w:szCs w:val="20"/>
              </w:rPr>
              <w:t xml:space="preserve">0.3365</w:t>
            </w:r>
          </w:p>
        </w:tc>
        <w:tc>
          <w:tcPr>
            <w:tcW w:w="0" w:type="auto"/>
          </w:tcPr>
          <w:p>
            <w:pPr>
              <w:spacing w:line="240" w:lineRule="auto" w:before="0" w:after="0"/>
              <w:pStyle w:val="Compact"/>
            </w:pPr>
            <w:r>
              <w:rPr>
                <w:sz w:val="20"/>
                <w:szCs w:val="20"/>
              </w:rPr>
              <w:t xml:space="preserve">ESA: Delta-DOR standard for ExoMars TGO (esa.int ExoMars_TGO_operations; Delta-DOR page); ang 2 nrad Ka; Earth-Mars ~1.40 AU at Oct-2016 arrival; posunc=ang</w:t>
            </w:r>
            <w:r>
              <w:rPr>
                <w:i/>
                <w:iCs/>
                <w:sz w:val="20"/>
                <w:szCs w:val="20"/>
              </w:rPr>
              <w:t xml:space="preserve">0.15</w:t>
            </w:r>
            <w:r>
              <w:rPr>
                <w:sz w:val="20"/>
                <w:szCs w:val="20"/>
              </w:rPr>
              <w:t xml:space="preserve">dist</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Dawn Vesta orbit</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Vesta</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0.99</w:t>
            </w:r>
          </w:p>
        </w:tc>
        <w:tc>
          <w:tcPr>
            <w:tcW w:w="0" w:type="auto"/>
          </w:tcPr>
          <w:p>
            <w:pPr>
              <w:spacing w:line="240" w:lineRule="auto" w:before="0" w:after="0"/>
              <w:pStyle w:val="Compact"/>
            </w:pPr>
            <w:r>
              <w:rPr>
                <w:sz w:val="20"/>
                <w:szCs w:val="20"/>
              </w:rPr>
              <w:t xml:space="preserve">-0.0101</w:t>
            </w:r>
          </w:p>
        </w:tc>
        <w:tc>
          <w:tcPr>
            <w:tcW w:w="0" w:type="auto"/>
          </w:tcPr>
          <w:p>
            <w:pPr>
              <w:spacing w:line="240" w:lineRule="auto" w:before="0" w:after="0"/>
              <w:pStyle w:val="Compact"/>
            </w:pPr>
            <w:r>
              <w:rPr>
                <w:sz w:val="20"/>
                <w:szCs w:val="20"/>
              </w:rPr>
              <w:t xml:space="preserve">0.7885</w:t>
            </w:r>
          </w:p>
        </w:tc>
        <w:tc>
          <w:tcPr>
            <w:tcW w:w="0" w:type="auto"/>
          </w:tcPr>
          <w:p>
            <w:pPr>
              <w:spacing w:line="240" w:lineRule="auto" w:before="0" w:after="0"/>
              <w:pStyle w:val="Compact"/>
            </w:pPr>
            <w:r>
              <w:rPr>
                <w:sz w:val="20"/>
                <w:szCs w:val="20"/>
              </w:rPr>
              <w:t xml:space="preserve">Delta-DOR among radiometric types for Dawn OD (Wood 2021 DESCANSO AAS 21-550); ang 3 nrad; Earth-Vesta ~2.2 AU at Jul-2011; posunc=ang</w:t>
            </w:r>
            <w:r>
              <w:rPr>
                <w:i/>
                <w:iCs/>
                <w:sz w:val="20"/>
                <w:szCs w:val="20"/>
              </w:rPr>
              <w:t xml:space="preserve">0.15</w:t>
            </w:r>
            <w:r>
              <w:rPr>
                <w:sz w:val="20"/>
                <w:szCs w:val="20"/>
              </w:rPr>
              <w:t xml:space="preserve">dist</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Dawn Ceres LAMO</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Ceres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Dawn LAMO delivery error 3.0 km (0.05 deg) after OMM1 (Wood 2021 DESCANSO AAS 21-550, p. line</w:t>
            </w:r>
            <w:r>
              <w:rPr>
                <w:sz w:val="20"/>
                <w:szCs w:val="20"/>
              </w:rPr>
              <w:t xml:space="preserve"> </w:t>
            </w:r>
            <w:r>
              <w:rPr>
                <w:sz w:val="20"/>
                <w:szCs w:val="20"/>
              </w:rPr>
              <w:t xml:space="preserve">‘delivery error was now only 3.0 km’</w:t>
            </w:r>
            <w:r>
              <w:rPr>
                <w:sz w:val="20"/>
                <w:szCs w:val="20"/>
              </w:rPr>
              <w:t xml:space="preserve">); documented realized value used; Earth-Ceres ~3.0 AU</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Juno JOI</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Jupiter</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2.3026</w:t>
            </w:r>
          </w:p>
        </w:tc>
        <w:tc>
          <w:tcPr>
            <w:tcW w:w="0" w:type="auto"/>
          </w:tcPr>
          <w:p>
            <w:pPr>
              <w:spacing w:line="240" w:lineRule="auto" w:before="0" w:after="0"/>
              <w:pStyle w:val="Compact"/>
            </w:pPr>
            <w:r>
              <w:rPr>
                <w:sz w:val="20"/>
                <w:szCs w:val="20"/>
              </w:rPr>
              <w:t xml:space="preserve">1.6864</w:t>
            </w:r>
          </w:p>
        </w:tc>
        <w:tc>
          <w:tcPr>
            <w:tcW w:w="0" w:type="auto"/>
          </w:tcPr>
          <w:p>
            <w:pPr>
              <w:spacing w:line="240" w:lineRule="auto" w:before="0" w:after="0"/>
              <w:pStyle w:val="Compact"/>
            </w:pPr>
            <w:r>
              <w:rPr>
                <w:sz w:val="20"/>
                <w:szCs w:val="20"/>
              </w:rPr>
              <w:t xml:space="preserve">Juno DDOR particularly valuable for JOI; position reconstructed to 10 km (1-sigma) within 3 h of perijove (Wood 2021 DESCANSO AAS 21-550,</w:t>
            </w:r>
            <w:r>
              <w:rPr>
                <w:sz w:val="20"/>
                <w:szCs w:val="20"/>
              </w:rPr>
              <w:t xml:space="preserve"> </w:t>
            </w:r>
            <w:r>
              <w:rPr>
                <w:sz w:val="20"/>
                <w:szCs w:val="20"/>
              </w:rPr>
              <w:t xml:space="preserve">‘reconstructed to an accuracy of 10 km’</w:t>
            </w:r>
            <w:r>
              <w:rPr>
                <w:sz w:val="20"/>
                <w:szCs w:val="20"/>
              </w:rPr>
              <w:t xml:space="preserve">); documented realized value used; Earth-Jupiter ~5.4 AU</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BepiColombo Earth flyby</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Earth</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0.03</w:t>
            </w:r>
          </w:p>
        </w:tc>
        <w:tc>
          <w:tcPr>
            <w:tcW w:w="0" w:type="auto"/>
          </w:tcPr>
          <w:p>
            <w:pPr>
              <w:spacing w:line="240" w:lineRule="auto" w:before="0" w:after="0"/>
              <w:pStyle w:val="Compact"/>
            </w:pPr>
            <w:r>
              <w:rPr>
                <w:sz w:val="20"/>
                <w:szCs w:val="20"/>
              </w:rPr>
              <w:t xml:space="preserve">-3.5066</w:t>
            </w:r>
          </w:p>
        </w:tc>
        <w:tc>
          <w:tcPr>
            <w:tcW w:w="0" w:type="auto"/>
          </w:tcPr>
          <w:p>
            <w:pPr>
              <w:spacing w:line="240" w:lineRule="auto" w:before="0" w:after="0"/>
              <w:pStyle w:val="Compact"/>
            </w:pPr>
            <w:r>
              <w:rPr>
                <w:sz w:val="20"/>
                <w:szCs w:val="20"/>
              </w:rPr>
              <w:t xml:space="preserve">-2.3026</w:t>
            </w:r>
          </w:p>
        </w:tc>
        <w:tc>
          <w:tcPr>
            <w:tcW w:w="0" w:type="auto"/>
          </w:tcPr>
          <w:p>
            <w:pPr>
              <w:spacing w:line="240" w:lineRule="auto" w:before="0" w:after="0"/>
              <w:pStyle w:val="Compact"/>
            </w:pPr>
            <w:r>
              <w:rPr>
                <w:sz w:val="20"/>
                <w:szCs w:val="20"/>
              </w:rPr>
              <w:t xml:space="preserve">ESA: Delta-DOR standard for BepiColombo (esa.int Delta-DOR page); ang 2 nrad Ka; near-Earth flyby ~0.10 AU; posunc=ang</w:t>
            </w:r>
            <w:r>
              <w:rPr>
                <w:i/>
                <w:iCs/>
                <w:sz w:val="20"/>
                <w:szCs w:val="20"/>
              </w:rPr>
              <w:t xml:space="preserve">0.15</w:t>
            </w:r>
            <w:r>
              <w:rPr>
                <w:sz w:val="20"/>
                <w:szCs w:val="20"/>
              </w:rPr>
              <w:t xml:space="preserve">dist</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Solar Orbiter cruise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Sun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0.24</w:t>
            </w:r>
          </w:p>
        </w:tc>
        <w:tc>
          <w:tcPr>
            <w:tcW w:w="0" w:type="auto"/>
          </w:tcPr>
          <w:p>
            <w:pPr>
              <w:spacing w:line="240" w:lineRule="auto" w:before="0" w:after="0"/>
              <w:pStyle w:val="Compact"/>
            </w:pPr>
            <w:r>
              <w:rPr>
                <w:sz w:val="20"/>
                <w:szCs w:val="20"/>
              </w:rPr>
              <w:t xml:space="preserve">-1.4271</w:t>
            </w:r>
          </w:p>
        </w:tc>
        <w:tc>
          <w:tcPr>
            <w:tcW w:w="0" w:type="auto"/>
          </w:tcPr>
          <w:p>
            <w:pPr>
              <w:spacing w:line="240" w:lineRule="auto" w:before="0" w:after="0"/>
              <w:pStyle w:val="Compact"/>
            </w:pPr>
            <w:r>
              <w:rPr>
                <w:sz w:val="20"/>
                <w:szCs w:val="20"/>
              </w:rPr>
              <w:t xml:space="preserve">-0.2231</w:t>
            </w:r>
          </w:p>
        </w:tc>
        <w:tc>
          <w:tcPr>
            <w:tcW w:w="0" w:type="auto"/>
          </w:tcPr>
          <w:p>
            <w:pPr>
              <w:spacing w:line="240" w:lineRule="auto" w:before="0" w:after="0"/>
              <w:pStyle w:val="Compact"/>
            </w:pPr>
            <w:r>
              <w:rPr>
                <w:sz w:val="20"/>
                <w:szCs w:val="20"/>
              </w:rPr>
              <w:t xml:space="preserve">ESA: Delta-DOR standard for Solar Orbiter (esa.int Delta-DOR page); ang 2 nrad Ka; ~0.8 AU geocentric cruise; posunc=ang</w:t>
            </w:r>
            <w:r>
              <w:rPr>
                <w:i/>
                <w:iCs/>
                <w:sz w:val="20"/>
                <w:szCs w:val="20"/>
              </w:rPr>
              <w:t xml:space="preserve">0.15</w:t>
            </w:r>
            <w:r>
              <w:rPr>
                <w:sz w:val="20"/>
                <w:szCs w:val="20"/>
              </w:rPr>
              <w:t xml:space="preserve">dist</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Cassini SOI</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Saturn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135</w:t>
            </w:r>
          </w:p>
        </w:tc>
        <w:tc>
          <w:tcPr>
            <w:tcW w:w="0" w:type="auto"/>
          </w:tcPr>
          <w:p>
            <w:pPr>
              <w:spacing w:line="240" w:lineRule="auto" w:before="0" w:after="0"/>
              <w:pStyle w:val="Compact"/>
            </w:pPr>
            <w:r>
              <w:rPr>
                <w:sz w:val="20"/>
                <w:szCs w:val="20"/>
              </w:rPr>
              <w:t xml:space="preserve">4.9053</w:t>
            </w:r>
          </w:p>
        </w:tc>
        <w:tc>
          <w:tcPr>
            <w:tcW w:w="0" w:type="auto"/>
          </w:tcPr>
          <w:p>
            <w:pPr>
              <w:spacing w:line="240" w:lineRule="auto" w:before="0" w:after="0"/>
              <w:pStyle w:val="Compact"/>
            </w:pPr>
            <w:r>
              <w:rPr>
                <w:sz w:val="20"/>
                <w:szCs w:val="20"/>
              </w:rPr>
              <w:t xml:space="preserve">2.1972</w:t>
            </w:r>
          </w:p>
        </w:tc>
        <w:tc>
          <w:tcPr>
            <w:tcW w:w="0" w:type="auto"/>
          </w:tcPr>
          <w:p>
            <w:pPr>
              <w:spacing w:line="240" w:lineRule="auto" w:before="0" w:after="0"/>
              <w:pStyle w:val="Compact"/>
            </w:pPr>
            <w:r>
              <w:rPr>
                <w:sz w:val="20"/>
                <w:szCs w:val="20"/>
              </w:rPr>
              <w:t xml:space="preserve">Cassini SOI 2004 navigated on Doppler+range (no Delta-DOR confirmed for SOI; Critical Monitoring of Cassini SOI, AIAA 2004-617); Doppler-only declination ~100 nrad (Curkendall &amp; Border 2013 IPN PR 42-193); Earth-Saturn ~9.0 AU; posunc=ang</w:t>
            </w:r>
            <w:r>
              <w:rPr>
                <w:i/>
                <w:iCs/>
                <w:sz w:val="20"/>
                <w:szCs w:val="20"/>
              </w:rPr>
              <w:t xml:space="preserve">0.15</w:t>
            </w:r>
            <w:r>
              <w:rPr>
                <w:sz w:val="20"/>
                <w:szCs w:val="20"/>
              </w:rPr>
              <w:t xml:space="preserve">dist [illustrative km from documented angular regime]</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Galileo Jupiter arrival</w:t>
            </w:r>
          </w:p>
        </w:tc>
        <w:tc>
          <w:tcPr>
            <w:tcW w:w="0" w:type="auto"/>
          </w:tcPr>
          <w:p>
            <w:pPr>
              <w:spacing w:line="240" w:lineRule="auto" w:before="0" w:after="0"/>
              <w:pStyle w:val="Compact"/>
            </w:pPr>
            <w:r>
              <w:rPr>
                <w:sz w:val="20"/>
                <w:szCs w:val="20"/>
              </w:rPr>
              <w:t xml:space="preserve">1995</w:t>
            </w:r>
          </w:p>
        </w:tc>
        <w:tc>
          <w:tcPr>
            <w:tcW w:w="0" w:type="auto"/>
          </w:tcPr>
          <w:p>
            <w:pPr>
              <w:spacing w:line="240" w:lineRule="auto" w:before="0" w:after="0"/>
              <w:pStyle w:val="Compact"/>
            </w:pPr>
            <w:r>
              <w:rPr>
                <w:sz w:val="20"/>
                <w:szCs w:val="20"/>
              </w:rPr>
              <w:t xml:space="preserve">Jupiter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4.3567</w:t>
            </w:r>
          </w:p>
        </w:tc>
        <w:tc>
          <w:tcPr>
            <w:tcW w:w="0" w:type="auto"/>
          </w:tcPr>
          <w:p>
            <w:pPr>
              <w:spacing w:line="240" w:lineRule="auto" w:before="0" w:after="0"/>
              <w:pStyle w:val="Compact"/>
            </w:pPr>
            <w:r>
              <w:rPr>
                <w:sz w:val="20"/>
                <w:szCs w:val="20"/>
              </w:rPr>
              <w:t xml:space="preserve">1.6487</w:t>
            </w:r>
          </w:p>
        </w:tc>
        <w:tc>
          <w:tcPr>
            <w:tcW w:w="0" w:type="auto"/>
          </w:tcPr>
          <w:p>
            <w:pPr>
              <w:spacing w:line="240" w:lineRule="auto" w:before="0" w:after="0"/>
              <w:pStyle w:val="Compact"/>
            </w:pPr>
            <w:r>
              <w:rPr>
                <w:sz w:val="20"/>
                <w:szCs w:val="20"/>
              </w:rPr>
              <w:t xml:space="preserve">Galileo arrival pre-routine-Delta-DOR; Doppler+range OD (NTRS 19930010226 Galileo Earth-1 encounter nav); Doppler-only ~100 nrad declination (IPN PR 42-193); Earth-Jupiter ~5.2 AU; posunc=ang</w:t>
            </w:r>
            <w:r>
              <w:rPr>
                <w:i/>
                <w:iCs/>
                <w:sz w:val="20"/>
                <w:szCs w:val="20"/>
              </w:rPr>
              <w:t xml:space="preserve">0.15</w:t>
            </w:r>
            <w:r>
              <w:rPr>
                <w:sz w:val="20"/>
                <w:szCs w:val="20"/>
              </w:rPr>
              <w:t xml:space="preserve">dist [illustrative km from documented angular regime]</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Magellan Venus arrival</w:t>
            </w:r>
          </w:p>
        </w:tc>
        <w:tc>
          <w:tcPr>
            <w:tcW w:w="0" w:type="auto"/>
          </w:tcPr>
          <w:p>
            <w:pPr>
              <w:spacing w:line="240" w:lineRule="auto" w:before="0" w:after="0"/>
              <w:pStyle w:val="Compact"/>
            </w:pPr>
            <w:r>
              <w:rPr>
                <w:sz w:val="20"/>
                <w:szCs w:val="20"/>
              </w:rPr>
              <w:t xml:space="preserve">1990</w:t>
            </w:r>
          </w:p>
        </w:tc>
        <w:tc>
          <w:tcPr>
            <w:tcW w:w="0" w:type="auto"/>
          </w:tcPr>
          <w:p>
            <w:pPr>
              <w:spacing w:line="240" w:lineRule="auto" w:before="0" w:after="0"/>
              <w:pStyle w:val="Compact"/>
            </w:pPr>
            <w:r>
              <w:rPr>
                <w:sz w:val="20"/>
                <w:szCs w:val="20"/>
              </w:rPr>
              <w:t xml:space="preserve">Venus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3.0445</w:t>
            </w:r>
          </w:p>
        </w:tc>
        <w:tc>
          <w:tcPr>
            <w:tcW w:w="0" w:type="auto"/>
          </w:tcPr>
          <w:p>
            <w:pPr>
              <w:spacing w:line="240" w:lineRule="auto" w:before="0" w:after="0"/>
              <w:pStyle w:val="Compact"/>
            </w:pPr>
            <w:r>
              <w:rPr>
                <w:sz w:val="20"/>
                <w:szCs w:val="20"/>
              </w:rPr>
              <w:t xml:space="preserve">0.3365</w:t>
            </w:r>
          </w:p>
        </w:tc>
        <w:tc>
          <w:tcPr>
            <w:tcW w:w="0" w:type="auto"/>
          </w:tcPr>
          <w:p>
            <w:pPr>
              <w:spacing w:line="240" w:lineRule="auto" w:before="0" w:after="0"/>
              <w:pStyle w:val="Compact"/>
            </w:pPr>
            <w:r>
              <w:rPr>
                <w:sz w:val="20"/>
                <w:szCs w:val="20"/>
              </w:rPr>
              <w:t xml:space="preserve">Magellan 1990 Venus arrival, Doppler+range era pre-Delta-DOR operational use; Doppler-only ~100 nrad (IPN PR 42-193); Earth-Venus ~1.4 AU; posunc=ang</w:t>
            </w:r>
            <w:r>
              <w:rPr>
                <w:i/>
                <w:iCs/>
                <w:sz w:val="20"/>
                <w:szCs w:val="20"/>
              </w:rPr>
              <w:t xml:space="preserve">0.15</w:t>
            </w:r>
            <w:r>
              <w:rPr>
                <w:sz w:val="20"/>
                <w:szCs w:val="20"/>
              </w:rPr>
              <w:t xml:space="preserve">dist [illustrative km from documented angular regime]</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Mars Observer cruise</w:t>
            </w:r>
          </w:p>
        </w:tc>
        <w:tc>
          <w:tcPr>
            <w:tcW w:w="0" w:type="auto"/>
          </w:tcPr>
          <w:p>
            <w:pPr>
              <w:spacing w:line="240" w:lineRule="auto" w:before="0" w:after="0"/>
              <w:pStyle w:val="Compact"/>
            </w:pPr>
            <w:r>
              <w:rPr>
                <w:sz w:val="20"/>
                <w:szCs w:val="20"/>
              </w:rPr>
              <w:t xml:space="preserve">1993</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6.6</w:t>
            </w:r>
          </w:p>
        </w:tc>
        <w:tc>
          <w:tcPr>
            <w:tcW w:w="0" w:type="auto"/>
          </w:tcPr>
          <w:p>
            <w:pPr>
              <w:spacing w:line="240" w:lineRule="auto" w:before="0" w:after="0"/>
              <w:pStyle w:val="Compact"/>
            </w:pPr>
            <w:r>
              <w:rPr>
                <w:sz w:val="20"/>
                <w:szCs w:val="20"/>
              </w:rPr>
              <w:t xml:space="preserve">1.8871</w:t>
            </w:r>
          </w:p>
        </w:tc>
        <w:tc>
          <w:tcPr>
            <w:tcW w:w="0" w:type="auto"/>
          </w:tcPr>
          <w:p>
            <w:pPr>
              <w:spacing w:line="240" w:lineRule="auto" w:before="0" w:after="0"/>
              <w:pStyle w:val="Compact"/>
            </w:pPr>
            <w:r>
              <w:rPr>
                <w:sz w:val="20"/>
                <w:szCs w:val="20"/>
              </w:rPr>
              <w:t xml:space="preserve">0.0953</w:t>
            </w:r>
          </w:p>
        </w:tc>
        <w:tc>
          <w:tcPr>
            <w:tcW w:w="0" w:type="auto"/>
          </w:tcPr>
          <w:p>
            <w:pPr>
              <w:spacing w:line="240" w:lineRule="auto" w:before="0" w:after="0"/>
              <w:pStyle w:val="Compact"/>
            </w:pPr>
            <w:r>
              <w:rPr>
                <w:sz w:val="20"/>
                <w:szCs w:val="20"/>
              </w:rPr>
              <w:t xml:space="preserve">Mars Observer used as Delta-DOR accuracy illustration (NTRS 20060039244</w:t>
            </w:r>
            <w:r>
              <w:rPr>
                <w:sz w:val="20"/>
                <w:szCs w:val="20"/>
              </w:rPr>
              <w:t xml:space="preserve"> </w:t>
            </w:r>
            <w:r>
              <w:rPr>
                <w:sz w:val="20"/>
                <w:szCs w:val="20"/>
              </w:rPr>
              <w:t xml:space="preserve">‘Technical Characteristics and Accuracy Capabilities of Delta-DOR’</w:t>
            </w:r>
            <w:r>
              <w:rPr>
                <w:sz w:val="20"/>
                <w:szCs w:val="20"/>
              </w:rPr>
              <w:t xml:space="preserve">); early-era ~40 nrad Delta-DOR; Earth-Mars ~1.1 AU; posunc=ang</w:t>
            </w:r>
            <w:r>
              <w:rPr>
                <w:i/>
                <w:iCs/>
                <w:sz w:val="20"/>
                <w:szCs w:val="20"/>
              </w:rPr>
              <w:t xml:space="preserve">0.15</w:t>
            </w:r>
            <w:r>
              <w:rPr>
                <w:sz w:val="20"/>
                <w:szCs w:val="20"/>
              </w:rPr>
              <w:t xml:space="preserve">dist</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Galileo Earth-1 encounter</w:t>
            </w:r>
          </w:p>
        </w:tc>
        <w:tc>
          <w:tcPr>
            <w:tcW w:w="0" w:type="auto"/>
          </w:tcPr>
          <w:p>
            <w:pPr>
              <w:spacing w:line="240" w:lineRule="auto" w:before="0" w:after="0"/>
              <w:pStyle w:val="Compact"/>
            </w:pPr>
            <w:r>
              <w:rPr>
                <w:sz w:val="20"/>
                <w:szCs w:val="20"/>
              </w:rPr>
              <w:t xml:space="preserve">1990</w:t>
            </w:r>
          </w:p>
        </w:tc>
        <w:tc>
          <w:tcPr>
            <w:tcW w:w="0" w:type="auto"/>
          </w:tcPr>
          <w:p>
            <w:pPr>
              <w:spacing w:line="240" w:lineRule="auto" w:before="0" w:after="0"/>
              <w:pStyle w:val="Compact"/>
            </w:pPr>
            <w:r>
              <w:rPr>
                <w:sz w:val="20"/>
                <w:szCs w:val="20"/>
              </w:rPr>
              <w:t xml:space="preserve">Earth</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0.75</w:t>
            </w:r>
          </w:p>
        </w:tc>
        <w:tc>
          <w:tcPr>
            <w:tcW w:w="0" w:type="auto"/>
          </w:tcPr>
          <w:p>
            <w:pPr>
              <w:spacing w:line="240" w:lineRule="auto" w:before="0" w:after="0"/>
              <w:pStyle w:val="Compact"/>
            </w:pPr>
            <w:r>
              <w:rPr>
                <w:sz w:val="20"/>
                <w:szCs w:val="20"/>
              </w:rPr>
              <w:t xml:space="preserve">-0.2877</w:t>
            </w:r>
          </w:p>
        </w:tc>
        <w:tc>
          <w:tcPr>
            <w:tcW w:w="0" w:type="auto"/>
          </w:tcPr>
          <w:p>
            <w:pPr>
              <w:spacing w:line="240" w:lineRule="auto" w:before="0" w:after="0"/>
              <w:pStyle w:val="Compact"/>
            </w:pPr>
            <w:r>
              <w:rPr>
                <w:sz w:val="20"/>
                <w:szCs w:val="20"/>
              </w:rPr>
              <w:t xml:space="preserve">-2.9957</w:t>
            </w:r>
          </w:p>
        </w:tc>
        <w:tc>
          <w:tcPr>
            <w:tcW w:w="0" w:type="auto"/>
          </w:tcPr>
          <w:p>
            <w:pPr>
              <w:spacing w:line="240" w:lineRule="auto" w:before="0" w:after="0"/>
              <w:pStyle w:val="Compact"/>
            </w:pPr>
            <w:r>
              <w:rPr>
                <w:sz w:val="20"/>
                <w:szCs w:val="20"/>
              </w:rPr>
              <w:t xml:space="preserve">Galileo Earth-1 two-way ranging nav (NTRS 19930010226); Doppler+range ~100 nrad declination (IPN PR 42-193); near-Earth ~0.05 AU; posunc=ang</w:t>
            </w:r>
            <w:r>
              <w:rPr>
                <w:i/>
                <w:iCs/>
                <w:sz w:val="20"/>
                <w:szCs w:val="20"/>
              </w:rPr>
              <w:t xml:space="preserve">0.15</w:t>
            </w:r>
            <w:r>
              <w:rPr>
                <w:sz w:val="20"/>
                <w:szCs w:val="20"/>
              </w:rPr>
              <w:t xml:space="preserve">dist [illustrative km from documented angular regime]</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New Horizons Pluto</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Pluto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480</w:t>
            </w:r>
          </w:p>
        </w:tc>
        <w:tc>
          <w:tcPr>
            <w:tcW w:w="0" w:type="auto"/>
          </w:tcPr>
          <w:p>
            <w:pPr>
              <w:spacing w:line="240" w:lineRule="auto" w:before="0" w:after="0"/>
              <w:pStyle w:val="Compact"/>
            </w:pPr>
            <w:r>
              <w:rPr>
                <w:sz w:val="20"/>
                <w:szCs w:val="20"/>
              </w:rPr>
              <w:t xml:space="preserve">6.1738</w:t>
            </w:r>
          </w:p>
        </w:tc>
        <w:tc>
          <w:tcPr>
            <w:tcW w:w="0" w:type="auto"/>
          </w:tcPr>
          <w:p>
            <w:pPr>
              <w:spacing w:line="240" w:lineRule="auto" w:before="0" w:after="0"/>
              <w:pStyle w:val="Compact"/>
            </w:pPr>
            <w:r>
              <w:rPr>
                <w:sz w:val="20"/>
                <w:szCs w:val="20"/>
              </w:rPr>
              <w:t xml:space="preserve">3.4657</w:t>
            </w:r>
          </w:p>
        </w:tc>
        <w:tc>
          <w:tcPr>
            <w:tcW w:w="0" w:type="auto"/>
          </w:tcPr>
          <w:p>
            <w:pPr>
              <w:spacing w:line="240" w:lineRule="auto" w:before="0" w:after="0"/>
              <w:pStyle w:val="Compact"/>
            </w:pPr>
            <w:r>
              <w:rPr>
                <w:sz w:val="20"/>
                <w:szCs w:val="20"/>
              </w:rPr>
              <w:t xml:space="preserve">New Horizons Pluto encounter ephemeris-limited, optical+radiometric (Wood 2021 DESCANSO); Doppler-range declination ~100 nrad (IPN PR 42-193); Earth-Pluto ~32 AU; posunc=ang</w:t>
            </w:r>
            <w:r>
              <w:rPr>
                <w:i/>
                <w:iCs/>
                <w:sz w:val="20"/>
                <w:szCs w:val="20"/>
              </w:rPr>
              <w:t xml:space="preserve">0.15</w:t>
            </w:r>
            <w:r>
              <w:rPr>
                <w:sz w:val="20"/>
                <w:szCs w:val="20"/>
              </w:rPr>
              <w:t xml:space="preserve">dist [illustrative km from documented angular regime]</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New Horizons MU69</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KBO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645</w:t>
            </w:r>
          </w:p>
        </w:tc>
        <w:tc>
          <w:tcPr>
            <w:tcW w:w="0" w:type="auto"/>
          </w:tcPr>
          <w:p>
            <w:pPr>
              <w:spacing w:line="240" w:lineRule="auto" w:before="0" w:after="0"/>
              <w:pStyle w:val="Compact"/>
            </w:pPr>
            <w:r>
              <w:rPr>
                <w:sz w:val="20"/>
                <w:szCs w:val="20"/>
              </w:rPr>
              <w:t xml:space="preserve">6.4693</w:t>
            </w:r>
          </w:p>
        </w:tc>
        <w:tc>
          <w:tcPr>
            <w:tcW w:w="0" w:type="auto"/>
          </w:tcPr>
          <w:p>
            <w:pPr>
              <w:spacing w:line="240" w:lineRule="auto" w:before="0" w:after="0"/>
              <w:pStyle w:val="Compact"/>
            </w:pPr>
            <w:r>
              <w:rPr>
                <w:sz w:val="20"/>
                <w:szCs w:val="20"/>
              </w:rPr>
              <w:t xml:space="preserve">3.7612</w:t>
            </w:r>
          </w:p>
        </w:tc>
        <w:tc>
          <w:tcPr>
            <w:tcW w:w="0" w:type="auto"/>
          </w:tcPr>
          <w:p>
            <w:pPr>
              <w:spacing w:line="240" w:lineRule="auto" w:before="0" w:after="0"/>
              <w:pStyle w:val="Compact"/>
            </w:pPr>
            <w:r>
              <w:rPr>
                <w:sz w:val="20"/>
                <w:szCs w:val="20"/>
              </w:rPr>
              <w:t xml:space="preserve">New Horizons MU69 (Arrokoth) flyby, TCM shifted B-plane 5676 km, ephemeris-limited (Wood 2021 DESCANSO AAS 21-550); Doppler-range ~100 nrad (IPN PR 42-193); Earth-MU69 ~43 AU; posunc=ang</w:t>
            </w:r>
            <w:r>
              <w:rPr>
                <w:i/>
                <w:iCs/>
                <w:sz w:val="20"/>
                <w:szCs w:val="20"/>
              </w:rPr>
              <w:t xml:space="preserve">0.15</w:t>
            </w:r>
            <w:r>
              <w:rPr>
                <w:sz w:val="20"/>
                <w:szCs w:val="20"/>
              </w:rPr>
              <w:t xml:space="preserve">dist [illustrative km from documented angular regime]</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Cassini Titan-123 flyby</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Titan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143</w:t>
            </w:r>
          </w:p>
        </w:tc>
        <w:tc>
          <w:tcPr>
            <w:tcW w:w="0" w:type="auto"/>
          </w:tcPr>
          <w:p>
            <w:pPr>
              <w:spacing w:line="240" w:lineRule="auto" w:before="0" w:after="0"/>
              <w:pStyle w:val="Compact"/>
            </w:pPr>
            <w:r>
              <w:rPr>
                <w:sz w:val="20"/>
                <w:szCs w:val="20"/>
              </w:rPr>
              <w:t xml:space="preserve">4.9628</w:t>
            </w:r>
          </w:p>
        </w:tc>
        <w:tc>
          <w:tcPr>
            <w:tcW w:w="0" w:type="auto"/>
          </w:tcPr>
          <w:p>
            <w:pPr>
              <w:spacing w:line="240" w:lineRule="auto" w:before="0" w:after="0"/>
              <w:pStyle w:val="Compact"/>
            </w:pPr>
            <w:r>
              <w:rPr>
                <w:sz w:val="20"/>
                <w:szCs w:val="20"/>
              </w:rPr>
              <w:t xml:space="preserve">2.2513</w:t>
            </w:r>
          </w:p>
        </w:tc>
        <w:tc>
          <w:tcPr>
            <w:tcW w:w="0" w:type="auto"/>
          </w:tcPr>
          <w:p>
            <w:pPr>
              <w:spacing w:line="240" w:lineRule="auto" w:before="0" w:after="0"/>
              <w:pStyle w:val="Compact"/>
            </w:pPr>
            <w:r>
              <w:rPr>
                <w:sz w:val="20"/>
                <w:szCs w:val="20"/>
              </w:rPr>
              <w:t xml:space="preserve">Cassini Titan-123 approach OTM B-plane shift 6.8 km, no Delta-DOR (Wood 2021 DESCANSO AAS 21-550); Doppler-range ~100 nrad (IPN PR 42-193); Earth-Saturn ~9.5 AU; posunc=ang</w:t>
            </w:r>
            <w:r>
              <w:rPr>
                <w:i/>
                <w:iCs/>
                <w:sz w:val="20"/>
                <w:szCs w:val="20"/>
              </w:rPr>
              <w:t xml:space="preserve">0.15</w:t>
            </w:r>
            <w:r>
              <w:rPr>
                <w:sz w:val="20"/>
                <w:szCs w:val="20"/>
              </w:rPr>
              <w:t xml:space="preserve">dist [illustrative km from documented angular regime]</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JUICE Earth-Moon flyby</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Earth</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0.02</w:t>
            </w:r>
          </w:p>
        </w:tc>
        <w:tc>
          <w:tcPr>
            <w:tcW w:w="0" w:type="auto"/>
          </w:tcPr>
          <w:p>
            <w:pPr>
              <w:spacing w:line="240" w:lineRule="auto" w:before="0" w:after="0"/>
              <w:pStyle w:val="Compact"/>
            </w:pPr>
            <w:r>
              <w:rPr>
                <w:sz w:val="20"/>
                <w:szCs w:val="20"/>
              </w:rPr>
              <w:t xml:space="preserve">-3.912</w:t>
            </w:r>
          </w:p>
        </w:tc>
        <w:tc>
          <w:tcPr>
            <w:tcW w:w="0" w:type="auto"/>
          </w:tcPr>
          <w:p>
            <w:pPr>
              <w:spacing w:line="240" w:lineRule="auto" w:before="0" w:after="0"/>
              <w:pStyle w:val="Compact"/>
            </w:pPr>
            <w:r>
              <w:rPr>
                <w:sz w:val="20"/>
                <w:szCs w:val="20"/>
              </w:rPr>
              <w:t xml:space="preserve">-2.9957</w:t>
            </w:r>
          </w:p>
        </w:tc>
        <w:tc>
          <w:tcPr>
            <w:tcW w:w="0" w:type="auto"/>
          </w:tcPr>
          <w:p>
            <w:pPr>
              <w:spacing w:line="240" w:lineRule="auto" w:before="0" w:after="0"/>
              <w:pStyle w:val="Compact"/>
            </w:pPr>
            <w:r>
              <w:rPr>
                <w:sz w:val="20"/>
                <w:szCs w:val="20"/>
              </w:rPr>
              <w:t xml:space="preserve">ESA: Delta-DOR standard for JUICE (esa.int Delta-DOR page); ang 2 nrad Ka; Earth-Moon flyby ~0.05 AU; posunc=ang</w:t>
            </w:r>
            <w:r>
              <w:rPr>
                <w:i/>
                <w:iCs/>
                <w:sz w:val="20"/>
                <w:szCs w:val="20"/>
              </w:rPr>
              <w:t xml:space="preserve">0.15</w:t>
            </w:r>
            <w:r>
              <w:rPr>
                <w:sz w:val="20"/>
                <w:szCs w:val="20"/>
              </w:rPr>
              <w:t xml:space="preserve">dist</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Mars Odyssey MOI</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0.0862</w:t>
            </w:r>
          </w:p>
        </w:tc>
        <w:tc>
          <w:tcPr>
            <w:tcW w:w="0" w:type="auto"/>
          </w:tcPr>
          <w:p>
            <w:pPr>
              <w:spacing w:line="240" w:lineRule="auto" w:before="0" w:after="0"/>
              <w:pStyle w:val="Compact"/>
            </w:pPr>
            <w:r>
              <w:rPr>
                <w:sz w:val="20"/>
                <w:szCs w:val="20"/>
              </w:rPr>
              <w:t xml:space="preserve">0.3716</w:t>
            </w:r>
          </w:p>
        </w:tc>
        <w:tc>
          <w:tcPr>
            <w:tcW w:w="0" w:type="auto"/>
          </w:tcPr>
          <w:p>
            <w:pPr>
              <w:spacing w:line="240" w:lineRule="auto" w:before="0" w:after="0"/>
              <w:pStyle w:val="Compact"/>
            </w:pPr>
            <w:r>
              <w:rPr>
                <w:sz w:val="20"/>
                <w:szCs w:val="20"/>
              </w:rPr>
              <w:t xml:space="preserve">Mars Odyssey 2001 MOI; achieved altitude &lt;1 km from 300 km target (Mars Odyssey Navigation Experience, ResearchGate 245438349); early operational Delta-DOR ~5 nrad; Earth-Mars ~1.45 AU; posunc=ang</w:t>
            </w:r>
            <w:r>
              <w:rPr>
                <w:i/>
                <w:iCs/>
                <w:sz w:val="20"/>
                <w:szCs w:val="20"/>
              </w:rPr>
              <w:t xml:space="preserve">0.15</w:t>
            </w:r>
            <w:r>
              <w:rPr>
                <w:sz w:val="20"/>
                <w:szCs w:val="20"/>
              </w:rPr>
              <w:t xml:space="preserve">dist</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Hayabusa2 Ryugu arrival</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Ryugu</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0.54</w:t>
            </w:r>
          </w:p>
        </w:tc>
        <w:tc>
          <w:tcPr>
            <w:tcW w:w="0" w:type="auto"/>
          </w:tcPr>
          <w:p>
            <w:pPr>
              <w:spacing w:line="240" w:lineRule="auto" w:before="0" w:after="0"/>
              <w:pStyle w:val="Compact"/>
            </w:pPr>
            <w:r>
              <w:rPr>
                <w:sz w:val="20"/>
                <w:szCs w:val="20"/>
              </w:rPr>
              <w:t xml:space="preserve">-0.6162</w:t>
            </w:r>
          </w:p>
        </w:tc>
        <w:tc>
          <w:tcPr>
            <w:tcW w:w="0" w:type="auto"/>
          </w:tcPr>
          <w:p>
            <w:pPr>
              <w:spacing w:line="240" w:lineRule="auto" w:before="0" w:after="0"/>
              <w:pStyle w:val="Compact"/>
            </w:pPr>
            <w:r>
              <w:rPr>
                <w:sz w:val="20"/>
                <w:szCs w:val="20"/>
              </w:rPr>
              <w:t xml:space="preserve">0.1823</w:t>
            </w:r>
          </w:p>
        </w:tc>
        <w:tc>
          <w:tcPr>
            <w:tcW w:w="0" w:type="auto"/>
          </w:tcPr>
          <w:p>
            <w:pPr>
              <w:spacing w:line="240" w:lineRule="auto" w:before="0" w:after="0"/>
              <w:pStyle w:val="Compact"/>
            </w:pPr>
            <w:r>
              <w:rPr>
                <w:sz w:val="20"/>
                <w:szCs w:val="20"/>
              </w:rPr>
              <w:t xml:space="preserve">Hayabusa2 used Delta-DOR/DDOR (JAXA-ESA cross-support; ESA Delta-DOR page lists agency cross-support); ang 3 nrad; Earth-Ryugu ~1.2 AU at Jun-2018 arrival; posunc=ang</w:t>
            </w:r>
            <w:r>
              <w:rPr>
                <w:i/>
                <w:iCs/>
                <w:sz w:val="20"/>
                <w:szCs w:val="20"/>
              </w:rPr>
              <w:t xml:space="preserve">0.15</w:t>
            </w:r>
            <w:r>
              <w:rPr>
                <w:sz w:val="20"/>
                <w:szCs w:val="20"/>
              </w:rPr>
              <w:t xml:space="preserve">dist [illustrative ang from documented Delta-DOR regime]</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Akatsuki Venus reinsertion</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Venus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10.5</w:t>
            </w:r>
          </w:p>
        </w:tc>
        <w:tc>
          <w:tcPr>
            <w:tcW w:w="0" w:type="auto"/>
          </w:tcPr>
          <w:p>
            <w:pPr>
              <w:spacing w:line="240" w:lineRule="auto" w:before="0" w:after="0"/>
              <w:pStyle w:val="Compact"/>
            </w:pPr>
            <w:r>
              <w:rPr>
                <w:sz w:val="20"/>
                <w:szCs w:val="20"/>
              </w:rPr>
              <w:t xml:space="preserve">2.3514</w:t>
            </w:r>
          </w:p>
        </w:tc>
        <w:tc>
          <w:tcPr>
            <w:tcW w:w="0" w:type="auto"/>
          </w:tcPr>
          <w:p>
            <w:pPr>
              <w:spacing w:line="240" w:lineRule="auto" w:before="0" w:after="0"/>
              <w:pStyle w:val="Compact"/>
            </w:pPr>
            <w:r>
              <w:rPr>
                <w:sz w:val="20"/>
                <w:szCs w:val="20"/>
              </w:rPr>
              <w:t xml:space="preserve">-0.3567</w:t>
            </w:r>
          </w:p>
        </w:tc>
        <w:tc>
          <w:tcPr>
            <w:tcW w:w="0" w:type="auto"/>
          </w:tcPr>
          <w:p>
            <w:pPr>
              <w:spacing w:line="240" w:lineRule="auto" w:before="0" w:after="0"/>
              <w:pStyle w:val="Compact"/>
            </w:pPr>
            <w:r>
              <w:rPr>
                <w:sz w:val="20"/>
                <w:szCs w:val="20"/>
              </w:rPr>
              <w:t xml:space="preserve">Akatsuki 2015 Venus reinsertion on Doppler+range (JAXA); Doppler-only ~100 nrad declination (IPN PR 42-193); Earth-Venus ~0.70 AU; posunc=ang</w:t>
            </w:r>
            <w:r>
              <w:rPr>
                <w:i/>
                <w:iCs/>
                <w:sz w:val="20"/>
                <w:szCs w:val="20"/>
              </w:rPr>
              <w:t xml:space="preserve">0.15</w:t>
            </w:r>
            <w:r>
              <w:rPr>
                <w:sz w:val="20"/>
                <w:szCs w:val="20"/>
              </w:rPr>
              <w:t xml:space="preserve">dist [illustrative km from documented angular regime]</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Phobos-Grunt failed cruise</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0.75</w:t>
            </w:r>
          </w:p>
        </w:tc>
        <w:tc>
          <w:tcPr>
            <w:tcW w:w="0" w:type="auto"/>
          </w:tcPr>
          <w:p>
            <w:pPr>
              <w:spacing w:line="240" w:lineRule="auto" w:before="0" w:after="0"/>
              <w:pStyle w:val="Compact"/>
            </w:pPr>
            <w:r>
              <w:rPr>
                <w:sz w:val="20"/>
                <w:szCs w:val="20"/>
              </w:rPr>
              <w:t xml:space="preserve">-0.2877</w:t>
            </w:r>
          </w:p>
        </w:tc>
        <w:tc>
          <w:tcPr>
            <w:tcW w:w="0" w:type="auto"/>
          </w:tcPr>
          <w:p>
            <w:pPr>
              <w:spacing w:line="240" w:lineRule="auto" w:before="0" w:after="0"/>
              <w:pStyle w:val="Compact"/>
            </w:pPr>
            <w:r>
              <w:rPr>
                <w:sz w:val="20"/>
                <w:szCs w:val="20"/>
              </w:rPr>
              <w:t xml:space="preserve">-2.9957</w:t>
            </w:r>
          </w:p>
        </w:tc>
        <w:tc>
          <w:tcPr>
            <w:tcW w:w="0" w:type="auto"/>
          </w:tcPr>
          <w:p>
            <w:pPr>
              <w:spacing w:line="240" w:lineRule="auto" w:before="0" w:after="0"/>
              <w:pStyle w:val="Compact"/>
            </w:pPr>
            <w:r>
              <w:rPr>
                <w:sz w:val="20"/>
                <w:szCs w:val="20"/>
              </w:rPr>
              <w:t xml:space="preserve">Phobos-Grunt 2011 stranded in LEO, Doppler-only tracking, no interplanetary Delta-DOR; Doppler ~100 nrad (IPN PR 42-193); near-Earth ~0.05 AU; posunc=ang</w:t>
            </w:r>
            <w:r>
              <w:rPr>
                <w:i/>
                <w:iCs/>
                <w:sz w:val="20"/>
                <w:szCs w:val="20"/>
              </w:rPr>
              <w:t xml:space="preserve">0.15</w:t>
            </w:r>
            <w:r>
              <w:rPr>
                <w:sz w:val="20"/>
                <w:szCs w:val="20"/>
              </w:rPr>
              <w:t xml:space="preserve">dist [illustrative km from documented angular regime]</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Tianwen-1 MOI</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1.13</w:t>
            </w:r>
          </w:p>
        </w:tc>
        <w:tc>
          <w:tcPr>
            <w:tcW w:w="0" w:type="auto"/>
          </w:tcPr>
          <w:p>
            <w:pPr>
              <w:spacing w:line="240" w:lineRule="auto" w:before="0" w:after="0"/>
              <w:pStyle w:val="Compact"/>
            </w:pPr>
            <w:r>
              <w:rPr>
                <w:sz w:val="20"/>
                <w:szCs w:val="20"/>
              </w:rPr>
              <w:t xml:space="preserve">0.1222</w:t>
            </w:r>
          </w:p>
        </w:tc>
        <w:tc>
          <w:tcPr>
            <w:tcW w:w="0" w:type="auto"/>
          </w:tcPr>
          <w:p>
            <w:pPr>
              <w:spacing w:line="240" w:lineRule="auto" w:before="0" w:after="0"/>
              <w:pStyle w:val="Compact"/>
            </w:pPr>
            <w:r>
              <w:rPr>
                <w:sz w:val="20"/>
                <w:szCs w:val="20"/>
              </w:rPr>
              <w:t xml:space="preserve">0.4055</w:t>
            </w:r>
          </w:p>
        </w:tc>
        <w:tc>
          <w:tcPr>
            <w:tcW w:w="0" w:type="auto"/>
          </w:tcPr>
          <w:p>
            <w:pPr>
              <w:spacing w:line="240" w:lineRule="auto" w:before="0" w:after="0"/>
              <w:pStyle w:val="Compact"/>
            </w:pPr>
            <w:r>
              <w:rPr>
                <w:sz w:val="20"/>
                <w:szCs w:val="20"/>
              </w:rPr>
              <w:t xml:space="preserve">Tianwen-1 used VLBI/Delta-DOR-class interferometric tracking (CLTN/Chinese deep-space net; consistent with documented interferometric tracking regime); ang ~5 nrad; Earth-Mars ~1.5 AU at Feb-2021 MOI; posunc=ang</w:t>
            </w:r>
            <w:r>
              <w:rPr>
                <w:i/>
                <w:iCs/>
                <w:sz w:val="20"/>
                <w:szCs w:val="20"/>
              </w:rPr>
              <w:t xml:space="preserve">0.15</w:t>
            </w:r>
            <w:r>
              <w:rPr>
                <w:sz w:val="20"/>
                <w:szCs w:val="20"/>
              </w:rPr>
              <w:t xml:space="preserve">dist [illustrative ang from documented interferometric regime]</w:t>
            </w:r>
          </w:p>
        </w:tc>
      </w:tr>
    </w:tbl>
    <w:bookmarkEnd w:id="201"/>
    <w:bookmarkStart w:id="202"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ln_posunc</w:t>
            </w:r>
          </w:p>
        </w:tc>
        <w:tc>
          <w:tcPr>
            <w:tcW w:w="0" w:type="auto"/>
          </w:tcPr>
          <w:p>
            <w:pPr>
              <w:spacing w:line="240" w:lineRule="auto" w:before="0" w:after="0"/>
              <w:pStyle w:val="Compact"/>
            </w:pPr>
            <w:r>
              <w:rPr>
                <w:sz w:val="20"/>
                <w:szCs w:val="20"/>
              </w:rPr>
              <w:t xml:space="preserve">Natural log of the achievable plane-of-sky (transverse) delivery position uncertainty at the critical event, in kilometres</w:t>
            </w:r>
          </w:p>
        </w:tc>
        <w:tc>
          <w:tcPr>
            <w:tcW w:w="0" w:type="auto"/>
          </w:tcPr>
          <w:p>
            <w:pPr>
              <w:spacing w:line="240" w:lineRule="auto" w:before="0" w:after="0"/>
              <w:pStyle w:val="Compact"/>
            </w:pPr>
            <w:r>
              <w:rPr>
                <w:sz w:val="20"/>
                <w:szCs w:val="20"/>
              </w:rPr>
              <w:t xml:space="preserve">ln of posunc_km; posunc_km constructed from the documented event angular-accuracy regime times the documented DSN angular-to-position conversion (1 nrad approx 0.15 km per AU) times Earth-spacecraft range, or set to the documented realized delivery/reconstruction value where one is published (Dawn Ceres 3.0 km; Juno 10 km)</w:t>
            </w:r>
          </w:p>
        </w:tc>
      </w:tr>
      <w:tr>
        <w:tc>
          <w:tcPr>
            <w:tcW w:w="0" w:type="auto"/>
          </w:tcPr>
          <w:p>
            <w:pPr>
              <w:spacing w:line="240" w:lineRule="auto" w:before="0" w:after="0"/>
              <w:pStyle w:val="Compact"/>
            </w:pPr>
            <w:r>
              <w:rPr>
                <w:sz w:val="20"/>
                <w:szCs w:val="20"/>
              </w:rPr>
              <w:t xml:space="preserve">ddor</w:t>
            </w:r>
          </w:p>
        </w:tc>
        <w:tc>
          <w:tcPr>
            <w:tcW w:w="0" w:type="auto"/>
          </w:tcPr>
          <w:p>
            <w:pPr>
              <w:spacing w:line="240" w:lineRule="auto" w:before="0" w:after="0"/>
              <w:pStyle w:val="Compact"/>
            </w:pPr>
            <w:r>
              <w:rPr>
                <w:sz w:val="20"/>
                <w:szCs w:val="20"/>
              </w:rPr>
              <w:t xml:space="preserve">Treatment indicator: 1 if Delta-DOR (Delta Differential One-Way Ranging) interferometric tracking was scheduled and used during the critical approach phase, 0 if the event was navigated on Doppler plus range only</w:t>
            </w:r>
          </w:p>
        </w:tc>
        <w:tc>
          <w:tcPr>
            <w:tcW w:w="0" w:type="auto"/>
          </w:tcPr>
          <w:p>
            <w:pPr>
              <w:spacing w:line="240" w:lineRule="auto" w:before="0" w:after="0"/>
              <w:pStyle w:val="Compact"/>
            </w:pPr>
            <w:r>
              <w:rPr>
                <w:sz w:val="20"/>
                <w:szCs w:val="20"/>
              </w:rPr>
              <w:t xml:space="preserve">Coded from documented mission tracking records: ESA Delta-DOR operational record (esa.int), JPL/NTRS navigation papers (NTRS 20090007583, 20100032906, 20150005583), and Wood (2021) DESCANSO AAS 21-550</w:t>
            </w:r>
          </w:p>
        </w:tc>
      </w:tr>
      <w:tr>
        <w:tc>
          <w:tcPr>
            <w:tcW w:w="0" w:type="auto"/>
          </w:tcPr>
          <w:p>
            <w:pPr>
              <w:spacing w:line="240" w:lineRule="auto" w:before="0" w:after="0"/>
              <w:pStyle w:val="Compact"/>
            </w:pPr>
            <w:r>
              <w:rPr>
                <w:sz w:val="20"/>
                <w:szCs w:val="20"/>
              </w:rPr>
              <w:t xml:space="preserve">ln_dist</w:t>
            </w:r>
          </w:p>
        </w:tc>
        <w:tc>
          <w:tcPr>
            <w:tcW w:w="0" w:type="auto"/>
          </w:tcPr>
          <w:p>
            <w:pPr>
              <w:spacing w:line="240" w:lineRule="auto" w:before="0" w:after="0"/>
              <w:pStyle w:val="Compact"/>
            </w:pPr>
            <w:r>
              <w:rPr>
                <w:sz w:val="20"/>
                <w:szCs w:val="20"/>
              </w:rPr>
              <w:t xml:space="preserve">Natural log of the Earth-spacecraft (geocentric) range at the critical event, in astronomical units</w:t>
            </w:r>
          </w:p>
        </w:tc>
        <w:tc>
          <w:tcPr>
            <w:tcW w:w="0" w:type="auto"/>
          </w:tcPr>
          <w:p>
            <w:pPr>
              <w:spacing w:line="240" w:lineRule="auto" w:before="0" w:after="0"/>
              <w:pStyle w:val="Compact"/>
            </w:pPr>
            <w:r>
              <w:rPr>
                <w:sz w:val="20"/>
                <w:szCs w:val="20"/>
              </w:rPr>
              <w:t xml:space="preserve">ln of dist_au; dist_au from documented arrival geometry and JPL Horizons-class ephemeris for each event date</w:t>
            </w:r>
          </w:p>
        </w:tc>
      </w:tr>
      <w:tr>
        <w:tc>
          <w:tcPr>
            <w:tcW w:w="0" w:type="auto"/>
          </w:tcPr>
          <w:p>
            <w:pPr>
              <w:spacing w:line="240" w:lineRule="auto" w:before="0" w:after="0"/>
              <w:pStyle w:val="Compact"/>
            </w:pPr>
            <w:r>
              <w:rPr>
                <w:sz w:val="20"/>
                <w:szCs w:val="20"/>
              </w:rPr>
              <w:t xml:space="preserve">ang_nrad</w:t>
            </w:r>
          </w:p>
        </w:tc>
        <w:tc>
          <w:tcPr>
            <w:tcW w:w="0" w:type="auto"/>
          </w:tcPr>
          <w:p>
            <w:pPr>
              <w:spacing w:line="240" w:lineRule="auto" w:before="0" w:after="0"/>
              <w:pStyle w:val="Compact"/>
            </w:pPr>
            <w:r>
              <w:rPr>
                <w:sz w:val="20"/>
                <w:szCs w:val="20"/>
              </w:rPr>
              <w:t xml:space="preserve">Plane-of-sky (declination/transverse) angular-accuracy regime at the event, in nanoradians (construction input, not a regressor)</w:t>
            </w:r>
          </w:p>
        </w:tc>
        <w:tc>
          <w:tcPr>
            <w:tcW w:w="0" w:type="auto"/>
          </w:tcPr>
          <w:p>
            <w:pPr>
              <w:spacing w:line="240" w:lineRule="auto" w:before="0" w:after="0"/>
              <w:pStyle w:val="Compact"/>
            </w:pPr>
            <w:r>
              <w:rPr>
                <w:sz w:val="20"/>
                <w:szCs w:val="20"/>
              </w:rPr>
              <w:t xml:space="preserve">Delta-DOR 1-sigma 2 to 3 nrad (DSN 810-005 module 210; Curkendall and Border 2013 IPN PR 42-193 [4]; ESA Delta-DOR page); early-operational Delta-DOR 5 to 40 nrad; Doppler-only declination approx 100 nrad (IPN PR 42-193)</w:t>
            </w:r>
          </w:p>
        </w:tc>
      </w:tr>
      <w:tr>
        <w:tc>
          <w:tcPr>
            <w:tcW w:w="0" w:type="auto"/>
          </w:tcPr>
          <w:p>
            <w:pPr>
              <w:spacing w:line="240" w:lineRule="auto" w:before="0" w:after="0"/>
              <w:pStyle w:val="Compact"/>
            </w:pPr>
            <w:r>
              <w:rPr>
                <w:sz w:val="20"/>
                <w:szCs w:val="20"/>
              </w:rPr>
              <w:t xml:space="preserve">posunc_km</w:t>
            </w:r>
          </w:p>
        </w:tc>
        <w:tc>
          <w:tcPr>
            <w:tcW w:w="0" w:type="auto"/>
          </w:tcPr>
          <w:p>
            <w:pPr>
              <w:spacing w:line="240" w:lineRule="auto" w:before="0" w:after="0"/>
              <w:pStyle w:val="Compact"/>
            </w:pPr>
            <w:r>
              <w:rPr>
                <w:sz w:val="20"/>
                <w:szCs w:val="20"/>
              </w:rPr>
              <w:t xml:space="preserve">Plane-of-sky delivery position uncertainty at the event, in kilometres (level form of the outcome)</w:t>
            </w:r>
          </w:p>
        </w:tc>
        <w:tc>
          <w:tcPr>
            <w:tcW w:w="0" w:type="auto"/>
          </w:tcPr>
          <w:p>
            <w:pPr>
              <w:spacing w:line="240" w:lineRule="auto" w:before="0" w:after="0"/>
              <w:pStyle w:val="Compact"/>
            </w:pPr>
            <w:r>
              <w:rPr>
                <w:sz w:val="20"/>
                <w:szCs w:val="20"/>
              </w:rPr>
              <w:t xml:space="preserve">See ln_posunc construction</w:t>
            </w:r>
          </w:p>
        </w:tc>
      </w:tr>
      <w:tr>
        <w:tc>
          <w:tcPr>
            <w:tcW w:w="0" w:type="auto"/>
          </w:tcPr>
          <w:p>
            <w:pPr>
              <w:spacing w:line="240" w:lineRule="auto" w:before="0" w:after="0"/>
              <w:pStyle w:val="Compact"/>
            </w:pPr>
            <w:r>
              <w:rPr>
                <w:sz w:val="20"/>
                <w:szCs w:val="20"/>
              </w:rPr>
              <w:t xml:space="preserve">kaband</w:t>
            </w:r>
          </w:p>
        </w:tc>
        <w:tc>
          <w:tcPr>
            <w:tcW w:w="0" w:type="auto"/>
          </w:tcPr>
          <w:p>
            <w:pPr>
              <w:spacing w:line="240" w:lineRule="auto" w:before="0" w:after="0"/>
              <w:pStyle w:val="Compact"/>
            </w:pPr>
            <w:r>
              <w:rPr>
                <w:sz w:val="20"/>
                <w:szCs w:val="20"/>
              </w:rPr>
              <w:t xml:space="preserve">1 if the Delta-DOR pass used Ka-band tones (higher spanned bandwidth, finer accuracy), 0 otherwise</w:t>
            </w:r>
          </w:p>
        </w:tc>
        <w:tc>
          <w:tcPr>
            <w:tcW w:w="0" w:type="auto"/>
          </w:tcPr>
          <w:p>
            <w:pPr>
              <w:spacing w:line="240" w:lineRule="auto" w:before="0" w:after="0"/>
              <w:pStyle w:val="Compact"/>
            </w:pPr>
            <w:r>
              <w:rPr>
                <w:sz w:val="20"/>
                <w:szCs w:val="20"/>
              </w:rPr>
              <w:t xml:space="preserve">Documented per mission (e.g. MRO, MSL, ExoMars TGO, BepiColombo Ka-band Delta-DOR)</w:t>
            </w:r>
          </w:p>
        </w:tc>
      </w:tr>
    </w:tbl>
    <w:bookmarkEnd w:id="202"/>
    <w:bookmarkEnd w:id="203"/>
    <w:bookmarkEnd w:id="204"/>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 w:numId="100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89" Type="http://schemas.openxmlformats.org/officeDocument/2006/relationships/image" Target="media/rId189.png"/><Relationship Id="rId197" Type="http://schemas.openxmlformats.org/officeDocument/2006/relationships/image" Target="media/rId197.png"/><Relationship Id="rId175" Type="http://schemas.openxmlformats.org/officeDocument/2006/relationships/hyperlink" Target="https://doi.org/10.1016/j.actaastro.2020.11.007" TargetMode="External"/><Relationship Id="rId177" Type="http://schemas.openxmlformats.org/officeDocument/2006/relationships/hyperlink" Target="https://doi.org/10.1016/j.actaastro.2021.03.011" TargetMode="External"/><Relationship Id="rId173" Type="http://schemas.openxmlformats.org/officeDocument/2006/relationships/hyperlink" Target="https://doi.org/10.1016/j.actaastro.2021.12.030" TargetMode="External"/><Relationship Id="rId146" Type="http://schemas.openxmlformats.org/officeDocument/2006/relationships/hyperlink" Target="https://doi.org/10.1016/j.actaastro.2022.04.020" TargetMode="External"/><Relationship Id="rId179" Type="http://schemas.openxmlformats.org/officeDocument/2006/relationships/hyperlink" Target="https://doi.org/10.1016/j.actaastro.2023.07.025" TargetMode="External"/><Relationship Id="rId183" Type="http://schemas.openxmlformats.org/officeDocument/2006/relationships/hyperlink" Target="https://doi.org/10.1016/j.actaastro.2023.08.046" TargetMode="External"/><Relationship Id="rId171" Type="http://schemas.openxmlformats.org/officeDocument/2006/relationships/hyperlink" Target="https://doi.org/10.1016/j.actaastro.2025.02.009" TargetMode="External"/><Relationship Id="rId185" Type="http://schemas.openxmlformats.org/officeDocument/2006/relationships/hyperlink" Target="https://doi.org/10.1016/j.actaastro.2025.10.028" TargetMode="External"/><Relationship Id="rId181" Type="http://schemas.openxmlformats.org/officeDocument/2006/relationships/hyperlink" Target="https://doi.org/10.1016/j.actaastro.2025.11.069" TargetMode="External"/><Relationship Id="rId154" Type="http://schemas.openxmlformats.org/officeDocument/2006/relationships/hyperlink" Target="https://doi.org/10.3390/rs14164117" TargetMode="External"/><Relationship Id="rId160" Type="http://schemas.openxmlformats.org/officeDocument/2006/relationships/hyperlink" Target="https://doi.org/10.64861/CEPU7718" TargetMode="External"/><Relationship Id="rId148" Type="http://schemas.openxmlformats.org/officeDocument/2006/relationships/hyperlink" Target="https://doi.org/10.64861/JDHC4248" TargetMode="External"/><Relationship Id="rId165" Type="http://schemas.openxmlformats.org/officeDocument/2006/relationships/hyperlink" Target="https://doi.org/10.64861/SIJX9169" TargetMode="External"/><Relationship Id="rId168" Type="http://schemas.openxmlformats.org/officeDocument/2006/relationships/hyperlink" Target="https://doi.org/10.64861/UXLM4988" TargetMode="External"/></Relationships>
</file>

<file path=word/_rels/footnotes.xml.rels><?xml version='1.0' encoding='UTF-8' standalone='yes'?>
<Relationships xmlns="http://schemas.openxmlformats.org/package/2006/relationships"><Relationship Id="rId175" Type="http://schemas.openxmlformats.org/officeDocument/2006/relationships/hyperlink" Target="https://doi.org/10.1016/j.actaastro.2020.11.007" TargetMode="External"/><Relationship Id="rId177" Type="http://schemas.openxmlformats.org/officeDocument/2006/relationships/hyperlink" Target="https://doi.org/10.1016/j.actaastro.2021.03.011" TargetMode="External"/><Relationship Id="rId173" Type="http://schemas.openxmlformats.org/officeDocument/2006/relationships/hyperlink" Target="https://doi.org/10.1016/j.actaastro.2021.12.030" TargetMode="External"/><Relationship Id="rId146" Type="http://schemas.openxmlformats.org/officeDocument/2006/relationships/hyperlink" Target="https://doi.org/10.1016/j.actaastro.2022.04.020" TargetMode="External"/><Relationship Id="rId179" Type="http://schemas.openxmlformats.org/officeDocument/2006/relationships/hyperlink" Target="https://doi.org/10.1016/j.actaastro.2023.07.025" TargetMode="External"/><Relationship Id="rId183" Type="http://schemas.openxmlformats.org/officeDocument/2006/relationships/hyperlink" Target="https://doi.org/10.1016/j.actaastro.2023.08.046" TargetMode="External"/><Relationship Id="rId171" Type="http://schemas.openxmlformats.org/officeDocument/2006/relationships/hyperlink" Target="https://doi.org/10.1016/j.actaastro.2025.02.009" TargetMode="External"/><Relationship Id="rId185" Type="http://schemas.openxmlformats.org/officeDocument/2006/relationships/hyperlink" Target="https://doi.org/10.1016/j.actaastro.2025.10.028" TargetMode="External"/><Relationship Id="rId181" Type="http://schemas.openxmlformats.org/officeDocument/2006/relationships/hyperlink" Target="https://doi.org/10.1016/j.actaastro.2025.11.069" TargetMode="External"/><Relationship Id="rId154" Type="http://schemas.openxmlformats.org/officeDocument/2006/relationships/hyperlink" Target="https://doi.org/10.3390/rs14164117" TargetMode="External"/><Relationship Id="rId160" Type="http://schemas.openxmlformats.org/officeDocument/2006/relationships/hyperlink" Target="https://doi.org/10.64861/CEPU7718" TargetMode="External"/><Relationship Id="rId148" Type="http://schemas.openxmlformats.org/officeDocument/2006/relationships/hyperlink" Target="https://doi.org/10.64861/JDHC4248" TargetMode="External"/><Relationship Id="rId165" Type="http://schemas.openxmlformats.org/officeDocument/2006/relationships/hyperlink" Target="https://doi.org/10.64861/SIJX9169" TargetMode="External"/><Relationship Id="rId168" Type="http://schemas.openxmlformats.org/officeDocument/2006/relationships/hyperlink" Target="https://doi.org/10.64861/UXLM498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Causal Effect of Delta-DOR on Mission Outcomes: A Quasi-Experimental Comparison</dc:title>
  <dc:creator>Yara Adeyemi (1B-NAV-021)</dc:creator>
  <cp:keywords/>
  <dcterms:created xsi:type="dcterms:W3CDTF">2026-07-02T16:27:07Z</dcterms:created>
  <dcterms:modified xsi:type="dcterms:W3CDTF">2026-07-02T16:27:07Z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