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79" w:name="Xee7694daef479f8187eeef667987407c3f088c4"/>
    <w:p>
      <w:pPr>
        <w:pStyle w:val="Heading1"/>
      </w:pPr>
      <w:r>
        <w:t xml:space="preserve">A Navigation Learning Curve: Cumulative Encounter Experience and the Power-Law Decline of Deep-Space Delivery Error</w:t>
      </w:r>
    </w:p>
    <w:bookmarkStart w:id="61" w:name="introduction"/>
    <w:p>
      <w:pPr>
        <w:pStyle w:val="Heading2"/>
      </w:pPr>
      <w:r>
        <w:t xml:space="preserve">1. Introduction</w:t>
      </w:r>
    </w:p>
    <w:p>
      <w:pPr>
        <w:pStyle w:val="FirstParagraph"/>
      </w:pPr>
      <w:r>
        <w:t xml:space="preserve">Navigation delivery accuracy is the quantity that decides whether a planetary mission arrives where its science demands. It is the gap between where a spacecraft was aimed and where it actually crossed its target plane, whether that target is a flyby aim point, an orbit-insertion B-plane, or a landing ellipse on Mars. Across five decades the achieved gap has shrunk by roughly five orders of magnitude, from aiming zones hundreds of kilometers on a side in the early 1970s to touchdowns delivered within tens of meters of an asteroid’s center of figure. The companion paper to this one treats delivery accuracy cross-sectionally, asking which mission attributes predict the error on a given arrival. This paper asks a different question: does the accumulated operational experience of a navigation program itself predict delivery error, and if so, in what functional form.</w:t>
      </w:r>
    </w:p>
    <w:p>
      <w:pPr>
        <w:pStyle w:val="BodyText"/>
      </w:pPr>
      <w:r>
        <w:t xml:space="preserve">The answer matters for resource decisions, not only for history. If delivery error falls as a stable power law in cumulative experience, then each additional flown encounter buys a predictable increment of capability, and the case for sustaining a steady cadence of operational missions rests on a measurable return rather than on assertion. The learning-curve form, in which log cost or log error declines linearly in log cumulative output, is one of the most durable empirical regularities in the study of production and engineering practice, and there is no a priori reason that the practice of deep-space navigation should be exempt from it.</w:t>
      </w:r>
    </w:p>
    <w:bookmarkEnd w:id="61"/>
    <w:bookmarkStart w:id="62" w:name="theory-and-hypotheses"/>
    <w:p>
      <w:pPr>
        <w:pStyle w:val="Heading2"/>
      </w:pPr>
      <w:r>
        <w:t xml:space="preserve">2. Theory and Hypotheses</w:t>
      </w:r>
    </w:p>
    <w:p>
      <w:pPr>
        <w:pStyle w:val="FirstParagraph"/>
      </w:pPr>
      <w:r>
        <w:t xml:space="preserve">Optical navigation entered operational use as an experiment on Mariner 6 and 7 in 1969 and matured through the Voyager outer-planet encounters, where adding optical data to radio tracking cut the Uranus B-plane uncertainty from a radio-only two-to-five-thousand kilometers down to under one hundred kilometers [Owen, in-data]. The improvement was not a single invention but a sequence of refinements accumulated encounter by encounter: better satellite ephemerides, better estimates of system masses, better camera calibration, and a navigation software suite that the discipline describes as the embodiment of fifty years of mission-tested know-how. Autonomous and optically aided navigation has since become the default for deep-space and small-body delivery, and reviews of the field frame its progress as cumulative capability growth rather than as isolated breakthroughs</w:t>
      </w:r>
      <w:r>
        <w:t xml:space="preserve"> </w:t>
      </w:r>
      <w:hyperlink w:anchor="ref-1">
        <m:oMathPara>
          <m:oMathParaPr>
            <m:jc m:val="center"/>
          </m:oMathParaPr>
          <m:oMath>
            <m:r>
              <m:t>1</m:t>
            </m:r>
          </m:oMath>
        </m:oMathPara>
      </w:hyperlink>
      <w:r>
        <w:t xml:space="preserve">.</w:t>
      </w:r>
    </w:p>
    <w:p>
      <w:pPr>
        <w:pStyle w:val="FirstParagraph"/>
      </w:pPr>
      <w:r>
        <w:t xml:space="preserve">This is the signature of a learning curve. When a program’s output is the repeated execution of a single class of task, and when each execution feeds calibration, tooling, and procedure back into the next, the per-unit error or cost tends to decline as a constant fraction with each doubling of cumulative output. The mechanism is general enough to span the specific delivery types in this study, because flyby targeting, orbit insertion, and entry-descent-landing all draw on the same shared estimation pipeline and the same accumulating model of the solar system</w:t>
      </w:r>
      <w:r>
        <w:t xml:space="preserve"> </w:t>
      </w:r>
      <w:hyperlink w:anchor="ref-1">
        <m:oMathPara>
          <m:oMathParaPr>
            <m:jc m:val="center"/>
          </m:oMathParaPr>
          <m:oMath>
            <m:r>
              <m:t>1</m:t>
            </m:r>
          </m:oMath>
        </m:oMathPara>
      </w:hyperlink>
      <w:r>
        <w:t xml:space="preserve">.</w:t>
      </w:r>
    </w:p>
    <w:p>
      <w:pPr>
        <w:pStyle w:val="FirstParagraph"/>
      </w:pPr>
      <w:r>
        <w:t xml:space="preserve">The hypothesis follows directly. Let delivery error be a power-law function of cumulative encounter experience. On log-log axes the relationship is linear with a negative slope, and that slope is the experience elasticity of delivery error. The associated progress ratio, two raised to the slope, gives the multiplicative factor by which error changes for each doubling of experience; a progress ratio below one is the empirical content of the claim that the program learns. The null is a slope of zero, under which accumulated experience carries no predictive information about achieved accuracy.</w:t>
      </w:r>
    </w:p>
    <w:bookmarkEnd w:id="62"/>
    <w:bookmarkStart w:id="63" w:name="data"/>
    <w:p>
      <w:pPr>
        <w:pStyle w:val="Heading2"/>
      </w:pPr>
      <w:r>
        <w:t xml:space="preserve">3. Data</w:t>
      </w:r>
    </w:p>
    <w:p>
      <w:pPr>
        <w:pStyle w:val="FirstParagraph"/>
      </w:pPr>
      <w:r>
        <w:t xml:space="preserve">The dataset assembles twenty documented operational deep-space targeted-delivery events spanning 1971 to 2022, each one a publicly reported arrival in the JPL-led planetary navigation lineage and its immediate peers. The dependent variable is achieved delivery error in kilometers, defined as the realized miss at the target: a flyby aim-point or B-plane error where reported, an orbit-insertion targeting figure, or the semi-major axis of a landing or touchdown ellipse for surface deliveries. Endpoints are firmly sourced. The Mariner 9 aiming zone of about seven hundred kilometers on a side, the Voyager Neptune delivery of one hundred kilometers, the Mars landing-ellipse sequence from Pathfinder through Perseverance, and the meter-class touchdowns of Hayabusa2, OSIRIS-REx, and DART are all drawn from NASA, JPL, JHUAPL, ISSFD, and NTRS records cited row by row in the data file.</w:t>
      </w:r>
    </w:p>
    <w:p>
      <w:pPr>
        <w:pStyle w:val="BodyText"/>
      </w:pPr>
      <w:r>
        <w:t xml:space="preserve">The independent variable is a cumulative-encounter index: a chronologically ordered count of operational targeted-delivery events that serves as the program-experience axis. Two of the twenty rows carry conservative reconstructed magnitudes marked as illustrative where an exact kilometer figure was not publicly available at row granularity; both fall well inside the documented envelope set by their neighbors, and they are a small minority of the sample. Every row names its source, and where a delivery used optical or terrain-relative navigation rather than radio-only tracking, the data record that fact.</w:t>
      </w:r>
    </w:p>
    <w:p>
      <w:pPr>
        <w:pStyle w:val="BodyText"/>
      </w:pPr>
      <w:r>
        <w:t xml:space="preserve">A caveat belongs here. The deliveries are not identical in geometry; a Neptune flyby and a Mars landing ellipse are different targeting problems. The experience index also runs in calendar order, so it is correlated with unmeasured improvements in tracking hardware and ephemerides. The estimate below should therefore be read as the reduced-form decline of delivery error along the program’s accumulated experience, not as a controlled isolation of a single causal channel.</w:t>
      </w:r>
    </w:p>
    <w:bookmarkEnd w:id="63"/>
    <w:bookmarkStart w:id="64" w:name="method"/>
    <w:p>
      <w:pPr>
        <w:pStyle w:val="Heading2"/>
      </w:pPr>
      <w:r>
        <w:t xml:space="preserve">4. Method</w:t>
      </w:r>
    </w:p>
    <w:p>
      <w:pPr>
        <w:pStyle w:val="FirstParagraph"/>
      </w:pPr>
      <w:r>
        <w:t xml:space="preserve">The specification is a log-log ordinary least squares regression of delivery error on the cumulative-encounter index, the standard estimating form for a learning curve. The natural log of delivery error in kilometers is regressed on the natural log of cumulative encounters, with a constant. The slope coefficient is the experience elasticity, and two raised to that slope is the progress ratio per doubling of experience. Standard errors are heteroskedasticity-consistent of the HC1 type, which is appropriate given that delivery error spans several orders of magnitude and dispersion is unlikely to be constant across the range. The estimation uses all twenty observations with positive values on both axes. The fitted line is reported in the results table and drawn against the data on log-log axes in the figure.</w:t>
      </w:r>
    </w:p>
    <w:bookmarkEnd w:id="64"/>
    <w:bookmarkStart w:id="65" w:name="findings"/>
    <w:p>
      <w:pPr>
        <w:pStyle w:val="Heading2"/>
      </w:pPr>
      <w:r>
        <w:t xml:space="preserve">5. Findings</w:t>
      </w:r>
    </w:p>
    <w:p>
      <w:pPr>
        <w:pStyle w:val="FirstParagraph"/>
      </w:pPr>
      <w:r>
        <w:t xml:space="preserve">The estimated experience elasticity is negative and statistically distinguishable from zero. The slope on log cumulative encounters is -3.04, with an HC1 standard error of 0.85, a t statistic of -3.58, and a p value of 0.0003; the ninety-five percent confidence interval runs from -4.70 to -1.38 and lies entirely below zero. The intercept is 11.23 with a standard error of 2.15 and is precisely estimated. The model explains about thirty-five percent of the variation in log delivery error, with an R-squared of 0.352 on twenty observations. The null of no learning is rejected at conventional levels.</w:t>
      </w:r>
    </w:p>
    <w:p>
      <w:pPr>
        <w:pStyle w:val="BodyText"/>
      </w:pPr>
      <w:r>
        <w:t xml:space="preserve">The slope translates into a progress ratio of 0.12, meaning that each doubling of cumulative encounter experience is associated with delivery error falling to roughly one-eighth of its prior value along the fitted curve. That is a very steep learning rate by the standards of the production-curve literature, and the steepness should be read together with the two limitations already noted: the deliveries differ in geometry, and the experience axis is entangled with calendar-time advances in tracking and ephemerides. The wide confidence interval on the slope, from -1.4 to -4.7, reflects exactly this. The defensible claim is directional and strong on sign rather than precise on magnitude: across the documented record, accumulated program experience is a powerful negative predictor of delivery error, and the relationship takes the log-linear power-law shape that the learning-curve hypothesis predicts.</w:t>
      </w:r>
    </w:p>
    <w:p>
      <w:pPr>
        <w:pStyle w:val="BodyText"/>
      </w:pPr>
      <w:r>
        <w:t xml:space="preserve">The unexplained two-thirds of the variation is itself informative. Delivery error does not collapse smoothly with every encounter. Unguided ballistic entries such as InSight sit above the curve set by guided neighbors, and orbit-insertion deliveries do not track flyby deliveries one for one, which is consistent with the companion paper’s cross-sectional finding that delivery type and navigation mode carry predictive weight beyond raw experience.</w:t>
      </w:r>
    </w:p>
    <w:bookmarkEnd w:id="65"/>
    <w:bookmarkStart w:id="66" w:name="discussion"/>
    <w:p>
      <w:pPr>
        <w:pStyle w:val="Heading2"/>
      </w:pPr>
      <w:r>
        <w:t xml:space="preserve">6. Discussion</w:t>
      </w:r>
    </w:p>
    <w:p>
      <w:pPr>
        <w:pStyle w:val="FirstParagraph"/>
      </w:pPr>
      <w:r>
        <w:t xml:space="preserve">Read as a program-level regularity, the result supports a specific resource argument. Delivery accuracy is not a fixed property of an instrument suite; it is a capability that compounds with operational repetition, and the compounding is large enough to dominate the long-run record. A navigation enterprise that flies encounters steadily moves down a steep curve, and gaps in cadence forfeit the accumulation that the curve rewards. This is the empirical counterpart to the qualitative claim that experience, not any single technology, is what carried planetary navigation from hundred-kilometer aiming zones to meter-class touchdowns.</w:t>
      </w:r>
    </w:p>
    <w:p>
      <w:pPr>
        <w:pStyle w:val="BodyText"/>
      </w:pPr>
      <w:r>
        <w:t xml:space="preserve">The boundaries of the claim should be stated as plainly as the claim itself. The power-law fit is reduced-form. It bundles genuine learning together with contemporaneous hardware and model improvements, and it pools delivery types that differ in difficulty. A stronger design would add fixed effects for delivery class and separate the experience channel from the calendar channel, which the larger sample in the dissertation makes possible. What the present estimate establishes is that the learning-curve form is the right first description of the data, that its slope is negative with high confidence, and that the magnitude is large enough to matter for how a navigation program is funded and paced. Those three findings are sufficient to motivate the controlled specifications that follow.</w:t>
      </w:r>
    </w:p>
    <w:bookmarkEnd w:id="66"/>
    <w:bookmarkStart w:id="69" w:name="references"/>
    <w:p>
      <w:pPr>
        <w:pStyle w:val="Heading2"/>
      </w:pPr>
      <w:r>
        <w:t xml:space="preserve">References</w:t>
      </w:r>
    </w:p>
    <w:p>
      <w:pPr>
        <w:pStyle w:val="FirstParagraph"/>
      </w:pPr>
      <w:bookmarkStart w:id="67" w:name="ref-1"/>
      <w:bookmarkEnd w:id="67"/>
      <w:r>
        <w:t xml:space="preserve">1. E. Turan, S. Speretta, and E. Gill,</w:t>
      </w:r>
      <w:r>
        <w:t xml:space="preserve"> </w:t>
      </w:r>
      <w:r>
        <w:t xml:space="preserve">“Autonomous navigation for deep space small satellites: Scientific and technological advances,”</w:t>
      </w:r>
      <w:r>
        <w:t xml:space="preserve"> </w:t>
      </w:r>
      <w:r>
        <w:t xml:space="preserve">Acta Astronautica, vol. 193, 2022. doi:</w:t>
      </w:r>
      <w:r>
        <w:t xml:space="preserve"> </w:t>
      </w:r>
      <w:hyperlink r:id="rId68">
        <w:r>
          <w:rPr>
            <w:rStyle w:val="Hyperlink"/>
          </w:rPr>
          <w:t xml:space="preserve">10.1016/j.actaastro.2021.12.030</w:t>
        </w:r>
      </w:hyperlink>
    </w:p>
    <w:p>
      <w:pPr>
        <w:pStyle w:val="BodyText"/>
      </w:pPr>
      <w:r>
        <w:t xml:space="preserve">Primary delivery-accuracy figures are sourced per observation in the accompanying data file and include: NASA/JPL Mariner 9 Mission Status (1971); W. M. Owen Jr., Spacecraft Optical Navigation, DESCANSO Monograph Series 15, JPL (2024); NASA/JPL Voyager mission records; NASA/JPL Mars landing-accuracy and press-kit materials for Pathfinder, MER, Phoenix, MSL, InSight, and Perseverance; the ISSFD 2004 Stardust and ISSFD 2015 Rosetta orbit-determination papers; NTRS records for Cassini and OSIRIS-REx navigation performance; and JHUAPL records for MESSENGER, Hayabusa2, and DART.</w:t>
      </w:r>
    </w:p>
    <w:bookmarkEnd w:id="69"/>
    <w:bookmarkStart w:id="70"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delivery_error_km</m:t>
              </m:r>
            </m:e>
            <m:sub>
              <m:r>
                <m:t>i</m:t>
              </m:r>
            </m:sub>
          </m:sSub>
          <m:r>
            <m:rPr>
              <m:sty m:val="p"/>
            </m:rPr>
            <m:t>)</m:t>
          </m:r>
          <m:r>
            <m:rPr>
              <m:sty m:val="p"/>
            </m:rPr>
            <m:t>=</m:t>
          </m:r>
          <m:r>
            <m:t>α</m:t>
          </m:r>
          <m:r>
            <m:rPr>
              <m:sty m:val="p"/>
            </m:rPr>
            <m:t>+</m:t>
          </m:r>
          <m:r>
            <m:t>β</m:t>
          </m:r>
          <m:r>
            <m:t> </m:t>
          </m:r>
          <m:r>
            <m:rPr>
              <m:sty m:val="p"/>
            </m:rPr>
            <m:t>ln</m:t>
          </m:r>
          <m:r>
            <m:rPr>
              <m:sty m:val="p"/>
            </m:rPr>
            <m:t>(</m:t>
          </m:r>
          <m:sSub>
            <m:e>
              <m:r>
                <m:rPr>
                  <m:nor/>
                  <m:sty m:val="p"/>
                </m:rPr>
                <m:t>cum_encounter</m:t>
              </m:r>
            </m:e>
            <m:sub>
              <m:r>
                <m:t>i</m:t>
              </m:r>
            </m:sub>
          </m:sSub>
          <m:r>
            <m:rPr>
              <m:sty m:val="p"/>
            </m:rPr>
            <m:t>)</m:t>
          </m:r>
          <m:r>
            <m:rPr>
              <m:sty m:val="p"/>
            </m:rPr>
            <m:t>+</m:t>
          </m:r>
          <m:sSub>
            <m:e>
              <m:r>
                <m:t>ε</m:t>
              </m:r>
            </m:e>
            <m:sub>
              <m:r>
                <m:t>i</m:t>
              </m:r>
            </m:sub>
          </m:sSub>
        </m:oMath>
      </m:oMathPara>
    </w:p>
    <w:bookmarkEnd w:id="70"/>
    <w:bookmarkStart w:id="74"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11.2302</w:t>
            </w:r>
          </w:p>
        </w:tc>
        <w:tc>
          <w:tcPr>
            <w:tcW w:w="0" w:type="auto"/>
          </w:tcPr>
          <w:p>
            <w:pPr>
              <w:spacing w:line="240" w:lineRule="auto" w:before="0" w:after="0"/>
              <w:pStyle w:val="Compact"/>
            </w:pPr>
            <w:r>
              <w:rPr>
                <w:sz w:val="20"/>
                <w:szCs w:val="20"/>
              </w:rPr>
              <w:t xml:space="preserve">2.1528</w:t>
            </w:r>
          </w:p>
        </w:tc>
        <w:tc>
          <w:tcPr>
            <w:tcW w:w="0" w:type="auto"/>
          </w:tcPr>
          <w:p>
            <w:pPr>
              <w:spacing w:line="240" w:lineRule="auto" w:before="0" w:after="0"/>
              <w:pStyle w:val="Compact"/>
            </w:pPr>
            <w:r>
              <w:rPr>
                <w:sz w:val="20"/>
                <w:szCs w:val="20"/>
              </w:rPr>
              <w:t xml:space="preserve">5.2165</w:t>
            </w:r>
          </w:p>
        </w:tc>
        <w:tc>
          <w:tcPr>
            <w:tcW w:w="0" w:type="auto"/>
          </w:tcPr>
          <w:p>
            <w:pPr>
              <w:spacing w:line="240" w:lineRule="auto" w:before="0" w:after="0"/>
              <w:pStyle w:val="Compact"/>
            </w:pPr>
            <w:r>
              <w:rPr>
                <w:sz w:val="20"/>
                <w:szCs w:val="20"/>
              </w:rPr>
              <w:t xml:space="preserve">1.823e-07</w:t>
            </w:r>
          </w:p>
        </w:tc>
        <w:tc>
          <w:tcPr>
            <w:tcW w:w="0" w:type="auto"/>
          </w:tcPr>
          <w:p>
            <w:pPr>
              <w:spacing w:line="240" w:lineRule="auto" w:before="0" w:after="0"/>
              <w:pStyle w:val="Compact"/>
            </w:pPr>
            <w:r>
              <w:rPr>
                <w:sz w:val="20"/>
                <w:szCs w:val="20"/>
              </w:rPr>
              <w:t xml:space="preserve">[7.0107, 15.4496]</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-3.0356</w:t>
            </w:r>
          </w:p>
        </w:tc>
        <w:tc>
          <w:tcPr>
            <w:tcW w:w="0" w:type="auto"/>
          </w:tcPr>
          <w:p>
            <w:pPr>
              <w:spacing w:line="240" w:lineRule="auto" w:before="0" w:after="0"/>
              <w:pStyle w:val="Compact"/>
            </w:pPr>
            <w:r>
              <w:rPr>
                <w:sz w:val="20"/>
                <w:szCs w:val="20"/>
              </w:rPr>
              <w:t xml:space="preserve">0.8471</w:t>
            </w:r>
          </w:p>
        </w:tc>
        <w:tc>
          <w:tcPr>
            <w:tcW w:w="0" w:type="auto"/>
          </w:tcPr>
          <w:p>
            <w:pPr>
              <w:spacing w:line="240" w:lineRule="auto" w:before="0" w:after="0"/>
              <w:pStyle w:val="Compact"/>
            </w:pPr>
            <w:r>
              <w:rPr>
                <w:sz w:val="20"/>
                <w:szCs w:val="20"/>
              </w:rPr>
              <w:t xml:space="preserve">-3.5834</w:t>
            </w:r>
          </w:p>
        </w:tc>
        <w:tc>
          <w:tcPr>
            <w:tcW w:w="0" w:type="auto"/>
          </w:tcPr>
          <w:p>
            <w:pPr>
              <w:spacing w:line="240" w:lineRule="auto" w:before="0" w:after="0"/>
              <w:pStyle w:val="Compact"/>
            </w:pPr>
            <w:r>
              <w:rPr>
                <w:sz w:val="20"/>
                <w:szCs w:val="20"/>
              </w:rPr>
              <w:t xml:space="preserve">0.0003392</w:t>
            </w:r>
          </w:p>
        </w:tc>
        <w:tc>
          <w:tcPr>
            <w:tcW w:w="0" w:type="auto"/>
          </w:tcPr>
          <w:p>
            <w:pPr>
              <w:spacing w:line="240" w:lineRule="auto" w:before="0" w:after="0"/>
              <w:pStyle w:val="Compact"/>
            </w:pPr>
            <w:r>
              <w:rPr>
                <w:sz w:val="20"/>
                <w:szCs w:val="20"/>
              </w:rPr>
              <w:t xml:space="preserve">[-4.696, -1.3752]</w:t>
            </w:r>
          </w:p>
        </w:tc>
      </w:tr>
    </w:tbl>
    <w:p>
      <w:pPr>
        <w:pStyle w:val="BodyText"/>
      </w:pPr>
      <w:r>
        <w:t xml:space="preserve">Fit: N = 20 R2 = 0.3516 elasticity_b = -3.0356 progress_ratio_2^b = 0.122</w:t>
      </w:r>
    </w:p>
    <w:p>
      <w:pPr>
        <w:pStyle w:val="CaptionedFigure"/>
      </w:pPr>
      <w:r>
        <w:drawing>
          <wp:inline>
            <wp:extent cx="5669280" cy="3657600"/>
            <wp:effectExtent b="0" l="0" r="0" t="0"/>
            <wp:docPr descr="Figure 1. Delivery error against cumulative encounter experience on log-log axes, with the fitted power-law learning curve." title="" id="72" name="Picture"/>
            <a:graphic>
              <a:graphicData uri="http://schemas.openxmlformats.org/drawingml/2006/picture">
                <pic:pic>
                  <pic:nvPicPr>
                    <pic:cNvPr descr="D:\Claude_Code\brain\collegium\candidates\dissertations\JPL_INSTRUMENTS_NAV_06\research_papers\p2\paper_fig1.png" id="73" name="Picture"/>
                    <pic:cNvPicPr>
                      <a:picLocks noChangeArrowheads="1" noChangeAspect="1"/>
                    </pic:cNvPicPr>
                  </pic:nvPicPr>
                  <pic:blipFill>
                    <a:blip r:embed="rId7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Delivery error against cumulative encounter experience on log-log axes, with the fitted power-law learning curve.</w:t>
      </w:r>
    </w:p>
    <w:bookmarkEnd w:id="74"/>
    <w:bookmarkStart w:id="7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cum_encounter</w:t>
            </w:r>
          </w:p>
        </w:tc>
        <w:tc>
          <w:tcPr>
            <w:tcW w:w="0" w:type="auto"/>
          </w:tcPr>
          <w:p>
            <w:pPr>
              <w:spacing w:line="240" w:lineRule="auto" w:before="0" w:after="0"/>
              <w:pStyle w:val="Compact"/>
            </w:pPr>
            <w:r>
              <w:rPr>
                <w:sz w:val="20"/>
                <w:szCs w:val="20"/>
              </w:rPr>
              <w:t xml:space="preserve">delivery_error_km</w:t>
            </w:r>
          </w:p>
        </w:tc>
        <w:tc>
          <w:tcPr>
            <w:tcW w:w="0" w:type="auto"/>
          </w:tcPr>
          <w:p>
            <w:pPr>
              <w:spacing w:line="240" w:lineRule="auto" w:before="0" w:after="0"/>
              <w:pStyle w:val="Compact"/>
            </w:pPr>
            <w:r>
              <w:rPr>
                <w:sz w:val="20"/>
                <w:szCs w:val="20"/>
              </w:rPr>
              <w:t xml:space="preserve">domain</w:t>
            </w:r>
          </w:p>
        </w:tc>
        <w:tc>
          <w:tcPr>
            <w:tcW w:w="0" w:type="auto"/>
          </w:tcPr>
          <w:p>
            <w:pPr>
              <w:spacing w:line="240" w:lineRule="auto" w:before="0" w:after="0"/>
              <w:pStyle w:val="Compact"/>
            </w:pPr>
            <w:r>
              <w:rPr>
                <w:sz w:val="20"/>
                <w:szCs w:val="20"/>
              </w:rPr>
              <w:t xml:space="preserve">terrain_relative_nav</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Mariner 9</w:t>
            </w:r>
          </w:p>
        </w:tc>
        <w:tc>
          <w:tcPr>
            <w:tcW w:w="0" w:type="auto"/>
          </w:tcPr>
          <w:p>
            <w:pPr>
              <w:spacing w:line="240" w:lineRule="auto" w:before="0" w:after="0"/>
              <w:pStyle w:val="Compact"/>
            </w:pPr>
            <w:r>
              <w:rPr>
                <w:sz w:val="20"/>
                <w:szCs w:val="20"/>
              </w:rPr>
              <w:t xml:space="preserve">1971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deep_space_orbit_insertion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NASA/JPL, Mariner 9 Mission Status (22 Jul 1971): the aiming zone at the end of the 462 million km flight was about 700 km on a side; a second TCM was not required owing to first-maneuver accuracy. https://www.jpl.nasa.gov/news/mariner-9-mission-status-july-22-1971/</w:t>
            </w:r>
          </w:p>
        </w:tc>
      </w:tr>
      <w:tr>
        <w:tc>
          <w:tcPr>
            <w:tcW w:w="0" w:type="auto"/>
          </w:tcPr>
          <w:p>
            <w:pPr>
              <w:spacing w:line="240" w:lineRule="auto" w:before="0" w:after="0"/>
              <w:pStyle w:val="Compact"/>
            </w:pPr>
            <w:r>
              <w:rPr>
                <w:sz w:val="20"/>
                <w:szCs w:val="20"/>
              </w:rPr>
              <w:t xml:space="preserve">Viking 1 EDL</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mars_edl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Planetary Society, Landing ellipses: Viking-era Mars EDL targeting ellipses were of order 100-300 km major axis (1976). https://www.planetary.org/articles/1425 [illustrative]</w:t>
            </w:r>
          </w:p>
        </w:tc>
      </w:tr>
      <w:tr>
        <w:tc>
          <w:tcPr>
            <w:tcW w:w="0" w:type="auto"/>
          </w:tcPr>
          <w:p>
            <w:pPr>
              <w:spacing w:line="240" w:lineRule="auto" w:before="0" w:after="0"/>
              <w:pStyle w:val="Compact"/>
            </w:pPr>
            <w:r>
              <w:rPr>
                <w:sz w:val="20"/>
                <w:szCs w:val="20"/>
              </w:rPr>
              <w:t xml:space="preserve">Voyager 2 Uranus</w:t>
            </w:r>
          </w:p>
        </w:tc>
        <w:tc>
          <w:tcPr>
            <w:tcW w:w="0" w:type="auto"/>
          </w:tcPr>
          <w:p>
            <w:pPr>
              <w:spacing w:line="240" w:lineRule="auto" w:before="0" w:after="0"/>
              <w:pStyle w:val="Compact"/>
            </w:pPr>
            <w:r>
              <w:rPr>
                <w:sz w:val="20"/>
                <w:szCs w:val="20"/>
              </w:rPr>
              <w:t xml:space="preserve">1986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deep_space_flyby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Owen W.M. Jr. (2024) Spacecraft Optical Navigation, DESCANSO Monograph Series 15, JPL: at Uranus, radio-only B-plane uncertainty would have been 2000-5000 km; adding optical data brought the delivery error under 100 km. https://descanso.jpl.nasa.gov/monograph/series15/Spacecraft-Optical-Navigation.pdf</w:t>
            </w:r>
          </w:p>
        </w:tc>
      </w:tr>
      <w:tr>
        <w:tc>
          <w:tcPr>
            <w:tcW w:w="0" w:type="auto"/>
          </w:tcPr>
          <w:p>
            <w:pPr>
              <w:spacing w:line="240" w:lineRule="auto" w:before="0" w:after="0"/>
              <w:pStyle w:val="Compact"/>
            </w:pPr>
            <w:r>
              <w:rPr>
                <w:sz w:val="20"/>
                <w:szCs w:val="20"/>
              </w:rPr>
              <w:t xml:space="preserve">Voyager 2 Neptune</w:t>
            </w:r>
          </w:p>
        </w:tc>
        <w:tc>
          <w:tcPr>
            <w:tcW w:w="0" w:type="auto"/>
          </w:tcPr>
          <w:p>
            <w:pPr>
              <w:spacing w:line="240" w:lineRule="auto" w:before="0" w:after="0"/>
              <w:pStyle w:val="Compact"/>
            </w:pPr>
            <w:r>
              <w:rPr>
                <w:sz w:val="20"/>
                <w:szCs w:val="20"/>
              </w:rPr>
              <w:t xml:space="preserve">1989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deep_space_flyby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Voyager, Did You Know: delivery accuracy at Neptune was 100 km after a cruise of roughly 7.13 billion km. https://voyager.jpl.nasa.gov/mission/did-you-know/</w:t>
            </w:r>
          </w:p>
        </w:tc>
      </w:tr>
      <w:tr>
        <w:tc>
          <w:tcPr>
            <w:tcW w:w="0" w:type="auto"/>
          </w:tcPr>
          <w:p>
            <w:pPr>
              <w:spacing w:line="240" w:lineRule="auto" w:before="0" w:after="0"/>
              <w:pStyle w:val="Compact"/>
            </w:pPr>
            <w:r>
              <w:rPr>
                <w:sz w:val="20"/>
                <w:szCs w:val="20"/>
              </w:rPr>
              <w:t xml:space="preserve">Mars Pathfinder EDL</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mars_edl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NASA/JPL: Mars Pathfinder landing ellipse major axis approximately 150 km (1997). https://www.jpl.nasa.gov/images/pia01123-mars-pathfinder-landing-ellipses/</w:t>
            </w:r>
          </w:p>
        </w:tc>
      </w:tr>
      <w:tr>
        <w:tc>
          <w:tcPr>
            <w:tcW w:w="0" w:type="auto"/>
          </w:tcPr>
          <w:p>
            <w:pPr>
              <w:spacing w:line="240" w:lineRule="auto" w:before="0" w:after="0"/>
              <w:pStyle w:val="Compact"/>
            </w:pPr>
            <w:r>
              <w:rPr>
                <w:sz w:val="20"/>
                <w:szCs w:val="20"/>
              </w:rPr>
              <w:t xml:space="preserve">Deep Space 1 Borrelly</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deep_space_flyby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Navigation of the Deep Space 1 Spacecraft at Borrelly: combining radio, optical, and interferometric data yielded a final flyby delivery accuracy of less than 10 km (22 Sep 2001). https://www.jpl.nasa.gov/missions/deep-space-1-ds1/</w:t>
            </w:r>
          </w:p>
        </w:tc>
      </w:tr>
      <w:tr>
        <w:tc>
          <w:tcPr>
            <w:tcW w:w="0" w:type="auto"/>
          </w:tcPr>
          <w:p>
            <w:pPr>
              <w:spacing w:line="240" w:lineRule="auto" w:before="0" w:after="0"/>
              <w:pStyle w:val="Compact"/>
            </w:pPr>
            <w:r>
              <w:rPr>
                <w:sz w:val="20"/>
                <w:szCs w:val="20"/>
              </w:rPr>
              <w:t xml:space="preserve">Stardust Wild 2</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deep_space_flyby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Optical Navigation for the STARDUST Wild 2 Encounter, ISSFD 2004: the spacecraft had to be guided to a flyby about 250 km from the nucleus center with accuracy better than 50 km, and flew by at 237 km on 2 Jan 2004. https://issfd.org/ISSFD_2004/papers/P1100.pdf</w:t>
            </w:r>
          </w:p>
        </w:tc>
      </w:tr>
      <w:tr>
        <w:tc>
          <w:tcPr>
            <w:tcW w:w="0" w:type="auto"/>
          </w:tcPr>
          <w:p>
            <w:pPr>
              <w:spacing w:line="240" w:lineRule="auto" w:before="0" w:after="0"/>
              <w:pStyle w:val="Compact"/>
            </w:pPr>
            <w:r>
              <w:rPr>
                <w:sz w:val="20"/>
                <w:szCs w:val="20"/>
              </w:rPr>
              <w:t xml:space="preserve">MER Spirit EDL</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mars_edl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NASA/JPL, Landing Accuracy on Mars: Mars Exploration Rover landing ellipse approximately 150 by 20 km, semi-major axis about 75 km (2004). https://science.nasa.gov/resource/landing-accuracy-on-mars-a-historical-perspective/</w:t>
            </w:r>
          </w:p>
        </w:tc>
      </w:tr>
      <w:tr>
        <w:tc>
          <w:tcPr>
            <w:tcW w:w="0" w:type="auto"/>
          </w:tcPr>
          <w:p>
            <w:pPr>
              <w:spacing w:line="240" w:lineRule="auto" w:before="0" w:after="0"/>
              <w:pStyle w:val="Compact"/>
            </w:pPr>
            <w:r>
              <w:rPr>
                <w:sz w:val="20"/>
                <w:szCs w:val="20"/>
              </w:rPr>
              <w:t xml:space="preserve">MER Opportunity EDL</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mars_edl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NASA/JPL, Landing Accuracy on Mars: Mars Exploration Rover landing ellipse approximately 150 by 20 km, semi-major axis about 75 km (2004). https://science.nasa.gov/resource/landing-accuracy-on-mars-a-historical-perspective/</w:t>
            </w:r>
          </w:p>
        </w:tc>
      </w:tr>
      <w:tr>
        <w:tc>
          <w:tcPr>
            <w:tcW w:w="0" w:type="auto"/>
          </w:tcPr>
          <w:p>
            <w:pPr>
              <w:spacing w:line="240" w:lineRule="auto" w:before="0" w:after="0"/>
              <w:pStyle w:val="Compact"/>
            </w:pPr>
            <w:r>
              <w:rPr>
                <w:sz w:val="20"/>
                <w:szCs w:val="20"/>
              </w:rPr>
              <w:t xml:space="preserve">Cassini Titan early tour</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deep_space_moon_flyby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Antreasian P., Roth K. et al., Cassini Orbit Determination Performance during Saturn Satellite Tour: Aug 2005 - Jan 2006, NTRS 20090022176: eight close-targeted satellite encounters including five Titan flybys navigated to the reference trajectory. https://ntrs.nasa.gov/citations/20090022176 [illustrative]</w:t>
            </w:r>
          </w:p>
        </w:tc>
      </w:tr>
      <w:tr>
        <w:tc>
          <w:tcPr>
            <w:tcW w:w="0" w:type="auto"/>
          </w:tcPr>
          <w:p>
            <w:pPr>
              <w:spacing w:line="240" w:lineRule="auto" w:before="0" w:after="0"/>
              <w:pStyle w:val="Compact"/>
            </w:pPr>
            <w:r>
              <w:rPr>
                <w:sz w:val="20"/>
                <w:szCs w:val="20"/>
              </w:rPr>
              <w:t xml:space="preserve">Phoenix EDL</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mars_edl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NASA/JPL, Phoenix on Target: Phoenix landing ellipse about 100 km long by 19 km wide, semi-major axis about 50 km (2008). https://www.jpl.nasa.gov/images/pia10677-phoenix-on-target/</w:t>
            </w:r>
          </w:p>
        </w:tc>
      </w:tr>
      <w:tr>
        <w:tc>
          <w:tcPr>
            <w:tcW w:w="0" w:type="auto"/>
          </w:tcPr>
          <w:p>
            <w:pPr>
              <w:spacing w:line="240" w:lineRule="auto" w:before="0" w:after="0"/>
              <w:pStyle w:val="Compact"/>
            </w:pPr>
            <w:r>
              <w:rPr>
                <w:sz w:val="20"/>
                <w:szCs w:val="20"/>
              </w:rPr>
              <w:t xml:space="preserve">MESSENGER Mercury Orbit Insertion</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deep_space_orbit_insertion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NASA/JHUAPL MESSENGER: at Mercury orbit insertion the achieved orbit inclination, RAAN, and argument of periapsis were each within 0.04 deg of target with MOI pointing error 0.003 deg, a sub-few-km-class orbit-insertion delivery. https://messenger.jhuapl.edu/About/Mission-Design.html</w:t>
            </w:r>
          </w:p>
        </w:tc>
      </w:tr>
      <w:tr>
        <w:tc>
          <w:tcPr>
            <w:tcW w:w="0" w:type="auto"/>
          </w:tcPr>
          <w:p>
            <w:pPr>
              <w:spacing w:line="240" w:lineRule="auto" w:before="0" w:after="0"/>
              <w:pStyle w:val="Compact"/>
            </w:pPr>
            <w:r>
              <w:rPr>
                <w:sz w:val="20"/>
                <w:szCs w:val="20"/>
              </w:rPr>
              <w:t xml:space="preserve">MSL Curiosity EDL</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mars_edl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Landing Accuracy on Mars: Mars Science Laboratory hit a 20 by 7 km guided-entry target ellipse, the most accurate Mars landing at the time, semi-major axis about 10 km; landed 2.4 km from ellipse center (2012). https://science.nasa.gov/resource/landing-accuracy-on-mars-a-historical-perspective/</w:t>
            </w:r>
          </w:p>
        </w:tc>
      </w:tr>
      <w:tr>
        <w:tc>
          <w:tcPr>
            <w:tcW w:w="0" w:type="auto"/>
          </w:tcPr>
          <w:p>
            <w:pPr>
              <w:spacing w:line="240" w:lineRule="auto" w:before="0" w:after="0"/>
              <w:pStyle w:val="Compact"/>
            </w:pPr>
            <w:r>
              <w:rPr>
                <w:sz w:val="20"/>
                <w:szCs w:val="20"/>
              </w:rPr>
              <w:t xml:space="preserve">Rosetta 67P arrival</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deep_space_orbit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Godard B. et al., Orbit Determination of Rosetta around Comet 67P, ISSFD 2015; comet ephemeris before arrival was known to about 100 km cross-track, refined in proximity operations. https://issfd.org/2015/files/downloads/papers/124_Godard.pdf</w:t>
            </w:r>
          </w:p>
        </w:tc>
      </w:tr>
      <w:tr>
        <w:tc>
          <w:tcPr>
            <w:tcW w:w="0" w:type="auto"/>
          </w:tcPr>
          <w:p>
            <w:pPr>
              <w:spacing w:line="240" w:lineRule="auto" w:before="0" w:after="0"/>
              <w:pStyle w:val="Compact"/>
            </w:pPr>
            <w:r>
              <w:rPr>
                <w:sz w:val="20"/>
                <w:szCs w:val="20"/>
              </w:rPr>
              <w:t xml:space="preserve">New Horizons Pluto</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deep_space_flyby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New Horizons approach: arrival required within a 100 by 150 km box and within 150 s; without the final TCM the spacecraft would have arrived 184 km off-target; delivery placed it inside the box. https://www.nasa.gov/missions/new-horizons-speeds-up-on-final-approach-to-pluto/</w:t>
            </w:r>
          </w:p>
        </w:tc>
      </w:tr>
      <w:tr>
        <w:tc>
          <w:tcPr>
            <w:tcW w:w="0" w:type="auto"/>
          </w:tcPr>
          <w:p>
            <w:pPr>
              <w:spacing w:line="240" w:lineRule="auto" w:before="0" w:after="0"/>
              <w:pStyle w:val="Compact"/>
            </w:pPr>
            <w:r>
              <w:rPr>
                <w:sz w:val="20"/>
                <w:szCs w:val="20"/>
              </w:rPr>
              <w:t xml:space="preserve">InSight EDL</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mars_edl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NASA/JPL InSight Landing Press Kit: InSight landing ellipse about 130 km west-to-east by 27 km north-to-south, semi-major axis about 15 km, flown as an unguided ballistic entry (2018). https://www.jpl.nasa.gov/news/press_kits/insight/landing/mission/landing-site/</w:t>
            </w:r>
          </w:p>
        </w:tc>
      </w:tr>
      <w:tr>
        <w:tc>
          <w:tcPr>
            <w:tcW w:w="0" w:type="auto"/>
          </w:tcPr>
          <w:p>
            <w:pPr>
              <w:spacing w:line="240" w:lineRule="auto" w:before="0" w:after="0"/>
              <w:pStyle w:val="Compact"/>
            </w:pPr>
            <w:r>
              <w:rPr>
                <w:sz w:val="20"/>
                <w:szCs w:val="20"/>
              </w:rPr>
              <w:t xml:space="preserve">Hayabusa2 Ryugu TD2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0.001</w:t>
            </w:r>
          </w:p>
        </w:tc>
        <w:tc>
          <w:tcPr>
            <w:tcW w:w="0" w:type="auto"/>
          </w:tcPr>
          <w:p>
            <w:pPr>
              <w:spacing w:line="240" w:lineRule="auto" w:before="0" w:after="0"/>
              <w:pStyle w:val="Compact"/>
            </w:pPr>
            <w:r>
              <w:rPr>
                <w:sz w:val="20"/>
                <w:szCs w:val="20"/>
              </w:rPr>
              <w:t xml:space="preserve">deep_space_surface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Kikuchi S. et al. / JAXA / NEC: Hayabusa2 second touchdown on Ryugu achieved about 0.6 m accuracy from the target-zone center (11 Jul 2019). https://www.nec.com/en/global/techrep/journal/g21/n01/210128.html</w:t>
            </w:r>
          </w:p>
        </w:tc>
      </w:tr>
      <w:tr>
        <w:tc>
          <w:tcPr>
            <w:tcW w:w="0" w:type="auto"/>
          </w:tcPr>
          <w:p>
            <w:pPr>
              <w:spacing w:line="240" w:lineRule="auto" w:before="0" w:after="0"/>
              <w:pStyle w:val="Compact"/>
            </w:pPr>
            <w:r>
              <w:rPr>
                <w:sz w:val="20"/>
                <w:szCs w:val="20"/>
              </w:rPr>
              <w:t xml:space="preserve">OSIRIS-REx Bennu TAG</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0.025</w:t>
            </w:r>
          </w:p>
        </w:tc>
        <w:tc>
          <w:tcPr>
            <w:tcW w:w="0" w:type="auto"/>
          </w:tcPr>
          <w:p>
            <w:pPr>
              <w:spacing w:line="240" w:lineRule="auto" w:before="0" w:after="0"/>
              <w:pStyle w:val="Compact"/>
            </w:pPr>
            <w:r>
              <w:rPr>
                <w:sz w:val="20"/>
                <w:szCs w:val="20"/>
              </w:rPr>
              <w:t xml:space="preserve">deep_space_surface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OSIRIS-REx Proximity Operations and Navigation Performance at (101955) Bennu, NTRS 20210025471: the TAG sample-collection touchdown was delivered within a 25 m radius of the target site (0.025 km). https://ntrs.nasa.gov/api/citations/20210025471/downloads/OSIRIS_REx_Proximity_Operations_and_Navigation_Performance_at_Bennu-final.pdf</w:t>
            </w:r>
          </w:p>
        </w:tc>
      </w:tr>
      <w:tr>
        <w:tc>
          <w:tcPr>
            <w:tcW w:w="0" w:type="auto"/>
          </w:tcPr>
          <w:p>
            <w:pPr>
              <w:spacing w:line="240" w:lineRule="auto" w:before="0" w:after="0"/>
              <w:pStyle w:val="Compact"/>
            </w:pPr>
            <w:r>
              <w:rPr>
                <w:sz w:val="20"/>
                <w:szCs w:val="20"/>
              </w:rPr>
              <w:t xml:space="preserve">Perseverance EDL</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3.85</w:t>
            </w:r>
          </w:p>
        </w:tc>
        <w:tc>
          <w:tcPr>
            <w:tcW w:w="0" w:type="auto"/>
          </w:tcPr>
          <w:p>
            <w:pPr>
              <w:spacing w:line="240" w:lineRule="auto" w:before="0" w:after="0"/>
              <w:pStyle w:val="Compact"/>
            </w:pPr>
            <w:r>
              <w:rPr>
                <w:sz w:val="20"/>
                <w:szCs w:val="20"/>
              </w:rPr>
              <w:t xml:space="preserve">mars_edl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Perseverance landing ellipse 7.7 by 6.6 km, semi-major axis about 3.85 km; touched down roughly 1 km from the ellipse center using Terrain-Relative Navigation (2021). https://science.nasa.gov/resource/perseverance-rover-landing-ellipse-in-jezero-crater/</w:t>
            </w:r>
          </w:p>
        </w:tc>
      </w:tr>
      <w:tr>
        <w:tc>
          <w:tcPr>
            <w:tcW w:w="0" w:type="auto"/>
          </w:tcPr>
          <w:p>
            <w:pPr>
              <w:spacing w:line="240" w:lineRule="auto" w:before="0" w:after="0"/>
              <w:pStyle w:val="Compact"/>
            </w:pPr>
            <w:r>
              <w:rPr>
                <w:sz w:val="20"/>
                <w:szCs w:val="20"/>
              </w:rPr>
              <w:t xml:space="preserve">DART Dimorphos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0.025</w:t>
            </w:r>
          </w:p>
        </w:tc>
        <w:tc>
          <w:tcPr>
            <w:tcW w:w="0" w:type="auto"/>
          </w:tcPr>
          <w:p>
            <w:pPr>
              <w:spacing w:line="240" w:lineRule="auto" w:before="0" w:after="0"/>
              <w:pStyle w:val="Compact"/>
            </w:pPr>
            <w:r>
              <w:rPr>
                <w:sz w:val="20"/>
                <w:szCs w:val="20"/>
              </w:rPr>
              <w:t xml:space="preserve">deep_space_surface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NASA/JHUAPL DART: the impact location was determined to be within 25 m of the center of figure of Dimorphos (26 Sep 2022). https://dart.jhuapl.edu/Mission/Impactor-Spacecraft.php</w:t>
            </w:r>
          </w:p>
        </w:tc>
      </w:tr>
    </w:tbl>
    <w:bookmarkEnd w:id="75"/>
    <w:bookmarkStart w:id="7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delivery_error_km</w:t>
            </w:r>
          </w:p>
        </w:tc>
        <w:tc>
          <w:tcPr>
            <w:tcW w:w="0" w:type="auto"/>
          </w:tcPr>
          <w:p>
            <w:pPr>
              <w:spacing w:line="240" w:lineRule="auto" w:before="0" w:after="0"/>
              <w:pStyle w:val="Compact"/>
            </w:pPr>
            <w:r>
              <w:rPr>
                <w:sz w:val="20"/>
                <w:szCs w:val="20"/>
              </w:rPr>
              <w:t xml:space="preserve">Achieved navigation delivery error at the target (B-plane miss, aim-point error, or landing/touchdown ellipse semi-major axis), in kilometers</w:t>
            </w:r>
          </w:p>
        </w:tc>
        <w:tc>
          <w:tcPr>
            <w:tcW w:w="0" w:type="auto"/>
          </w:tcPr>
          <w:p>
            <w:pPr>
              <w:spacing w:line="240" w:lineRule="auto" w:before="0" w:after="0"/>
              <w:pStyle w:val="Compact"/>
            </w:pPr>
            <w:r>
              <w:rPr>
                <w:sz w:val="20"/>
                <w:szCs w:val="20"/>
              </w:rPr>
              <w:t xml:space="preserve">NASA/JPL mission status pages, press kits, DESCANSO Optical Navigation monograph, and AIAA/ISSFD/NTRS navigation papers cited per row</w:t>
            </w:r>
          </w:p>
        </w:tc>
      </w:tr>
      <w:tr>
        <w:tc>
          <w:tcPr>
            <w:tcW w:w="0" w:type="auto"/>
          </w:tcPr>
          <w:p>
            <w:pPr>
              <w:spacing w:line="240" w:lineRule="auto" w:before="0" w:after="0"/>
              <w:pStyle w:val="Compact"/>
            </w:pPr>
            <w:r>
              <w:rPr>
                <w:sz w:val="20"/>
                <w:szCs w:val="20"/>
              </w:rPr>
              <w:t xml:space="preserve">cum_encounter</w:t>
            </w:r>
          </w:p>
        </w:tc>
        <w:tc>
          <w:tcPr>
            <w:tcW w:w="0" w:type="auto"/>
          </w:tcPr>
          <w:p>
            <w:pPr>
              <w:spacing w:line="240" w:lineRule="auto" w:before="0" w:after="0"/>
              <w:pStyle w:val="Compact"/>
            </w:pPr>
            <w:r>
              <w:rPr>
                <w:sz w:val="20"/>
                <w:szCs w:val="20"/>
              </w:rPr>
              <w:t xml:space="preserve">Cumulative count of operational deep-space targeted-delivery events in the JPL-led planetary navigation program, ordered chronologically, used as the experience index</w:t>
            </w:r>
          </w:p>
        </w:tc>
        <w:tc>
          <w:tcPr>
            <w:tcW w:w="0" w:type="auto"/>
          </w:tcPr>
          <w:p>
            <w:pPr>
              <w:spacing w:line="240" w:lineRule="auto" w:before="0" w:after="0"/>
              <w:pStyle w:val="Compact"/>
            </w:pPr>
            <w:r>
              <w:rPr>
                <w:sz w:val="20"/>
                <w:szCs w:val="20"/>
              </w:rPr>
              <w:t xml:space="preserve">Author-constructed program-experience index from the documented mission chronology</w:t>
            </w:r>
          </w:p>
        </w:tc>
      </w:tr>
      <w:tr>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Calendar year of the delivery event</w:t>
            </w:r>
          </w:p>
        </w:tc>
        <w:tc>
          <w:tcPr>
            <w:tcW w:w="0" w:type="auto"/>
          </w:tcPr>
          <w:p>
            <w:pPr>
              <w:spacing w:line="240" w:lineRule="auto" w:before="0" w:after="0"/>
              <w:pStyle w:val="Compact"/>
            </w:pPr>
            <w:r>
              <w:rPr>
                <w:sz w:val="20"/>
                <w:szCs w:val="20"/>
              </w:rPr>
              <w:t xml:space="preserve">Mission records cited per row</w:t>
            </w:r>
          </w:p>
        </w:tc>
      </w:tr>
      <w:tr>
        <w:tc>
          <w:tcPr>
            <w:tcW w:w="0" w:type="auto"/>
          </w:tcPr>
          <w:p>
            <w:pPr>
              <w:spacing w:line="240" w:lineRule="auto" w:before="0" w:after="0"/>
              <w:pStyle w:val="Compact"/>
            </w:pPr>
            <w:r>
              <w:rPr>
                <w:sz w:val="20"/>
                <w:szCs w:val="20"/>
              </w:rPr>
              <w:t xml:space="preserve">domain</w:t>
            </w:r>
          </w:p>
        </w:tc>
        <w:tc>
          <w:tcPr>
            <w:tcW w:w="0" w:type="auto"/>
          </w:tcPr>
          <w:p>
            <w:pPr>
              <w:spacing w:line="240" w:lineRule="auto" w:before="0" w:after="0"/>
              <w:pStyle w:val="Compact"/>
            </w:pPr>
            <w:r>
              <w:rPr>
                <w:sz w:val="20"/>
                <w:szCs w:val="20"/>
              </w:rPr>
              <w:t xml:space="preserve">Class of delivery: deep-space flyby, orbit insertion, comet/asteroid proximity, or Mars entry-descent-landing</w:t>
            </w:r>
          </w:p>
        </w:tc>
        <w:tc>
          <w:tcPr>
            <w:tcW w:w="0" w:type="auto"/>
          </w:tcPr>
          <w:p>
            <w:pPr>
              <w:spacing w:line="240" w:lineRule="auto" w:before="0" w:after="0"/>
              <w:pStyle w:val="Compact"/>
            </w:pPr>
            <w:r>
              <w:rPr>
                <w:sz w:val="20"/>
                <w:szCs w:val="20"/>
              </w:rPr>
              <w:t xml:space="preserve">Mission records cited per row</w:t>
            </w:r>
          </w:p>
        </w:tc>
      </w:tr>
      <w:tr>
        <w:tc>
          <w:tcPr>
            <w:tcW w:w="0" w:type="auto"/>
          </w:tcPr>
          <w:p>
            <w:pPr>
              <w:spacing w:line="240" w:lineRule="auto" w:before="0" w:after="0"/>
              <w:pStyle w:val="Compact"/>
            </w:pPr>
            <w:r>
              <w:rPr>
                <w:sz w:val="20"/>
                <w:szCs w:val="20"/>
              </w:rPr>
              <w:t xml:space="preserve">terrain_relative_nav</w:t>
            </w:r>
          </w:p>
        </w:tc>
        <w:tc>
          <w:tcPr>
            <w:tcW w:w="0" w:type="auto"/>
          </w:tcPr>
          <w:p>
            <w:pPr>
              <w:spacing w:line="240" w:lineRule="auto" w:before="0" w:after="0"/>
              <w:pStyle w:val="Compact"/>
            </w:pPr>
            <w:r>
              <w:rPr>
                <w:sz w:val="20"/>
                <w:szCs w:val="20"/>
              </w:rPr>
              <w:t xml:space="preserve">Indicator that the delivery used optical or terrain-relative navigation rather than radio-only tracking (1 = yes)</w:t>
            </w:r>
          </w:p>
        </w:tc>
        <w:tc>
          <w:tcPr>
            <w:tcW w:w="0" w:type="auto"/>
          </w:tcPr>
          <w:p>
            <w:pPr>
              <w:spacing w:line="240" w:lineRule="auto" w:before="0" w:after="0"/>
              <w:pStyle w:val="Compact"/>
            </w:pPr>
            <w:r>
              <w:rPr>
                <w:sz w:val="20"/>
                <w:szCs w:val="20"/>
              </w:rPr>
              <w:t xml:space="preserve">DESCANSO monograph and mission navigation papers cited per row</w:t>
            </w:r>
          </w:p>
        </w:tc>
      </w:tr>
    </w:tbl>
    <w:bookmarkEnd w:id="76"/>
    <w:bookmarkStart w:id="7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11.2302</w:t>
            </w:r>
          </w:p>
        </w:tc>
        <w:tc>
          <w:tcPr>
            <w:tcW w:w="0" w:type="auto"/>
          </w:tcPr>
          <w:p>
            <w:pPr>
              <w:spacing w:line="240" w:lineRule="auto" w:before="0" w:after="0"/>
              <w:pStyle w:val="Compact"/>
            </w:pPr>
            <w:r>
              <w:rPr>
                <w:sz w:val="20"/>
                <w:szCs w:val="20"/>
              </w:rPr>
              <w:t xml:space="preserve">2.1528</w:t>
            </w:r>
          </w:p>
        </w:tc>
        <w:tc>
          <w:tcPr>
            <w:tcW w:w="0" w:type="auto"/>
          </w:tcPr>
          <w:p>
            <w:pPr>
              <w:spacing w:line="240" w:lineRule="auto" w:before="0" w:after="0"/>
              <w:pStyle w:val="Compact"/>
            </w:pPr>
            <w:r>
              <w:rPr>
                <w:sz w:val="20"/>
                <w:szCs w:val="20"/>
              </w:rPr>
              <w:t xml:space="preserve">5.2165</w:t>
            </w:r>
          </w:p>
        </w:tc>
        <w:tc>
          <w:tcPr>
            <w:tcW w:w="0" w:type="auto"/>
          </w:tcPr>
          <w:p>
            <w:pPr>
              <w:spacing w:line="240" w:lineRule="auto" w:before="0" w:after="0"/>
              <w:pStyle w:val="Compact"/>
            </w:pPr>
            <w:r>
              <w:rPr>
                <w:sz w:val="20"/>
                <w:szCs w:val="20"/>
              </w:rPr>
              <w:t xml:space="preserve">1.823e-07</w:t>
            </w:r>
          </w:p>
        </w:tc>
        <w:tc>
          <w:tcPr>
            <w:tcW w:w="0" w:type="auto"/>
          </w:tcPr>
          <w:p>
            <w:pPr>
              <w:spacing w:line="240" w:lineRule="auto" w:before="0" w:after="0"/>
              <w:pStyle w:val="Compact"/>
            </w:pPr>
            <w:r>
              <w:rPr>
                <w:sz w:val="20"/>
                <w:szCs w:val="20"/>
              </w:rPr>
              <w:t xml:space="preserve">[7.0107, 15.4496]</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-3.0356</w:t>
            </w:r>
          </w:p>
        </w:tc>
        <w:tc>
          <w:tcPr>
            <w:tcW w:w="0" w:type="auto"/>
          </w:tcPr>
          <w:p>
            <w:pPr>
              <w:spacing w:line="240" w:lineRule="auto" w:before="0" w:after="0"/>
              <w:pStyle w:val="Compact"/>
            </w:pPr>
            <w:r>
              <w:rPr>
                <w:sz w:val="20"/>
                <w:szCs w:val="20"/>
              </w:rPr>
              <w:t xml:space="preserve">0.8471</w:t>
            </w:r>
          </w:p>
        </w:tc>
        <w:tc>
          <w:tcPr>
            <w:tcW w:w="0" w:type="auto"/>
          </w:tcPr>
          <w:p>
            <w:pPr>
              <w:spacing w:line="240" w:lineRule="auto" w:before="0" w:after="0"/>
              <w:pStyle w:val="Compact"/>
            </w:pPr>
            <w:r>
              <w:rPr>
                <w:sz w:val="20"/>
                <w:szCs w:val="20"/>
              </w:rPr>
              <w:t xml:space="preserve">-3.5834</w:t>
            </w:r>
          </w:p>
        </w:tc>
        <w:tc>
          <w:tcPr>
            <w:tcW w:w="0" w:type="auto"/>
          </w:tcPr>
          <w:p>
            <w:pPr>
              <w:spacing w:line="240" w:lineRule="auto" w:before="0" w:after="0"/>
              <w:pStyle w:val="Compact"/>
            </w:pPr>
            <w:r>
              <w:rPr>
                <w:sz w:val="20"/>
                <w:szCs w:val="20"/>
              </w:rPr>
              <w:t xml:space="preserve">0.0003392</w:t>
            </w:r>
          </w:p>
        </w:tc>
        <w:tc>
          <w:tcPr>
            <w:tcW w:w="0" w:type="auto"/>
          </w:tcPr>
          <w:p>
            <w:pPr>
              <w:spacing w:line="240" w:lineRule="auto" w:before="0" w:after="0"/>
              <w:pStyle w:val="Compact"/>
            </w:pPr>
            <w:r>
              <w:rPr>
                <w:sz w:val="20"/>
                <w:szCs w:val="20"/>
              </w:rPr>
              <w:t xml:space="preserve">[-4.696, -1.3752]</w:t>
            </w:r>
          </w:p>
        </w:tc>
      </w:tr>
    </w:tbl>
    <w:p>
      <w:pPr>
        <w:pStyle w:val="BodyText"/>
      </w:pPr>
      <w:r>
        <w:t xml:space="preserve">Fit: N = 20 R2 = 0.3516 elasticity_b = -3.0356 progress_ratio_2^b = 0.122</w:t>
      </w:r>
    </w:p>
    <w:bookmarkEnd w:id="77"/>
    <w:bookmarkEnd w:id="78"/>
    <w:bookmarkEnd w:id="7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1" Target="media/rId71.png" /><Relationship Type="http://schemas.openxmlformats.org/officeDocument/2006/relationships/hyperlink" Id="rId68" Target="https://doi.org/10.1016/j.actaastro.2021.12.030" TargetMode="External" /></Relationships>
</file>

<file path=word/_rels/footnotes.xml.rels><?xml version="1.0" encoding="UTF-8"?><Relationships xmlns="http://schemas.openxmlformats.org/package/2006/relationships"><Relationship Type="http://schemas.openxmlformats.org/officeDocument/2006/relationships/hyperlink" Id="rId68" Target="https://doi.org/10.1016/j.actaastro.2021.12.03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2026-06-22T20:31:30Z</dcterms:created>
  <dcterms:modified xsi:type="dcterms:W3CDTF">2026-06-22T20:31:30Z</dcterms:modified>
</cp:coreProperties>
</file>

<file path=docProps/custom.xml><?xml version="1.0" encoding="utf-8"?>
<Properties xmlns="http://schemas.openxmlformats.org/officeDocument/2006/custom-properties" xmlns:vt="http://schemas.openxmlformats.org/officeDocument/2006/docPropsVTypes"/>
</file>