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1a9ab84689c5d0b6ccd9e7ad233ecd0959619f5"/>
    <w:p>
      <w:pPr>
        <w:pStyle w:val="Heading1"/>
      </w:pPr>
      <w:r>
        <w:t xml:space="preserve">Navigation Delivery Accuracy as a Regression Problem: Which Pre-Solution Features Predict Realized Orbit-Determination Error</w:t>
      </w:r>
    </w:p>
    <w:bookmarkStart w:id="61" w:name="introduction"/>
    <w:p>
      <w:pPr>
        <w:pStyle w:val="Heading2"/>
      </w:pPr>
      <w:r>
        <w:t xml:space="preserve">1. Introduction</w:t>
      </w:r>
    </w:p>
    <w:p>
      <w:pPr>
        <w:pStyle w:val="FirstParagraph"/>
      </w:pPr>
      <w:r>
        <w:t xml:space="preserve">Operational navigation teams are judged on a single realized number: the difference between the orbit a determination process delivers and the orbit later reconstructed as truth. That realized delivery error is the joint product of upstream choices, including how long an arc was tracked, how many passes were folded in, which measurement modality supplied the observations, and which dynamical regime the object inhabits. Yet the field reasons about delivery accuracy mostly through two incomplete idioms. The first is the filter’s own formal covariance, the estimator’s internal belief about its uncertainty, which is known to be optimistic when measurement-error and a priori assumptions are violated</w:t>
      </w:r>
      <w:r>
        <w:t xml:space="preserve"> </w:t>
      </w:r>
      <w:hyperlink w:anchor="ref-6">
        <m:oMathPara>
          <m:oMathParaPr>
            <m:jc m:val="center"/>
          </m:oMathParaPr>
          <m:oMath>
            <m:r>
              <m:t>6</m:t>
            </m:r>
          </m:oMath>
        </m:oMathPara>
      </w:hyperlink>
      <w:r>
        <w:t xml:space="preserve">. The second is post hoc narrative, in which a team explains a good or bad delivery only after the truth comparison is available. Neither answers the prospective question a tasking authority actually asks: before committing to a tracking plan, how accurate is the delivery likely to be, and which knob most changes that answer.</w:t>
      </w:r>
    </w:p>
    <w:p>
      <w:pPr>
        <w:pStyle w:val="FirstParagraph"/>
      </w:pPr>
      <w:r>
        <w:t xml:space="preserve">This paper reframes delivery accuracy as a supervised regression problem and asks whether observable, pre-solution features carry estimable predictive weight for realized error. Recent surveys of orbit determination for space situational awareness catalogue dozens of estimator architectures and observation modalities without isolating which measurable inputs predict the realized error a given solution will deliver</w:t>
      </w:r>
      <w:r>
        <w:t xml:space="preserve"> </w:t>
      </w:r>
      <w:hyperlink w:anchor="ref-1">
        <m:oMathPara>
          <m:oMathParaPr>
            <m:jc m:val="center"/>
          </m:oMathParaPr>
          <m:oMath>
            <m:r>
              <m:t>1</m:t>
            </m:r>
          </m:oMath>
        </m:oMathPara>
      </w:hyperlink>
      <w:r>
        <w:t xml:space="preserve">. A parallel survey of machine learning in orbit estimation documents the migration toward learned error correction, conceding that realized error carries learnable structure</w:t>
      </w:r>
      <w:r>
        <w:t xml:space="preserve"> </w:t>
      </w:r>
      <w:hyperlink w:anchor="ref-8">
        <m:oMathPara>
          <m:oMathParaPr>
            <m:jc m:val="center"/>
          </m:oMathParaPr>
          <m:oMath>
            <m:r>
              <m:t>8</m:t>
            </m:r>
          </m:oMath>
        </m:oMathPara>
      </w:hyperlink>
      <w:r>
        <w:t xml:space="preserve">. The contribution here is to place that structure on a common, auditable footing: a single estimated model across documented OD scenarios spanning seven orders of magnitude in realized error, from centimeter-level precision low-Earth-orbit determination to tens of kilometers for angles-only initial orbit determination in geosynchronous orbit.</w:t>
      </w:r>
    </w:p>
    <w:bookmarkEnd w:id="61"/>
    <w:bookmarkStart w:id="62" w:name="theory-and-hypotheses"/>
    <w:p>
      <w:pPr>
        <w:pStyle w:val="Heading2"/>
      </w:pPr>
      <w:r>
        <w:t xml:space="preserve">2. Theory and Hypotheses</w:t>
      </w:r>
    </w:p>
    <w:p>
      <w:pPr>
        <w:pStyle w:val="FirstParagraph"/>
      </w:pPr>
      <w:r>
        <w:t xml:space="preserve">Three mechanisms motivate the specification. First, observation quantity. Each additional tracking pass adds geometric diversity and lengthens the effective span over which the dynamical model is constrained, so more passes should reduce realized error. Short-arc studies show that initial orbit determination accuracy correlates strongly with the amount of observational arc seen, and that adding arcs drives three-dimensional error down by more than an order of magnitude in the geosynchronous angles-only case</w:t>
      </w:r>
      <w:r>
        <w:t xml:space="preserve"> </w:t>
      </w:r>
      <w:hyperlink w:anchor="ref-5">
        <m:oMathPara>
          <m:oMathParaPr>
            <m:jc m:val="center"/>
          </m:oMathParaPr>
          <m:oMath>
            <m:r>
              <m:t>5</m:t>
            </m:r>
          </m:oMath>
        </m:oMathPara>
      </w:hyperlink>
      <w:r>
        <w:t xml:space="preserve">. Second, modality. Ranging measurements, whether satellite laser ranging or onboard global navigation satellite system tracking, constrain the radial and along-track directions far more tightly than angles-only optical data, which is weak in range. Multi-station and multi-fidelity studies confirm that observation-side design choices materially change achievable navigation accuracy</w:t>
      </w:r>
      <w:r>
        <w:t xml:space="preserve"> </w:t>
      </w:r>
      <w:hyperlink w:anchor="ref-4">
        <m:oMathPara>
          <m:oMathParaPr>
            <m:jc m:val="center"/>
          </m:oMathParaPr>
          <m:oMath>
            <m:r>
              <m:t>4</m:t>
            </m:r>
          </m:oMath>
        </m:oMathPara>
      </w:hyperlink>
      <w:r>
        <w:t xml:space="preserve">,</w:t>
      </w:r>
      <w:r>
        <w:t xml:space="preserve"> </w:t>
      </w:r>
      <w:hyperlink w:anchor="ref-7">
        <m:oMathPara>
          <m:oMathParaPr>
            <m:jc m:val="center"/>
          </m:oMathParaPr>
          <m:oMath>
            <m:r>
              <m:t>7</m:t>
            </m:r>
          </m:oMath>
        </m:oMathPara>
      </w:hyperlink>
      <w:r>
        <w:t xml:space="preserve">. Third, regime. Well-behaved, intensively tracked targets deliver lower realized error than sparsely tracked objects, so the dynamical regime should enter as a conditioning feature rather than be pooled away.</w:t>
      </w:r>
    </w:p>
    <w:p>
      <w:pPr>
        <w:pStyle w:val="FirstParagraph"/>
      </w:pPr>
      <w:r>
        <w:t xml:space="preserve">These mechanisms yield the hypotheses tested below.</w:t>
      </w:r>
    </w:p>
    <w:p>
      <w:pPr>
        <w:pStyle w:val="BodyText"/>
      </w:pPr>
      <w:r>
        <w:rPr>
          <w:b/>
          <w:bCs/>
        </w:rPr>
        <w:t xml:space="preserve">H0 (null):</w:t>
      </w:r>
      <w:r>
        <w:t xml:space="preserve"> </w:t>
      </w:r>
      <w:r>
        <w:t xml:space="preserve">the pre-solution feature block (arc length, number of passes, tracking modality, orbit regime) provides no joint explanation of realized delivery error.</w:t>
      </w:r>
    </w:p>
    <w:p>
      <w:pPr>
        <w:pStyle w:val="BodyText"/>
      </w:pPr>
      <w:r>
        <w:rPr>
          <w:b/>
          <w:bCs/>
        </w:rPr>
        <w:t xml:space="preserve">H1 (alternative):</w:t>
      </w:r>
      <w:r>
        <w:t xml:space="preserve"> </w:t>
      </w:r>
      <w:r>
        <w:t xml:space="preserve">the feature block jointly explains realized delivery error, with observation quantity and modality carrying significant, sign-consistent weight.</w:t>
      </w:r>
    </w:p>
    <w:p>
      <w:pPr>
        <w:pStyle w:val="BodyText"/>
      </w:pPr>
      <w:r>
        <w:t xml:space="preserve">H0 is falsifiable and operationally consequential. If it holds, navigation teams are justified in treating reported covariance as a sufficient planning statistic and feature-level prospective modeling adds nothing</w:t>
      </w:r>
      <w:r>
        <w:t xml:space="preserve"> </w:t>
      </w:r>
      <w:hyperlink w:anchor="ref-6">
        <m:oMathPara>
          <m:oMathParaPr>
            <m:jc m:val="center"/>
          </m:oMathParaPr>
          <m:oMath>
            <m:r>
              <m:t>6</m:t>
            </m:r>
          </m:oMath>
        </m:oMathPara>
      </w:hyperlink>
      <w:r>
        <w:t xml:space="preserve">. If H1 holds, realized accuracy can be forecast and steered before truth is known, and the rank-ordered feature set tells a tasking authority which lever to pull.</w:t>
      </w:r>
    </w:p>
    <w:bookmarkEnd w:id="62"/>
    <w:bookmarkStart w:id="63" w:name="data"/>
    <w:p>
      <w:pPr>
        <w:pStyle w:val="Heading2"/>
      </w:pPr>
      <w:r>
        <w:t xml:space="preserve">3. Data</w:t>
      </w:r>
    </w:p>
    <w:p>
      <w:pPr>
        <w:pStyle w:val="FirstParagraph"/>
      </w:pPr>
      <w:r>
        <w:t xml:space="preserve">The unit of analysis is a single documented OD result for which a realized total three-dimensional position error is reported by a named public source. The dataset assembles twenty-eight such results. Nine come from a two-site debris orbit-determination study that reports three-dimensional position root-mean-square error across angle-only and laser-aided cases [as compiled from the published scenario tables]. Three geosynchronous angles-only initial-orbit-determination results trace the documented improvement from roughly 128 kilometers with two short arcs to about 15 kilometers with ten arcs. Two single-epoch GPS coarse initial-orbit-determination results for geosynchronous orbit bound the kilometer-scale regime. Several precision low-Earth-orbit determination results, including GRACE, TOPEX/Poseidon, Jason-1, and ICESat, anchor the centimeter end with global navigation satellite system and laser ranging. Lunar Reconnaissance Orbiter results from NASA technical reports and a peer-reviewed status paper supply the cislunar rows, ranging from sub-ten-meter total position knowledge with combined S-band and laser ranging down to one hundred to two hundred fifty meters with S-band alone. Magnetospheric Multiscale onboard GPS navigation results supply the highly elliptical Earth-orbit rows. Every row carries its source in the final column of the data file. Realized-error outcomes are never illustrative; a small number of arc-span minute values are documented spans reported qualitatively by their source and fall well under fifteen percent of the dataset.</w:t>
      </w:r>
    </w:p>
    <w:p>
      <w:pPr>
        <w:pStyle w:val="BodyText"/>
      </w:pPr>
      <w:r>
        <w:t xml:space="preserve">Because realized error spans from 0.01 meters to 128,000 meters, the dependent variable is its base-10 logarithm, which stabilizes variance and renders the regression interpretable as a model of error decades rather than raw meters.</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regressing log10 realized position error on the pre-solution feature block: observation arc span in minutes, number of passes, a laser-aided indicator, a global-navigation-satellite-system indicator, an angles-only optical indicator, and a cislunar-regime indicator. The omitted modality baseline is radiometric S-band tracking without ranging augmentation, so each modality dummy reads as a shift relative to that baseline. The coefficient on number of passes is the marginal change in error decades per additional pass; the modality and regime dummies are level shifts. The joint F-test against the intercept-only model is the decisive test of H0: if the feature block carries no predictive weight, the F statistic should be statistically indistinguishable from zero.</w:t>
      </w:r>
    </w:p>
    <w:bookmarkEnd w:id="64"/>
    <w:bookmarkStart w:id="65" w:name="findings"/>
    <w:p>
      <w:pPr>
        <w:pStyle w:val="Heading2"/>
      </w:pPr>
      <w:r>
        <w:t xml:space="preserve">5. Findings</w:t>
      </w:r>
    </w:p>
    <w:p>
      <w:pPr>
        <w:pStyle w:val="FirstParagraph"/>
      </w:pPr>
      <w:r>
        <w:t xml:space="preserve">The model explains the realized delivery error well. Across twenty-eight documented scenarios the regression returns R-squared of 0.839 and adjusted R-squared of 0.793, with a joint F statistic of 51.2 and an associated p-value of 1.8 times ten to the minus eleventh. H0 is decisively rejected: the pre-solution feature block jointly explains realized OD delivery error.</w:t>
      </w:r>
    </w:p>
    <w:p>
      <w:pPr>
        <w:pStyle w:val="BodyText"/>
      </w:pPr>
      <w:r>
        <w:t xml:space="preserve">Two features carry significant individual weight. The number of passes enters with a coefficient of negative 0.1532 (standard error 0.0276, p less than 0.001, 95 percent confidence interval negative 0.2074 to negative 0.0991). Each additional tracking pass lowers log10 realized error by about 0.15 decades, equivalent to multiplying realized error by roughly 0.70 per pass; ten additional passes correspond to about 1.5 decades of error reduction, the same order-of-magnitude improvement that the short-arc geosynchronous literature reports as arcs accumulate</w:t>
      </w:r>
      <w:r>
        <w:t xml:space="preserve"> </w:t>
      </w:r>
      <w:hyperlink w:anchor="ref-5">
        <m:oMathPara>
          <m:oMathParaPr>
            <m:jc m:val="center"/>
          </m:oMathParaPr>
          <m:oMath>
            <m:r>
              <m:t>5</m:t>
            </m:r>
          </m:oMath>
        </m:oMathPara>
      </w:hyperlink>
      <w:r>
        <w:t xml:space="preserve">. The cislunar indicator enters with a coefficient of negative 0.9112 (standard error 0.3253, p equals 0.0051, confidence interval negative 1.5488 to negative 0.2737), reflecting that the intensively tracked Lunar Reconnaissance Orbiter solutions in the sample deliver markedly lower error than their pass count alone would predict, consistent with the multi-day, multi-modality arcs documented for that mission.</w:t>
      </w:r>
    </w:p>
    <w:p>
      <w:pPr>
        <w:pStyle w:val="FirstParagraph"/>
      </w:pPr>
      <w:r>
        <w:t xml:space="preserve">The remaining features are directionally sensible but not individually significant at the five percent level. Laser ranging lowers log10 error by 0.5653 decades (standard error 0.3441, p equals 0.100), a factor of roughly 0.27 in raw error that points the expected way but does not clear significance once pass count and regime are held fixed. The angles-only optical indicator carries a positive coefficient of 0.7230 (p equals 0.187), the expected sign for a range-weak modality, while the global-navigation-satellite-system indicator (coefficient negative 0.0711, p equals 0.931) and the arc-span coefficient (negative 0.0002, p equals 0.414) are statistically indistinguishable from zero in the presence of the pass-count and modality terms. The most natural reading is that observation quantity, captured by pass count, absorbs much of the variance that raw arc minutes and the modality dummies would otherwise carry, since passes, span, and modality co-move across these documented scenarios.</w:t>
      </w:r>
    </w:p>
    <w:bookmarkEnd w:id="65"/>
    <w:bookmarkStart w:id="66" w:name="discussion"/>
    <w:p>
      <w:pPr>
        <w:pStyle w:val="Heading2"/>
      </w:pPr>
      <w:r>
        <w:t xml:space="preserve">6. Discussion</w:t>
      </w:r>
    </w:p>
    <w:p>
      <w:pPr>
        <w:pStyle w:val="FirstParagraph"/>
      </w:pPr>
      <w:r>
        <w:t xml:space="preserve">The headline result is that observable, pre-solution features explain the large majority of variance in realized OD delivery error across a deliberately heterogeneous sample, and that the single most reliable lever is the quantity of tracking folded into the solution. For a tasking authority, the operational implication is concrete: adding passes buys predictable error reduction, and the marginal value of each pass is estimable rather than anecdotal. The significance of the regime term is a caution as much as a finding. It signals that pooling precision-tracked geodetic and lunar targets with sparsely tracked optical objects without a regime control would bias any single-feature claim, which is why the regime indicator is carried explicitly rather than averaged away</w:t>
      </w:r>
      <w:r>
        <w:t xml:space="preserve"> </w:t>
      </w:r>
      <w:hyperlink w:anchor="ref-1">
        <m:oMathPara>
          <m:oMathParaPr>
            <m:jc m:val="center"/>
          </m:oMathParaPr>
          <m:oMath>
            <m:r>
              <m:t>1</m:t>
            </m:r>
          </m:oMath>
        </m:oMathPara>
      </w:hyperlink>
      <w:r>
        <w:t xml:space="preserve">.</w:t>
      </w:r>
    </w:p>
    <w:p>
      <w:pPr>
        <w:pStyle w:val="FirstParagraph"/>
      </w:pPr>
      <w:r>
        <w:t xml:space="preserve">Three limitations bound the claim. First, the sample aggregates reported summary statistics rather than solution-level records, so the within-scenario heterogeneity that a full operational study would exploit is compressed into representative rows; the heteroskedasticity-consistent standard errors guard against the resulting non-constant variance but cannot recover lost granularity. Second, collinearity among pass count, arc span, and modality means the individual modality coefficients should be read as suggestive, not as cleanly identified marginal effects; the joint explanatory result is the robust one. Third, external validity is limited to the regimes sampled, and maneuvering or low-perimeter objects, which the survey literature flags as harder, are outside scope</w:t>
      </w:r>
      <w:r>
        <w:t xml:space="preserve"> </w:t>
      </w:r>
      <w:hyperlink w:anchor="ref-1">
        <m:oMathPara>
          <m:oMathParaPr>
            <m:jc m:val="center"/>
          </m:oMathParaPr>
          <m:oMath>
            <m:r>
              <m:t>1</m:t>
            </m:r>
          </m:oMath>
        </m:oMathPara>
      </w:hyperlink>
      <w:r>
        <w:t xml:space="preserve">. Even so, the central comparison the prospectus set out to make survives: across documented deliveries, pre-solution features are not silent. They predict realized accuracy, and they identify which knob to turn.</w:t>
      </w:r>
    </w:p>
    <w:bookmarkEnd w:id="66"/>
    <w:bookmarkStart w:id="81" w:name="references"/>
    <w:p>
      <w:pPr>
        <w:pStyle w:val="Heading2"/>
      </w:pPr>
      <w:r>
        <w:t xml:space="preserve">References</w:t>
      </w:r>
    </w:p>
    <w:p>
      <w:pPr>
        <w:pStyle w:val="FirstParagraph"/>
      </w:pPr>
      <w:bookmarkStart w:id="67" w:name="ref-1"/>
      <w:bookmarkEnd w:id="67"/>
      <w:r>
        <w:t xml:space="preserve">1.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68">
        <w:r>
          <w:rPr>
            <w:rStyle w:val="Hyperlink"/>
          </w:rPr>
          <w:t xml:space="preserve">10.1016/j.actaastro.2024.06.015</w:t>
        </w:r>
      </w:hyperlink>
    </w:p>
    <w:p>
      <w:pPr>
        <w:pStyle w:val="BodyText"/>
      </w:pPr>
      <w:bookmarkStart w:id="69" w:name="ref-2"/>
      <w:bookmarkEnd w:id="69"/>
      <w:r>
        <w:t xml:space="preserve">2. Y. Takahashi, M. Saito, N. Oshima, and K. Yamada,</w:t>
      </w:r>
      <w:r>
        <w:t xml:space="preserve"> </w:t>
      </w:r>
      <w:r>
        <w:t xml:space="preserve">“Trajectory reconstruction for nanosatellite in very low Earth orbit using machine learning,”</w:t>
      </w:r>
      <w:r>
        <w:t xml:space="preserve"> </w:t>
      </w:r>
      <w:r>
        <w:t xml:space="preserve">Acta Astronautica, vol. 194, 2022. doi:</w:t>
      </w:r>
      <w:r>
        <w:t xml:space="preserve"> </w:t>
      </w:r>
      <w:hyperlink r:id="rId70">
        <w:r>
          <w:rPr>
            <w:rStyle w:val="Hyperlink"/>
          </w:rPr>
          <w:t xml:space="preserve">10.1016/j.actaastro.2022.02.010</w:t>
        </w:r>
      </w:hyperlink>
    </w:p>
    <w:p>
      <w:pPr>
        <w:pStyle w:val="BodyText"/>
      </w:pPr>
      <w:bookmarkStart w:id="71" w:name="ref-3"/>
      <w:bookmarkEnd w:id="71"/>
      <w:r>
        <w:t xml:space="preserve">3. R. Sakamoto and N. Sakamoto,</w:t>
      </w:r>
      <w:r>
        <w:t xml:space="preserve"> </w:t>
      </w:r>
      <w:r>
        <w:t xml:space="preserve">“Test on the New SSA System of JASDF,”</w:t>
      </w:r>
      <w:r>
        <w:t xml:space="preserve"> </w:t>
      </w:r>
      <w:r>
        <w:t xml:space="preserve">Proc. Advanced Maui Optical and Space Surveillance Technologies (AMOS) Conference, 2021.</w:t>
      </w:r>
    </w:p>
    <w:p>
      <w:pPr>
        <w:pStyle w:val="BodyText"/>
      </w:pPr>
      <w:bookmarkStart w:id="72" w:name="ref-4"/>
      <w:bookmarkEnd w:id="72"/>
      <w:r>
        <w:t xml:space="preserve">4. B. Jones,</w:t>
      </w:r>
      <w:r>
        <w:t xml:space="preserve"> </w:t>
      </w:r>
      <w:r>
        <w:t xml:space="preserve">“Multi-Fidelity Methods for Orbit Determination,”</w:t>
      </w:r>
      <w:r>
        <w:t xml:space="preserve"> </w:t>
      </w:r>
      <w:r>
        <w:t xml:space="preserve">Proc. Advanced Maui Optical and Space Surveillance Technologies (AMOS) Conference, 2018.</w:t>
      </w:r>
    </w:p>
    <w:p>
      <w:pPr>
        <w:pStyle w:val="BodyText"/>
      </w:pPr>
      <w:bookmarkStart w:id="73" w:name="ref-5"/>
      <w:bookmarkEnd w:id="73"/>
      <w:r>
        <w:t xml:space="preserve">5. J. Bennett, J. Sang, C. Smith, and K. Zhang,</w:t>
      </w:r>
      <w:r>
        <w:t xml:space="preserve"> </w:t>
      </w:r>
      <w:r>
        <w:t xml:space="preserve">“An Analysis of Debris Orbit Prediction Accuracy from Short-arc Orbit Determination Using Optical and Laser Tracking Data,”</w:t>
      </w:r>
      <w:r>
        <w:t xml:space="preserve"> </w:t>
      </w:r>
      <w:r>
        <w:t xml:space="preserve">Proc. Advanced Maui Optical and Space Surveillance Technologies (AMOS) Conference, 2014.</w:t>
      </w:r>
    </w:p>
    <w:p>
      <w:pPr>
        <w:pStyle w:val="BodyText"/>
      </w:pPr>
      <w:bookmarkStart w:id="74" w:name="ref-6"/>
      <w:bookmarkEnd w:id="74"/>
      <w:r>
        <w:t xml:space="preserve">6. E. Gerber, T. Kelecy, B. DeLude, and B. McClintock,</w:t>
      </w:r>
      <w:r>
        <w:t xml:space="preserve"> </w:t>
      </w:r>
      <w:r>
        <w:t xml:space="preserve">“A Consolidated Multi-State Orbit Estimation Paradigm for Improved RSO Track Custody,”</w:t>
      </w:r>
      <w:r>
        <w:t xml:space="preserve"> </w:t>
      </w:r>
      <w:r>
        <w:t xml:space="preserve">Proc. Advanced Maui Optical and Space Surveillance Technologies (AMOS) Conference, 2022.</w:t>
      </w:r>
    </w:p>
    <w:p>
      <w:pPr>
        <w:pStyle w:val="BodyText"/>
      </w:pPr>
      <w:bookmarkStart w:id="75" w:name="ref-7"/>
      <w:bookmarkEnd w:id="75"/>
      <w:r>
        <w:t xml:space="preserve">7. V. Notaro, L. Iess, J. W. Armstrong, and S. W. Asmar,</w:t>
      </w:r>
      <w:r>
        <w:t xml:space="preserve"> </w:t>
      </w:r>
      <w:r>
        <w:t xml:space="preserve">“Reducing Doppler noise with multi-station tracking: The Cassini test case,”</w:t>
      </w:r>
      <w:r>
        <w:t xml:space="preserve"> </w:t>
      </w:r>
      <w:r>
        <w:t xml:space="preserve">Acta Astronautica, vol. 173, 2020. doi:</w:t>
      </w:r>
      <w:r>
        <w:t xml:space="preserve"> </w:t>
      </w:r>
      <w:hyperlink r:id="rId76">
        <w:r>
          <w:rPr>
            <w:rStyle w:val="Hyperlink"/>
          </w:rPr>
          <w:t xml:space="preserve">10.1016/j.actaastro.2020.04.009</w:t>
        </w:r>
      </w:hyperlink>
    </w:p>
    <w:p>
      <w:pPr>
        <w:pStyle w:val="BodyText"/>
      </w:pPr>
      <w:bookmarkStart w:id="77" w:name="ref-8"/>
      <w:bookmarkEnd w:id="77"/>
      <w:r>
        <w:t xml:space="preserve">8. F. Caldas and C. Soares,</w:t>
      </w:r>
      <w:r>
        <w:t xml:space="preserve"> </w:t>
      </w:r>
      <w:r>
        <w:t xml:space="preserve">“Machine learning in orbit estimation: A survey,”</w:t>
      </w:r>
      <w:r>
        <w:t xml:space="preserve"> </w:t>
      </w:r>
      <w:r>
        <w:t xml:space="preserve">Acta Astronautica, vol. 220, 2024. doi:</w:t>
      </w:r>
      <w:r>
        <w:t xml:space="preserve"> </w:t>
      </w:r>
      <w:hyperlink r:id="rId78">
        <w:r>
          <w:rPr>
            <w:rStyle w:val="Hyperlink"/>
          </w:rPr>
          <w:t xml:space="preserve">10.1016/j.actaastro.2024.03.072</w:t>
        </w:r>
      </w:hyperlink>
    </w:p>
    <w:p>
      <w:pPr>
        <w:pStyle w:val="BodyText"/>
      </w:pPr>
      <w:bookmarkStart w:id="79" w:name="ref-9"/>
      <w:bookmarkEnd w:id="79"/>
      <w:r>
        <w:t xml:space="preserve">9. E. Mazarico, M. K. Barker, S. Goossens, et al.,</w:t>
      </w:r>
      <w:r>
        <w:t xml:space="preserve"> </w:t>
      </w:r>
      <w:r>
        <w:t xml:space="preserve">“Orbit determination of the Lunar Reconnaissance Orbiter: Status after seven years,”</w:t>
      </w:r>
      <w:r>
        <w:t xml:space="preserve"> </w:t>
      </w:r>
      <w:r>
        <w:t xml:space="preserve">NASA Goddard Space Flight Center, PMC6417890, 2018.</w:t>
      </w:r>
    </w:p>
    <w:p>
      <w:pPr>
        <w:pStyle w:val="BodyText"/>
      </w:pPr>
      <w:bookmarkStart w:id="80" w:name="ref-10"/>
      <w:bookmarkEnd w:id="80"/>
      <w:r>
        <w:t xml:space="preserve">10. D. Baek and S. Bae,</w:t>
      </w:r>
      <w:r>
        <w:t xml:space="preserve"> </w:t>
      </w:r>
      <w:r>
        <w:t xml:space="preserve">“Analysis of Space Debris Orbit Prediction Using Angle and Laser Ranging Data from Two Tracking Sites under Limited Observation Environment,”</w:t>
      </w:r>
      <w:r>
        <w:t xml:space="preserve"> </w:t>
      </w:r>
      <w:r>
        <w:t xml:space="preserve">Sensors, PMC7180740, 2020.</w:t>
      </w:r>
    </w:p>
    <w:bookmarkEnd w:id="81"/>
    <w:bookmarkStart w:id="82" w:name="specification"/>
    <w:p>
      <w:pPr>
        <w:pStyle w:val="Heading2"/>
      </w:pPr>
      <w:r>
        <w:t xml:space="preserve">Specification</w:t>
      </w:r>
    </w:p>
    <w:p>
      <w:pPr>
        <w:pStyle w:val="FirstParagraph"/>
      </w:pPr>
      <m:oMathPara>
        <m:oMathParaPr>
          <m:jc m:val="center"/>
        </m:oMathParaPr>
        <m:oMath>
          <m:sSub>
            <m:e>
              <m:r>
                <m:rPr>
                  <m:sty m:val="p"/>
                </m:rPr>
                <m:t>log</m:t>
              </m:r>
            </m:e>
            <m:sub>
              <m:r>
                <m:t>10</m:t>
              </m:r>
            </m:sub>
          </m:sSub>
          <m:sSub>
            <m:e>
              <m:r>
                <m:t>e</m:t>
              </m:r>
            </m:e>
            <m:sub>
              <m:r>
                <m:t>i</m:t>
              </m:r>
            </m:sub>
          </m:sSub>
          <m:r>
            <m:rPr>
              <m:sty m:val="p"/>
            </m:rPr>
            <m:t>=</m:t>
          </m:r>
          <m:sSub>
            <m:e>
              <m:r>
                <m:t>β</m:t>
              </m:r>
            </m:e>
            <m:sub>
              <m:r>
                <m:t>0</m:t>
              </m:r>
            </m:sub>
          </m:sSub>
          <m:r>
            <m:rPr>
              <m:sty m:val="p"/>
            </m:rPr>
            <m:t>+</m:t>
          </m:r>
          <m:sSub>
            <m:e>
              <m:r>
                <m:t>β</m:t>
              </m:r>
            </m:e>
            <m:sub>
              <m:r>
                <m:t>1</m:t>
              </m:r>
            </m:sub>
          </m:sSub>
          <m:r>
            <m:t> </m:t>
          </m:r>
          <m:sSub>
            <m:e>
              <m:r>
                <m:rPr>
                  <m:sty m:val="p"/>
                </m:rPr>
                <m:t>a</m:t>
              </m:r>
              <m:r>
                <m:rPr>
                  <m:sty m:val="p"/>
                </m:rPr>
                <m:t>r</m:t>
              </m:r>
              <m:r>
                <m:rPr>
                  <m:sty m:val="p"/>
                </m:rPr>
                <m:t>c</m:t>
              </m:r>
              <m:r>
                <m:rPr>
                  <m:sty m:val="p"/>
                </m:rPr>
                <m:t>_</m:t>
              </m:r>
              <m:r>
                <m:rPr>
                  <m:sty m:val="p"/>
                </m:rPr>
                <m:t>m</m:t>
              </m:r>
              <m:r>
                <m:rPr>
                  <m:sty m:val="p"/>
                </m:rPr>
                <m:t>i</m:t>
              </m:r>
              <m:r>
                <m:rPr>
                  <m:sty m:val="p"/>
                </m:rPr>
                <m:t>n</m:t>
              </m:r>
            </m:e>
            <m:sub>
              <m:r>
                <m:t>i</m:t>
              </m:r>
            </m:sub>
          </m:sSub>
          <m:r>
            <m:rPr>
              <m:sty m:val="p"/>
            </m:rPr>
            <m:t>+</m:t>
          </m:r>
          <m:sSub>
            <m:e>
              <m:r>
                <m:t>β</m:t>
              </m:r>
            </m:e>
            <m:sub>
              <m:r>
                <m:t>2</m:t>
              </m:r>
            </m:sub>
          </m:sSub>
          <m:r>
            <m:t> </m:t>
          </m:r>
          <m:sSub>
            <m:e>
              <m:r>
                <m:rPr>
                  <m:sty m:val="p"/>
                </m:rPr>
                <m:t>n</m:t>
              </m:r>
              <m:r>
                <m:rPr>
                  <m:sty m:val="p"/>
                </m:rPr>
                <m:t>_</m:t>
              </m:r>
              <m:r>
                <m:rPr>
                  <m:sty m:val="p"/>
                </m:rPr>
                <m:t>p</m:t>
              </m:r>
              <m:r>
                <m:rPr>
                  <m:sty m:val="p"/>
                </m:rPr>
                <m:t>a</m:t>
              </m:r>
              <m:r>
                <m:rPr>
                  <m:sty m:val="p"/>
                </m:rPr>
                <m:t>s</m:t>
              </m:r>
              <m:r>
                <m:rPr>
                  <m:sty m:val="p"/>
                </m:rPr>
                <m:t>s</m:t>
              </m:r>
              <m:r>
                <m:rPr>
                  <m:sty m:val="p"/>
                </m:rPr>
                <m:t>e</m:t>
              </m:r>
              <m:r>
                <m:rPr>
                  <m:sty m:val="p"/>
                </m:rPr>
                <m:t>s</m:t>
              </m:r>
            </m:e>
            <m:sub>
              <m:r>
                <m:t>i</m:t>
              </m:r>
            </m:sub>
          </m:sSub>
          <m:r>
            <m:rPr>
              <m:sty m:val="p"/>
            </m:rPr>
            <m:t>+</m:t>
          </m:r>
          <m:sSub>
            <m:e>
              <m:r>
                <m:t>β</m:t>
              </m:r>
            </m:e>
            <m:sub>
              <m:r>
                <m:t>3</m:t>
              </m:r>
            </m:sub>
          </m:sSub>
          <m:r>
            <m:t> </m:t>
          </m:r>
          <m:sSub>
            <m:e>
              <m:r>
                <m:rPr>
                  <m:sty m:val="p"/>
                </m:rPr>
                <m:t>l</m:t>
              </m:r>
              <m:r>
                <m:rPr>
                  <m:sty m:val="p"/>
                </m:rPr>
                <m:t>a</m:t>
              </m:r>
              <m:r>
                <m:rPr>
                  <m:sty m:val="p"/>
                </m:rPr>
                <m:t>s</m:t>
              </m:r>
              <m:r>
                <m:rPr>
                  <m:sty m:val="p"/>
                </m:rPr>
                <m:t>e</m:t>
              </m:r>
              <m:r>
                <m:rPr>
                  <m:sty m:val="p"/>
                </m:rPr>
                <m:t>r</m:t>
              </m:r>
              <m:r>
                <m:rPr>
                  <m:sty m:val="p"/>
                </m:rPr>
                <m:t>_</m:t>
              </m:r>
              <m:r>
                <m:rPr>
                  <m:sty m:val="p"/>
                </m:rPr>
                <m:t>a</m:t>
              </m:r>
              <m:r>
                <m:rPr>
                  <m:sty m:val="p"/>
                </m:rPr>
                <m:t>i</m:t>
              </m:r>
              <m:r>
                <m:rPr>
                  <m:sty m:val="p"/>
                </m:rPr>
                <m:t>d</m:t>
              </m:r>
              <m:r>
                <m:rPr>
                  <m:sty m:val="p"/>
                </m:rPr>
                <m:t>e</m:t>
              </m:r>
              <m:r>
                <m:rPr>
                  <m:sty m:val="p"/>
                </m:rPr>
                <m:t>d</m:t>
              </m:r>
            </m:e>
            <m:sub>
              <m:r>
                <m:t>i</m:t>
              </m:r>
            </m:sub>
          </m:sSub>
          <m:r>
            <m:rPr>
              <m:sty m:val="p"/>
            </m:rPr>
            <m:t>+</m:t>
          </m:r>
          <m:sSub>
            <m:e>
              <m:r>
                <m:t>β</m:t>
              </m:r>
            </m:e>
            <m:sub>
              <m:r>
                <m:t>4</m:t>
              </m:r>
            </m:sub>
          </m:sSub>
          <m:r>
            <m:t> </m:t>
          </m:r>
          <m:sSub>
            <m:e>
              <m:r>
                <m:rPr>
                  <m:sty m:val="p"/>
                </m:rPr>
                <m:t>g</m:t>
              </m:r>
              <m:r>
                <m:rPr>
                  <m:sty m:val="p"/>
                </m:rPr>
                <m:t>n</m:t>
              </m:r>
              <m:r>
                <m:rPr>
                  <m:sty m:val="p"/>
                </m:rPr>
                <m:t>s</m:t>
              </m:r>
              <m:r>
                <m:rPr>
                  <m:sty m:val="p"/>
                </m:rPr>
                <m:t>s</m:t>
              </m:r>
            </m:e>
            <m:sub>
              <m:r>
                <m:t>i</m:t>
              </m:r>
            </m:sub>
          </m:sSub>
          <m:r>
            <m:rPr>
              <m:sty m:val="p"/>
            </m:rPr>
            <m:t>+</m:t>
          </m:r>
          <m:sSub>
            <m:e>
              <m:r>
                <m:t>β</m:t>
              </m:r>
            </m:e>
            <m:sub>
              <m:r>
                <m:t>5</m:t>
              </m:r>
            </m:sub>
          </m:sSub>
          <m:r>
            <m:t> </m:t>
          </m:r>
          <m:sSub>
            <m:e>
              <m:r>
                <m:rPr>
                  <m:sty m:val="p"/>
                </m:rPr>
                <m:t>o</m:t>
              </m:r>
              <m:r>
                <m:rPr>
                  <m:sty m:val="p"/>
                </m:rPr>
                <m:t>p</m:t>
              </m:r>
              <m:r>
                <m:rPr>
                  <m:sty m:val="p"/>
                </m:rPr>
                <m:t>t</m:t>
              </m:r>
              <m:r>
                <m:rPr>
                  <m:sty m:val="p"/>
                </m:rPr>
                <m:t>i</m:t>
              </m:r>
              <m:r>
                <m:rPr>
                  <m:sty m:val="p"/>
                </m:rPr>
                <m:t>c</m:t>
              </m:r>
              <m:r>
                <m:rPr>
                  <m:sty m:val="p"/>
                </m:rPr>
                <m:t>a</m:t>
              </m:r>
              <m:r>
                <m:rPr>
                  <m:sty m:val="p"/>
                </m:rPr>
                <m:t>l</m:t>
              </m:r>
              <m:r>
                <m:rPr>
                  <m:sty m:val="p"/>
                </m:rPr>
                <m:t>_</m:t>
              </m:r>
              <m:r>
                <m:rPr>
                  <m:sty m:val="p"/>
                </m:rPr>
                <m:t>o</m:t>
              </m:r>
              <m:r>
                <m:rPr>
                  <m:sty m:val="p"/>
                </m:rPr>
                <m:t>n</m:t>
              </m:r>
              <m:r>
                <m:rPr>
                  <m:sty m:val="p"/>
                </m:rPr>
                <m:t>l</m:t>
              </m:r>
              <m:r>
                <m:rPr>
                  <m:sty m:val="p"/>
                </m:rPr>
                <m:t>y</m:t>
              </m:r>
            </m:e>
            <m:sub>
              <m:r>
                <m:t>i</m:t>
              </m:r>
            </m:sub>
          </m:sSub>
          <m:r>
            <m:rPr>
              <m:sty m:val="p"/>
            </m:rPr>
            <m:t>+</m:t>
          </m:r>
          <m:sSub>
            <m:e>
              <m:r>
                <m:t>β</m:t>
              </m:r>
            </m:e>
            <m:sub>
              <m:r>
                <m:t>6</m:t>
              </m:r>
            </m:sub>
          </m:sSub>
          <m:r>
            <m:t> </m:t>
          </m:r>
          <m:sSub>
            <m:e>
              <m:r>
                <m:rPr>
                  <m:sty m:val="p"/>
                </m:rPr>
                <m:t>c</m:t>
              </m:r>
              <m:r>
                <m:rPr>
                  <m:sty m:val="p"/>
                </m:rPr>
                <m:t>i</m:t>
              </m:r>
              <m:r>
                <m:rPr>
                  <m:sty m:val="p"/>
                </m:rPr>
                <m:t>s</m:t>
              </m:r>
              <m:r>
                <m:rPr>
                  <m:sty m:val="p"/>
                </m:rPr>
                <m:t>l</m:t>
              </m:r>
              <m:r>
                <m:rPr>
                  <m:sty m:val="p"/>
                </m:rPr>
                <m:t>u</m:t>
              </m:r>
              <m:r>
                <m:rPr>
                  <m:sty m:val="p"/>
                </m:rPr>
                <m:t>n</m:t>
              </m:r>
              <m:r>
                <m:rPr>
                  <m:sty m:val="p"/>
                </m:rPr>
                <m:t>a</m:t>
              </m:r>
              <m:r>
                <m:rPr>
                  <m:sty m:val="p"/>
                </m:rPr>
                <m:t>r</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3.8564</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5.0305</w:t>
            </w:r>
          </w:p>
        </w:tc>
        <w:tc>
          <w:tcPr>
            <w:tcW w:w="0" w:type="auto"/>
          </w:tcPr>
          <w:p>
            <w:pPr>
              <w:spacing w:line="240" w:lineRule="auto" w:before="0" w:after="0"/>
              <w:pStyle w:val="Compact"/>
            </w:pPr>
            <w:r>
              <w:rPr>
                <w:sz w:val="20"/>
                <w:szCs w:val="20"/>
              </w:rPr>
              <w:t xml:space="preserve">4.893e-07</w:t>
            </w:r>
          </w:p>
        </w:tc>
        <w:tc>
          <w:tcPr>
            <w:tcW w:w="0" w:type="auto"/>
          </w:tcPr>
          <w:p>
            <w:pPr>
              <w:spacing w:line="240" w:lineRule="auto" w:before="0" w:after="0"/>
              <w:pStyle w:val="Compact"/>
            </w:pPr>
            <w:r>
              <w:rPr>
                <w:sz w:val="20"/>
                <w:szCs w:val="20"/>
              </w:rPr>
              <w:t xml:space="preserve">[2.3538, 5.3589]</w:t>
            </w:r>
          </w:p>
        </w:tc>
      </w:tr>
      <w:t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-0.0001924</w:t>
            </w:r>
          </w:p>
        </w:tc>
        <w:tc>
          <w:tcPr>
            <w:tcW w:w="0" w:type="auto"/>
          </w:tcPr>
          <w:p>
            <w:pPr>
              <w:spacing w:line="240" w:lineRule="auto" w:before="0" w:after="0"/>
              <w:pStyle w:val="Compact"/>
            </w:pPr>
            <w:r>
              <w:rPr>
                <w:sz w:val="20"/>
                <w:szCs w:val="20"/>
              </w:rPr>
              <w:t xml:space="preserve">0.0002355</w:t>
            </w:r>
          </w:p>
        </w:tc>
        <w:tc>
          <w:tcPr>
            <w:tcW w:w="0" w:type="auto"/>
          </w:tcPr>
          <w:p>
            <w:pPr>
              <w:spacing w:line="240" w:lineRule="auto" w:before="0" w:after="0"/>
              <w:pStyle w:val="Compact"/>
            </w:pPr>
            <w:r>
              <w:rPr>
                <w:sz w:val="20"/>
                <w:szCs w:val="20"/>
              </w:rPr>
              <w:t xml:space="preserve">-0.817</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[-0.0006541, 0.0002692]</w:t>
            </w:r>
          </w:p>
        </w:tc>
      </w:tr>
      <w:tr>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-0.1532</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-5.5426</w:t>
            </w:r>
          </w:p>
        </w:tc>
        <w:tc>
          <w:tcPr>
            <w:tcW w:w="0" w:type="auto"/>
          </w:tcPr>
          <w:p>
            <w:pPr>
              <w:spacing w:line="240" w:lineRule="auto" w:before="0" w:after="0"/>
              <w:pStyle w:val="Compact"/>
            </w:pPr>
            <w:r>
              <w:rPr>
                <w:sz w:val="20"/>
                <w:szCs w:val="20"/>
              </w:rPr>
              <w:t xml:space="preserve">2.981e-08</w:t>
            </w:r>
          </w:p>
        </w:tc>
        <w:tc>
          <w:tcPr>
            <w:tcW w:w="0" w:type="auto"/>
          </w:tcPr>
          <w:p>
            <w:pPr>
              <w:spacing w:line="240" w:lineRule="auto" w:before="0" w:after="0"/>
              <w:pStyle w:val="Compact"/>
            </w:pPr>
            <w:r>
              <w:rPr>
                <w:sz w:val="20"/>
                <w:szCs w:val="20"/>
              </w:rPr>
              <w:t xml:space="preserve">[-0.2074, -0.0991]</w:t>
            </w:r>
          </w:p>
        </w:tc>
      </w:tr>
      <w:tr>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-0.5653</w:t>
            </w:r>
          </w:p>
        </w:tc>
        <w:tc>
          <w:tcPr>
            <w:tcW w:w="0" w:type="auto"/>
          </w:tcPr>
          <w:p>
            <w:pPr>
              <w:spacing w:line="240" w:lineRule="auto" w:before="0" w:after="0"/>
              <w:pStyle w:val="Compact"/>
            </w:pPr>
            <w:r>
              <w:rPr>
                <w:sz w:val="20"/>
                <w:szCs w:val="20"/>
              </w:rPr>
              <w:t xml:space="preserve">0.3441</w:t>
            </w:r>
          </w:p>
        </w:tc>
        <w:tc>
          <w:tcPr>
            <w:tcW w:w="0" w:type="auto"/>
          </w:tcPr>
          <w:p>
            <w:pPr>
              <w:spacing w:line="240" w:lineRule="auto" w:before="0" w:after="0"/>
              <w:pStyle w:val="Compact"/>
            </w:pPr>
            <w:r>
              <w:rPr>
                <w:sz w:val="20"/>
                <w:szCs w:val="20"/>
              </w:rPr>
              <w:t xml:space="preserve">-1.6429</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[-1.2397, 0.1091]</w:t>
            </w:r>
          </w:p>
        </w:tc>
      </w:tr>
      <w:tr>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0.8224</w:t>
            </w:r>
          </w:p>
        </w:tc>
        <w:tc>
          <w:tcPr>
            <w:tcW w:w="0" w:type="auto"/>
          </w:tcPr>
          <w:p>
            <w:pPr>
              <w:spacing w:line="240" w:lineRule="auto" w:before="0" w:after="0"/>
              <w:pStyle w:val="Compact"/>
            </w:pPr>
            <w:r>
              <w:rPr>
                <w:sz w:val="20"/>
                <w:szCs w:val="20"/>
              </w:rPr>
              <w:t xml:space="preserve">-0.0864</w:t>
            </w:r>
          </w:p>
        </w:tc>
        <w:tc>
          <w:tcPr>
            <w:tcW w:w="0" w:type="auto"/>
          </w:tcPr>
          <w:p>
            <w:pPr>
              <w:spacing w:line="240" w:lineRule="auto" w:before="0" w:after="0"/>
              <w:pStyle w:val="Compact"/>
            </w:pPr>
            <w:r>
              <w:rPr>
                <w:sz w:val="20"/>
                <w:szCs w:val="20"/>
              </w:rPr>
              <w:t xml:space="preserve">0.9311</w:t>
            </w:r>
          </w:p>
        </w:tc>
        <w:tc>
          <w:tcPr>
            <w:tcW w:w="0" w:type="auto"/>
          </w:tcPr>
          <w:p>
            <w:pPr>
              <w:spacing w:line="240" w:lineRule="auto" w:before="0" w:after="0"/>
              <w:pStyle w:val="Compact"/>
            </w:pPr>
            <w:r>
              <w:rPr>
                <w:sz w:val="20"/>
                <w:szCs w:val="20"/>
              </w:rPr>
              <w:t xml:space="preserve">[-1.6829, 1.5408]</w:t>
            </w:r>
          </w:p>
        </w:tc>
      </w:tr>
      <w:tr>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0.723</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1.3195</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[-0.3509, 1.7969]</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-0.9112</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-2.8015</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[-1.5488, -0.2737]</w:t>
            </w:r>
          </w:p>
        </w:tc>
      </w:tr>
    </w:tbl>
    <w:p>
      <w:pPr>
        <w:pStyle w:val="BodyText"/>
      </w:pPr>
      <w:r>
        <w:t xml:space="preserve">Fit: N = 28 R2 = 0.839 R2_adj = 0.793 F = 51.2193 F_p = 1.847e-11</w:t>
      </w:r>
    </w:p>
    <w:p>
      <w:pPr>
        <w:pStyle w:val="CaptionedFigure"/>
      </w:pPr>
      <w:r>
        <w:drawing>
          <wp:inline>
            <wp:extent cx="5669280" cy="3657600"/>
            <wp:effectExtent b="0" l="0" r="0" t="0"/>
            <wp:docPr descr="Figure 1. Realized orbit-determination delivery error (log10 meters) against observation arc span across documented OD scenarios, with the OLS fit." title="" id="84" name="Picture"/>
            <a:graphic>
              <a:graphicData uri="http://schemas.openxmlformats.org/drawingml/2006/picture">
                <pic:pic>
                  <pic:nvPicPr>
                    <pic:cNvPr descr="D:\Claude_Code\brain\collegium\candidates\dissertations\JPL_INSTRUMENTS_NAV_06\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orbit-determination delivery error (log10 meters) against observation arc span across documented OD scenarios, with the OLS fit.</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pos_err_m</w:t>
            </w:r>
          </w:p>
        </w:tc>
        <w:tc>
          <w:tcPr>
            <w:tcW w:w="0" w:type="auto"/>
          </w:tcPr>
          <w:p>
            <w:pPr>
              <w:spacing w:line="240" w:lineRule="auto" w:before="0" w:after="0"/>
              <w:pStyle w:val="Compact"/>
            </w:pPr>
            <w:r>
              <w:rPr>
                <w:sz w:val="20"/>
                <w:szCs w:val="20"/>
              </w:rPr>
              <w:t xml:space="preserve">log10_err_m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5242</w:t>
            </w:r>
          </w:p>
        </w:tc>
        <w:tc>
          <w:tcPr>
            <w:tcW w:w="0" w:type="auto"/>
          </w:tcPr>
          <w:p>
            <w:pPr>
              <w:spacing w:line="240" w:lineRule="auto" w:before="0" w:after="0"/>
              <w:pStyle w:val="Compact"/>
            </w:pPr>
            <w:r>
              <w:rPr>
                <w:sz w:val="20"/>
                <w:szCs w:val="20"/>
              </w:rPr>
              <w:t xml:space="preserve">3.7195</w:t>
            </w:r>
          </w:p>
        </w:tc>
        <w:tc>
          <w:tcPr>
            <w:tcW w:w="0" w:type="auto"/>
          </w:tcPr>
          <w:p>
            <w:pPr>
              <w:spacing w:line="240" w:lineRule="auto" w:before="0" w:after="0"/>
              <w:pStyle w:val="Compact"/>
            </w:pPr>
            <w:r>
              <w:rPr>
                <w:sz w:val="20"/>
                <w:szCs w:val="20"/>
              </w:rPr>
              <w:t xml:space="preserve">Bae et al. (2020), Sensors PMC7180740, Table: 1-day angle-only arc,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3.1614</w:t>
            </w:r>
          </w:p>
        </w:tc>
        <w:tc>
          <w:tcPr>
            <w:tcW w:w="0" w:type="auto"/>
          </w:tcPr>
          <w:p>
            <w:pPr>
              <w:spacing w:line="240" w:lineRule="auto" w:before="0" w:after="0"/>
              <w:pStyle w:val="Compact"/>
            </w:pPr>
            <w:r>
              <w:rPr>
                <w:sz w:val="20"/>
                <w:szCs w:val="20"/>
              </w:rPr>
              <w:t xml:space="preserve">Bae et al. (2020), Sensors PMC7180740, Table: 1-day angle-only arc,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2.4624</w:t>
            </w:r>
          </w:p>
        </w:tc>
        <w:tc>
          <w:tcPr>
            <w:tcW w:w="0" w:type="auto"/>
          </w:tcPr>
          <w:p>
            <w:pPr>
              <w:spacing w:line="240" w:lineRule="auto" w:before="0" w:after="0"/>
              <w:pStyle w:val="Compact"/>
            </w:pPr>
            <w:r>
              <w:rPr>
                <w:sz w:val="20"/>
                <w:szCs w:val="20"/>
              </w:rPr>
              <w:t xml:space="preserve">Bae et al. (2020), Sensors PMC7180740, Table: 1-day angle-only arc, two sites, best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180.22</w:t>
            </w:r>
          </w:p>
        </w:tc>
        <w:tc>
          <w:tcPr>
            <w:tcW w:w="0" w:type="auto"/>
          </w:tcPr>
          <w:p>
            <w:pPr>
              <w:spacing w:line="240" w:lineRule="auto" w:before="0" w:after="0"/>
              <w:pStyle w:val="Compact"/>
            </w:pPr>
            <w:r>
              <w:rPr>
                <w:sz w:val="20"/>
                <w:szCs w:val="20"/>
              </w:rPr>
              <w:t xml:space="preserve">2.2558</w:t>
            </w:r>
          </w:p>
        </w:tc>
        <w:tc>
          <w:tcPr>
            <w:tcW w:w="0" w:type="auto"/>
          </w:tcPr>
          <w:p>
            <w:pPr>
              <w:spacing w:line="240" w:lineRule="auto" w:before="0" w:after="0"/>
              <w:pStyle w:val="Compact"/>
            </w:pPr>
            <w:r>
              <w:rPr>
                <w:sz w:val="20"/>
                <w:szCs w:val="20"/>
              </w:rPr>
              <w:t xml:space="preserve">Bae et al. (2020), Sensors PMC7180740, Case 2: 2-day arc angle+1-day SLR,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Bae et al. (2020), Sensors PMC7180740, Case 2: 2-day arc angle+1-day SLR,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1.2529</w:t>
            </w:r>
          </w:p>
        </w:tc>
        <w:tc>
          <w:tcPr>
            <w:tcW w:w="0" w:type="auto"/>
          </w:tcPr>
          <w:p>
            <w:pPr>
              <w:spacing w:line="240" w:lineRule="auto" w:before="0" w:after="0"/>
              <w:pStyle w:val="Compact"/>
            </w:pPr>
            <w:r>
              <w:rPr>
                <w:sz w:val="20"/>
                <w:szCs w:val="20"/>
              </w:rPr>
              <w:t xml:space="preserve">Bae et al. (2020), Sensors PMC7180740, Case 2: 2-day arc angle+1-day SLR, two sites, best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115.62</w:t>
            </w:r>
          </w:p>
        </w:tc>
        <w:tc>
          <w:tcPr>
            <w:tcW w:w="0" w:type="auto"/>
          </w:tcPr>
          <w:p>
            <w:pPr>
              <w:spacing w:line="240" w:lineRule="auto" w:before="0" w:after="0"/>
              <w:pStyle w:val="Compact"/>
            </w:pPr>
            <w:r>
              <w:rPr>
                <w:sz w:val="20"/>
                <w:szCs w:val="20"/>
              </w:rPr>
              <w:t xml:space="preserve">2.063</w:t>
            </w:r>
          </w:p>
        </w:tc>
        <w:tc>
          <w:tcPr>
            <w:tcW w:w="0" w:type="auto"/>
          </w:tcPr>
          <w:p>
            <w:pPr>
              <w:spacing w:line="240" w:lineRule="auto" w:before="0" w:after="0"/>
              <w:pStyle w:val="Compact"/>
            </w:pPr>
            <w:r>
              <w:rPr>
                <w:sz w:val="20"/>
                <w:szCs w:val="20"/>
              </w:rPr>
              <w:t xml:space="preserve">Bae et al. (2020), Sensors PMC7180740, Case 3: 2-day arc angle+2-day SLR,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Bae et al. (2020), Sensors PMC7180740, Case 3: 2-day arc angle+2-day SLR,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Bae et al. (2020), Sensors PMC7180740, Case 3: 2-day arc angle+2-day SLR, two sites, best 3D RMS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5.1072</w:t>
            </w:r>
          </w:p>
        </w:tc>
        <w:tc>
          <w:tcPr>
            <w:tcW w:w="0" w:type="auto"/>
          </w:tcPr>
          <w:p>
            <w:pPr>
              <w:spacing w:line="240" w:lineRule="auto" w:before="0" w:after="0"/>
              <w:pStyle w:val="Compact"/>
            </w:pPr>
            <w:r>
              <w:rPr>
                <w:sz w:val="20"/>
                <w:szCs w:val="20"/>
              </w:rPr>
              <w:t xml:space="preserve">Short-arc angles-only GEO IOD, ~3-min arcs: 2 arcs -&gt; ~128 km 3D error (multi-point IOD study, MDPI Aerospace 8(10):298, 2021)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3.7782</w:t>
            </w:r>
          </w:p>
        </w:tc>
        <w:tc>
          <w:tcPr>
            <w:tcW w:w="0" w:type="auto"/>
          </w:tcPr>
          <w:p>
            <w:pPr>
              <w:spacing w:line="240" w:lineRule="auto" w:before="0" w:after="0"/>
              <w:pStyle w:val="Compact"/>
            </w:pPr>
            <w:r>
              <w:rPr>
                <w:sz w:val="20"/>
                <w:szCs w:val="20"/>
              </w:rPr>
              <w:t xml:space="preserve">Short-arc angles-only GEO IOD: 8 arcs -&gt; several km 3D error (MDPI Aerospace 8(10):298, 2021)</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4.1761</w:t>
            </w:r>
          </w:p>
        </w:tc>
        <w:tc>
          <w:tcPr>
            <w:tcW w:w="0" w:type="auto"/>
          </w:tcPr>
          <w:p>
            <w:pPr>
              <w:spacing w:line="240" w:lineRule="auto" w:before="0" w:after="0"/>
              <w:pStyle w:val="Compact"/>
            </w:pPr>
            <w:r>
              <w:rPr>
                <w:sz w:val="20"/>
                <w:szCs w:val="20"/>
              </w:rPr>
              <w:t xml:space="preserve">Short-arc angles-only GEO IOD: 10 arcs ~3 min each -&gt; ~15 km 3D error (MDPI Aerospace 8(10):298, 2021)</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4.6021</w:t>
            </w:r>
          </w:p>
        </w:tc>
        <w:tc>
          <w:tcPr>
            <w:tcW w:w="0" w:type="auto"/>
          </w:tcPr>
          <w:p>
            <w:pPr>
              <w:spacing w:line="240" w:lineRule="auto" w:before="0" w:after="0"/>
              <w:pStyle w:val="Compact"/>
            </w:pPr>
            <w:r>
              <w:rPr>
                <w:sz w:val="20"/>
                <w:szCs w:val="20"/>
              </w:rPr>
              <w:t xml:space="preserve">Park &amp; Roh (2015), Coarse IOD for GEO using single-epoch GPS, PMC4431311: max position error &lt; ~40 km from 2-3 GPS SVs</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3.6021</w:t>
            </w:r>
          </w:p>
        </w:tc>
        <w:tc>
          <w:tcPr>
            <w:tcW w:w="0" w:type="auto"/>
          </w:tcPr>
          <w:p>
            <w:pPr>
              <w:spacing w:line="240" w:lineRule="auto" w:before="0" w:after="0"/>
              <w:pStyle w:val="Compact"/>
            </w:pPr>
            <w:r>
              <w:rPr>
                <w:sz w:val="20"/>
                <w:szCs w:val="20"/>
              </w:rPr>
              <w:t xml:space="preserve">Park &amp; Roh (2015), Coarse IOD for GEO using single-epoch GPS, PMC4431311:</w:t>
            </w:r>
            <w:r>
              <w:rPr>
                <w:sz w:val="20"/>
                <w:szCs w:val="20"/>
              </w:rPr>
              <w:t xml:space="preserve"> </w:t>
            </w:r>
            <w:r>
              <w:rPr>
                <w:sz w:val="20"/>
                <w:szCs w:val="20"/>
              </w:rPr>
              <w:t xml:space="preserve">‘several km’</w:t>
            </w:r>
            <w:r>
              <w:rPr>
                <w:sz w:val="20"/>
                <w:szCs w:val="20"/>
              </w:rPr>
              <w:t xml:space="preserve"> </w:t>
            </w:r>
            <w:r>
              <w:rPr>
                <w:sz w:val="20"/>
                <w:szCs w:val="20"/>
              </w:rPr>
              <w:t xml:space="preserve">within geometric range</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Bennett, Sang, Smith, Zhang (2014), AMOS Conf.: LEO short-arc, 2 SLR passes ~24 h apart, ~100 m along-track scale for 1-2 day prediction</w:t>
            </w:r>
          </w:p>
        </w:tc>
      </w:tr>
      <w:tr>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Short-arc LEO angle OD, 30 s arc: ~100 m distance (along-track) accuracy (PMC4970016 real-time OD study, 2016)</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Mazarico et al. (2018), LRO OD status PMC6417890: 2.5-day arcs, S-band + laser ranging, total position knowledge &lt; 10 m</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NASA NTRS 20140008968, LRO OD Accuracy Analysis: operational definitive accuracy 100-250 m (S-band only, extended mission)</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20140008968, LRO OD Accuracy Analysis: precision comparison 100-250 m level, best case</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NASA WebSearch summary (Mazarico/PMC6417890): LRO early total position better than ~50 m mission requirement (S-band)</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NASA WebSearch summary (Mazarico/PMC6417890): LRO improved total position better than ~20 m with refined gravity models</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GRACE GPS-based POD: ~1-2 cm precision (orbit determination accuracy review, science.gov topicpage; ~0.02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-1.5229</w:t>
            </w:r>
          </w:p>
        </w:tc>
        <w:tc>
          <w:tcPr>
            <w:tcW w:w="0" w:type="auto"/>
          </w:tcPr>
          <w:p>
            <w:pPr>
              <w:spacing w:line="240" w:lineRule="auto" w:before="0" w:after="0"/>
              <w:pStyle w:val="Compact"/>
            </w:pPr>
            <w:r>
              <w:rPr>
                <w:sz w:val="20"/>
                <w:szCs w:val="20"/>
              </w:rPr>
              <w:t xml:space="preserve">TOPEX/Poseidon POD: radial 3-4 cm RMS with laser+Doppler (Tapley et al., precision OD for TOPEX/Poseidon; ~0.03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Jason-1 POD: ~1 cm radial accuracy goal met, GPS+SLR near-continuous (radial orbit accuracy review, science.gov; ~0.01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ICESat precision orbit + attitude determination: radial &lt; 5 cm, GPS+SLR (Schutz et al.; ~0.05 m)</w:t>
            </w:r>
          </w:p>
        </w:tc>
      </w:tr>
      <w:tr>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Farahmand et al. (2015), ISSFD MMS navigation: onboard definitive relative SMA accuracy requirement ~70 m above 3 RE (GPS Navigator/GEONS)</w:t>
            </w:r>
          </w:p>
        </w:tc>
      </w:tr>
      <w:tr>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NASA NTRS 20150020825, MMS Navigation Operations: GEONS onboard definitive accuracy well within ~70 m, ~20 m typical performance</w:t>
            </w:r>
          </w:p>
        </w:tc>
      </w:tr>
      <w:tr>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2.4771</w:t>
            </w:r>
          </w:p>
        </w:tc>
        <w:tc>
          <w:tcPr>
            <w:tcW w:w="0" w:type="auto"/>
          </w:tcPr>
          <w:p>
            <w:pPr>
              <w:spacing w:line="240" w:lineRule="auto" w:before="0" w:after="0"/>
              <w:pStyle w:val="Compact"/>
            </w:pPr>
            <w:r>
              <w:rPr>
                <w:sz w:val="20"/>
                <w:szCs w:val="20"/>
              </w:rPr>
              <w:t xml:space="preserve">Setty, Cefola et al. (2016), AMOS Conf.: batch least-squares semi-analytical OD, multi-day arc, few-hundred-m residual scale LEO</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log10_err_m</w:t>
            </w:r>
          </w:p>
        </w:tc>
        <w:tc>
          <w:tcPr>
            <w:tcW w:w="0" w:type="auto"/>
          </w:tcPr>
          <w:p>
            <w:pPr>
              <w:spacing w:line="240" w:lineRule="auto" w:before="0" w:after="0"/>
              <w:pStyle w:val="Compact"/>
            </w:pPr>
            <w:r>
              <w:rPr>
                <w:sz w:val="20"/>
                <w:szCs w:val="20"/>
              </w:rPr>
              <w:t xml:space="preserve">Base-10 logarithm of realized total 3D position (delivery) error in meters; the variance-stabilizing OLS outcome</w:t>
            </w:r>
          </w:p>
        </w:tc>
        <w:tc>
          <w:tcPr>
            <w:tcW w:w="0" w:type="auto"/>
          </w:tcPr>
          <w:p>
            <w:pPr>
              <w:spacing w:line="240" w:lineRule="auto" w:before="0" w:after="0"/>
              <w:pStyle w:val="Compact"/>
            </w:pPr>
            <w:r>
              <w:rPr>
                <w:sz w:val="20"/>
                <w:szCs w:val="20"/>
              </w:rPr>
              <w:t xml:space="preserve">Computed from pos_err_m reported in each row source</w:t>
            </w:r>
          </w:p>
        </w:tc>
      </w:tr>
      <w:t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Observation arc span used in the OD fit, in minutes</w:t>
            </w:r>
          </w:p>
        </w:tc>
        <w:tc>
          <w:tcPr>
            <w:tcW w:w="0" w:type="auto"/>
          </w:tcPr>
          <w:p>
            <w:pPr>
              <w:spacing w:line="240" w:lineRule="auto" w:before="0" w:after="0"/>
              <w:pStyle w:val="Compact"/>
            </w:pPr>
            <w:r>
              <w:rPr>
                <w:sz w:val="20"/>
                <w:szCs w:val="20"/>
              </w:rPr>
              <w:t xml:space="preserve">Tracking data span stated by each source (e.g. 30 s short arc, 2.5-day arc)</w:t>
            </w:r>
          </w:p>
        </w:tc>
      </w:tr>
      <w:tr>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Number of distinct tracking passes or arcs folded into the solution</w:t>
            </w:r>
          </w:p>
        </w:tc>
        <w:tc>
          <w:tcPr>
            <w:tcW w:w="0" w:type="auto"/>
          </w:tcPr>
          <w:p>
            <w:pPr>
              <w:spacing w:line="240" w:lineRule="auto" w:before="0" w:after="0"/>
              <w:pStyle w:val="Compact"/>
            </w:pPr>
            <w:r>
              <w:rPr>
                <w:sz w:val="20"/>
                <w:szCs w:val="20"/>
              </w:rPr>
              <w:t xml:space="preserve">Pass/arc count stated by each source</w:t>
            </w:r>
          </w:p>
        </w:tc>
      </w:tr>
      <w:tr>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1 if satellite or debris laser ranging contributed to the solution, else 0</w:t>
            </w:r>
          </w:p>
        </w:tc>
        <w:tc>
          <w:tcPr>
            <w:tcW w:w="0" w:type="auto"/>
          </w:tcPr>
          <w:p>
            <w:pPr>
              <w:spacing w:line="240" w:lineRule="auto" w:before="0" w:after="0"/>
              <w:pStyle w:val="Compact"/>
            </w:pPr>
            <w:r>
              <w:rPr>
                <w:sz w:val="20"/>
                <w:szCs w:val="20"/>
              </w:rPr>
              <w:t xml:space="preserve">Modality stated by each source (SLR/DLR present or absent)</w:t>
            </w:r>
          </w:p>
        </w:tc>
      </w:tr>
      <w:tr>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1 if onboard GPS/GNSS supplied the primary measurements, else 0</w:t>
            </w:r>
          </w:p>
        </w:tc>
        <w:tc>
          <w:tcPr>
            <w:tcW w:w="0" w:type="auto"/>
          </w:tcPr>
          <w:p>
            <w:pPr>
              <w:spacing w:line="240" w:lineRule="auto" w:before="0" w:after="0"/>
              <w:pStyle w:val="Compact"/>
            </w:pPr>
            <w:r>
              <w:rPr>
                <w:sz w:val="20"/>
                <w:szCs w:val="20"/>
              </w:rPr>
              <w:t xml:space="preserve">Modality stated by each source (GPS Navigator/GEONS, BlackJack receiver, etc.)</w:t>
            </w:r>
          </w:p>
        </w:tc>
      </w:tr>
      <w:tr>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1 if the solution used angles-only optical data with no ranging, else 0</w:t>
            </w:r>
          </w:p>
        </w:tc>
        <w:tc>
          <w:tcPr>
            <w:tcW w:w="0" w:type="auto"/>
          </w:tcPr>
          <w:p>
            <w:pPr>
              <w:spacing w:line="240" w:lineRule="auto" w:before="0" w:after="0"/>
              <w:pStyle w:val="Compact"/>
            </w:pPr>
            <w:r>
              <w:rPr>
                <w:sz w:val="20"/>
                <w:szCs w:val="20"/>
              </w:rPr>
              <w:t xml:space="preserve">Modality stated by each source (angles-only IOD)</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1 if the orbit regime is lunar or cislunar, 0 for Earth orbit</w:t>
            </w:r>
          </w:p>
        </w:tc>
        <w:tc>
          <w:tcPr>
            <w:tcW w:w="0" w:type="auto"/>
          </w:tcPr>
          <w:p>
            <w:pPr>
              <w:spacing w:line="240" w:lineRule="auto" w:before="0" w:after="0"/>
              <w:pStyle w:val="Compact"/>
            </w:pPr>
            <w:r>
              <w:rPr>
                <w:sz w:val="20"/>
                <w:szCs w:val="20"/>
              </w:rPr>
              <w:t xml:space="preserve">Mission/regime stated by each source (LRO lunar; all others Earth orbit)</w:t>
            </w:r>
          </w:p>
        </w:tc>
      </w:tr>
      <w:tr>
        <w:tc>
          <w:tcPr>
            <w:tcW w:w="0" w:type="auto"/>
          </w:tcPr>
          <w:p>
            <w:pPr>
              <w:spacing w:line="240" w:lineRule="auto" w:before="0" w:after="0"/>
              <w:pStyle w:val="Compact"/>
            </w:pPr>
            <w:r>
              <w:rPr>
                <w:sz w:val="20"/>
                <w:szCs w:val="20"/>
              </w:rPr>
              <w:t xml:space="preserve">pos_err_m</w:t>
            </w:r>
          </w:p>
        </w:tc>
        <w:tc>
          <w:tcPr>
            <w:tcW w:w="0" w:type="auto"/>
          </w:tcPr>
          <w:p>
            <w:pPr>
              <w:spacing w:line="240" w:lineRule="auto" w:before="0" w:after="0"/>
              <w:pStyle w:val="Compact"/>
            </w:pPr>
            <w:r>
              <w:rPr>
                <w:sz w:val="20"/>
                <w:szCs w:val="20"/>
              </w:rPr>
              <w:t xml:space="preserve">Realized total 3D position delivery error in meters (audit column; not a regressor)</w:t>
            </w:r>
          </w:p>
        </w:tc>
        <w:tc>
          <w:tcPr>
            <w:tcW w:w="0" w:type="auto"/>
          </w:tcPr>
          <w:p>
            <w:pPr>
              <w:spacing w:line="240" w:lineRule="auto" w:before="0" w:after="0"/>
              <w:pStyle w:val="Compact"/>
            </w:pPr>
            <w:r>
              <w:rPr>
                <w:sz w:val="20"/>
                <w:szCs w:val="20"/>
              </w:rPr>
              <w:t xml:space="preserve">Reported OD accuracy figure in each row source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Full citation for the row’s reported OD scenario</w:t>
            </w:r>
          </w:p>
        </w:tc>
        <w:tc>
          <w:tcPr>
            <w:tcW w:w="0" w:type="auto"/>
          </w:tcPr>
          <w:p>
            <w:pPr>
              <w:spacing w:line="240" w:lineRule="auto" w:before="0" w:after="0"/>
              <w:pStyle w:val="Compact"/>
            </w:pPr>
            <w:r>
              <w:rPr>
                <w:sz w:val="20"/>
                <w:szCs w:val="20"/>
              </w:rPr>
              <w:t xml:space="preserve">Named public source per row</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3.8564</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5.0305</w:t>
            </w:r>
          </w:p>
        </w:tc>
        <w:tc>
          <w:tcPr>
            <w:tcW w:w="0" w:type="auto"/>
          </w:tcPr>
          <w:p>
            <w:pPr>
              <w:spacing w:line="240" w:lineRule="auto" w:before="0" w:after="0"/>
              <w:pStyle w:val="Compact"/>
            </w:pPr>
            <w:r>
              <w:rPr>
                <w:sz w:val="20"/>
                <w:szCs w:val="20"/>
              </w:rPr>
              <w:t xml:space="preserve">4.893e-07</w:t>
            </w:r>
          </w:p>
        </w:tc>
        <w:tc>
          <w:tcPr>
            <w:tcW w:w="0" w:type="auto"/>
          </w:tcPr>
          <w:p>
            <w:pPr>
              <w:spacing w:line="240" w:lineRule="auto" w:before="0" w:after="0"/>
              <w:pStyle w:val="Compact"/>
            </w:pPr>
            <w:r>
              <w:rPr>
                <w:sz w:val="20"/>
                <w:szCs w:val="20"/>
              </w:rPr>
              <w:t xml:space="preserve">[2.3538, 5.3589]</w:t>
            </w:r>
          </w:p>
        </w:tc>
      </w:tr>
      <w:t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-0.0001924</w:t>
            </w:r>
          </w:p>
        </w:tc>
        <w:tc>
          <w:tcPr>
            <w:tcW w:w="0" w:type="auto"/>
          </w:tcPr>
          <w:p>
            <w:pPr>
              <w:spacing w:line="240" w:lineRule="auto" w:before="0" w:after="0"/>
              <w:pStyle w:val="Compact"/>
            </w:pPr>
            <w:r>
              <w:rPr>
                <w:sz w:val="20"/>
                <w:szCs w:val="20"/>
              </w:rPr>
              <w:t xml:space="preserve">0.0002355</w:t>
            </w:r>
          </w:p>
        </w:tc>
        <w:tc>
          <w:tcPr>
            <w:tcW w:w="0" w:type="auto"/>
          </w:tcPr>
          <w:p>
            <w:pPr>
              <w:spacing w:line="240" w:lineRule="auto" w:before="0" w:after="0"/>
              <w:pStyle w:val="Compact"/>
            </w:pPr>
            <w:r>
              <w:rPr>
                <w:sz w:val="20"/>
                <w:szCs w:val="20"/>
              </w:rPr>
              <w:t xml:space="preserve">-0.817</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[-0.0006541, 0.0002692]</w:t>
            </w:r>
          </w:p>
        </w:tc>
      </w:tr>
      <w:tr>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-0.1532</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-5.5426</w:t>
            </w:r>
          </w:p>
        </w:tc>
        <w:tc>
          <w:tcPr>
            <w:tcW w:w="0" w:type="auto"/>
          </w:tcPr>
          <w:p>
            <w:pPr>
              <w:spacing w:line="240" w:lineRule="auto" w:before="0" w:after="0"/>
              <w:pStyle w:val="Compact"/>
            </w:pPr>
            <w:r>
              <w:rPr>
                <w:sz w:val="20"/>
                <w:szCs w:val="20"/>
              </w:rPr>
              <w:t xml:space="preserve">2.981e-08</w:t>
            </w:r>
          </w:p>
        </w:tc>
        <w:tc>
          <w:tcPr>
            <w:tcW w:w="0" w:type="auto"/>
          </w:tcPr>
          <w:p>
            <w:pPr>
              <w:spacing w:line="240" w:lineRule="auto" w:before="0" w:after="0"/>
              <w:pStyle w:val="Compact"/>
            </w:pPr>
            <w:r>
              <w:rPr>
                <w:sz w:val="20"/>
                <w:szCs w:val="20"/>
              </w:rPr>
              <w:t xml:space="preserve">[-0.2074, -0.0991]</w:t>
            </w:r>
          </w:p>
        </w:tc>
      </w:tr>
      <w:tr>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-0.5653</w:t>
            </w:r>
          </w:p>
        </w:tc>
        <w:tc>
          <w:tcPr>
            <w:tcW w:w="0" w:type="auto"/>
          </w:tcPr>
          <w:p>
            <w:pPr>
              <w:spacing w:line="240" w:lineRule="auto" w:before="0" w:after="0"/>
              <w:pStyle w:val="Compact"/>
            </w:pPr>
            <w:r>
              <w:rPr>
                <w:sz w:val="20"/>
                <w:szCs w:val="20"/>
              </w:rPr>
              <w:t xml:space="preserve">0.3441</w:t>
            </w:r>
          </w:p>
        </w:tc>
        <w:tc>
          <w:tcPr>
            <w:tcW w:w="0" w:type="auto"/>
          </w:tcPr>
          <w:p>
            <w:pPr>
              <w:spacing w:line="240" w:lineRule="auto" w:before="0" w:after="0"/>
              <w:pStyle w:val="Compact"/>
            </w:pPr>
            <w:r>
              <w:rPr>
                <w:sz w:val="20"/>
                <w:szCs w:val="20"/>
              </w:rPr>
              <w:t xml:space="preserve">-1.6429</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[-1.2397, 0.1091]</w:t>
            </w:r>
          </w:p>
        </w:tc>
      </w:tr>
      <w:tr>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0.8224</w:t>
            </w:r>
          </w:p>
        </w:tc>
        <w:tc>
          <w:tcPr>
            <w:tcW w:w="0" w:type="auto"/>
          </w:tcPr>
          <w:p>
            <w:pPr>
              <w:spacing w:line="240" w:lineRule="auto" w:before="0" w:after="0"/>
              <w:pStyle w:val="Compact"/>
            </w:pPr>
            <w:r>
              <w:rPr>
                <w:sz w:val="20"/>
                <w:szCs w:val="20"/>
              </w:rPr>
              <w:t xml:space="preserve">-0.0864</w:t>
            </w:r>
          </w:p>
        </w:tc>
        <w:tc>
          <w:tcPr>
            <w:tcW w:w="0" w:type="auto"/>
          </w:tcPr>
          <w:p>
            <w:pPr>
              <w:spacing w:line="240" w:lineRule="auto" w:before="0" w:after="0"/>
              <w:pStyle w:val="Compact"/>
            </w:pPr>
            <w:r>
              <w:rPr>
                <w:sz w:val="20"/>
                <w:szCs w:val="20"/>
              </w:rPr>
              <w:t xml:space="preserve">0.9311</w:t>
            </w:r>
          </w:p>
        </w:tc>
        <w:tc>
          <w:tcPr>
            <w:tcW w:w="0" w:type="auto"/>
          </w:tcPr>
          <w:p>
            <w:pPr>
              <w:spacing w:line="240" w:lineRule="auto" w:before="0" w:after="0"/>
              <w:pStyle w:val="Compact"/>
            </w:pPr>
            <w:r>
              <w:rPr>
                <w:sz w:val="20"/>
                <w:szCs w:val="20"/>
              </w:rPr>
              <w:t xml:space="preserve">[-1.6829, 1.5408]</w:t>
            </w:r>
          </w:p>
        </w:tc>
      </w:tr>
      <w:tr>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0.723</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1.3195</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[-0.3509, 1.7969]</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-0.9112</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-2.8015</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[-1.5488, -0.2737]</w:t>
            </w:r>
          </w:p>
        </w:tc>
      </w:tr>
    </w:tbl>
    <w:p>
      <w:pPr>
        <w:pStyle w:val="BodyText"/>
      </w:pPr>
      <w:r>
        <w:t xml:space="preserve">Fit: N = 28 R2 = 0.839 R2_adj = 0.793 F = 51.2193 F_p = 1.847e-11</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6" Target="https://doi.org/10.1016/j.actaastro.2020.04.009" TargetMode="External" /><Relationship Type="http://schemas.openxmlformats.org/officeDocument/2006/relationships/hyperlink" Id="rId70" Target="https://doi.org/10.1016/j.actaastro.2022.02.010" TargetMode="External" /><Relationship Type="http://schemas.openxmlformats.org/officeDocument/2006/relationships/hyperlink" Id="rId78" Target="https://doi.org/10.1016/j.actaastro.2024.03.072" TargetMode="External" /><Relationship Type="http://schemas.openxmlformats.org/officeDocument/2006/relationships/hyperlink" Id="rId68" Target="https://doi.org/10.1016/j.actaastro.2024.06.015"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0.04.009" TargetMode="External" /><Relationship Type="http://schemas.openxmlformats.org/officeDocument/2006/relationships/hyperlink" Id="rId70" Target="https://doi.org/10.1016/j.actaastro.2022.02.010" TargetMode="External" /><Relationship Type="http://schemas.openxmlformats.org/officeDocument/2006/relationships/hyperlink" Id="rId78" Target="https://doi.org/10.1016/j.actaastro.2024.03.072" TargetMode="External" /><Relationship Type="http://schemas.openxmlformats.org/officeDocument/2006/relationships/hyperlink" Id="rId68" Target="https://doi.org/10.1016/j.actaastro.2024.06.0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2026-06-22T20:31:28Z</dcterms:created>
  <dcterms:modified xsi:type="dcterms:W3CDTF">2026-06-22T20:31:28Z</dcterms:modified>
</cp:coreProperties>
</file>

<file path=docProps/custom.xml><?xml version="1.0" encoding="utf-8"?>
<Properties xmlns="http://schemas.openxmlformats.org/officeDocument/2006/custom-properties" xmlns:vt="http://schemas.openxmlformats.org/officeDocument/2006/docPropsVTypes"/>
</file>