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NAVIGATION DELIVERY ACCURACY AS A REGRESSION PROBLEM: WHAT ACTUALLY PREDICTS ORBIT DETERMINATION ERROR</w:t>
      </w:r>
    </w:p>
    <w:p>
      <w:pPr>
        <w:jc w:val="center"/>
      </w:pPr>
    </w:p>
    <w:p>
      <w:pPr>
        <w:jc w:val="center"/>
      </w:pPr>
      <w:r>
        <w:rPr>
          <w:rFonts w:ascii="Times New Roman" w:hAnsi="Times New Roman"/>
          <w:sz w:val="24"/>
        </w:rPr>
        <w:t>by</w:t>
      </w:r>
    </w:p>
    <w:p>
      <w:pPr>
        <w:jc w:val="center"/>
      </w:pPr>
      <w:r>
        <w:rPr>
          <w:rFonts w:ascii="Times New Roman" w:hAnsi="Times New Roman"/>
          <w:b/>
          <w:sz w:val="28"/>
        </w:rPr>
        <w:t>Adrian Vance</w:t>
      </w:r>
    </w:p>
    <w:p>
      <w:pPr>
        <w:jc w:val="center"/>
      </w:pPr>
      <w:r>
        <w:rPr>
          <w:rFonts w:ascii="Times New Roman" w:hAnsi="Times New Roman"/>
          <w:sz w:val="24"/>
        </w:rPr>
        <w:t>1B-NAV-020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quantity-that-decides-a-mission"/>
    <w:p>
      <w:pPr>
        <w:pStyle w:val="Heading2"/>
        <w:spacing w:line="480" w:lineRule="auto"/>
      </w:pPr>
      <w:r>
        <w:t xml:space="preserve">1.1 The Quantity That Decides a Mission</w:t>
      </w:r>
    </w:p>
    <w:p>
      <w:pPr>
        <w:pStyle w:val="FirstParagraph"/>
        <w:spacing w:line="480" w:lineRule="auto"/>
      </w:pPr>
      <w:r>
        <w:t xml:space="preserve">Navigation delivery accuracy is the single number on which a flight or custody team is ultimately judged. It is the difference between the orbit a determination process delivers and the orbit later reconstructed as truth, expressed operationally as a realized along-track, cross-track, and radial error against an independently established reference. For a planetary mission this realized gap decides whether a spacecraft crosses its target plane where the science demands, whether a flyby aim point is met, whether an orbit-insertion B-plane is achieved, and whether a landing ellipse closes around its intended center of figure. For a space situational awareness enterprise the same quantity decides whether an object remains in custody, whether a conjunction screening is trustworthy, and whether a maneuver is detected before it matters. In both settings the realized error is not a property of the estimator’s label but the joint product of upstream choices: how long an arc was tracked, how many passes were folded into the fit, the geometry and modality of the observations, the assumed measurement noise, and the fidelity of the dynamical model carried in the solution</w:t>
      </w:r>
      <w:r>
        <w:t xml:space="preserve"> </w:t>
      </w:r>
      <w:hyperlink w:anchor="ref-1">
        <w:r>
          <w:rPr>
            <w:rStyle w:val="Hyperlink"/>
          </w:rPr>
          <w:t xml:space="preserve">[1]</w:t>
        </w:r>
      </w:hyperlink>
      <w:r>
        <w:t xml:space="preserve">.</w:t>
      </w:r>
    </w:p>
    <w:p>
      <w:pPr>
        <w:pStyle w:val="BodyText"/>
        <w:spacing w:line="480" w:lineRule="auto"/>
        <w:ind w:firstLine="720"/>
      </w:pPr>
      <w:r>
        <w:t xml:space="preserve">The stakes for NASA and the Jet Propulsion Laboratory are direct and large. Across roughly five decades the achieved delivery gap in deep-space navigation has contracted by approximately five orders of magnitude, from aiming zones hundreds of kilometers on a side in the early 1970s to meter-class touchdowns at small bodies. That contraction was not the gift of a single instrument. It accumulated encounter by encounter through better satellite ephemerides, better estimates of system masses, better camera calibration, and a navigation software suite that the discipline treats as the embodiment of mission-tested know-how built up over half a century</w:t>
      </w:r>
      <w:r>
        <w:t xml:space="preserve"> </w:t>
      </w:r>
      <w:hyperlink w:anchor="ref-1">
        <w:r>
          <w:rPr>
            <w:rStyle w:val="Hyperlink"/>
          </w:rPr>
          <w:t xml:space="preserve">[1]</w:t>
        </w:r>
      </w:hyperlink>
      <w:r>
        <w:t xml:space="preserve">. Each new delivery inherits the accumulated capability of the deliveries before it, and each funding decision about cadence and tooling is, implicitly, a decision about how far down that capability curve the enterprise will continue to travel. When the case for sustaining a steady operational tempo rests on assertion rather than on a measured return, the navigation enterprise argues from anecdote against budget pressure. The return is measurable. That premise drives this dissertation, and measuring the return changes the terms of the argument.</w:t>
      </w:r>
    </w:p>
    <w:p>
      <w:pPr>
        <w:pStyle w:val="BodyText"/>
        <w:spacing w:line="480" w:lineRule="auto"/>
        <w:ind w:firstLine="720"/>
      </w:pPr>
      <w:r>
        <w:t xml:space="preserve">The same logic applies in the near-Earth and cislunar regimes that increasingly dominate the tasking load. Operational SSA systems report that the accuracy of a resulting orbit estimate depends strongly on tracking conditions rather than on the estimator architecture alone</w:t>
      </w:r>
      <w:r>
        <w:t xml:space="preserve"> </w:t>
      </w:r>
      <w:hyperlink w:anchor="ref-3">
        <w:r>
          <w:rPr>
            <w:rStyle w:val="Hyperlink"/>
          </w:rPr>
          <w:t xml:space="preserve">[3]</w:t>
        </w:r>
      </w:hyperlink>
      <w:r>
        <w:t xml:space="preserve">. A custody authority deciding whether to commit a sensor to one object or another, and for how long, is making a delivery-accuracy bet under a tracking plan it has not yet executed. The quantity that authority would most like to hold in hand, the prospective realized error of the solution it is about to commission, is precisely the quantity the field reports only after the fact.</w:t>
      </w:r>
    </w:p>
    <w:bookmarkEnd w:id="61"/>
    <w:bookmarkStart w:id="62" w:name="two-incomplete-idioms"/>
    <w:p>
      <w:pPr>
        <w:pStyle w:val="Heading2"/>
        <w:spacing w:line="480" w:lineRule="auto"/>
      </w:pPr>
      <w:r>
        <w:t xml:space="preserve">1.2 Two Incomplete Idioms</w:t>
      </w:r>
    </w:p>
    <w:p>
      <w:pPr>
        <w:pStyle w:val="FirstParagraph"/>
        <w:spacing w:line="480" w:lineRule="auto"/>
      </w:pPr>
      <w:r>
        <w:t xml:space="preserve">Two idioms dominate. The field reasons about delivery accuracy through both, and both are incomplete in the same direction. They describe error after the fact rather than forecasting it before commitment.</w:t>
      </w:r>
    </w:p>
    <w:p>
      <w:pPr>
        <w:pStyle w:val="BodyText"/>
        <w:spacing w:line="480" w:lineRule="auto"/>
        <w:ind w:firstLine="720"/>
      </w:pPr>
      <w:r>
        <w:t xml:space="preserve">The first idiom is the filter’s own formal covariance. A modern estimator reports, alongside its state estimate, a covariance that encodes the estimator’s internal belief about its own uncertainty. This is the natural candidate for a planning statistic, and in well-conditioned problems it is genuinely informative. But the formal covariance is known to be optimistic, or simply miscalibrated, when the measurement-error model and the a priori assumptions that produced it are violated, which in operational practice they routinely are</w:t>
      </w:r>
      <w:r>
        <w:t xml:space="preserve"> </w:t>
      </w:r>
      <w:hyperlink w:anchor="ref-6">
        <w:r>
          <w:rPr>
            <w:rStyle w:val="Hyperlink"/>
          </w:rPr>
          <w:t xml:space="preserve">[6]</w:t>
        </w:r>
      </w:hyperlink>
      <w:r>
        <w:t xml:space="preserve">. A covariance that the filter believes is tight can sit atop a realized error that is large, because the covariance reflects the estimator’s assumptions rather than the realized fidelity of the tracking it actually received. Treating the formal covariance as a sufficient statistic for realized accuracy therefore imports the estimator’s optimism into the planning decision.</w:t>
      </w:r>
    </w:p>
    <w:p>
      <w:pPr>
        <w:pStyle w:val="BodyText"/>
        <w:spacing w:line="480" w:lineRule="auto"/>
        <w:ind w:firstLine="720"/>
      </w:pPr>
      <w:r>
        <w:t xml:space="preserve">The second idiom is post hoc narrative. After the truth comparison becomes available, a team explains a good or bad delivery in qualitative terms: the geometry was poor, the arc was short, the force model was thin, the modality was range-weak. These narratives are usually correct in direction and almost never quantified in weight. They are produced after the decision they would have informed has already been made, and they are not aggregated across deliveries into anything an authority can act on prospectively. The narrative idiom concedes that realized error has structure while declining to estimate it.</w:t>
      </w:r>
    </w:p>
    <w:p>
      <w:pPr>
        <w:pStyle w:val="BodyText"/>
        <w:spacing w:line="480" w:lineRule="auto"/>
        <w:ind w:firstLine="720"/>
      </w:pPr>
      <w:r>
        <w:t xml:space="preserve">Neither idiom answers the prospective question a tasking authority actually asks. Before committing to a tracking plan and a solution, how accurate is the delivery likely to be, and which knob most changes that answer, The formal covariance answers a question about the estimator’s beliefs; the narrative answers a question about the past. The operational question is forward-looking, feature-conditioned, and quantitative, and it falls between the two idioms the field has on offer.</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The opening this dissertation exploits is a gap between two literatures that have not been brought into contact on this specific question.</w:t>
      </w:r>
    </w:p>
    <w:p>
      <w:pPr>
        <w:pStyle w:val="BodyText"/>
        <w:spacing w:line="480" w:lineRule="auto"/>
        <w:ind w:firstLine="720"/>
      </w:pPr>
      <w:r>
        <w:t xml:space="preserve">The domain literature on orbit determination is rich on estimators and observation types and comparatively sparse on a prospective, feature-level accounting of realized delivery error. The recent survey of orbit determination for SSA organizes the field by estimation technique and observation modality and explicitly documents the migration toward error-pattern mining and learned corrections to two-line-element predictions</w:t>
      </w:r>
      <w:r>
        <w:t xml:space="preserve"> </w:t>
      </w:r>
      <w:hyperlink w:anchor="ref-1">
        <w:r>
          <w:rPr>
            <w:rStyle w:val="Hyperlink"/>
          </w:rPr>
          <w:t xml:space="preserve">[1]</w:t>
        </w:r>
      </w:hyperlink>
      <w:r>
        <w:t xml:space="preserve">. A companion survey of machine learning in orbit estimation records the same migration from the modeling side, cataloguing data-driven methods that improve prediction where dynamical models alone fall short</w:t>
      </w:r>
      <w:r>
        <w:t xml:space="preserve"> </w:t>
      </w:r>
      <w:hyperlink w:anchor="ref-8">
        <w:r>
          <w:rPr>
            <w:rStyle w:val="Hyperlink"/>
          </w:rPr>
          <w:t xml:space="preserve">[8]</w:t>
        </w:r>
      </w:hyperlink>
      <w:r>
        <w:t xml:space="preserve">. Both surveys concede the central premise that realized error carries learnable structure. But that concession has been pursued largely as a prediction-improvement engineering task, an effort to make the next orbit estimate better, rather than as an explanatory exercise that asks which pre-solution features are load-bearing for the realized error of the current solution and how much weight each one carries.</w:t>
      </w:r>
    </w:p>
    <w:p>
      <w:pPr>
        <w:pStyle w:val="BodyText"/>
        <w:spacing w:line="480" w:lineRule="auto"/>
        <w:ind w:firstLine="720"/>
      </w:pPr>
      <w:r>
        <w:t xml:space="preserve">The adjacent domain work supplies the raw ingredients without closing the gap. Short-arc orbit determination analyses using optical and laser tracking quantify along-track and cross-track error as a function of tracking conditions, demonstrating that realized error is measurable and conditionally variable, and that accumulating arcs in the geosynchronous angles-only case can drive three-dimensional error down by more than an order of magnitude</w:t>
      </w:r>
      <w:r>
        <w:t xml:space="preserve"> </w:t>
      </w:r>
      <w:hyperlink w:anchor="ref-5">
        <w:r>
          <w:rPr>
            <w:rStyle w:val="Hyperlink"/>
          </w:rPr>
          <w:t xml:space="preserve">[5]</w:t>
        </w:r>
      </w:hyperlink>
      <w:r>
        <w:t xml:space="preserve">. Machine-learning trajectory reconstruction for low-Earth-orbit nanosatellites shows that data-driven methods can recover orbital states where dynamical models alone are insufficient</w:t>
      </w:r>
      <w:r>
        <w:t xml:space="preserve"> </w:t>
      </w:r>
      <w:hyperlink w:anchor="ref-2">
        <w:r>
          <w:rPr>
            <w:rStyle w:val="Hyperlink"/>
          </w:rPr>
          <w:t xml:space="preserve">[2]</w:t>
        </w:r>
      </w:hyperlink>
      <w:r>
        <w:t xml:space="preserve">. Multi-station and multi-fidelity studies show that observation-side design choices, including link frequency, station diversity, and modeling fidelity, materially change achievable navigation accuracy</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Reviews of autonomous deep-space navigation frame the field’s progress as cumulative capability growth rather than as isolated breakthroughs</w:t>
      </w:r>
      <w:r>
        <w:t xml:space="preserve"> </w:t>
      </w:r>
      <w:hyperlink w:anchor="ref-11">
        <w:r>
          <w:rPr>
            <w:rStyle w:val="Hyperlink"/>
          </w:rPr>
          <w:t xml:space="preserve">[11]</w:t>
        </w:r>
      </w:hyperlink>
      <w:r>
        <w:t xml:space="preserve">. Each of these establishes a piece of the picture. None places the heterogeneous pieces on a single, common, estimated footing and tests their incremental predictive value against the filter’s own reported uncertainty.</w:t>
      </w:r>
    </w:p>
    <w:p>
      <w:pPr>
        <w:pStyle w:val="BodyText"/>
        <w:spacing w:line="480" w:lineRule="auto"/>
        <w:ind w:firstLine="720"/>
      </w:pPr>
      <w:r>
        <w:t xml:space="preserve">On the other side of the gap sits the econometric and statistical-learning method literature, which has a mature apparatus for exactly the question the domain literature leaves open. Supervised regression with held-out evaluation, nested model comparison, out-of-sample predictive-accuracy testing, permutation-based feature importance, and the learning-curve form in which log error declines linearly in log cumulative output are all standard tools. The learning curve in particular, in which the per-unit cost or error of a repeated production task declines as a constant fraction with each doubling of cumulative output, is one of the most durable empirical regularities in the study of engineering practice, and there is no a priori reason that the practice of deep-space navigation should be exempt from it. These methods are designed precisely to answer questions of the form which observable inputs predict an outcome, by how much, and is that predictive weight real out of sample. The navigation literature poses such questions implicitly and answers them narratively; the method literature can answer them quantitatively but has rarely been pointed at navigation delivery accuracy as the dependent variable.</w:t>
      </w:r>
    </w:p>
    <w:p>
      <w:pPr>
        <w:pStyle w:val="BodyText"/>
        <w:spacing w:line="480" w:lineRule="auto"/>
        <w:ind w:firstLine="720"/>
      </w:pPr>
      <w:r>
        <w:t xml:space="preserve">The gap, stated precisely, is the absence of a single estimated model that takes realized delivery error as a dependent variable, places pre-solution observable features on a common footing as regressors, and tests their incremental predictive value against the filter’s own formal covariance, using held-out evaluation that defeats leakage. This dissertation is an attempt to close that specific gap by treating navigation delivery accuracy as a regression problem and submitting it to the discipline of out-of-sample testing.</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is narrow. One estimated comparison, one decisive test, stated so that evidence can refute it.</w:t>
      </w:r>
    </w:p>
    <w:p>
      <w:pPr>
        <w:pStyle w:val="BodyText"/>
        <w:spacing w:line="480" w:lineRule="auto"/>
        <w:ind w:firstLine="720"/>
      </w:pPr>
      <w:r>
        <w:t xml:space="preserve">Reframe delivery accuracy as a supervised regression problem. The unit of analysis is a single orbit determination solution for which an independent precision-orbit truth later becomes available, so that realized error is observed rather than inferred from the filter. The dependent variable is the realized along-track, cross-track, and radial delivery error of that solution. The regressors are pre-solution observable features available before truth is known: arc length, number and angular spread of observations, tracking modality, measurement-noise prior, and force-model fidelity. Against this feature block the dissertation poses a baseline competitor with every advantage: the solution’s own reported formal covariance.</w:t>
      </w:r>
    </w:p>
    <w:p>
      <w:pPr>
        <w:pStyle w:val="BodyText"/>
        <w:spacing w:line="480" w:lineRule="auto"/>
        <w:ind w:firstLine="720"/>
      </w:pPr>
      <w:r>
        <w:t xml:space="preserve">The null hypothesis is the operationally consequential one. Conditional on the orbit determination solution’s own reported formal covariance, the pre-solution observable features provide no improvement in out-of-sample prediction of realized delivery error. Under this null, a model using the formal covariance alone and a model adding the pre-solution feature block achieve statistically indistinguishable out-of-sample predictive accuracy for realized along-track, cross-track, and radial error. The alternative hypothesis is that the pre-solution features yield a statistically significant and practically meaningful reduction in out-of-sample prediction error beyond the formal covariance, and that they identify a rank-ordered subset of features carrying the predictive weight.</w:t>
      </w:r>
    </w:p>
    <w:p>
      <w:pPr>
        <w:pStyle w:val="BodyText"/>
        <w:spacing w:line="480" w:lineRule="auto"/>
        <w:ind w:firstLine="720"/>
      </w:pPr>
      <w:r>
        <w:t xml:space="preserve">The null cuts both ways. It is falsifiable and decisive in either direction. If the formal covariance were a sufficient statistic for realized accuracy, the pre-solution features would add no out-of-sample predictive power, navigation teams would be justified in treating reported covariance as a sufficient planning statistic, and feature-level prospective modeling would add nothing to practice. A null result is therefore not a failure of the study but a substantive finding that disciplines how the field should plan. If instead the features carry weight, the realized accuracy of a delivery can be forecast and steered before truth is known, and the rank-ordered feature set tells a tasking authority which lever to pull. The study is deliberately built to give the null every chance to win. The formal-covariance baseline is the explicit straw man, the baseline filter is tuned to its best calibrated state before the comparison so that it is not an artificially weak competitor</w:t>
      </w:r>
      <w:r>
        <w:t xml:space="preserve"> </w:t>
      </w:r>
      <w:hyperlink w:anchor="ref-6">
        <w:r>
          <w:rPr>
            <w:rStyle w:val="Hyperlink"/>
          </w:rPr>
          <w:t xml:space="preserve">[6]</w:t>
        </w:r>
      </w:hyperlink>
      <w:r>
        <w:t xml:space="preserve">, and the held-out evaluation is partitioned so that no object or time window appears in both training and test folds, defeating leakage through shared dynamics. The operational record, in which reported covariance is routinely optimistic relative to realized error</w:t>
      </w:r>
      <w:r>
        <w:t xml:space="preserve"> </w:t>
      </w:r>
      <w:hyperlink w:anchor="ref-6">
        <w:r>
          <w:rPr>
            <w:rStyle w:val="Hyperlink"/>
          </w:rPr>
          <w:t xml:space="preserve">[6]</w:t>
        </w:r>
      </w:hyperlink>
      <w:r>
        <w:t xml:space="preserve">, suggests the null will not survive, but the design is engineered so that the answer is earned rather than assumed.</w:t>
      </w:r>
    </w:p>
    <w:p>
      <w:pPr>
        <w:pStyle w:val="BodyText"/>
        <w:spacing w:line="480" w:lineRule="auto"/>
        <w:ind w:firstLine="720"/>
      </w:pPr>
      <w:r>
        <w:t xml:space="preserve">The single contribution admits two complementary cuts that the supporting research papers develop and the dissertation integrates. The first cut is cross-sectional: across a deliberately heterogeneous sample of documented orbit determination scenarios spanning seven orders of magnitude in realized error, do pre-solution features jointly explain realized delivery error, and which features carry the weight. The second cut is longitudinal: does the accumulated operational experience of a navigation program itself predict delivery error, and does it do so in the log-linear power-law form the learning-curve hypothesis predicts</w:t>
      </w:r>
      <w:r>
        <w:t xml:space="preserve"> </w:t>
      </w:r>
      <w:hyperlink w:anchor="ref-11">
        <w:r>
          <w:rPr>
            <w:rStyle w:val="Hyperlink"/>
          </w:rPr>
          <w:t xml:space="preserve">[11]</w:t>
        </w:r>
      </w:hyperlink>
      <w:r>
        <w:t xml:space="preserve">. Both cuts instantiate the same underlying claim, that observable structure available before truth is known predicts realized delivery accuracy, and both are submitted to the same falsifiable discipline of a stated null and an out-of-sample or joint test.</w:t>
      </w:r>
    </w:p>
    <w:bookmarkEnd w:id="64"/>
    <w:bookmarkStart w:id="65" w:name="why-the-data-make-the-test-honest"/>
    <w:p>
      <w:pPr>
        <w:pStyle w:val="Heading2"/>
        <w:spacing w:line="480" w:lineRule="auto"/>
      </w:pPr>
      <w:r>
        <w:t xml:space="preserve">1.5 Why the Data Make the Test Honest</w:t>
      </w:r>
    </w:p>
    <w:p>
      <w:pPr>
        <w:pStyle w:val="FirstParagraph"/>
        <w:spacing w:line="480" w:lineRule="auto"/>
      </w:pPr>
      <w:r>
        <w:t xml:space="preserve">A falsifiable claim is only as honest as the data behind it, and this dissertation is built on publicly obtainable, provenance-traceable records rather than on self-reported estimator output. The cross-sectional analysis draws on the International Laser Ranging Service normal-point and full-rate satellite laser ranging archive, distributed through the Crustal Dynamics Data Information System at NASA Goddard, paired with the independently produced precision orbit ephemerides published by the ILRS analysis centers for the same geodetic targets. The normal points supply the tracking observations and per-pass geometry and quality metadata that populate the pre-solution feature block; the externally published combined precision orbits supply the truth against which realized delivery error is measured. This pairing is the operational analogue of the short-arc tracking accuracy studies that established the feasibility of the error analysis</w:t>
      </w:r>
      <w:r>
        <w:t xml:space="preserve"> </w:t>
      </w:r>
      <w:hyperlink w:anchor="ref-5">
        <w:r>
          <w:rPr>
            <w:rStyle w:val="Hyperlink"/>
          </w:rPr>
          <w:t xml:space="preserve">[5]</w:t>
        </w:r>
      </w:hyperlink>
      <w:r>
        <w:t xml:space="preserve">, with the decisive advantage that the truth orbits are published by a third party rather than reported by the estimator under test. Access is open through registered NASA Earthdata credentials, both data formats are versioned and publicly documented, and the full feature-to-truth pipeline is reproducible by an independent reviewer. No proprietary or controlled tracking data is required, and no realized-error outcome is illustrative where a documented value exists.</w:t>
      </w:r>
    </w:p>
    <w:p>
      <w:pPr>
        <w:pStyle w:val="BodyText"/>
        <w:spacing w:line="480" w:lineRule="auto"/>
        <w:ind w:firstLine="720"/>
      </w:pPr>
      <w:r>
        <w:t xml:space="preserve">The integrating analysis extends the same discipline to the deep-space lineage, assembling documented operational targeted-delivery events drawn row by row from NASA, JPL, JHUAPL, ISSFD, and NTRS records, with the realized miss at each target firmly sourced and the navigation mode recorded where a delivery used optical or terrain-relative navigation rather than radio-only tracking. The design choices that protect the test are stated as design choices: object-and-epoch-blocked partitions against leakage, non-overlapping observation windows between solution and truth against truth contamination, modality carried as an explicit feature rather than pooled away, and a variance-stabilizing transform of the heavy-tailed dependent variable so the regression speaks in error decades rather than raw meters. These are not afterthoughts. They are the conditions under which a rejection of the null can be believed.</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as follows.</w:t>
      </w:r>
    </w:p>
    <w:p>
      <w:pPr>
        <w:pStyle w:val="BodyText"/>
        <w:spacing w:line="480" w:lineRule="auto"/>
        <w:ind w:firstLine="720"/>
      </w:pPr>
      <w:r>
        <w:t xml:space="preserve">Chapter 2 reviews the two literatures the introduction has placed in tension. It surveys the domain work on orbit determination for space situational awareness and deep-space navigation, the estimator-centric tradition and its formal-covariance idiom</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 and the recent migration toward learned error correction</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and it then surveys the econometric and statistical-learning apparatus for prospective, feature-level prediction with out-of-sample validation. The chapter ends by stating the gap formally and positioning the dissertation’s contribution within it.</w:t>
      </w:r>
    </w:p>
    <w:p>
      <w:pPr>
        <w:pStyle w:val="BodyText"/>
        <w:spacing w:line="480" w:lineRule="auto"/>
        <w:ind w:firstLine="720"/>
      </w:pPr>
      <w:r>
        <w:t xml:space="preserve">Chapter 3 develops the theory and the formal hypotheses. It lays out the mechanisms that motivate the feature specification, observation quantity, observation modality, and dynamical regime, grounding each in the domain record</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and it states the null and alternative hypotheses for both the cross-sectional and longitudinal cuts in estimable form.</w:t>
      </w:r>
    </w:p>
    <w:p>
      <w:pPr>
        <w:pStyle w:val="BodyText"/>
        <w:spacing w:line="480" w:lineRule="auto"/>
        <w:ind w:firstLine="720"/>
      </w:pPr>
      <w:r>
        <w:t xml:space="preserve">Chapter 4 specifies the data and its provenance, documenting the ILRS and CDDIS pipeline for the cross-sectional analysis and the sourced deep-space delivery record for the longitudinal analysis, and it is explicit about the variance-stabilizing transform of the dependent variable and the per-row sourcing discipline.</w:t>
      </w:r>
    </w:p>
    <w:p>
      <w:pPr>
        <w:pStyle w:val="BodyText"/>
        <w:spacing w:line="480" w:lineRule="auto"/>
        <w:ind w:firstLine="720"/>
      </w:pPr>
      <w:r>
        <w:t xml:space="preserve">Chapter 5 specifies the method: the nested out-of-sample regression that pits the formal-covariance baseline against the augmented feature model, the object-and-epoch-blocked partitioning, the paired out-of-sample predictive-accuracy test that constitutes the decisive test of the null, the permutation-importance reading of feature weight, and the log-log learning-curve specification for the experience analysis.</w:t>
      </w:r>
    </w:p>
    <w:p>
      <w:pPr>
        <w:pStyle w:val="BodyText"/>
        <w:spacing w:line="480" w:lineRule="auto"/>
        <w:ind w:firstLine="720"/>
      </w:pPr>
      <w:r>
        <w:t xml:space="preserve">Chapter 6 reports the cross-sectional findings, including the joint explanatory result and the rank-ordered feature weights, with the observation-quantity lever read against the order-of-magnitude improvements the short-arc literature documents as arcs accumulate</w:t>
      </w:r>
      <w:r>
        <w:t xml:space="preserve"> </w:t>
      </w:r>
      <w:hyperlink w:anchor="ref-5">
        <w:r>
          <w:rPr>
            <w:rStyle w:val="Hyperlink"/>
          </w:rPr>
          <w:t xml:space="preserve">[5]</w:t>
        </w:r>
      </w:hyperlink>
      <w:r>
        <w:t xml:space="preserve">.</w:t>
      </w:r>
    </w:p>
    <w:p>
      <w:pPr>
        <w:pStyle w:val="BodyText"/>
        <w:spacing w:line="480" w:lineRule="auto"/>
        <w:ind w:firstLine="720"/>
      </w:pPr>
      <w:r>
        <w:t xml:space="preserve">Chapter 7 reports the longitudinal findings, estimating the experience elasticity of delivery error and the associated progress ratio, and reading the result as a program-level regularity with explicit attention to the reduced-form nature of the estimate</w:t>
      </w:r>
      <w:r>
        <w:t xml:space="preserve"> </w:t>
      </w:r>
      <w:hyperlink w:anchor="ref-11">
        <w:r>
          <w:rPr>
            <w:rStyle w:val="Hyperlink"/>
          </w:rPr>
          <w:t xml:space="preserve">[11]</w:t>
        </w:r>
      </w:hyperlink>
      <w:r>
        <w:t xml:space="preserve">.</w:t>
      </w:r>
    </w:p>
    <w:p>
      <w:pPr>
        <w:pStyle w:val="BodyText"/>
        <w:spacing w:line="480" w:lineRule="auto"/>
        <w:ind w:firstLine="720"/>
      </w:pPr>
      <w:r>
        <w:t xml:space="preserve">Chapter 8 addresses threats to validity head-on: leakage, truth contamination, the construct validity of the formal-covariance baseline, external validity beyond well-behaved geodetic and intensively tracked targets, and modality confounding, stating each threat and the design feature that bounds it</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Chapter 9 concludes by stating what the evidence supports and what it does not, translating the estimated feature weights and experience elasticity into the operational language of tasking decisions and cadence funding, and identifying the controlled specifications a larger operational sample would make possible. The throughline from first chapter to last is a single discipline: a delivery-accuracy claim is admissible only when it survives an out-of-sample test against the estimator’s own reported uncertainty, and the dissertation’s purpose is to find out whether the claim survives.</w:t>
      </w:r>
    </w:p>
    <w:bookmarkEnd w:id="66"/>
    <w:bookmarkEnd w:id="67"/>
    <w:bookmarkStart w:id="74" w:name="chapter-2.-literature-review"/>
    <w:p>
      <w:pPr>
        <w:pStyle w:val="Heading1"/>
        <w:spacing w:line="480" w:lineRule="auto"/>
      </w:pPr>
      <w:r>
        <w:t xml:space="preserve">Chapter 2. Literature Review</w:t>
      </w:r>
    </w:p>
    <w:bookmarkStart w:id="68" w:name="Xf2f088cd504ec772bce9e87ea41befa885d614e"/>
    <w:p>
      <w:pPr>
        <w:pStyle w:val="Heading2"/>
        <w:spacing w:line="480" w:lineRule="auto"/>
      </w:pPr>
      <w:r>
        <w:t xml:space="preserve">2.1 Orientation: Two Literatures That Have Not Met</w:t>
      </w:r>
    </w:p>
    <w:p>
      <w:pPr>
        <w:pStyle w:val="FirstParagraph"/>
        <w:spacing w:line="480" w:lineRule="auto"/>
      </w:pPr>
      <w:r>
        <w:t xml:space="preserve">This dissertation sits at the seam between two scholarly traditions that have, to date, developed in near-total isolation from one another. The first is the technical literature of orbit determination (OD) and spacecraft navigation, a mature engineering corpus that catalogues estimator architectures, observation modalities, and dynamical models, and that reports delivery accuracy as a realized outcome verified against a reconstructed truth. The second is the cliometric and econometric methodology of treating a realized engineering outcome as a dependent variable, modeling it as a regression on measurable antecedents, and testing whether those antecedents carry estimable, out-of-sample predictive weight. The technical literature owns the phenomenon. The methodological literature owns the inferential apparatus. Neither has crossed to the other. They have not been joined around the specific question this dissertation poses, which is whether observable, pre-solution features predict realized delivery error beyond the variance already captured by the filter’s own reported formal covariance.</w:t>
      </w:r>
    </w:p>
    <w:p>
      <w:pPr>
        <w:pStyle w:val="BodyText"/>
        <w:spacing w:line="480" w:lineRule="auto"/>
        <w:ind w:firstLine="720"/>
      </w:pPr>
      <w:r>
        <w:t xml:space="preserve">The argument of this chapter is that the gap is not an accident of citation practice but a structural feature of how each literature frames the problem. The navigation literature reports realized error as a deliverable, narrates its antecedents qualitatively, and reaches for the filter’s formal covariance when it needs a prospective uncertainty statement. The econometric literature, when it has touched engineering outcomes at all, has done so through the learning curve and through performance-prediction regressions that are rarely brought into contact with the physics of the estimator. The synthesis this dissertation proposes, namely a supervised regression of realized OD error on pre-solution features with the formal covariance entered as the explicit baseline competitor, falls into the space neither literature has occupied. The review proceeds by first reconstructing the navigation literature on its own terms (Section 2.2), then the machine-learning and data-driven turn within it that concedes the central premise of this study while declining to pursue its inferential form (Section 2.3), then the cross-sectional and feature-level accounting that the first companion paper anticipates (Section 2.4), then the cliometric and learning-curve methodology that the second companion paper imports (Section 2.5), and finally the formal synthesis and gap statement that the dissertation is designed to close (Section 2.6).</w:t>
      </w:r>
    </w:p>
    <w:bookmarkEnd w:id="68"/>
    <w:bookmarkStart w:id="69" w:name="X5d043fe0796880faad8ab23ed96bdc69eb46c46"/>
    <w:p>
      <w:pPr>
        <w:pStyle w:val="Heading2"/>
        <w:spacing w:line="480" w:lineRule="auto"/>
      </w:pPr>
      <w:r>
        <w:t xml:space="preserve">2.2 The Navigation and Orbit-Determination Literature on Its Own Terms</w:t>
      </w:r>
    </w:p>
    <w:p>
      <w:pPr>
        <w:pStyle w:val="FirstParagraph"/>
        <w:spacing w:line="480" w:lineRule="auto"/>
      </w:pPr>
      <w:r>
        <w:t xml:space="preserve">The foundational reference for the contemporary state of the field is the recent survey of orbit determination for space situational awareness, which organizes the discipline by estimation technique and observation type</w:t>
      </w:r>
      <w:r>
        <w:t xml:space="preserve"> </w:t>
      </w:r>
      <w:hyperlink w:anchor="ref-1">
        <w:r>
          <w:rPr>
            <w:rStyle w:val="Hyperlink"/>
          </w:rPr>
          <w:t xml:space="preserve">[1]</w:t>
        </w:r>
      </w:hyperlink>
      <w:r>
        <w:t xml:space="preserve">. The survey is comprehensive in exactly the dimension this dissertation finds least useful for prospective accuracy forecasting: it enumerates estimator families, from batch least squares through the extended and unscented Kalman filters to particle and consider-covariance methods, and it pairs each with the observation modalities that feed it, from optical angles through radar and satellite laser ranging. The survey’s central organizing axis is the estimator label and the sensor type. What the survey does not do, and explicitly notes is migrating elsewhere, is isolate which measurable inputs predict the realized error a given solution will deliver. The survey’s own framing concedes that the field has begun mining error patterns and learning corrections to two-line-element predictions</w:t>
      </w:r>
      <w:r>
        <w:t xml:space="preserve"> </w:t>
      </w:r>
      <w:hyperlink w:anchor="ref-1">
        <w:r>
          <w:rPr>
            <w:rStyle w:val="Hyperlink"/>
          </w:rPr>
          <w:t xml:space="preserve">[1]</w:t>
        </w:r>
      </w:hyperlink>
      <w:r>
        <w:t xml:space="preserve">, a concession this dissertation treats as the opening wedge for a properly inferential treatment.</w:t>
      </w:r>
    </w:p>
    <w:p>
      <w:pPr>
        <w:pStyle w:val="BodyText"/>
        <w:spacing w:line="480" w:lineRule="auto"/>
        <w:ind w:firstLine="720"/>
      </w:pPr>
      <w:r>
        <w:t xml:space="preserve">The operational texture of the problem is best seen in system-level reports rather than in surveys. The account of the new SSA system of the Japan Air Self-Defense Force states plainly that the accuracy of the resulting orbit estimate depends strongly on tracking conditions rather than on the estimator label alone</w:t>
      </w:r>
      <w:r>
        <w:t xml:space="preserve"> </w:t>
      </w:r>
      <w:hyperlink w:anchor="ref-3">
        <w:r>
          <w:rPr>
            <w:rStyle w:val="Hyperlink"/>
          </w:rPr>
          <w:t xml:space="preserve">[3]</w:t>
        </w:r>
      </w:hyperlink>
      <w:r>
        <w:t xml:space="preserve">. This is the operational analogue of the dissertation’s thesis, expressed in narrative form: a practitioner observing a fielded system already knows that arc length, geometry, and modality drive realized accuracy. What the report does not do, because it is not its purpose, is convert that practitioner knowledge into an estimated model with quantified marginal effects and an out-of-sample test. The narrative idiom is exactly the second of the two incomplete idioms the dissertation sets out to displace: a post hoc explanation of accuracy offered after the truth comparison is available, not a prospective forecast offered before commitment to a tracking plan.</w:t>
      </w:r>
    </w:p>
    <w:p>
      <w:pPr>
        <w:pStyle w:val="BodyText"/>
        <w:spacing w:line="480" w:lineRule="auto"/>
        <w:ind w:firstLine="720"/>
      </w:pPr>
      <w:r>
        <w:t xml:space="preserve">The most directly load-bearing empirical reference for the dissertation’s feasibility is the analysis of debris orbit prediction accuracy from short-arc OD using optical and laser tracking</w:t>
      </w:r>
      <w:r>
        <w:t xml:space="preserve"> </w:t>
      </w:r>
      <w:hyperlink w:anchor="ref-5">
        <w:r>
          <w:rPr>
            <w:rStyle w:val="Hyperlink"/>
          </w:rPr>
          <w:t xml:space="preserve">[5]</w:t>
        </w:r>
      </w:hyperlink>
      <w:r>
        <w:t xml:space="preserve">. This study quantifies along-track and cross-track error as an explicit function of tracking conditions, and it demonstrates that realized error is both measurable and conditionally variable. Critically for the dissertation’s data design, it establishes that adding arcs drives three-dimensional error down by more than an order of magnitude in the geosynchronous angles-only case, a result the first companion paper recovers as the coefficient on number of passes. The short-arc study also documents that along-track error is heteroskedastic and heavy-tailed, the empirical fact that motivates the variance-stabilizing transform and quantile checks specified in the dissertation method. It further establishes that laser and optical residual statistics differ materially, which is why modality must be carried as an explicit feature rather than pooled away. In short, this reference supplies the raw ingredients of the dissertation’s feature block. What it does not supply is a single estimated model placing those ingredients on a common footing and testing their incremental value against the formal covariance.</w:t>
      </w:r>
    </w:p>
    <w:p>
      <w:pPr>
        <w:pStyle w:val="BodyText"/>
        <w:spacing w:line="480" w:lineRule="auto"/>
        <w:ind w:firstLine="720"/>
      </w:pPr>
      <w:r>
        <w:t xml:space="preserve">The companion to the short-arc study, the two-site analysis of space debris orbit prediction using angle and laser ranging data under a limited observation environment, sharpens the same point in the multi-station case</w:t>
      </w:r>
      <w:r>
        <w:t xml:space="preserve"> </w:t>
      </w:r>
      <w:hyperlink w:anchor="ref-10">
        <w:r>
          <w:rPr>
            <w:rStyle w:val="Hyperlink"/>
          </w:rPr>
          <w:t xml:space="preserve">[10]</w:t>
        </w:r>
      </w:hyperlink>
      <w:r>
        <w:t xml:space="preserve">. This study isolates the effect of observation-side design under realistic constraints, showing that the combination of angular and ranging measurements from two tracking sites yields a structured improvement in three-dimensional position error relative to either modality alone. The result is a clean demonstration that the modality and station-diversity features the dissertation treats as predictors are not nuisance parameters but first-order drivers of realized accuracy. The two-site study, like the short-arc study, reports its findings as scenario tables, which is precisely the form the first companion paper aggregates into its twenty-eight-row cross-section. The methodological distance between a scenario table and an estimated regression with heteroskedasticity-consistent standard errors is the distance this dissertation traverses.</w:t>
      </w:r>
    </w:p>
    <w:p>
      <w:pPr>
        <w:pStyle w:val="BodyText"/>
        <w:spacing w:line="480" w:lineRule="auto"/>
        <w:ind w:firstLine="720"/>
      </w:pPr>
      <w:r>
        <w:t xml:space="preserve">The observation-side design argument is reinforced from an entirely different mission context by the multi-station Doppler tracking study of the Cassini test case</w:t>
      </w:r>
      <w:r>
        <w:t xml:space="preserve"> </w:t>
      </w:r>
      <w:hyperlink w:anchor="ref-7">
        <w:r>
          <w:rPr>
            <w:rStyle w:val="Hyperlink"/>
          </w:rPr>
          <w:t xml:space="preserve">[7]</w:t>
        </w:r>
      </w:hyperlink>
      <w:r>
        <w:t xml:space="preserve">. Notaro and colleagues show that link frequency and station diversity materially change achievable navigation accuracy by reducing Doppler noise, a result drawn from deep-space radiometric tracking rather than near-Earth optical or laser work. The value of this reference to the dissertation is twofold. First, it generalizes the claim that observation-side features predict realized accuracy across the full span of the navigation enterprise, from near-Earth debris tracking to interplanetary radiometric navigation, which is the span the dissertation’s two companion papers jointly cover. Second, it supplies a concrete mechanism, noise reduction through station diversity, that explains why the modality and geometry features should enter the regression with the signs the dissertation hypothesizes. The Cassini study, however, is a focused engineering demonstration on a single mission; it does not pose the cross-mission regression question.</w:t>
      </w:r>
    </w:p>
    <w:p>
      <w:pPr>
        <w:pStyle w:val="BodyText"/>
        <w:spacing w:line="480" w:lineRule="auto"/>
        <w:ind w:firstLine="720"/>
      </w:pPr>
      <w:r>
        <w:t xml:space="preserve">The multi-fidelity OD literature provides the final piece of the technical foundation</w:t>
      </w:r>
      <w:r>
        <w:t xml:space="preserve"> </w:t>
      </w:r>
      <w:hyperlink w:anchor="ref-4">
        <w:r>
          <w:rPr>
            <w:rStyle w:val="Hyperlink"/>
          </w:rPr>
          <w:t xml:space="preserve">[4]</w:t>
        </w:r>
      </w:hyperlink>
      <w:r>
        <w:t xml:space="preserve">. Jones shows that the relationship between modeling choices and realized accuracy is structured and reproducible enough to be analyzed quantitatively rather than anecdotally, and that fidelity in the force model trades against computational cost while mapping onto realized error in a characterizable manner. This matters to the dissertation in two respects. It establishes force-model fidelity as a legitimate pre-solution feature, one of the inputs available before truth is known, and it confirms that the input-to-error relationship is reproducible rather than idiosyncratic, which is the precondition for any regression to recover stable coefficients. The multi-fidelity work amounts to a single-feature sensitivity analysis. The dissertation generalizes it to a multi-feature regression in which fidelity competes with arc length, geometry, modality, and the formal covariance for predictive weight.</w:t>
      </w:r>
    </w:p>
    <w:p>
      <w:pPr>
        <w:pStyle w:val="BodyText"/>
        <w:spacing w:line="480" w:lineRule="auto"/>
        <w:ind w:firstLine="720"/>
      </w:pPr>
      <w:r>
        <w:t xml:space="preserve">A consistent pattern emerges across the technical literature. The shape of it is easy to state. Each reference establishes that one or more pre-solution features drives realized accuracy: arc length and pass count</w:t>
      </w:r>
      <w:r>
        <w:t xml:space="preserve"> </w:t>
      </w:r>
      <w:hyperlink w:anchor="ref-5">
        <w:r>
          <w:rPr>
            <w:rStyle w:val="Hyperlink"/>
          </w:rPr>
          <w:t xml:space="preserve">[5]</w:t>
        </w:r>
      </w:hyperlink>
      <w:r>
        <w:t xml:space="preserve">, modality and station diversity</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force-model fidelity</w:t>
      </w:r>
      <w:r>
        <w:t xml:space="preserve"> </w:t>
      </w:r>
      <w:hyperlink w:anchor="ref-4">
        <w:r>
          <w:rPr>
            <w:rStyle w:val="Hyperlink"/>
          </w:rPr>
          <w:t xml:space="preserve">[4]</w:t>
        </w:r>
      </w:hyperlink>
      <w:r>
        <w:t xml:space="preserve">, and tracking conditions in general</w:t>
      </w:r>
      <w:r>
        <w:t xml:space="preserve"> </w:t>
      </w:r>
      <w:hyperlink w:anchor="ref-3">
        <w:r>
          <w:rPr>
            <w:rStyle w:val="Hyperlink"/>
          </w:rPr>
          <w:t xml:space="preserve">[3]</w:t>
        </w:r>
      </w:hyperlink>
      <w:r>
        <w:t xml:space="preserve">. Each reports its result in the idiom of the engineering scenario, the sensitivity study, or the system report. None assembles the heterogeneous features into a single estimated model, and none tests them against the filter’s own formal covariance, which the technical literature treats as the canonical prospective uncertainty statement rather than as a baseline to be beaten. The reason the formal covariance is rarely interrogated this way is itself documented, and it is the subject of the next strand.</w:t>
      </w:r>
    </w:p>
    <w:bookmarkEnd w:id="69"/>
    <w:bookmarkStart w:id="70" w:name="Xee8da266d2a8a9ae9bd4d1a9c12bbb06eb41780"/>
    <w:p>
      <w:pPr>
        <w:pStyle w:val="Heading2"/>
        <w:spacing w:line="480" w:lineRule="auto"/>
      </w:pPr>
      <w:r>
        <w:t xml:space="preserve">2.3 The Formal Covariance, Its Known Miscalibration, and the Machine-Learning Turn</w:t>
      </w:r>
    </w:p>
    <w:p>
      <w:pPr>
        <w:pStyle w:val="FirstParagraph"/>
        <w:spacing w:line="480" w:lineRule="auto"/>
      </w:pPr>
      <w:r>
        <w:t xml:space="preserve">The filter’s reported formal covariance is the navigation field’s default prospective accuracy statement. It is the estimator’s internal belief about its own uncertainty, propagated forward, and it is the quantity a tasking authority would consult if it wanted a pre-truth accuracy forecast today. The dissertation’s entire inferential design hinges on whether this quantity is a sufficient statistic for realized accuracy. The consolidated multi-state orbit estimation paradigm for improved RSO track custody is the reference that establishes it is not</w:t>
      </w:r>
      <w:r>
        <w:t xml:space="preserve"> </w:t>
      </w:r>
      <w:hyperlink w:anchor="ref-6">
        <w:r>
          <w:rPr>
            <w:rStyle w:val="Hyperlink"/>
          </w:rPr>
          <w:t xml:space="preserve">[6]</w:t>
        </w:r>
      </w:hyperlink>
      <w:r>
        <w:t xml:space="preserve">. Gerber and colleagues document that the formal covariance is optimistic or simply miscalibrated when measurement-error and a priori assumptions are violated, which is precisely the operational regime in which short-arc and sparse-tracking solutions live. Their proposed remedy, treating measurement-error priors as first-class and consolidating multiple state hypotheses, is itself an admission that the single filter’s covariance does not capture the realized error distribution. This reference is doubly important to the dissertation. It supplies the substantive justification for the null hypothesis, namely that if the formal covariance were sufficient, pre-solution features would add nothing, and it supplies the construct-validity discipline for the baseline, namely that the baseline filter must be tuned to its best calibrated state before the comparison so that the formal covariance is not an artificially weak competitor.</w:t>
      </w:r>
    </w:p>
    <w:p>
      <w:pPr>
        <w:pStyle w:val="BodyText"/>
        <w:spacing w:line="480" w:lineRule="auto"/>
        <w:ind w:firstLine="720"/>
      </w:pPr>
      <w:r>
        <w:t xml:space="preserve">The miscalibration of the formal covariance is the engineering fact that licenses the machine-learning turn, and that turn is now well enough developed to have generated its own survey. The survey of machine learning in orbit estimation documents the field’s migration toward learned error correction, and in doing so it concedes the central premise of this dissertation: realized error carries learnable structure</w:t>
      </w:r>
      <w:r>
        <w:t xml:space="preserve"> </w:t>
      </w:r>
      <w:hyperlink w:anchor="ref-8">
        <w:r>
          <w:rPr>
            <w:rStyle w:val="Hyperlink"/>
          </w:rPr>
          <w:t xml:space="preserve">[8]</w:t>
        </w:r>
      </w:hyperlink>
      <w:r>
        <w:t xml:space="preserve">. If realized error were fully explained by the formal covariance, there would be no residual structure for a learned model to exploit, and the entire ML-in-OD enterprise would be vacuous. The survey’s existence is therefore evidence for H1 of the dissertation. But the survey also reveals the field’s characteristic framing, which the dissertation departs from. The learned-correction literature pursues realized error as a prediction-improvement engineering task: the goal is a better orbit, a lower error, a tighter prediction. It is not pursued as an explanatory regression that asks which pre-solution features are load-bearing and ranks them for an operator. The dissertation reframes the same structure as an explanatory and inferential problem, asking not how to lower the error but which observable inputs predict it and by how much.</w:t>
      </w:r>
    </w:p>
    <w:p>
      <w:pPr>
        <w:pStyle w:val="BodyText"/>
        <w:spacing w:line="480" w:lineRule="auto"/>
        <w:ind w:firstLine="720"/>
      </w:pPr>
      <w:r>
        <w:t xml:space="preserve">The data-driven trajectory literature illustrates the prediction-improvement framing concretely. The machine-learning trajectory reconstruction for nanosatellites in very low Earth orbit shows that data-driven methods can recover orbital states and predict trajectory error where dynamical models alone fall short</w:t>
      </w:r>
      <w:r>
        <w:t xml:space="preserve"> </w:t>
      </w:r>
      <w:hyperlink w:anchor="ref-2">
        <w:r>
          <w:rPr>
            <w:rStyle w:val="Hyperlink"/>
          </w:rPr>
          <w:t xml:space="preserve">[2]</w:t>
        </w:r>
      </w:hyperlink>
      <w:r>
        <w:t xml:space="preserve">. This is a direct demonstration that realized error has structure recoverable by a learned model, and it validates the dissertation’s choice to run a gradient-boosted regressor alongside the linear specification to separate genuine nonlinearity from misspecification. Yet the nanosatellite study, like the broader ML-in-OD corpus, optimizes for reconstruction accuracy rather than for an interpretable accounting of which features carry the predictive weight. The limits of the data-driven approach are themselves documented: the assessment of machine learning for improving orbit prediction accuracy using support vector machines shows that learned models deliver real but bounded gains, and that the improvement is conditional on the regime and the feature set</w:t>
      </w:r>
      <w:r>
        <w:t xml:space="preserve"> </w:t>
      </w:r>
      <w:hyperlink w:anchor="ref-14">
        <w:r>
          <w:rPr>
            <w:rStyle w:val="Hyperlink"/>
          </w:rPr>
          <w:t xml:space="preserve">[14]</w:t>
        </w:r>
      </w:hyperlink>
      <w:r>
        <w:t xml:space="preserve">. This boundedness is informative for the dissertation because it suggests that pre-solution features explain a substantial but not total share of realized error, which is exactly the pattern the first companion paper recovers with an R-squared near 0.84 and a meaningful unexplained remainder.</w:t>
      </w:r>
    </w:p>
    <w:p>
      <w:pPr>
        <w:pStyle w:val="BodyText"/>
        <w:spacing w:line="480" w:lineRule="auto"/>
        <w:ind w:firstLine="720"/>
      </w:pPr>
      <w:r>
        <w:t xml:space="preserve">The same prediction-improvement idiom recurs across adjacent SSA machine-learning applications, and the breadth of that recurrence is itself a finding for this review. Closely spaced object classification using Gaussian-process methods treats object discrimination as a learned classification task</w:t>
      </w:r>
      <w:r>
        <w:t xml:space="preserve"> </w:t>
      </w:r>
      <w:hyperlink w:anchor="ref-12">
        <w:r>
          <w:rPr>
            <w:rStyle w:val="Hyperlink"/>
          </w:rPr>
          <w:t xml:space="preserve">[12]</w:t>
        </w:r>
      </w:hyperlink>
      <w:r>
        <w:t xml:space="preserve">. Early classification of space objects from astrometric time series applies neural sequence models to object typing</w:t>
      </w:r>
      <w:r>
        <w:t xml:space="preserve"> </w:t>
      </w:r>
      <w:hyperlink w:anchor="ref-17">
        <w:r>
          <w:rPr>
            <w:rStyle w:val="Hyperlink"/>
          </w:rPr>
          <w:t xml:space="preserve">[17]</w:t>
        </w:r>
      </w:hyperlink>
      <w:r>
        <w:t xml:space="preserve">. The forecasting of satellite light-curve patterns using neural networks predicts photometric signatures rather than orbital error</w:t>
      </w:r>
      <w:r>
        <w:t xml:space="preserve"> </w:t>
      </w:r>
      <w:hyperlink w:anchor="ref-16">
        <w:r>
          <w:rPr>
            <w:rStyle w:val="Hyperlink"/>
          </w:rPr>
          <w:t xml:space="preserve">[16]</w:t>
        </w:r>
      </w:hyperlink>
      <w:r>
        <w:t xml:space="preserve">, and the assessment of spacecraft operational status using electro-optical predictive techniques infers status from observable signatures</w:t>
      </w:r>
      <w:r>
        <w:t xml:space="preserve"> </w:t>
      </w:r>
      <w:hyperlink w:anchor="ref-15">
        <w:r>
          <w:rPr>
            <w:rStyle w:val="Hyperlink"/>
          </w:rPr>
          <w:t xml:space="preserve">[15]</w:t>
        </w:r>
      </w:hyperlink>
      <w:r>
        <w:t xml:space="preserve">. Automated satellite modeling and the OrbitOutlook program for autonomous verification of non-traditional SSA data extend the learned-inference paradigm to characterization and data validation</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Across this entire cluster the pattern is uniform: machine learning is deployed to improve a prediction or a classification, and the model is evaluated on its predictive accuracy, not interrogated for which input features are load-bearing in an out-of-sample, baseline-controlled sense. The dissertation’s contribution is not to add another learned predictor to this cluster but to change the question the learned model is asked, from how well can we predict to which pre-solution features predict beyond the formal covariance.</w:t>
      </w:r>
    </w:p>
    <w:p>
      <w:pPr>
        <w:pStyle w:val="BodyText"/>
        <w:spacing w:line="480" w:lineRule="auto"/>
        <w:ind w:firstLine="720"/>
      </w:pPr>
      <w:r>
        <w:t xml:space="preserve">The deep-space and small-body branch of the navigation literature completes the technical picture and sets up the second companion paper. The review of autonomous navigation for deep-space small satellites frames the progress of the field as cumulative capability growth rather than as isolated breakthroughs</w:t>
      </w:r>
      <w:r>
        <w:t xml:space="preserve"> </w:t>
      </w:r>
      <w:hyperlink w:anchor="ref-11">
        <w:r>
          <w:rPr>
            <w:rStyle w:val="Hyperlink"/>
          </w:rPr>
          <w:t xml:space="preserve">[11]</w:t>
        </w:r>
      </w:hyperlink>
      <w:r>
        <w:t xml:space="preserve">. This framing is the conceptual bridge to the learning-curve methodology. If progress in delivery accuracy is cumulative, accruing encounter by encounter through better ephemerides, better calibration, and better tooling, then the natural quantitative form for that progress is a learning curve in cumulative experience, which is exactly what the second companion paper estimates. The autonomous-navigation review thus does double duty in this review: it documents the technical state of deep-space delivery, and it states, qualitatively, the cumulative-experience hypothesis that the cliometric methodology renders estimable.</w:t>
      </w:r>
    </w:p>
    <w:bookmarkEnd w:id="70"/>
    <w:bookmarkStart w:id="71" w:name="X3cb00c67ca386d7dc37e1ecd484d730a31d383a"/>
    <w:p>
      <w:pPr>
        <w:pStyle w:val="Heading2"/>
        <w:spacing w:line="480" w:lineRule="auto"/>
      </w:pPr>
      <w:r>
        <w:t xml:space="preserve">2.4 The Cross-Sectional, Feature-Level Accounting Anticipated by the First Companion Paper</w:t>
      </w:r>
    </w:p>
    <w:p>
      <w:pPr>
        <w:pStyle w:val="FirstParagraph"/>
        <w:spacing w:line="480" w:lineRule="auto"/>
      </w:pPr>
      <w:r>
        <w:t xml:space="preserve">The first companion paper to this dissertation assembles the technical references of Sections 2.2 and 2.3 into a single cross-sectional regression of realized three-dimensional position error on a pre-solution feature block. The literature that paper draws on is worth reviewing as a coherent strand because it represents the closest the field has come to the dissertation’s synthesis without actually performing it. The paper’s data design rests on the short-arc and two-site debris studies for its near-Earth rows</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 on the multi-station and multi-fidelity studies for its modality and force-model features</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and on the survey for its regime taxonomy</w:t>
      </w:r>
      <w:r>
        <w:t xml:space="preserve"> </w:t>
      </w:r>
      <w:hyperlink w:anchor="ref-1">
        <w:r>
          <w:rPr>
            <w:rStyle w:val="Hyperlink"/>
          </w:rPr>
          <w:t xml:space="preserve">[1]</w:t>
        </w:r>
      </w:hyperlink>
      <w:r>
        <w:t xml:space="preserve">. The result, a model explaining the large majority of variance in realized error with pass count and regime carrying significant individual weight, is the proof of concept that pre-solution features are not silent. But the first companion paper is explicit about its own limitation: it aggregates reported summary statistics rather than solution-level records, and it does not enter the formal covariance as a competing baseline. The dissertation closes both gaps, moving from aggregated scenario rows to solution-level ILRS records and adding the formal-covariance baseline that converts a demonstration of explanatory power into a decisive test of incremental predictive value.</w:t>
      </w:r>
    </w:p>
    <w:p>
      <w:pPr>
        <w:pStyle w:val="BodyText"/>
        <w:spacing w:line="480" w:lineRule="auto"/>
        <w:ind w:firstLine="720"/>
      </w:pPr>
      <w:r>
        <w:t xml:space="preserve">The operator-facing literature reinforces why the feature-level accounting matters in practice. The accuracy assessment of atmospheric models for orbit prediction from a satellite operator’s perspective demonstrates that the choice of density model is a measurable driver of realized prediction error, and that operators experience this as a tangible accuracy difference rather than as an abstract modeling choice</w:t>
      </w:r>
      <w:r>
        <w:t xml:space="preserve"> </w:t>
      </w:r>
      <w:hyperlink w:anchor="ref-13">
        <w:r>
          <w:rPr>
            <w:rStyle w:val="Hyperlink"/>
          </w:rPr>
          <w:t xml:space="preserve">[13]</w:t>
        </w:r>
      </w:hyperlink>
      <w:r>
        <w:t xml:space="preserve">. This reference matters to the dissertation because it confirms that the features in the block are operationally actionable: an operator can choose a tracking plan, a modality, and a model, and those choices map to realized error in a way the operator already feels but cannot currently forecast in a calibrated, ranked manner. The atmospheric-model study is, again, a single-feature sensitivity analysis in the operator’s idiom; the dissertation generalizes it to a multi-feature, baseline-controlled regression that hands the operator a ranked menu of levers rather than a single sensitivity result.</w:t>
      </w:r>
    </w:p>
    <w:p>
      <w:pPr>
        <w:pStyle w:val="BodyText"/>
        <w:spacing w:line="480" w:lineRule="auto"/>
        <w:ind w:firstLine="720"/>
      </w:pPr>
      <w:r>
        <w:t xml:space="preserve">The precision-OD anchor of the cross-sectional design comes from the cislunar literature. The status report on orbit determination of the Lunar Reconnaissance Orbiter after seven years documents sub-ten-meter total position knowledge with combined S-band and laser ranging, degrading to one hundred to two hundred fifty meters with S-band alone</w:t>
      </w:r>
      <w:r>
        <w:t xml:space="preserve"> </w:t>
      </w:r>
      <w:hyperlink w:anchor="ref-9">
        <w:r>
          <w:rPr>
            <w:rStyle w:val="Hyperlink"/>
          </w:rPr>
          <w:t xml:space="preserve">[9]</w:t>
        </w:r>
      </w:hyperlink>
      <w:r>
        <w:t xml:space="preserve">. This single reference supplies two things the cross-sectional regression cannot do without: a precision-tracked, intensively observed regime that anchors the low-error end of the seven-order-of-magnitude span, and a clean within-mission demonstration that modality augmentation, here the addition of laser ranging to S-band, produces a large and documented error reduction. The LRO result is the reason the first companion paper carries a cislunar regime indicator and recovers a large negative coefficient on it: the intensively tracked lunar solutions deliver markedly lower error than their pass count alone would predict. The dissertation generalizes this from a single mission’s reported summary to a regression coefficient with a confidence interval, which is the inferential upgrade the whole exercise is built to deliver.</w:t>
      </w:r>
    </w:p>
    <w:bookmarkEnd w:id="71"/>
    <w:bookmarkStart w:id="72" w:name="X706954aa072a5a4701e65aa9f67d79d6c0eec10"/>
    <w:p>
      <w:pPr>
        <w:pStyle w:val="Heading2"/>
        <w:spacing w:line="480" w:lineRule="auto"/>
      </w:pPr>
      <w:r>
        <w:t xml:space="preserve">2.5 The Cliometric and Learning-Curve Methodology Imported by the Second Companion Paper</w:t>
      </w:r>
    </w:p>
    <w:p>
      <w:pPr>
        <w:pStyle w:val="FirstParagraph"/>
        <w:spacing w:line="480" w:lineRule="auto"/>
      </w:pPr>
      <w:r>
        <w:t xml:space="preserve">The second literature this dissertation joins is the methodology of treating a realized engineering outcome as a quantity to be regressed on an experience or attribute axis, with the inferential machinery of the learning curve and the reduced-form regression. This methodology has a long lineage in the study of production and engineering practice, where the log-linear decline of cost or error in cumulative output is one of the most durable empirical regularities known. The second companion paper imports this methodology wholesale into deep-space navigation, regressing the natural log of delivery error on the natural log of cumulative encounter experience and recovering a negative experience elasticity with a progress ratio well below one. The conceptual license for this import comes from the navigation literature itself: the review of deep-space autonomous navigation frames the field’s progress as cumulative capability growth</w:t>
      </w:r>
      <w:r>
        <w:t xml:space="preserve"> </w:t>
      </w:r>
      <w:hyperlink w:anchor="ref-11">
        <w:r>
          <w:rPr>
            <w:rStyle w:val="Hyperlink"/>
          </w:rPr>
          <w:t xml:space="preserve">[11]</w:t>
        </w:r>
      </w:hyperlink>
      <w:r>
        <w:t xml:space="preserve">, and the second companion paper renders that qualitative claim as an estimated power law.</w:t>
      </w:r>
    </w:p>
    <w:p>
      <w:pPr>
        <w:pStyle w:val="BodyText"/>
        <w:spacing w:line="480" w:lineRule="auto"/>
        <w:ind w:firstLine="720"/>
      </w:pPr>
      <w:r>
        <w:t xml:space="preserve">What the cliometric methodology contributes that the technical literature lacks is the discipline of the falsifiable null and the out-of-sample test. The technical literature reports realized error and narrates its causes. The cliometric methodology demands a null hypothesis, an estimator with quantified standard errors, and a decision statistic that can reject or fail to reject the null at a stated level. The second companion paper exhibits this discipline: it states the null of zero experience elasticity, estimates the slope with heteroskedasticity-consistent standard errors appropriate to a dependent variable spanning several orders of magnitude, and reports a confidence interval lying entirely below zero. This is the same inferential apparatus the dissertation applies cross-sectionally, with the Diebold-Mariano-style test on held-out residuals standing in for the learning curve’s t-test on the slope. The two companion papers are thus methodologically unified even though they ask different substantive questions, one about cumulative experience and one about pre-solution features, and the dissertation inherits both the cross-sectional and the longitudinal versions of the same regression discipline.</w:t>
      </w:r>
    </w:p>
    <w:p>
      <w:pPr>
        <w:pStyle w:val="BodyText"/>
        <w:spacing w:line="480" w:lineRule="auto"/>
        <w:ind w:firstLine="720"/>
      </w:pPr>
      <w:r>
        <w:t xml:space="preserve">The cliometric literature also brings a hard-won awareness of the threats that beset reduced-form regressions on observational engineering data, threats the dissertation must take seriously because they are not native to the technical literature’s idiom. The second companion paper is candid that its experience axis runs in calendar order and is therefore entangled with unmeasured contemporaneous improvements in tracking hardware and ephemerides, so that its estimate is a reduced-form decline rather than a controlled causal isolation. This is the cliometric version of the leakage and confounding problems the dissertation confronts directly in its cross-sectional design through object-and-epoch-blocked partitioning and a stricter forward-chaining temporal split. The methodological literature’s insistence on naming these threats, on distinguishing a reduced-form association from a clean marginal effect, and on reporting the wide confidence interval honestly is precisely the discipline the dissertation carries into a domain where realized accuracy has historically been reported as a single deliverable number without an inferential envelope.</w:t>
      </w:r>
    </w:p>
    <w:p>
      <w:pPr>
        <w:pStyle w:val="BodyText"/>
        <w:spacing w:line="480" w:lineRule="auto"/>
        <w:ind w:firstLine="720"/>
      </w:pPr>
      <w:r>
        <w:t xml:space="preserve">It is instructive that the predictive-regression idiom, while foreign to the navigation literature’s reporting conventions, is not foreign to the broader space-engineering corpus, which has begun applying regression and machine-learning prediction to a range of realized outcomes adjacent to orbit determination. Physics-based Gaussian-process health monitoring of rolling bearings treats a degradation outcome as a regression target</w:t>
      </w:r>
      <w:r>
        <w:t xml:space="preserve"> </w:t>
      </w:r>
      <w:hyperlink w:anchor="ref-22">
        <w:r>
          <w:rPr>
            <w:rStyle w:val="Hyperlink"/>
          </w:rPr>
          <w:t xml:space="preserve">[22]</w:t>
        </w:r>
      </w:hyperlink>
      <w:r>
        <w:t xml:space="preserve">. Machine learning for the prediction of local asteroid damage models a physical consequence as a learned function of inputs</w:t>
      </w:r>
      <w:r>
        <w:t xml:space="preserve"> </w:t>
      </w:r>
      <w:hyperlink w:anchor="ref-24">
        <w:r>
          <w:rPr>
            <w:rStyle w:val="Hyperlink"/>
          </w:rPr>
          <w:t xml:space="preserve">[24]</w:t>
        </w:r>
      </w:hyperlink>
      <w:r>
        <w:t xml:space="preserve">. Predictive calibration for digital sun sensors and the intelligent prediction of satellite antenna main-beam patterns from thermal-deformation point clouds both regress a realized instrument performance on observable antecedents</w:t>
      </w:r>
      <w:r>
        <w:t xml:space="preserve"> </w:t>
      </w:r>
      <w:hyperlink w:anchor="ref-25">
        <w:r>
          <w:rPr>
            <w:rStyle w:val="Hyperlink"/>
          </w:rPr>
          <w:t xml:space="preserve">[25]</w:t>
        </w:r>
      </w:hyperlink>
      <w:r>
        <w:t xml:space="preserve">,</w:t>
      </w:r>
      <w:r>
        <w:t xml:space="preserve"> </w:t>
      </w:r>
      <w:hyperlink w:anchor="ref-27">
        <w:r>
          <w:rPr>
            <w:rStyle w:val="Hyperlink"/>
          </w:rPr>
          <w:t xml:space="preserve">[27]</w:t>
        </w:r>
      </w:hyperlink>
      <w:r>
        <w:t xml:space="preserve">. CNN-aided spacecraft relative pose estimation predicts a navigation-relevant state from imagery</w:t>
      </w:r>
      <w:r>
        <w:t xml:space="preserve"> </w:t>
      </w:r>
      <w:hyperlink w:anchor="ref-23">
        <w:r>
          <w:rPr>
            <w:rStyle w:val="Hyperlink"/>
          </w:rPr>
          <w:t xml:space="preserve">[23]</w:t>
        </w:r>
      </w:hyperlink>
      <w:r>
        <w:t xml:space="preserve">, and even the human-spaceflight literature has produced adaptive empirical models that predict physiological response from telemetry</w:t>
      </w:r>
      <w:r>
        <w:t xml:space="preserve"> </w:t>
      </w:r>
      <w:hyperlink w:anchor="ref-20">
        <w:r>
          <w:rPr>
            <w:rStyle w:val="Hyperlink"/>
          </w:rPr>
          <w:t xml:space="preserve">[20]</w:t>
        </w:r>
      </w:hyperlink>
      <w:r>
        <w:t xml:space="preserve"> </w:t>
      </w:r>
      <w:r>
        <w:t xml:space="preserve">and cognitive-performance regressions in isolated and confined environments</w:t>
      </w:r>
      <w:r>
        <w:t xml:space="preserve"> </w:t>
      </w:r>
      <w:hyperlink w:anchor="ref-26">
        <w:r>
          <w:rPr>
            <w:rStyle w:val="Hyperlink"/>
          </w:rPr>
          <w:t xml:space="preserve">[26]</w:t>
        </w:r>
      </w:hyperlink>
      <w:r>
        <w:t xml:space="preserve">. The breadth of this idiom across space engineering is itself the dissertation’s warrant: treating a realized outcome as a regression target is an established and productive move everywhere in the field except, conspicuously, in the prospective forecasting of OD delivery error against the formal covariance. The methodological tools are mature; they have simply not been pointed at this specific target.</w:t>
      </w:r>
    </w:p>
    <w:p>
      <w:pPr>
        <w:pStyle w:val="BodyText"/>
        <w:spacing w:line="480" w:lineRule="auto"/>
        <w:ind w:firstLine="720"/>
      </w:pPr>
      <w:r>
        <w:t xml:space="preserve">A note on the limits of importing the idiom uncritically is warranted by the heterogeneity of the surrounding literature. The thrust-stand and instrumentation-development references in the surrounding corpus</w:t>
      </w:r>
      <w:r>
        <w:t xml:space="preserve"> </w:t>
      </w:r>
      <w:hyperlink w:anchor="ref-21">
        <w:r>
          <w:rPr>
            <w:rStyle w:val="Hyperlink"/>
          </w:rPr>
          <w:t xml:space="preserve">[21]</w:t>
        </w:r>
      </w:hyperlink>
      <w:r>
        <w:t xml:space="preserve"> </w:t>
      </w:r>
      <w:r>
        <w:t xml:space="preserve">illustrate that not every engineering measurement problem is a regression problem; some are calibration or apparatus-design problems for which the regression framing would be a category error. The dissertation’s claim is therefore specific and bounded: realized OD delivery error is a regression target because it is a realized scalar outcome with measurable pre-solution antecedents and an independently observed truth, the three conditions that make supervised regression the appropriate inferential form. Where those conditions fail, as in pure apparatus design, the methodology does not transfer, and the dissertation does not claim that it should.</w:t>
      </w:r>
    </w:p>
    <w:bookmarkEnd w:id="72"/>
    <w:bookmarkStart w:id="73" w:name="synthesis-and-the-gap"/>
    <w:p>
      <w:pPr>
        <w:pStyle w:val="Heading2"/>
        <w:spacing w:line="480" w:lineRule="auto"/>
      </w:pPr>
      <w:r>
        <w:t xml:space="preserve">2.6 Synthesis and the Gap</w:t>
      </w:r>
    </w:p>
    <w:p>
      <w:pPr>
        <w:pStyle w:val="FirstParagraph"/>
        <w:spacing w:line="480" w:lineRule="auto"/>
      </w:pPr>
      <w:r>
        <w:t xml:space="preserve">The two literatures reviewed above are individually mature and mutually disjoint. The disjunction is the opening. The navigation and OD literature owns the phenomenon of realized delivery accuracy and has established, reference by reference, that pre-solution features drive it: arc length and pass count</w:t>
      </w:r>
      <w:r>
        <w:t xml:space="preserve"> </w:t>
      </w:r>
      <w:hyperlink w:anchor="ref-5">
        <w:r>
          <w:rPr>
            <w:rStyle w:val="Hyperlink"/>
          </w:rPr>
          <w:t xml:space="preserve">[5]</w:t>
        </w:r>
      </w:hyperlink>
      <w:r>
        <w:t xml:space="preserve">, modality and station diversity</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force-model fidelity</w:t>
      </w:r>
      <w:r>
        <w:t xml:space="preserve"> </w:t>
      </w:r>
      <w:hyperlink w:anchor="ref-4">
        <w:r>
          <w:rPr>
            <w:rStyle w:val="Hyperlink"/>
          </w:rPr>
          <w:t xml:space="preserve">[4]</w:t>
        </w:r>
      </w:hyperlink>
      <w:r>
        <w:t xml:space="preserve">, density modeling</w:t>
      </w:r>
      <w:r>
        <w:t xml:space="preserve"> </w:t>
      </w:r>
      <w:hyperlink w:anchor="ref-13">
        <w:r>
          <w:rPr>
            <w:rStyle w:val="Hyperlink"/>
          </w:rPr>
          <w:t xml:space="preserve">[13]</w:t>
        </w:r>
      </w:hyperlink>
      <w:r>
        <w:t xml:space="preserve">, and tracking conditions in general</w:t>
      </w:r>
      <w:r>
        <w:t xml:space="preserve"> </w:t>
      </w:r>
      <w:hyperlink w:anchor="ref-3">
        <w:r>
          <w:rPr>
            <w:rStyle w:val="Hyperlink"/>
          </w:rPr>
          <w:t xml:space="preserve">[3]</w:t>
        </w:r>
      </w:hyperlink>
      <w:r>
        <w:t xml:space="preserve">, with the formal covariance serving as the field’s default but known-miscalibrated prospective statement</w:t>
      </w:r>
      <w:r>
        <w:t xml:space="preserve"> </w:t>
      </w:r>
      <w:hyperlink w:anchor="ref-6">
        <w:r>
          <w:rPr>
            <w:rStyle w:val="Hyperlink"/>
          </w:rPr>
          <w:t xml:space="preserve">[6]</w:t>
        </w:r>
      </w:hyperlink>
      <w:r>
        <w:t xml:space="preserve">. The machine-learning turn within this literature has conceded that realized error carries learnable structure</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w:t>
      </w:r>
      <w:r>
        <w:t xml:space="preserve"> </w:t>
      </w:r>
      <w:hyperlink w:anchor="ref-14">
        <w:r>
          <w:rPr>
            <w:rStyle w:val="Hyperlink"/>
          </w:rPr>
          <w:t xml:space="preserve">[14]</w:t>
        </w:r>
      </w:hyperlink>
      <w:r>
        <w:t xml:space="preserve">, yet has pursued that structure as a prediction-improvement task rather than as an explanatory, baseline-controlled regression, a framing that recurs uniformly across the SSA learned-inference cluster</w:t>
      </w:r>
      <w:r>
        <w:t xml:space="preserve"> </w:t>
      </w:r>
      <w:hyperlink w:anchor="ref-12">
        <w:r>
          <w:rPr>
            <w:rStyle w:val="Hyperlink"/>
          </w:rPr>
          <w:t xml:space="preserve">[12]</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w:t>
      </w:r>
      <w:r>
        <w:t xml:space="preserve"> </w:t>
      </w:r>
      <w:hyperlink w:anchor="ref-18">
        <w:r>
          <w:rPr>
            <w:rStyle w:val="Hyperlink"/>
          </w:rPr>
          <w:t xml:space="preserve">[18]</w:t>
        </w:r>
      </w:hyperlink>
      <w:r>
        <w:t xml:space="preserve">,</w:t>
      </w:r>
      <w:r>
        <w:t xml:space="preserve"> </w:t>
      </w:r>
      <w:hyperlink w:anchor="ref-19">
        <w:r>
          <w:rPr>
            <w:rStyle w:val="Hyperlink"/>
          </w:rPr>
          <w:t xml:space="preserve">[19]</w:t>
        </w:r>
      </w:hyperlink>
      <w:r>
        <w:t xml:space="preserve">. The cliometric and econometric methodology, imported wholesale by the second companion paper and visible in scattered form across adjacent space-engineering regressions</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owns the inferential apparatus of the falsifiable null, the heteroskedasticity-consistent estimator, and the honest reporting of reduced-form association under confounding, but has not been brought into contact with the physics of the OD filter or with the formal covariance as the competitor to beat.</w:t>
      </w:r>
    </w:p>
    <w:p>
      <w:pPr>
        <w:pStyle w:val="BodyText"/>
        <w:spacing w:line="480" w:lineRule="auto"/>
        <w:ind w:firstLine="720"/>
      </w:pPr>
      <w:r>
        <w:t xml:space="preserve">The gap is therefore precise and falsifiable. No existing work assembles heterogeneous pre-solution features onto a common footing, regresses realized OD delivery error on that feature block, and tests the incremental out-of-sample predictive value of the features against the filter’s own reported formal covariance. The survey concedes that realized error has learnable structure but treats the question as an engineering improvement task</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short-arc, two-site, multi-station, and multi-fidelity studies establish individual feature effects but report them as scenario tables and sensitivity analyses rather than as a single estimated model</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w:t>
      </w:r>
      <w:r>
        <w:t xml:space="preserve"> </w:t>
      </w:r>
      <w:hyperlink w:anchor="ref-10">
        <w:r>
          <w:rPr>
            <w:rStyle w:val="Hyperlink"/>
          </w:rPr>
          <w:t xml:space="preserve">[10]</w:t>
        </w:r>
      </w:hyperlink>
      <w:r>
        <w:t xml:space="preserve">. The LRO and operator-facing studies anchor the precision and operational regimes but do not pose the regression question</w:t>
      </w:r>
      <w:r>
        <w:t xml:space="preserve"> </w:t>
      </w:r>
      <w:hyperlink w:anchor="ref-9">
        <w:r>
          <w:rPr>
            <w:rStyle w:val="Hyperlink"/>
          </w:rPr>
          <w:t xml:space="preserve">[9]</w:t>
        </w:r>
      </w:hyperlink>
      <w:r>
        <w:t xml:space="preserve">,</w:t>
      </w:r>
      <w:r>
        <w:t xml:space="preserve"> </w:t>
      </w:r>
      <w:hyperlink w:anchor="ref-13">
        <w:r>
          <w:rPr>
            <w:rStyle w:val="Hyperlink"/>
          </w:rPr>
          <w:t xml:space="preserve">[13]</w:t>
        </w:r>
      </w:hyperlink>
      <w:r>
        <w:t xml:space="preserve">. The multi-state custody paradigm establishes that the formal covariance is miscalibrated but proposes a remedy rather than testing the covariance as a baseline against pre-solution features</w:t>
      </w:r>
      <w:r>
        <w:t xml:space="preserve"> </w:t>
      </w:r>
      <w:hyperlink w:anchor="ref-6">
        <w:r>
          <w:rPr>
            <w:rStyle w:val="Hyperlink"/>
          </w:rPr>
          <w:t xml:space="preserve">[6]</w:t>
        </w:r>
      </w:hyperlink>
      <w:r>
        <w:t xml:space="preserve">. And the cliometric methodology that would supply the missing inferential apparatus has been applied to cumulative experience</w:t>
      </w:r>
      <w:r>
        <w:t xml:space="preserve"> </w:t>
      </w:r>
      <w:hyperlink w:anchor="ref-11">
        <w:r>
          <w:rPr>
            <w:rStyle w:val="Hyperlink"/>
          </w:rPr>
          <w:t xml:space="preserve">[11]</w:t>
        </w:r>
      </w:hyperlink>
      <w:r>
        <w:t xml:space="preserve"> </w:t>
      </w:r>
      <w:r>
        <w:t xml:space="preserve">and to adjacent engineering outcomes</w:t>
      </w:r>
      <w:r>
        <w:t xml:space="preserve"> </w:t>
      </w:r>
      <w:hyperlink w:anchor="ref-20">
        <w:r>
          <w:rPr>
            <w:rStyle w:val="Hyperlink"/>
          </w:rPr>
          <w:t xml:space="preserve">[20]</w:t>
        </w:r>
      </w:hyperlink>
      <w:r>
        <w:t xml:space="preserve">,</w:t>
      </w:r>
      <w:r>
        <w:t xml:space="preserve"> </w:t>
      </w:r>
      <w:hyperlink w:anchor="ref-22">
        <w:r>
          <w:rPr>
            <w:rStyle w:val="Hyperlink"/>
          </w:rPr>
          <w:t xml:space="preserve">[22]</w:t>
        </w:r>
      </w:hyperlink>
      <w:r>
        <w:t xml:space="preserve">,</w:t>
      </w:r>
      <w:r>
        <w:t xml:space="preserve"> </w:t>
      </w:r>
      <w:hyperlink w:anchor="ref-23">
        <w:r>
          <w:rPr>
            <w:rStyle w:val="Hyperlink"/>
          </w:rPr>
          <w:t xml:space="preserve">[23]</w:t>
        </w:r>
      </w:hyperlink>
      <w:r>
        <w:t xml:space="preserve">,</w:t>
      </w:r>
      <w:r>
        <w:t xml:space="preserve"> </w:t>
      </w:r>
      <w:hyperlink w:anchor="ref-24">
        <w:r>
          <w:rPr>
            <w:rStyle w:val="Hyperlink"/>
          </w:rPr>
          <w:t xml:space="preserve">[24]</w:t>
        </w:r>
      </w:hyperlink>
      <w:r>
        <w:t xml:space="preserve">,</w:t>
      </w:r>
      <w:r>
        <w:t xml:space="preserve"> </w:t>
      </w:r>
      <w:hyperlink w:anchor="ref-25">
        <w:r>
          <w:rPr>
            <w:rStyle w:val="Hyperlink"/>
          </w:rPr>
          <w:t xml:space="preserve">[25]</w:t>
        </w:r>
      </w:hyperlink>
      <w:r>
        <w:t xml:space="preserve">,</w:t>
      </w:r>
      <w:r>
        <w:t xml:space="preserve"> </w:t>
      </w:r>
      <w:hyperlink w:anchor="ref-26">
        <w:r>
          <w:rPr>
            <w:rStyle w:val="Hyperlink"/>
          </w:rPr>
          <w:t xml:space="preserve">[26]</w:t>
        </w:r>
      </w:hyperlink>
      <w:r>
        <w:t xml:space="preserve">,</w:t>
      </w:r>
      <w:r>
        <w:t xml:space="preserve"> </w:t>
      </w:r>
      <w:hyperlink w:anchor="ref-27">
        <w:r>
          <w:rPr>
            <w:rStyle w:val="Hyperlink"/>
          </w:rPr>
          <w:t xml:space="preserve">[27]</w:t>
        </w:r>
      </w:hyperlink>
      <w:r>
        <w:t xml:space="preserve"> </w:t>
      </w:r>
      <w:r>
        <w:t xml:space="preserve">but never to the specific comparison this dissertation makes.</w:t>
      </w:r>
    </w:p>
    <w:p>
      <w:pPr>
        <w:pStyle w:val="BodyText"/>
        <w:spacing w:line="480" w:lineRule="auto"/>
        <w:ind w:firstLine="720"/>
      </w:pPr>
      <w:r>
        <w:t xml:space="preserve">The dissertation closes this gap with a single estimated regression and one decisive test. It enters the formal covariance as the explicit straw-man baseline, gives the null hypothesis every structural advantage by tuning that baseline to its best calibrated state</w:t>
      </w:r>
      <w:r>
        <w:t xml:space="preserve"> </w:t>
      </w:r>
      <w:hyperlink w:anchor="ref-6">
        <w:r>
          <w:rPr>
            <w:rStyle w:val="Hyperlink"/>
          </w:rPr>
          <w:t xml:space="preserve">[6]</w:t>
        </w:r>
      </w:hyperlink>
      <w:r>
        <w:t xml:space="preserve">, and asks whether the pre-solution feature block adds out-of-sample predictive power for realized along-track, cross-track, and radial error beyond it. The two companion papers establish the two halves of the warrant: that pre-solution features jointly explain realized error cross-sectionally with high explanatory power, and that the inferential machinery of the reduced-form regression transfers cleanly to navigation deliverables longitudinally. The dissertation’s contribution is to fuse the phenomenon owned by the navigation literature with the inferential apparatus owned by the cliometric literature, around the one comparison neither has made. If the null survives, navigation teams are vindicated in treating the formal covariance as a sufficient planning statistic, and the result is informative precisely because it forecloses a tempting line of feature-level modeling. If the null falls, realized delivery accuracy can be forecast and steered before truth is known, and the rank-ordered feature set tells a tasking authority which lever to pull. Either outcome advances navigation practice, and either outcome is reachable only by joining the two literatures that this chapter has shown have not yet met.</w:t>
      </w:r>
    </w:p>
    <w:bookmarkEnd w:id="73"/>
    <w:bookmarkEnd w:id="74"/>
    <w:bookmarkStart w:id="82" w:name="Xcfcc00a3ded59aed0c781c16bfc121f2a509603"/>
    <w:p>
      <w:pPr>
        <w:pStyle w:val="Heading1"/>
        <w:spacing w:line="480" w:lineRule="auto"/>
      </w:pPr>
      <w:r>
        <w:t xml:space="preserve">Chapter 3. Theoretical Framework and Hypotheses</w:t>
      </w:r>
    </w:p>
    <w:bookmarkStart w:id="75" w:name="orientation"/>
    <w:p>
      <w:pPr>
        <w:pStyle w:val="Heading2"/>
        <w:spacing w:line="480" w:lineRule="auto"/>
      </w:pPr>
      <w:r>
        <w:t xml:space="preserve">3.1 Orientation</w:t>
      </w:r>
    </w:p>
    <w:p>
      <w:pPr>
        <w:pStyle w:val="FirstParagraph"/>
        <w:spacing w:line="480" w:lineRule="auto"/>
      </w:pPr>
      <w:r>
        <w:t xml:space="preserve">The preceding chapters established the empirical setting and the gap this dissertation closes. Operational navigation teams are judged on a single realized quantity, the difference between the orbit a determination process delivers and the orbit later reconstructed as truth, yet the antecedents of that realized error remain largely narrated rather than estimated. Surveys of orbit determination (OD) for space situational awareness catalogue dozens of estimator architectures and observation modalities without isolating which measurable inputs carry predictive weight for the realized error a given solution will deliver</w:t>
      </w:r>
      <w:r>
        <w:t xml:space="preserve"> </w:t>
      </w:r>
      <w:hyperlink w:anchor="ref-1">
        <w:r>
          <w:rPr>
            <w:rStyle w:val="Hyperlink"/>
          </w:rPr>
          <w:t xml:space="preserve">[1]</w:t>
        </w:r>
      </w:hyperlink>
      <w:r>
        <w:t xml:space="preserve">. A parallel survey of machine learning in orbit estimation documents a field-wide migration toward learned error correction, conceding that realized error carries learnable structure even as it pursues that structure as a prediction-improvement engineering task rather than as an explanatory accounting</w:t>
      </w:r>
      <w:r>
        <w:t xml:space="preserve"> </w:t>
      </w:r>
      <w:hyperlink w:anchor="ref-8">
        <w:r>
          <w:rPr>
            <w:rStyle w:val="Hyperlink"/>
          </w:rPr>
          <w:t xml:space="preserve">[8]</w:t>
        </w:r>
      </w:hyperlink>
      <w:r>
        <w:t xml:space="preserve">.</w:t>
      </w:r>
    </w:p>
    <w:p>
      <w:pPr>
        <w:pStyle w:val="BodyText"/>
        <w:spacing w:line="480" w:lineRule="auto"/>
        <w:ind w:firstLine="720"/>
      </w:pPr>
      <w:r>
        <w:t xml:space="preserve">This chapter develops the theoretical framework that converts that concession into a falsifiable claim. The argument proceeds in three movements. Section 3.2 sets out the conceptual reframing that underwrites the entire dissertation: delivery accuracy is not an irreducible property of an instrument suite but a conditional expectation that can be modeled as a supervised regression on features available before truth is known. Section 3.3 develops the causal logic, naming the mechanisms by which each pre-solution feature should move realized error and stating the sign each mechanism predicts. Section 3.4 confronts the central rival explanation, the filter’s own formal covariance, and explains why it is the correct competitor against which the feature block must be tested. Section 3.5 states the formal hypotheses H0 and H1 and specifies the decision rule that adjudicates between them. Section 3.6 sets out the identifying assumptions on which the test depends, and Section 3.7 makes explicit the operational and scientific consequences of each possible outcome, so that a null result is shown in advance to be as informative as a positive one.</w:t>
      </w:r>
    </w:p>
    <w:bookmarkEnd w:id="75"/>
    <w:bookmarkStart w:id="76" w:name="Xcc381e5cf9fac800e0a0004bc7d73aae686aa31"/>
    <w:p>
      <w:pPr>
        <w:pStyle w:val="Heading2"/>
        <w:spacing w:line="480" w:lineRule="auto"/>
      </w:pPr>
      <w:r>
        <w:t xml:space="preserve">3.2 The Conceptual Reframing: Delivery Accuracy as a Conditional Expectation</w:t>
      </w:r>
    </w:p>
    <w:p>
      <w:pPr>
        <w:pStyle w:val="FirstParagraph"/>
        <w:spacing w:line="480" w:lineRule="auto"/>
      </w:pPr>
      <w:r>
        <w:t xml:space="preserve">The conventional idioms for reasoning about delivery accuracy are two, and both are incomplete in the same direction. The first idiom is the filter’s own formal covariance, the estimator’s internal belief about its uncertainty, which is well documented to be optimistic or simply miscalibrated when measurement-error and a priori assumptions are violated</w:t>
      </w:r>
      <w:r>
        <w:t xml:space="preserve"> </w:t>
      </w:r>
      <w:hyperlink w:anchor="ref-6">
        <w:r>
          <w:rPr>
            <w:rStyle w:val="Hyperlink"/>
          </w:rPr>
          <w:t xml:space="preserve">[6]</w:t>
        </w:r>
      </w:hyperlink>
      <w:r>
        <w:t xml:space="preserve">. The second idiom is post hoc narrative, in which a team explains a good or bad delivery only after the truth comparison is available. Neither idiom answers the prospective question a tasking authority actually asks before committing resources: given the tracking plan and the solution I am about to commit to, how accurate is the delivery likely to be, and which lever most changes that answer.</w:t>
      </w:r>
    </w:p>
    <w:p>
      <w:pPr>
        <w:pStyle w:val="BodyText"/>
        <w:spacing w:line="480" w:lineRule="auto"/>
        <w:ind w:firstLine="720"/>
      </w:pPr>
      <w:r>
        <w:t xml:space="preserve">The reframing this dissertation adopts treats realized delivery error as the response variable in a supervised regression. Let a single OD solution be the unit of analysis, and let an independent precision-orbit truth later become available for that solution, so that realized error is observed rather than inferred from the filter. Realized error is then a draw from a conditional distribution whose conditioning set is the collection of features knowable before truth is revealed: the length of the tracked arc, the number and angular spread of the observations, the tracking modality, the assumed measurement-noise prior, and the fidelity of the force model used in the fit</w:t>
      </w:r>
      <w:r>
        <w:t xml:space="preserve"> </w:t>
      </w:r>
      <w:hyperlink w:anchor="ref-1">
        <w:r>
          <w:rPr>
            <w:rStyle w:val="Hyperlink"/>
          </w:rPr>
          <w:t xml:space="preserve">[1]</w:t>
        </w:r>
      </w:hyperlink>
      <w:r>
        <w:t xml:space="preserve">. The estimand of interest is the conditional expectation of realized error given those features, and the empirical object is a regression that approximates that conditional expectation across documented OD scenarios.</w:t>
      </w:r>
    </w:p>
    <w:p>
      <w:pPr>
        <w:pStyle w:val="BodyText"/>
        <w:spacing w:line="480" w:lineRule="auto"/>
        <w:ind w:firstLine="720"/>
      </w:pPr>
      <w:r>
        <w:t xml:space="preserve">This reframing is licensed by two prior findings that the companion research papers established. The first paper demonstrated, across twenty-eight documented OD results spanning seven orders of magnitude in realized error, that a pre-solution feature block jointly explains the large majority of variance in realized delivery error, returning an R-squared of 0.839 with a joint F statistic of 51.2 and an associated p-value of 1.8 times ten to the minus eleventh. That result decisively rejected the proposition that pre-solution features are silent. The second paper, treating the same response variable along a temporal rather than a cross-sectional axis, showed that cumulative program experience predicts deep-space delivery error in a stable power-law form, with a negative experience elasticity distinguishable from zero. Together those findings establish that realized error is neither random with respect to observable inputs nor explicable only after the fact: it carries structure that is both cross-sectional and longitudinal, and that structure is estimable. The dissertation’s contribution is to place that structure on a common, auditable footing and to subject it to the single decisive test that the companion papers deferred, the comparison against the filter’s own reported uncertainty.</w:t>
      </w:r>
    </w:p>
    <w:p>
      <w:pPr>
        <w:pStyle w:val="BodyText"/>
        <w:spacing w:line="480" w:lineRule="auto"/>
        <w:ind w:firstLine="720"/>
      </w:pPr>
      <w:r>
        <w:t xml:space="preserve">The reframing is consequential precisely because it shifts the epistemic status of delivery accuracy from a realized fact to a forecastable quantity. If the conditional expectation of realized error is a stable function of pre-solution features, then accuracy can be forecast and steered before truth is known, and the question of which feature is load-bearing becomes answerable rather than rhetorical. The migration toward error-pattern mining and learned corrections to predicted ephemerides that the survey literature documents is, in this light, an implicit acknowledgment that the conditional expectation is non-trivial</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What the survey literature has not done, and what this framework requires, is to ask whether that conditional expectation depends on the pre-solution features beyond what the estimator already reports about itself.</w:t>
      </w:r>
    </w:p>
    <w:bookmarkEnd w:id="76"/>
    <w:bookmarkStart w:id="77" w:name="X5011e8091ed45f1dd4023bc5979bc8c3475d5d6"/>
    <w:p>
      <w:pPr>
        <w:pStyle w:val="Heading2"/>
        <w:spacing w:line="480" w:lineRule="auto"/>
      </w:pPr>
      <w:r>
        <w:t xml:space="preserve">3.3 The Causal Logic: Mechanisms and Their Predicted Signs</w:t>
      </w:r>
    </w:p>
    <w:p>
      <w:pPr>
        <w:pStyle w:val="FirstParagraph"/>
        <w:spacing w:line="480" w:lineRule="auto"/>
      </w:pPr>
      <w:r>
        <w:t xml:space="preserve">Description is not theory. A regression that merely fits realized error to features remains a description. The framework earns explanatory standing only if each feature is tied to a named mechanism with a predicted sign, so that the estimated coefficients can corroborate or contradict a prior expectation rather than merely summarize a sample. Three mechanisms organize the pre-solution feature block, and a fourth conditioning mechanism guards against confounding.</w:t>
      </w:r>
    </w:p>
    <w:p>
      <w:pPr>
        <w:pStyle w:val="BodyText"/>
        <w:spacing w:line="480" w:lineRule="auto"/>
        <w:ind w:firstLine="720"/>
      </w:pPr>
      <w:r>
        <w:t xml:space="preserve">The first mechanism is observation quantity. Each additional tracking pass adds geometric diversity and lengthens the effective span over which the dynamical model is constrained, so that the estimation problem becomes better posed and the realized error should fall. Short-arc OD studies establish this mechanism directly: initial orbit determination accuracy correlates strongly with the amount of observational arc seen, and adding arcs drives three-dimensional error down by more than an order of magnitude in the geosynchronous angles-only case</w:t>
      </w:r>
      <w:r>
        <w:t xml:space="preserve"> </w:t>
      </w:r>
      <w:hyperlink w:anchor="ref-5">
        <w:r>
          <w:rPr>
            <w:rStyle w:val="Hyperlink"/>
          </w:rPr>
          <w:t xml:space="preserve">[5]</w:t>
        </w:r>
      </w:hyperlink>
      <w:r>
        <w:t xml:space="preserve">. The companion cross-sectional paper quantified this mechanism, estimating that each additional tracking pass lowers base-ten log realized error by roughly 0.15 decades, equivalent to multiplying realized error by about 0.70 per pass, so that ten additional passes correspond to roughly 1.5 decades of reduction, the same order-of-magnitude improvement the short-arc literature reports as arcs accumulate</w:t>
      </w:r>
      <w:r>
        <w:t xml:space="preserve"> </w:t>
      </w:r>
      <w:hyperlink w:anchor="ref-5">
        <w:r>
          <w:rPr>
            <w:rStyle w:val="Hyperlink"/>
          </w:rPr>
          <w:t xml:space="preserve">[5]</w:t>
        </w:r>
      </w:hyperlink>
      <w:r>
        <w:t xml:space="preserve">. The predicted sign is therefore unambiguously negative: more observation lowers realized error.</w:t>
      </w:r>
    </w:p>
    <w:p>
      <w:pPr>
        <w:pStyle w:val="BodyText"/>
        <w:spacing w:line="480" w:lineRule="auto"/>
        <w:ind w:firstLine="720"/>
      </w:pPr>
      <w:r>
        <w:t xml:space="preserve">The second mechanism is tracking modality. Ranging measurements, whether satellite laser ranging or onboard global navigation satellite system tracking, constrain the radial and along-track directions far more tightly than angles-only optical data, which is weak in range. Multi-station and multi-fidelity studies confirm that observation-side design choices materially change achievable navigation accuracy: the structured, reproducible relationship between modeling and observation choices and realized accuracy is exactly what makes the modality mechanism analyzable rather than anecdotal</w:t>
      </w:r>
      <w:r>
        <w:t xml:space="preserve"> </w:t>
      </w:r>
      <w:hyperlink w:anchor="ref-4">
        <w:r>
          <w:rPr>
            <w:rStyle w:val="Hyperlink"/>
          </w:rPr>
          <w:t xml:space="preserve">[4]</w:t>
        </w:r>
      </w:hyperlink>
      <w:r>
        <w:t xml:space="preserve">, and multi-station tracking design has been shown to reduce measurement noise in a demonstrable way</w:t>
      </w:r>
      <w:r>
        <w:t xml:space="preserve"> </w:t>
      </w:r>
      <w:hyperlink w:anchor="ref-7">
        <w:r>
          <w:rPr>
            <w:rStyle w:val="Hyperlink"/>
          </w:rPr>
          <w:t xml:space="preserve">[7]</w:t>
        </w:r>
      </w:hyperlink>
      <w:r>
        <w:t xml:space="preserve">. Two-site debris studies that combine angle-only and laser-ranging observations make the modality contrast concrete, showing that the addition of range measurements changes the achievable error under otherwise limited observation environments</w:t>
      </w:r>
      <w:r>
        <w:t xml:space="preserve"> </w:t>
      </w:r>
      <w:hyperlink w:anchor="ref-10">
        <w:r>
          <w:rPr>
            <w:rStyle w:val="Hyperlink"/>
          </w:rPr>
          <w:t xml:space="preserve">[10]</w:t>
        </w:r>
      </w:hyperlink>
      <w:r>
        <w:t xml:space="preserve">. The predicted signs follow the physics: a laser-ranging or GNSS indicator should carry a negative coefficient relative to a range-free baseline, and an angles-only optical indicator should carry a positive coefficient, reflecting its range weakness.</w:t>
      </w:r>
    </w:p>
    <w:p>
      <w:pPr>
        <w:pStyle w:val="BodyText"/>
        <w:spacing w:line="480" w:lineRule="auto"/>
        <w:ind w:firstLine="720"/>
      </w:pPr>
      <w:r>
        <w:t xml:space="preserve">The third mechanism is dynamical regime. Well-behaved, intensively tracked targets deliver lower realized error than sparsely tracked objects, not only because they are tracked more but because their force environment is better modeled and their estimation problem is more benign. Regime must therefore enter as a conditioning feature rather than be pooled away, because pooling precision-tracked geodetic and cislunar targets with sparsely tracked optical objects without a regime control would bias any single-feature claim</w:t>
      </w:r>
      <w:r>
        <w:t xml:space="preserve"> </w:t>
      </w:r>
      <w:hyperlink w:anchor="ref-1">
        <w:r>
          <w:rPr>
            <w:rStyle w:val="Hyperlink"/>
          </w:rPr>
          <w:t xml:space="preserve">[1]</w:t>
        </w:r>
      </w:hyperlink>
      <w:r>
        <w:t xml:space="preserve">. The companion cross-sectional paper found exactly this: a cislunar-regime indicator carried a significant negative coefficient, reflecting that intensively tracked lunar solutions deliver markedly lower error than their pass count alone would predict, consistent with the multi-day, multi-modality arcs documented for those missions. Data-driven trajectory reconstruction studies reinforce the regime logic from the opposite direction, showing that machine-learning methods recover orbital states where dynamical models alone fall short precisely in the regimes where the force environment is hardest to model</w:t>
      </w:r>
      <w:r>
        <w:t xml:space="preserve"> </w:t>
      </w:r>
      <w:hyperlink w:anchor="ref-2">
        <w:r>
          <w:rPr>
            <w:rStyle w:val="Hyperlink"/>
          </w:rPr>
          <w:t xml:space="preserve">[2]</w:t>
        </w:r>
      </w:hyperlink>
      <w:r>
        <w:t xml:space="preserve">. The predicted sign of a regime indicator depends on the regime, but its inclusion is a methodological requirement: regime is a confounder of the quantity and modality mechanisms unless it is held fixed.</w:t>
      </w:r>
    </w:p>
    <w:p>
      <w:pPr>
        <w:pStyle w:val="BodyText"/>
        <w:spacing w:line="480" w:lineRule="auto"/>
        <w:ind w:firstLine="720"/>
      </w:pPr>
      <w:r>
        <w:t xml:space="preserve">The fourth mechanism is measurement-noise and force-model fidelity. The assumed measurement-noise prior and the fidelity of the dynamical model are pre-solution choices that should shift realized error and, equally important, should shift the relationship between the filter’s reported covariance and the truth. Multi-fidelity OD work shows that the relationship between modeling choices and realized accuracy is structured and reproducible enough to be analyzed quantitatively</w:t>
      </w:r>
      <w:r>
        <w:t xml:space="preserve"> </w:t>
      </w:r>
      <w:hyperlink w:anchor="ref-4">
        <w:r>
          <w:rPr>
            <w:rStyle w:val="Hyperlink"/>
          </w:rPr>
          <w:t xml:space="preserve">[4]</w:t>
        </w:r>
      </w:hyperlink>
      <w:r>
        <w:t xml:space="preserve">, and consolidated multi-state estimation practice treats measurement-error priors as first-class quantities precisely because mis-specified priors corrupt both the estimate and its reported uncertainty</w:t>
      </w:r>
      <w:r>
        <w:t xml:space="preserve"> </w:t>
      </w:r>
      <w:hyperlink w:anchor="ref-6">
        <w:r>
          <w:rPr>
            <w:rStyle w:val="Hyperlink"/>
          </w:rPr>
          <w:t xml:space="preserve">[6]</w:t>
        </w:r>
      </w:hyperlink>
      <w:r>
        <w:t xml:space="preserve">. This fourth mechanism is the bridge to the central rival explanation, because it is the channel through which the formal covariance becomes an unreliable summary of realized accuracy.</w:t>
      </w:r>
    </w:p>
    <w:p>
      <w:pPr>
        <w:pStyle w:val="BodyText"/>
        <w:spacing w:line="480" w:lineRule="auto"/>
        <w:ind w:firstLine="720"/>
      </w:pPr>
      <w:r>
        <w:t xml:space="preserve">The theory has directional content. These four mechanisms jointly specify it. Observation quantity lowers error; ranging modalities lower error and angles-only optical raises it; regime conditions the whole relationship; and noise and force-model fidelity move both the error and the trustworthiness of the filter’s self-report. The regression is the instrument that tests whether the data corroborate these signs jointly, and the hypotheses below convert the joint test into a decision.</w:t>
      </w:r>
    </w:p>
    <w:bookmarkEnd w:id="77"/>
    <w:bookmarkStart w:id="78" w:name="X8b705166a4d769ba73a20f53df872c4270d9e0a"/>
    <w:p>
      <w:pPr>
        <w:pStyle w:val="Heading2"/>
        <w:spacing w:line="480" w:lineRule="auto"/>
      </w:pPr>
      <w:r>
        <w:t xml:space="preserve">3.4 The Rival Explanation: Why the Formal Covariance Is the Correct Competitor</w:t>
      </w:r>
    </w:p>
    <w:p>
      <w:pPr>
        <w:pStyle w:val="FirstParagraph"/>
        <w:spacing w:line="480" w:lineRule="auto"/>
      </w:pPr>
      <w:r>
        <w:t xml:space="preserve">A theory of delivery accuracy must contend with the explanation already in operational use, namely that the filter’s reported formal covariance is itself a sufficient statistic for realized accuracy. Under this rival account, the estimator already encodes everything knowable about how accurate its solution will be: the covariance propagates the assumed measurement noise and the geometry of the observations through the estimation, and a tasking authority needs only to read the reported uncertainty to forecast the delivery. If that account were correct, the pre-solution feature block would add nothing once the covariance is conditioned upon, because the covariance would already have absorbed the information those features carry.</w:t>
      </w:r>
    </w:p>
    <w:p>
      <w:pPr>
        <w:pStyle w:val="BodyText"/>
        <w:spacing w:line="480" w:lineRule="auto"/>
        <w:ind w:firstLine="720"/>
      </w:pPr>
      <w:r>
        <w:t xml:space="preserve">The framework takes this rival seriously rather than dismissing it, and the experimental design is built to give it every chance to win. There are two reasons the formal covariance is the right competitor and not a straw man. First, it is the incumbent: it is the quantity navigation teams actually use to plan, so a demonstration that pre-solution features add nothing beyond it would vindicate current practice and a demonstration that they add something would have direct operational purchase. Second, it is theoretically defensible: a perfectly calibrated filter with correctly specified measurement-noise priors and a correct force model would in fact produce a covariance that is a sufficient statistic for the achievable accuracy, leaving no residual structure for the features to explain. The rival is not a weak hypothesis to be knocked down; it is the hypothesis that would hold if estimation practice were ideal.</w:t>
      </w:r>
    </w:p>
    <w:p>
      <w:pPr>
        <w:pStyle w:val="BodyText"/>
        <w:spacing w:line="480" w:lineRule="auto"/>
        <w:ind w:firstLine="720"/>
      </w:pPr>
      <w:r>
        <w:t xml:space="preserve">The reason to doubt that the rival holds in practice is the documented gap between reported and realized uncertainty. The formal covariance is known to be optimistic or miscalibrated when measurement-error and a priori assumptions are violated</w:t>
      </w:r>
      <w:r>
        <w:t xml:space="preserve"> </w:t>
      </w:r>
      <w:hyperlink w:anchor="ref-6">
        <w:r>
          <w:rPr>
            <w:rStyle w:val="Hyperlink"/>
          </w:rPr>
          <w:t xml:space="preserve">[6]</w:t>
        </w:r>
      </w:hyperlink>
      <w:r>
        <w:t xml:space="preserve">, which is the common rather than the exceptional case in operational tracking. When the assumed noise prior is wrong, or the force model omits a perturbation, the covariance and the truth diverge, and the divergence is itself a function of the pre-solution features through the fourth mechanism above. An operational SSA system report states the dependence plainly: the accuracy of the resulting orbit estimate depends strongly on tracking conditions rather than on the estimator label alone</w:t>
      </w:r>
      <w:r>
        <w:t xml:space="preserve"> </w:t>
      </w:r>
      <w:hyperlink w:anchor="ref-3">
        <w:r>
          <w:rPr>
            <w:rStyle w:val="Hyperlink"/>
          </w:rPr>
          <w:t xml:space="preserve">[3]</w:t>
        </w:r>
      </w:hyperlink>
      <w:r>
        <w:t xml:space="preserve">. If realized accuracy depends on conditions that the covariance does not fully encode, then pre-solution features that capture those conditions should carry predictive weight beyond the covariance. The framework therefore predicts that the covariance is a necessary baseline but not a sufficient statistic, and it stakes the dissertation on testing exactly that.</w:t>
      </w:r>
    </w:p>
    <w:p>
      <w:pPr>
        <w:pStyle w:val="BodyText"/>
        <w:spacing w:line="480" w:lineRule="auto"/>
        <w:ind w:firstLine="720"/>
      </w:pPr>
      <w:r>
        <w:t xml:space="preserve">This is the decisive refinement that distinguishes the dissertation from its companion papers. The first cross-sectional paper rejected the hypothesis that pre-solution features are jointly silent, but it tested the features against an intercept-only baseline, not against the covariance. Rejecting silence is necessary but not sufficient for the operational claim, because features could explain realized error and still add nothing once the covariance is in the model, if the covariance already encodes the same information. The dissertation closes that loophole by making the formal covariance the explicit baseline competitor, so that the test is one of incremental predictive value: do the features improve on the covariance, or does the covariance already say everything the features would say.</w:t>
      </w:r>
    </w:p>
    <w:bookmarkEnd w:id="78"/>
    <w:bookmarkStart w:id="79" w:name="the-formal-hypotheses"/>
    <w:p>
      <w:pPr>
        <w:pStyle w:val="Heading2"/>
        <w:spacing w:line="480" w:lineRule="auto"/>
      </w:pPr>
      <w:r>
        <w:t xml:space="preserve">3.5 The Formal Hypotheses</w:t>
      </w:r>
    </w:p>
    <w:p>
      <w:pPr>
        <w:pStyle w:val="FirstParagraph"/>
        <w:spacing w:line="480" w:lineRule="auto"/>
      </w:pPr>
      <w:r>
        <w:t xml:space="preserve">One comparison carries the test. The framework yields a single estimated comparison and one decisive test of incremental predictive value. Two nested models are specified on the same response variable, realized delivery error, decomposed into its along-track, cross-track, and radial components. The baseline model predicts realized error from the OD solution’s own reported formal covariance alone. The augmented model adds the pre-solution feature block: arc length, the number and angular spread of observations, tracking modality, the measurement-noise prior, and force-model fidelity. The hypotheses concern the difference in out-of-sample predictive accuracy between these two models.</w:t>
      </w:r>
    </w:p>
    <w:p>
      <w:pPr>
        <w:pStyle w:val="BodyText"/>
        <w:spacing w:line="480" w:lineRule="auto"/>
        <w:ind w:firstLine="720"/>
      </w:pPr>
      <w:r>
        <w:rPr>
          <w:b/>
          <w:bCs/>
        </w:rPr>
        <w:t xml:space="preserve">H0 (null).</w:t>
      </w:r>
      <w:r>
        <w:t xml:space="preserve"> </w:t>
      </w:r>
      <w:r>
        <w:t xml:space="preserve">Conditional on the OD solution’s own reported formal covariance, the pre-solution observable features provide no improvement in out-of-sample prediction of realized delivery error. Formally, a model using the formal covariance alone and a model adding the pre-solution feature block achieve statistically indistinguishable out-of-sample predictive accuracy for realized along-track, cross-track, and radial error.</w:t>
      </w:r>
    </w:p>
    <w:p>
      <w:pPr>
        <w:pStyle w:val="BodyText"/>
        <w:spacing w:line="480" w:lineRule="auto"/>
        <w:ind w:firstLine="720"/>
      </w:pPr>
      <w:r>
        <w:rPr>
          <w:b/>
          <w:bCs/>
        </w:rPr>
        <w:t xml:space="preserve">H1 (alternative).</w:t>
      </w:r>
      <w:r>
        <w:t xml:space="preserve"> </w:t>
      </w:r>
      <w:r>
        <w:t xml:space="preserve">The pre-solution features yield a statistically significant and practically meaningful reduction in out-of-sample prediction error of realized delivery accuracy beyond the formal covariance, and they identify a rank-ordered subset of features that carry the predictive weight.</w:t>
      </w:r>
    </w:p>
    <w:p>
      <w:pPr>
        <w:pStyle w:val="BodyText"/>
        <w:spacing w:line="480" w:lineRule="auto"/>
        <w:ind w:firstLine="720"/>
      </w:pPr>
      <w:r>
        <w:t xml:space="preserve">The decision rule is a held-out comparison of predictive accuracy rather than an in-sample test of fit. Solutions are partitioned by object and by epoch so that no object or time window appears in both the training and the test folds, which defeats leakage through shared dynamics, because consecutive solutions on the same object share a force environment and naive cross-validation would inflate apparent predictive value. The decision statistic is the paired difference in out-of-sample prediction error between the baseline and augmented models, evaluated with a Diebold-Mariano-style test on the held-out residuals. Feature importance, conditional on H1, is read from permutation importance and from coefficient stability across folds, so that the rank-ordering of features is a property that survives resampling rather than an artifact of one partition. Because realized error is heteroskedastic and heavy-tailed, especially in the along-track direction</w:t>
      </w:r>
      <w:r>
        <w:t xml:space="preserve"> </w:t>
      </w:r>
      <w:hyperlink w:anchor="ref-5">
        <w:r>
          <w:rPr>
            <w:rStyle w:val="Hyperlink"/>
          </w:rPr>
          <w:t xml:space="preserve">[5]</w:t>
        </w:r>
      </w:hyperlink>
      <w:r>
        <w:t xml:space="preserve">, the regression is specified on a variance-stabilizing transform with quantile checks, and a gradient-boosted regressor is run alongside the linear specification to separate genuine nonlinearity from misspecification. The companion papers’ use of the base-ten logarithm of realized error as the response, which stabilizes variance and renders the model interpretable in error decades, carries directly into this specification.</w:t>
      </w:r>
    </w:p>
    <w:p>
      <w:pPr>
        <w:pStyle w:val="BodyText"/>
        <w:spacing w:line="480" w:lineRule="auto"/>
        <w:ind w:firstLine="720"/>
      </w:pPr>
      <w:r>
        <w:t xml:space="preserve">Two design choices keep the test honest in the direction of H0. First, the baseline filter is tuned to its best calibrated state before the comparison, consistent with multi-state estimation practice that treats measurement-error priors as first-class</w:t>
      </w:r>
      <w:r>
        <w:t xml:space="preserve"> </w:t>
      </w:r>
      <w:hyperlink w:anchor="ref-6">
        <w:r>
          <w:rPr>
            <w:rStyle w:val="Hyperlink"/>
          </w:rPr>
          <w:t xml:space="preserve">[6]</w:t>
        </w:r>
      </w:hyperlink>
      <w:r>
        <w:t xml:space="preserve">, so that a poorly tuned filter cannot make the covariance an artificially weak competitor and bias the test toward H1. Second, modality is carried as an explicit feature rather than pooled away, because laser and optical residual statistics differ</w:t>
      </w:r>
      <w:r>
        <w:t xml:space="preserve"> </w:t>
      </w:r>
      <w:hyperlink w:anchor="ref-5">
        <w:r>
          <w:rPr>
            <w:rStyle w:val="Hyperlink"/>
          </w:rPr>
          <w:t xml:space="preserve">[5]</w:t>
        </w:r>
      </w:hyperlink>
      <w:r>
        <w:t xml:space="preserve"> </w:t>
      </w:r>
      <w:r>
        <w:t xml:space="preserve">and pooling them would manufacture variance for the feature block to explain. The formal-covariance baseline is, in this sense, the deliberate straw man inverted: the study is built to give the null every chance to win, so that a rejection is credible and a failure to reject is informative.</w:t>
      </w:r>
    </w:p>
    <w:bookmarkEnd w:id="79"/>
    <w:bookmarkStart w:id="80" w:name="identifying-assumptions"/>
    <w:p>
      <w:pPr>
        <w:pStyle w:val="Heading2"/>
        <w:spacing w:line="480" w:lineRule="auto"/>
      </w:pPr>
      <w:r>
        <w:t xml:space="preserve">3.6 Identifying Assumptions</w:t>
      </w:r>
    </w:p>
    <w:p>
      <w:pPr>
        <w:pStyle w:val="FirstParagraph"/>
        <w:spacing w:line="480" w:lineRule="auto"/>
      </w:pPr>
      <w:r>
        <w:t xml:space="preserve">The test rests on assumptions that must be stated as plainly as the hypotheses they support. The first assumption is that an independent precision-orbit truth exists for each solution and is produced without drawing on the same observations as the candidate solution. If the truth orbit and the candidate solution share passes, realized error is mechanically understated, so the design enforces non-overlapping observation windows between the solution arc and the truth arc. The independently produced precision orbit ephemerides published for well-tracked geodetic and cislunar targets, against which realized error has been documented in the literature, supply truth that is externally published and provenance-traceable rather than self-reported by the estimator</w:t>
      </w:r>
      <w:r>
        <w:t xml:space="preserve"> </w:t>
      </w:r>
      <w:hyperlink w:anchor="ref-9">
        <w:r>
          <w:rPr>
            <w:rStyle w:val="Hyperlink"/>
          </w:rPr>
          <w:t xml:space="preserve">[9]</w:t>
        </w:r>
      </w:hyperlink>
      <w:r>
        <w:t xml:space="preserve">, which is precisely the property that makes the comparison credible.</w:t>
      </w:r>
    </w:p>
    <w:p>
      <w:pPr>
        <w:pStyle w:val="BodyText"/>
        <w:spacing w:line="480" w:lineRule="auto"/>
        <w:ind w:firstLine="720"/>
      </w:pPr>
      <w:r>
        <w:t xml:space="preserve">The second assumption is that the object-and-epoch-blocked partition removes leakage. Because solutions on the same object share dynamics, the partition must hold out whole objects and whole time windows, and a stricter forward-chaining temporal split is reported as a robustness check so that the conclusion does not depend on a single partition scheme. The third assumption is the calibration of the baseline: the formal covariance must reflect a filter tuned to its best state, because the comparison is meaningful only against a competitor at its strongest</w:t>
      </w:r>
      <w:r>
        <w:t xml:space="preserve"> </w:t>
      </w:r>
      <w:hyperlink w:anchor="ref-6">
        <w:r>
          <w:rPr>
            <w:rStyle w:val="Hyperlink"/>
          </w:rPr>
          <w:t xml:space="preserve">[6]</w:t>
        </w:r>
      </w:hyperlink>
      <w:r>
        <w:t xml:space="preserve">. The fourth assumption is that modality and regime are observed and recorded for every solution, so that the confounding the third and fourth mechanisms warn against is controlled by inclusion rather than by hope. The companion cross-sectional finding that collinearity among pass count, arc span, and modality compresses the individual modality coefficients is a warning carried forward: the joint test of incremental value is the robust object, and the rank-ordering of individual features is read as suggestive where collinearity is present.</w:t>
      </w:r>
    </w:p>
    <w:p>
      <w:pPr>
        <w:pStyle w:val="BodyText"/>
        <w:spacing w:line="480" w:lineRule="auto"/>
        <w:ind w:firstLine="720"/>
      </w:pPr>
      <w:r>
        <w:t xml:space="preserve">The framework does not claim that these assumptions isolate a single causal channel. The experience-axis result of the second companion paper is explicitly reduced-form, bundling genuine learning with contemporaneous hardware and ephemeris improvements, and the cross-sectional regression aggregates reported summary statistics rather than solution-level records. The dissertation’s design improves on both by working at solution-level granularity with externally published truth, but the estimand remains a conditional expectation, not a structural parameter. What the test can establish is whether the features carry information beyond the covariance, and which features carry it, not the deep causal anatomy of why a particular force model failed on a particular night.</w:t>
      </w:r>
    </w:p>
    <w:bookmarkEnd w:id="80"/>
    <w:bookmarkStart w:id="81" w:name="the-symmetry-of-outcomes"/>
    <w:p>
      <w:pPr>
        <w:pStyle w:val="Heading2"/>
        <w:spacing w:line="480" w:lineRule="auto"/>
      </w:pPr>
      <w:r>
        <w:t xml:space="preserve">3.7 The Symmetry of Outcomes</w:t>
      </w:r>
    </w:p>
    <w:p>
      <w:pPr>
        <w:pStyle w:val="FirstParagraph"/>
        <w:spacing w:line="480" w:lineRule="auto"/>
      </w:pPr>
      <w:r>
        <w:t xml:space="preserve">The framework is constructed so that both outcomes of the test are scientifically and operationally informative, which is the property that licenses the claim that a null result is as valuable as a positive one. If H0 holds, the formal covariance is vindicated as a sufficient planning statistic: navigation teams are justified in treating reported covariance as the prospective accuracy forecast, feature-level modeling adds nothing beyond it, and the field’s migration toward learned error correction would be revealed as redundant with information the filter already reports</w:t>
      </w:r>
      <w:r>
        <w:t xml:space="preserve"> </w:t>
      </w:r>
      <w:hyperlink w:anchor="ref-8">
        <w:r>
          <w:rPr>
            <w:rStyle w:val="Hyperlink"/>
          </w:rPr>
          <w:t xml:space="preserve">[8]</w:t>
        </w:r>
      </w:hyperlink>
      <w:r>
        <w:t xml:space="preserve">. That is a strong, publishable finding that would redirect effort away from feature engineering and toward covariance calibration. If H1 holds, realized accuracy can be forecast and steered before truth is known, the rank-ordered feature set tells a tasking authority which lever to pull, and the operational implication is concrete: the marginal value of an additional pass, a ranging modality, or a higher-fidelity force model becomes estimable rather than anecdotal</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The companion finding that observation quantity is the single most reliable lever, with each pass buying a predictable error reduction, becomes a planning instrument rather than a retrospective observation.</w:t>
      </w:r>
    </w:p>
    <w:p>
      <w:pPr>
        <w:pStyle w:val="BodyText"/>
        <w:spacing w:line="480" w:lineRule="auto"/>
        <w:ind w:firstLine="720"/>
      </w:pPr>
      <w:r>
        <w:t xml:space="preserve">The two outcomes correspond to two distinct states of estimation practice. H0 is the world in which estimation is effectively ideal, the covariance encodes the achievable accuracy, and there is no residual structure for features to explain. H1 is the world in which the documented gap between reported and realized uncertainty is real, the covariance is necessary but not sufficient, and the pre-solution conditions that the survey literature names as determinative of accuracy</w:t>
      </w:r>
      <w:r>
        <w:t xml:space="preserve"> </w:t>
      </w:r>
      <w:hyperlink w:anchor="ref-1">
        <w:r>
          <w:rPr>
            <w:rStyle w:val="Hyperlink"/>
          </w:rPr>
          <w:t xml:space="preserve">[1]</w:t>
        </w:r>
      </w:hyperlink>
      <w:r>
        <w:t xml:space="preserve">,</w:t>
      </w:r>
      <w:r>
        <w:t xml:space="preserve"> </w:t>
      </w:r>
      <w:hyperlink w:anchor="ref-3">
        <w:r>
          <w:rPr>
            <w:rStyle w:val="Hyperlink"/>
          </w:rPr>
          <w:t xml:space="preserve">[3]</w:t>
        </w:r>
      </w:hyperlink>
      <w:r>
        <w:t xml:space="preserve"> </w:t>
      </w:r>
      <w:r>
        <w:t xml:space="preserve">are not fully propagated into the filter’s self-report. The dissertation’s empirical contribution is to determine which of those two worlds the operational record occupies, using externally published truth and a leakage-defeating partition so that the determination is credible. The chapters that follow operationalize this framework: the data and provenance pipeline that supplies feature-to-truth pairs, the estimation and held-out comparison that executes the test of H0 against H1, and the threats-to-validity analysis that bounds the conclusion. The theoretical claim of this chapter is prior to all of them: delivery accuracy is a conditional expectation on pre-solution features, the formal covariance is the correct rival against which that expectation must be tested, and the hypotheses H0 and H1 are the falsifiable form of the question a tasking authority has always asked but the field has answered only after the fact.</w:t>
      </w:r>
    </w:p>
    <w:bookmarkEnd w:id="81"/>
    <w:bookmarkEnd w:id="82"/>
    <w:bookmarkStart w:id="97" w:name="chapter-4.-data-and-measurement"/>
    <w:p>
      <w:pPr>
        <w:pStyle w:val="Heading1"/>
        <w:spacing w:line="480" w:lineRule="auto"/>
      </w:pPr>
      <w:r>
        <w:t xml:space="preserve">Chapter 4. Data and Measurement</w:t>
      </w:r>
    </w:p>
    <w:bookmarkStart w:id="83" w:name="purpose-and-scope-of-the-chapter"/>
    <w:p>
      <w:pPr>
        <w:pStyle w:val="Heading2"/>
        <w:spacing w:line="480" w:lineRule="auto"/>
      </w:pPr>
      <w:r>
        <w:t xml:space="preserve">4.1 Purpose and Scope of the Chapter</w:t>
      </w:r>
    </w:p>
    <w:p>
      <w:pPr>
        <w:pStyle w:val="FirstParagraph"/>
        <w:spacing w:line="480" w:lineRule="auto"/>
      </w:pPr>
      <w:r>
        <w:t xml:space="preserve">This chapter specifies the empirical material on which the dissertation’s two estimating studies rest. The task is narrow and exacting. A regression argument about what predicts realized orbit-determination (OD) delivery error is only as credible as the records from which its dependent variable, its features, and its unit of analysis are constructed. The previous chapters established the conceptual reframing of delivery accuracy as a supervised regression problem and the falsifiable hypotheses that follow from it. The work here is to make the measurement apparatus auditable: to name the authoritative sources behind each dataset, to fix the unit of analysis precisely, and to show how every variable is built from a primary record rather than asserted.</w:t>
      </w:r>
    </w:p>
    <w:p>
      <w:pPr>
        <w:pStyle w:val="BodyText"/>
        <w:spacing w:line="480" w:lineRule="auto"/>
        <w:ind w:firstLine="720"/>
      </w:pPr>
      <w:r>
        <w:t xml:space="preserve">The chapter treats two distinct but complementary datasets. The first, used in the cross-sectional study, assembles twenty-eight documented OD results across a deliberately heterogeneous span of orbital regimes and tracking modalities and asks which pre-solution features of a determination predict the realized three-dimensional position error it delivers. The second, used in the learning-curve study, assembles twenty documented operational deep-space targeted-delivery events spanning more than five decades and asks whether the accumulated operational experience of a navigation program predicts the achieved miss at the target. The two share a common philosophical commitment: the outcome variable in each is an externally documented, provenance-traceable realized error, never a quantity inferred from the estimator that is itself under examination. This commitment is what distinguishes the work from the field’s two incomplete idioms, the filter’s own formal covariance and post hoc narrative, and it is the reason the measurement design receives a full chapter rather than a paragraph.</w:t>
      </w:r>
    </w:p>
    <w:p>
      <w:pPr>
        <w:pStyle w:val="BodyText"/>
        <w:spacing w:line="480" w:lineRule="auto"/>
        <w:ind w:firstLine="720"/>
      </w:pPr>
      <w:r>
        <w:t xml:space="preserve">The chapter also describes a third, larger, fully reproducible data pathway that the prospectus identifies as the natural extension of the cross-sectional study: the International Laser Ranging Service (ILRS) normal-point archive paired with independently published precision orbit ephemerides, accessed through NASA’s Crustal Dynamics Data Information System (CDDIS). That pathway is not the source of the twenty-eight rows analyzed in the present study, which are drawn from published scenario tables; rather, it is the operational analogue toward which the design points, and its inclusion here is honest scope-setting rather than a claim of completed analysis.</w:t>
      </w:r>
    </w:p>
    <w:bookmarkEnd w:id="83"/>
    <w:bookmarkStart w:id="84" w:name="the-unit-of-analysis"/>
    <w:p>
      <w:pPr>
        <w:pStyle w:val="Heading2"/>
        <w:spacing w:line="480" w:lineRule="auto"/>
      </w:pPr>
      <w:r>
        <w:t xml:space="preserve">4.2 The Unit of Analysis</w:t>
      </w:r>
    </w:p>
    <w:p>
      <w:pPr>
        <w:pStyle w:val="FirstParagraph"/>
        <w:spacing w:line="480" w:lineRule="auto"/>
      </w:pPr>
      <w:r>
        <w:t xml:space="preserve">The unit of analysis differs between the two studies, and stating each one precisely is the first guard against category error.</w:t>
      </w:r>
    </w:p>
    <w:p>
      <w:pPr>
        <w:pStyle w:val="BodyText"/>
        <w:spacing w:line="480" w:lineRule="auto"/>
        <w:ind w:firstLine="720"/>
      </w:pPr>
      <w:r>
        <w:t xml:space="preserve">In the cross-sectional study, the unit of analysis is a single documented OD result for which a realized total three-dimensional position error is reported by a named public source. Each unit is therefore one determination scenario: a particular object, tracked under a particular observation plan, processed to a particular solution, and compared against an independent truth to yield one realized error figure. The estimand is the conditional expectation of realized delivery error given the pre-solution features of that scenario. This choice of unit is consequential. It means the dataset is a panel of representative determination outcomes rather than a panel of individual measurement residuals, and the dissertation is explicit that this aggregation compresses within-scenario heterogeneity into a single representative row per scenario. The prospectus frames the idealized version of this unit as a single OD solution for which an independent precision-orbit truth later becomes available, so that realized error is observed rather than inferred from the filter. The twenty-eight-row dataset is the publicly documented approximation of that ideal, assembled from published tables where solution-level records are not openly available.</w:t>
      </w:r>
    </w:p>
    <w:p>
      <w:pPr>
        <w:pStyle w:val="BodyText"/>
        <w:spacing w:line="480" w:lineRule="auto"/>
        <w:ind w:firstLine="720"/>
      </w:pPr>
      <w:r>
        <w:t xml:space="preserve">In the learning-curve study, the unit of analysis is a single operational deep-space targeted-delivery event. Each unit is one arrival: a flyby, an orbit insertion, or an entry-descent-landing, executed by a navigation program and reported publicly. The estimand is the relationship between a program’s accumulated operational experience and the realized miss at the target on a given arrival. Here the unit is intrinsically event-level, because the phenomenon of interest, learning across repeated executions of a class of task, is defined over the sequence of arrivals themselves.</w:t>
      </w:r>
    </w:p>
    <w:p>
      <w:pPr>
        <w:pStyle w:val="BodyText"/>
        <w:spacing w:line="480" w:lineRule="auto"/>
        <w:ind w:firstLine="720"/>
      </w:pPr>
      <w:r>
        <w:t xml:space="preserve">The two units are related but not interchangeable. The cross-sectional unit isolates the conditions of a determination; the learning-curve unit isolates the experiential position of a delivery within a program’s history. Conflating them would be a measurement error, and the dissertation keeps them separate by design.</w:t>
      </w:r>
    </w:p>
    <w:bookmarkEnd w:id="84"/>
    <w:bookmarkStart w:id="89" w:name="X48e9eaa8fa29497374cd1e869c83d579b29a970"/>
    <w:p>
      <w:pPr>
        <w:pStyle w:val="Heading2"/>
        <w:spacing w:line="480" w:lineRule="auto"/>
      </w:pPr>
      <w:r>
        <w:t xml:space="preserve">4.3 Dataset One: The Cross-Sectional OD Scenario Dataset</w:t>
      </w:r>
    </w:p>
    <w:bookmarkStart w:id="85" w:name="composition-and-authoritative-sources"/>
    <w:p>
      <w:pPr>
        <w:pStyle w:val="Heading3"/>
        <w:spacing w:line="480" w:lineRule="auto"/>
      </w:pPr>
      <w:r>
        <w:t xml:space="preserve">4.3.1 Composition and Authoritative Sources</w:t>
      </w:r>
    </w:p>
    <w:p>
      <w:pPr>
        <w:pStyle w:val="FirstParagraph"/>
        <w:spacing w:line="480" w:lineRule="auto"/>
      </w:pPr>
      <w:r>
        <w:t xml:space="preserve">The cross-sectional dataset assembles twenty-eight documented OD results, each carrying its source in the final column of the data file. The compositional logic is to span as wide a range of realized error as the public record allows, so that the regression is estimated across roughly seven orders of magnitude, from centimeter-level precision low-Earth-orbit determination to tens of kilometers for angles-only initial orbit determination in geosynchronous orbit. This deliberate heterogeneity is the dataset’s principal strength and its principal hazard, and Section 4.6 returns to the hazard.</w:t>
      </w:r>
    </w:p>
    <w:p>
      <w:pPr>
        <w:pStyle w:val="BodyText"/>
        <w:spacing w:line="480" w:lineRule="auto"/>
        <w:ind w:firstLine="720"/>
      </w:pPr>
      <w:r>
        <w:t xml:space="preserve">The constituent sources are the following. Nine rows come from a two-site debris orbit-determination study that reports three-dimensional position root-mean-square error across angle-only and laser-aided cases, drawn from its published scenario tables</w:t>
      </w:r>
      <w:r>
        <w:t xml:space="preserve"> </w:t>
      </w:r>
      <w:hyperlink w:anchor="ref-10">
        <w:r>
          <w:rPr>
            <w:rStyle w:val="Hyperlink"/>
          </w:rPr>
          <w:t xml:space="preserve">[10]</w:t>
        </w:r>
      </w:hyperlink>
      <w:r>
        <w:t xml:space="preserve">. These rows populate the limited-observation, ground-tracking portion of the error range and supply the explicit contrast between angles-only and laser-aided geometry that the modality features exploit. Three geosynchronous angles-only initial-orbit-determination rows trace the documented improvement from roughly 128 kilometers of three-dimensional error with two short arcs down to about 15 kilometers with ten arcs; this sequence is consistent with, and motivated by, the short-arc accuracy behavior that the optical-and-laser tracking literature established, namely that three-dimensional error in the geosynchronous angles-only case falls by more than an order of magnitude as arcs accumulate</w:t>
      </w:r>
      <w:r>
        <w:t xml:space="preserve"> </w:t>
      </w:r>
      <w:hyperlink w:anchor="ref-5">
        <w:r>
          <w:rPr>
            <w:rStyle w:val="Hyperlink"/>
          </w:rPr>
          <w:t xml:space="preserve">[5]</w:t>
        </w:r>
      </w:hyperlink>
      <w:r>
        <w:t xml:space="preserve">. Two single-epoch GPS coarse initial-orbit-determination rows for geosynchronous orbit bound the kilometer-scale regime.</w:t>
      </w:r>
    </w:p>
    <w:p>
      <w:pPr>
        <w:pStyle w:val="BodyText"/>
        <w:spacing w:line="480" w:lineRule="auto"/>
        <w:ind w:firstLine="720"/>
      </w:pPr>
      <w:r>
        <w:t xml:space="preserve">Several precision low-Earth-orbit determination rows, including GRACE, TOPEX/Poseidon, Jason-1, and ICESat, anchor the centimeter end of the range with global navigation satellite system and laser ranging. Lunar Reconnaissance Orbiter rows supply the cislunar portion of the dataset, drawn from NASA technical reports and a peer-reviewed status paper</w:t>
      </w:r>
      <w:r>
        <w:t xml:space="preserve"> </w:t>
      </w:r>
      <w:hyperlink w:anchor="ref-9">
        <w:r>
          <w:rPr>
            <w:rStyle w:val="Hyperlink"/>
          </w:rPr>
          <w:t xml:space="preserve">[9]</w:t>
        </w:r>
      </w:hyperlink>
      <w:r>
        <w:t xml:space="preserve">; these range from sub-ten-meter total position knowledge with combined S-band and laser ranging down to a one-hundred-to-two-hundred-fifty-meter band with S-band alone. Magnetospheric Multiscale onboard GPS navigation results supply the highly elliptical Earth-orbit rows. The result is a dataset that is intentionally not a sample from a single homogeneous population but a curated cross-section of the documented OD performance envelope, with each regime represented by externally reported figures.</w:t>
      </w:r>
    </w:p>
    <w:bookmarkEnd w:id="85"/>
    <w:bookmarkStart w:id="86" w:name="the-dependent-variable"/>
    <w:p>
      <w:pPr>
        <w:pStyle w:val="Heading3"/>
        <w:spacing w:line="480" w:lineRule="auto"/>
      </w:pPr>
      <w:r>
        <w:t xml:space="preserve">4.3.2 The Dependent Variable</w:t>
      </w:r>
    </w:p>
    <w:p>
      <w:pPr>
        <w:pStyle w:val="FirstParagraph"/>
        <w:spacing w:line="480" w:lineRule="auto"/>
      </w:pPr>
      <w:r>
        <w:t xml:space="preserve">The dependent variable is realized total three-dimensional position error, the quantity an operational navigation team is ultimately judged on, defined as the difference between the orbit a determination process delivers and the orbit later reconstructed as truth</w:t>
      </w:r>
      <w:r>
        <w:t xml:space="preserve"> </w:t>
      </w:r>
      <w:hyperlink w:anchor="ref-1">
        <w:r>
          <w:rPr>
            <w:rStyle w:val="Hyperlink"/>
          </w:rPr>
          <w:t xml:space="preserve">[1]</w:t>
        </w:r>
      </w:hyperlink>
      <w:r>
        <w:t xml:space="preserve">. Because realized error in this dataset spans from roughly 0.01 meters to 128,000 meters, the regression does not model raw meters. It models the base-10 logarithm of realized error. This transform is not cosmetic. It stabilizes a variance that is otherwise grossly non-constant across seven decades of magnitude, and it renders the fitted model interpretable as a statement about error decades rather than raw meters, so that a coefficient reads as a multiplicative effect on realized error. The choice is consistent with the heteroskedastic and heavy-tailed character of realized OD error, which the short-arc literature documents in the along-track direction in particular</w:t>
      </w:r>
      <w:r>
        <w:t xml:space="preserve"> </w:t>
      </w:r>
      <w:hyperlink w:anchor="ref-5">
        <w:r>
          <w:rPr>
            <w:rStyle w:val="Hyperlink"/>
          </w:rPr>
          <w:t xml:space="preserve">[5]</w:t>
        </w:r>
      </w:hyperlink>
      <w:r>
        <w:t xml:space="preserve">, and it is the reason the prospectus specifies the regression on a variance-stabilizing transform with quantile checks.</w:t>
      </w:r>
    </w:p>
    <w:p>
      <w:pPr>
        <w:pStyle w:val="BodyText"/>
        <w:spacing w:line="480" w:lineRule="auto"/>
        <w:ind w:firstLine="720"/>
      </w:pPr>
      <w:r>
        <w:t xml:space="preserve">A point of measurement integrity belongs here. Realized-error outcomes in this dataset are never illustrative. Every realized-error figure is a documented value reported by a named source. The only qualitatively reported quantities are a small number of arc-span minute values, which are documented spans reported qualitatively by their source and which constitute well under fifteen percent of the dataset. The dependent variable itself carries no reconstructed or illustrative entries, which is the condition under which a null result would be as informative as a positive one.</w:t>
      </w:r>
    </w:p>
    <w:bookmarkEnd w:id="86"/>
    <w:bookmarkStart w:id="87" w:name="construction-of-the-feature-block"/>
    <w:p>
      <w:pPr>
        <w:pStyle w:val="Heading3"/>
        <w:spacing w:line="480" w:lineRule="auto"/>
      </w:pPr>
      <w:r>
        <w:t xml:space="preserve">4.3.3 Construction of the Feature Block</w:t>
      </w:r>
    </w:p>
    <w:p>
      <w:pPr>
        <w:pStyle w:val="FirstParagraph"/>
        <w:spacing w:line="480" w:lineRule="auto"/>
      </w:pPr>
      <w:r>
        <w:t xml:space="preserve">The pre-solution feature block is the set of variables observable before truth is known, and each is constructed from the primary scenario record rather than imputed. The block comprises observation arc span in minutes, number of passes, a laser-aided indicator, a global-navigation-satellite-system indicator, an angles-only optical indicator, and a cislunar-regime indicator.</w:t>
      </w:r>
    </w:p>
    <w:p>
      <w:pPr>
        <w:pStyle w:val="BodyText"/>
        <w:spacing w:line="480" w:lineRule="auto"/>
        <w:ind w:firstLine="720"/>
      </w:pPr>
      <w:r>
        <w:t xml:space="preserve">Observation arc span in minutes is read directly from each scenario’s reported observation window. It is the elapsed observational duration over which the dynamical model is constrained, and it enters the regression as a continuous feature.</w:t>
      </w:r>
    </w:p>
    <w:p>
      <w:pPr>
        <w:pStyle w:val="BodyText"/>
        <w:spacing w:line="480" w:lineRule="auto"/>
        <w:ind w:firstLine="720"/>
      </w:pPr>
      <w:r>
        <w:t xml:space="preserve">Number of passes is the count of distinct tracking passes folded into the solution. This is the dataset’s primary operationalization of observation quantity, the mechanism by which geometric diversity and effective span accumulate. It is read from the scenario record where the source reports it explicitly, as in the geosynchronous angles-only sequence whose rows are distinguished precisely by their two-arc, intermediate, and ten-arc pass counts</w:t>
      </w:r>
      <w:r>
        <w:t xml:space="preserve"> </w:t>
      </w:r>
      <w:hyperlink w:anchor="ref-5">
        <w:r>
          <w:rPr>
            <w:rStyle w:val="Hyperlink"/>
          </w:rPr>
          <w:t xml:space="preserve">[5]</w:t>
        </w:r>
      </w:hyperlink>
      <w:r>
        <w:t xml:space="preserve">.</w:t>
      </w:r>
    </w:p>
    <w:p>
      <w:pPr>
        <w:pStyle w:val="BodyText"/>
        <w:spacing w:line="480" w:lineRule="auto"/>
        <w:ind w:firstLine="720"/>
      </w:pPr>
      <w:r>
        <w:t xml:space="preserve">The three modality indicators encode the measurement type that supplied the observations. The laser-aided indicator marks scenarios in which satellite laser ranging or comparable ranging augmentation constrains the radial and along-track directions. The global-navigation-satellite-system indicator marks scenarios using onboard GNSS or GPS tracking. The angles-only optical indicator marks range-weak optical-only scenarios. These are constructed as mutually informative dummy variables against an omitted baseline of radiometric S-band tracking without ranging augmentation, so that each modality coefficient reads as a level shift in log error relative to that baseline. This construction is deliberate: the multi-station and multi-fidelity literature establishes that observation-side design choices materially change achievable accuracy</w:t>
      </w:r>
      <w:r>
        <w:t xml:space="preserve"> </w:t>
      </w:r>
      <w:hyperlink w:anchor="ref-4">
        <w:r>
          <w:rPr>
            <w:rStyle w:val="Hyperlink"/>
          </w:rPr>
          <w:t xml:space="preserve">[4]</w:t>
        </w:r>
      </w:hyperlink>
      <w:r>
        <w:t xml:space="preserve">,</w:t>
      </w:r>
      <w:r>
        <w:t xml:space="preserve"> </w:t>
      </w:r>
      <w:hyperlink w:anchor="ref-7">
        <w:r>
          <w:rPr>
            <w:rStyle w:val="Hyperlink"/>
          </w:rPr>
          <w:t xml:space="preserve">[7]</w:t>
        </w:r>
      </w:hyperlink>
      <w:r>
        <w:t xml:space="preserve">, and carrying modality as an explicit feature rather than pooling it away is the design response to that finding and to the documented difference between laser and optical residual statistics</w:t>
      </w:r>
      <w:r>
        <w:t xml:space="preserve"> </w:t>
      </w:r>
      <w:hyperlink w:anchor="ref-5">
        <w:r>
          <w:rPr>
            <w:rStyle w:val="Hyperlink"/>
          </w:rPr>
          <w:t xml:space="preserve">[5]</w:t>
        </w:r>
      </w:hyperlink>
      <w:r>
        <w:t xml:space="preserve">.</w:t>
      </w:r>
    </w:p>
    <w:p>
      <w:pPr>
        <w:pStyle w:val="BodyText"/>
        <w:spacing w:line="480" w:lineRule="auto"/>
        <w:ind w:firstLine="720"/>
      </w:pPr>
      <w:r>
        <w:t xml:space="preserve">The cislunar-regime indicator is a conditioning feature that marks the dynamical regime of the object, separating the intensively tracked cislunar solutions from the near-Earth scenarios. It is carried explicitly because the realized error of a determination depends strongly on the regime it inhabits, and pooling precision-tracked cislunar targets with sparsely tracked optical objects without a regime control would bias any single-feature claim</w:t>
      </w:r>
      <w:r>
        <w:t xml:space="preserve"> </w:t>
      </w:r>
      <w:hyperlink w:anchor="ref-1">
        <w:r>
          <w:rPr>
            <w:rStyle w:val="Hyperlink"/>
          </w:rPr>
          <w:t xml:space="preserve">[1]</w:t>
        </w:r>
      </w:hyperlink>
      <w:r>
        <w:t xml:space="preserve">. The regime indicator is constructed from the documented orbital classification of each scenario’s target, not inferred from its error.</w:t>
      </w:r>
    </w:p>
    <w:bookmarkEnd w:id="87"/>
    <w:bookmarkStart w:id="88" w:name="the-formal-covariance-baseline"/>
    <w:p>
      <w:pPr>
        <w:pStyle w:val="Heading3"/>
        <w:spacing w:line="480" w:lineRule="auto"/>
      </w:pPr>
      <w:r>
        <w:t xml:space="preserve">4.3.4 The Formal-Covariance Baseline</w:t>
      </w:r>
    </w:p>
    <w:p>
      <w:pPr>
        <w:pStyle w:val="FirstParagraph"/>
        <w:spacing w:line="480" w:lineRule="auto"/>
      </w:pPr>
      <w:r>
        <w:t xml:space="preserve">The prospectus specifies a baseline against which the feature block must prove its incremental worth: the OD solution’s own reported formal covariance. This baseline is the explicit straw man of the cross-sectional design. The formal covariance is the estimator’s internal belief about its own uncertainty, and the field’s first idiom for reasoning about delivery accuracy treats it as a sufficient planning statistic. The measurement design constructs the baseline from each solution’s reported covariance where the source publishes it, so that a model using formal covariance alone can be compared head-to-head against a model that adds the pre-solution features. The dissertation is candid that a poorly tuned filter would make the covariance an artificially weak competitor and bias the test toward the alternative hypothesis; the design therefore requires the baseline filter to be tuned to its best calibrated state before the comparison, consistent with multi-state estimation practice that treats measurement-error priors as first-class</w:t>
      </w:r>
      <w:r>
        <w:t xml:space="preserve"> </w:t>
      </w:r>
      <w:hyperlink w:anchor="ref-6">
        <w:r>
          <w:rPr>
            <w:rStyle w:val="Hyperlink"/>
          </w:rPr>
          <w:t xml:space="preserve">[6]</w:t>
        </w:r>
      </w:hyperlink>
      <w:r>
        <w:t xml:space="preserve">. Where the published record does not supply a usable covariance for a scenario, the present twenty-eight-row study reports the joint-explanatory result against the intercept-only model and reserves the full nested covariance comparison for the ILRS pathway described in Section 4.5, where formal covariances are recoverable end to end.</w:t>
      </w:r>
    </w:p>
    <w:bookmarkEnd w:id="88"/>
    <w:bookmarkEnd w:id="89"/>
    <w:bookmarkStart w:id="93" w:name="X9222b794452f45f5a62718e227ee4ce81f888de"/>
    <w:p>
      <w:pPr>
        <w:pStyle w:val="Heading2"/>
        <w:spacing w:line="480" w:lineRule="auto"/>
      </w:pPr>
      <w:r>
        <w:t xml:space="preserve">4.4 Dataset Two: The Learning-Curve Delivery Dataset</w:t>
      </w:r>
    </w:p>
    <w:bookmarkStart w:id="90" w:name="composition-and-authoritative-sources-1"/>
    <w:p>
      <w:pPr>
        <w:pStyle w:val="Heading3"/>
        <w:spacing w:line="480" w:lineRule="auto"/>
      </w:pPr>
      <w:r>
        <w:t xml:space="preserve">4.4.1 Composition and Authoritative Sources</w:t>
      </w:r>
    </w:p>
    <w:p>
      <w:pPr>
        <w:pStyle w:val="FirstParagraph"/>
        <w:spacing w:line="480" w:lineRule="auto"/>
      </w:pPr>
      <w:r>
        <w:t xml:space="preserve">The learning-curve dataset assembles twenty documented operational deep-space targeted-delivery events spanning 1971 to 2022, each a publicly reported arrival in the JPL-led planetary navigation lineage and its immediate peers. The compositional intent is to capture the full sweep of the documented record, from aiming zones hundreds of kilometers on a side in the early 1970s to meter-class touchdowns on small bodies, so that the experience axis runs across the entire history of operational optical and radiometric deep-space navigation.</w:t>
      </w:r>
    </w:p>
    <w:p>
      <w:pPr>
        <w:pStyle w:val="BodyText"/>
        <w:spacing w:line="480" w:lineRule="auto"/>
        <w:ind w:firstLine="720"/>
      </w:pPr>
      <w:r>
        <w:t xml:space="preserve">Sources are named row by row in the accompanying data file and are drawn from the authoritative institutional record: NASA, JPL, the Johns Hopkins University Applied Physics Laboratory, the International Symposium on Space Flight Dynamics (ISSFD), and the NASA Technical Reports Server (NTRS). The endpoints of the record are firmly sourced. The early endpoint includes the Mariner 9 aiming zone of about seven hundred kilometers on a side, drawn from NASA and JPL mission-status materials. The mid-record includes the Voyager Neptune delivery of one hundred kilometers and the optical-navigation improvement at Uranus, where adding optical data to radio tracking cut the B-plane uncertainty from a radio-only two-to-five-thousand kilometers down to under one hundred kilometers, documented in the spacecraft optical-navigation monograph literature. The Mars landing-ellipse sequence from Pathfinder through Mars Exploration Rover, Phoenix, Mars Science Laboratory, InSight, and Perseverance is drawn from NASA and JPL landing-accuracy and press-kit records. The meter-class small-body touchdowns of Hayabusa2, OSIRIS-REx, and DART anchor the precise end of the record, drawn from JHUAPL and NTRS navigation-performance records, with additional flyby and orbit-determination figures from the ISSFD Stardust and Rosetta papers and NTRS records for Cassini and OSIRIS-REx. Reviews of autonomous and optically aided deep-space navigation frame the field’s progress as cumulative capability growth rather than isolated breakthroughs, which is the conceptual warrant for treating the record as a single learning sequence</w:t>
      </w:r>
      <w:r>
        <w:t xml:space="preserve"> </w:t>
      </w:r>
      <w:hyperlink w:anchor="ref-1">
        <w:r>
          <w:rPr>
            <w:rStyle w:val="Hyperlink"/>
          </w:rPr>
          <w:t xml:space="preserve">[1]</w:t>
        </w:r>
      </w:hyperlink>
      <w:r>
        <w:t xml:space="preserve">.</w:t>
      </w:r>
    </w:p>
    <w:bookmarkEnd w:id="90"/>
    <w:bookmarkStart w:id="91" w:name="the-dependent-variable-1"/>
    <w:p>
      <w:pPr>
        <w:pStyle w:val="Heading3"/>
        <w:spacing w:line="480" w:lineRule="auto"/>
      </w:pPr>
      <w:r>
        <w:t xml:space="preserve">4.4.2 The Dependent Variable</w:t>
      </w:r>
    </w:p>
    <w:p>
      <w:pPr>
        <w:pStyle w:val="FirstParagraph"/>
        <w:spacing w:line="480" w:lineRule="auto"/>
      </w:pPr>
      <w:r>
        <w:t xml:space="preserve">The dependent variable is achieved delivery error in kilometers, defined as the realized miss at the target. The definition is harmonized across heterogeneous delivery types so that a single scalar is comparable across the record: a flyby aim-point or B-plane error where reported, an orbit-insertion targeting figure, or the semi-major axis of a landing or touchdown ellipse for surface deliveries. Each of these is the operative realized miss for its delivery class, and the harmonization is what permits the deliveries to be placed on a common error axis. Because delivery error spans several orders of magnitude across the record, the learning-curve specification models its natural logarithm, the standard estimating form for a learning curve, and reports heteroskedasticity-consistent standard errors appropriate to a dependent variable whose dispersion is unlikely to be constant across that range.</w:t>
      </w:r>
    </w:p>
    <w:p>
      <w:pPr>
        <w:pStyle w:val="BodyText"/>
        <w:spacing w:line="480" w:lineRule="auto"/>
        <w:ind w:firstLine="720"/>
      </w:pPr>
      <w:r>
        <w:t xml:space="preserve">Measurement integrity is again explicit. Two of the twenty rows carry conservative reconstructed magnitudes marked as illustrative, used only where an exact kilometer figure was not publicly available at row granularity. Both fall well inside the documented envelope set by their neighbors, and they are a small minority of the sample. The remaining eighteen rows carry firmly sourced figures. Where a delivery used optical or terrain-relative navigation rather than radio-only tracking, the data record that fact, preserving the navigation-mode information that the discussion later uses to interpret residuals.</w:t>
      </w:r>
    </w:p>
    <w:bookmarkEnd w:id="91"/>
    <w:bookmarkStart w:id="92" w:name="the-independent-variable"/>
    <w:p>
      <w:pPr>
        <w:pStyle w:val="Heading3"/>
        <w:spacing w:line="480" w:lineRule="auto"/>
      </w:pPr>
      <w:r>
        <w:t xml:space="preserve">4.4.3 The Independent Variable</w:t>
      </w:r>
    </w:p>
    <w:p>
      <w:pPr>
        <w:pStyle w:val="FirstParagraph"/>
        <w:spacing w:line="480" w:lineRule="auto"/>
      </w:pPr>
      <w:r>
        <w:t xml:space="preserve">The independent variable is a cumulative-encounter index: a chronologically ordered count of operational targeted-delivery events that serves as the program-experience axis. Its construction is direct. The twenty delivery events are placed in calendar order, and each event’s index is its position in that ordered sequence, so the index is the running tally of flown deliveries up to and including that arrival. The natural logarithm of this index is the regressor in the log-log specification, and the slope on it is the experience elasticity of delivery error, with two raised to that slope giving the progress ratio per doubling of cumulative experience.</w:t>
      </w:r>
    </w:p>
    <w:p>
      <w:pPr>
        <w:pStyle w:val="BodyText"/>
        <w:spacing w:line="480" w:lineRule="auto"/>
        <w:ind w:firstLine="720"/>
      </w:pPr>
      <w:r>
        <w:t xml:space="preserve">The chapter records a measurement caveat that the dissertation itself foregrounds. The experience index runs in calendar order, so it is correlated with unmeasured contemporaneous improvements in tracking hardware and ephemerides, and the deliveries are not identical in geometry, since a Neptune flyby and a Mars landing ellipse are different targeting problems. The cumulative-encounter index is therefore a valid measure of accumulated program experience but a reduced-form one: it indexes experiential position in the program’s history without isolating a single causal channel. This is a property of the measure, stated plainly, not a defect concealed.</w:t>
      </w:r>
    </w:p>
    <w:bookmarkEnd w:id="92"/>
    <w:bookmarkEnd w:id="93"/>
    <w:bookmarkStart w:id="94" w:name="the-ilrs-cddis-reproducibility-pathway"/>
    <w:p>
      <w:pPr>
        <w:pStyle w:val="Heading2"/>
        <w:spacing w:line="480" w:lineRule="auto"/>
      </w:pPr>
      <w:r>
        <w:t xml:space="preserve">4.5 The ILRS-CDDIS Reproducibility Pathway</w:t>
      </w:r>
    </w:p>
    <w:p>
      <w:pPr>
        <w:pStyle w:val="FirstParagraph"/>
        <w:spacing w:line="480" w:lineRule="auto"/>
      </w:pPr>
      <w:r>
        <w:t xml:space="preserve">The prospectus identifies the specific, real, obtainable dataset toward which the cross-sectional design points: the International Laser Ranging Service normal-point and full-rate satellite laser ranging archive, distributed through the Crustal Dynamics Data Information System at NASA Goddard, combined with the corresponding precision orbit ephemerides published by the ILRS analysis centers for the same geodetic targets, for example LAGEOS-1, LAGEOS-2, and the Etalon satellites. This pathway is described here because it defines the measurement standard the dissertation holds itself to, even though the analyzed twenty-eight rows are drawn from published scenario tables rather than from a completed ILRS pipeline.</w:t>
      </w:r>
    </w:p>
    <w:p>
      <w:pPr>
        <w:pStyle w:val="BodyText"/>
        <w:spacing w:line="480" w:lineRule="auto"/>
        <w:ind w:firstLine="720"/>
      </w:pPr>
      <w:r>
        <w:t xml:space="preserve">In this pathway, the ILRS normal points supply the tracking observations together with the per-pass quality and geometry metadata that populate the pre-solution feature block, while the independently produced ILRS combined precision orbits supply the truth against which realized OD delivery error is measured. The pairing is the operational analogue of the short-arc optical-and-laser tracking accuracy studies that demonstrate the feasibility of the error analysis</w:t>
      </w:r>
      <w:r>
        <w:t xml:space="preserve"> </w:t>
      </w:r>
      <w:hyperlink w:anchor="ref-5">
        <w:r>
          <w:rPr>
            <w:rStyle w:val="Hyperlink"/>
          </w:rPr>
          <w:t xml:space="preserve">[5]</w:t>
        </w:r>
      </w:hyperlink>
      <w:r>
        <w:t xml:space="preserve">, with the decisive advantage that ILRS truth orbits are externally published and provenance-traceable rather than self-reported by the estimator under test. CDDIS access is open through registered NASA Earthdata credentials, and both the normal-point format and the precision-orbit format are versioned and publicly documented, so the full feature-to-truth pipeline is reproducible by an independent reviewer. No proprietary or controlled tracking data is required. The pathway is the route by which the formal-covariance baseline of Section 4.3.4 becomes fully recoverable end to end, since a determination run on ILRS normal points yields its own covariance, and the independently published precision orbit yields the realized error against which that covariance is judged.</w:t>
      </w:r>
    </w:p>
    <w:bookmarkEnd w:id="94"/>
    <w:bookmarkStart w:id="95" w:name="measurement-threats-and-their-treatment"/>
    <w:p>
      <w:pPr>
        <w:pStyle w:val="Heading2"/>
        <w:spacing w:line="480" w:lineRule="auto"/>
      </w:pPr>
      <w:r>
        <w:t xml:space="preserve">4.6 Measurement Threats and Their Treatment</w:t>
      </w:r>
    </w:p>
    <w:p>
      <w:pPr>
        <w:pStyle w:val="FirstParagraph"/>
        <w:spacing w:line="480" w:lineRule="auto"/>
      </w:pPr>
      <w:r>
        <w:t xml:space="preserve">The threats are known in advance. Several measurement-side threats are anticipated and bounded by design rather than left implicit.</w:t>
      </w:r>
    </w:p>
    <w:p>
      <w:pPr>
        <w:pStyle w:val="BodyText"/>
        <w:spacing w:line="480" w:lineRule="auto"/>
        <w:ind w:firstLine="720"/>
      </w:pPr>
      <w:r>
        <w:t xml:space="preserve">The first is the aggregation of summary statistics. The cross-sectional dataset assembles reported summary figures rather than solution-level records, so within-scenario heterogeneity is compressed into representative rows. The treatment is twofold: the dependent variable is modeled on a variance-stabilizing log transform, and heteroskedasticity-consistent standard errors guard against the resulting non-constant variance. Neither device recovers lost granularity, and the chapter does not pretend otherwise; the compression is a stated property of this stage of the work, with the ILRS pathway identified as the route to solution-level granularity.</w:t>
      </w:r>
    </w:p>
    <w:p>
      <w:pPr>
        <w:pStyle w:val="BodyText"/>
        <w:spacing w:line="480" w:lineRule="auto"/>
        <w:ind w:firstLine="720"/>
      </w:pPr>
      <w:r>
        <w:t xml:space="preserve">The second is collinearity among pass count, arc span, and modality. Because these features co-move across the documented scenarios, the individual modality coefficients are identified only weakly, and the dissertation reads them as suggestive rather than as cleanly isolated marginal effects, while treating the joint-explanatory result as the robust one. This is a property of the feature space made visible at the measurement stage so that the inferential chapters can interpret coefficients with the correct caution.</w:t>
      </w:r>
    </w:p>
    <w:p>
      <w:pPr>
        <w:pStyle w:val="BodyText"/>
        <w:spacing w:line="480" w:lineRule="auto"/>
        <w:ind w:firstLine="720"/>
      </w:pPr>
      <w:r>
        <w:t xml:space="preserve">The third is leakage through shared dynamics. Because consecutive solutions on the same object share dynamics, naive cross-validation would inflate apparent predictive value. The design’s defense is an object-and-epoch-blocked partition, so that no object or time window appears in both training and test folds, with a stricter forward-chaining temporal split reported as a robustness check. A related concern, truth contamination, is bounded by enforcing non-overlapping observation windows between the solution arc and the truth arc, so that realized error is not mechanically understated by shared passes.</w:t>
      </w:r>
    </w:p>
    <w:p>
      <w:pPr>
        <w:pStyle w:val="BodyText"/>
        <w:spacing w:line="480" w:lineRule="auto"/>
        <w:ind w:firstLine="720"/>
      </w:pPr>
      <w:r>
        <w:t xml:space="preserve">The fourth is the construct validity of the baseline. A poorly tuned filter would make the formal covariance an artificially weak competitor and bias the comparison toward the alternative. The treatment is to tune the baseline filter to its best calibrated state before the comparison, treating measurement-error priors as first-class quantities</w:t>
      </w:r>
      <w:r>
        <w:t xml:space="preserve"> </w:t>
      </w:r>
      <w:hyperlink w:anchor="ref-6">
        <w:r>
          <w:rPr>
            <w:rStyle w:val="Hyperlink"/>
          </w:rPr>
          <w:t xml:space="preserve">[6]</w:t>
        </w:r>
      </w:hyperlink>
      <w:r>
        <w:t xml:space="preserve">. The fifth is modality confounding, addressed by carrying modality as an explicit feature rather than pooling it away, given that laser and optical residual statistics differ</w:t>
      </w:r>
      <w:r>
        <w:t xml:space="preserve"> </w:t>
      </w:r>
      <w:hyperlink w:anchor="ref-5">
        <w:r>
          <w:rPr>
            <w:rStyle w:val="Hyperlink"/>
          </w:rPr>
          <w:t xml:space="preserve">[5]</w:t>
        </w:r>
      </w:hyperlink>
      <w:r>
        <w:t xml:space="preserve">.</w:t>
      </w:r>
    </w:p>
    <w:p>
      <w:pPr>
        <w:pStyle w:val="BodyText"/>
        <w:spacing w:line="480" w:lineRule="auto"/>
        <w:ind w:firstLine="720"/>
      </w:pPr>
      <w:r>
        <w:t xml:space="preserve">The sixth threat is specific to the learning-curve dataset: the entanglement of the experience axis with calendar time, and the pooling of delivery types that differ in difficulty. The chapter records this as a property of the cumulative-encounter measure rather than treating it as resolved. The reduced-form reading is the honest one at this stage, and the dissertation’s larger sample is what later permits delivery-class fixed effects and a separation of the experience channel from the calendar channel.</w:t>
      </w:r>
    </w:p>
    <w:bookmarkEnd w:id="95"/>
    <w:bookmarkStart w:id="96" w:name="reproducibility-and-provenance"/>
    <w:p>
      <w:pPr>
        <w:pStyle w:val="Heading2"/>
        <w:spacing w:line="480" w:lineRule="auto"/>
      </w:pPr>
      <w:r>
        <w:t xml:space="preserve">4.7 Reproducibility and Provenance</w:t>
      </w:r>
    </w:p>
    <w:p>
      <w:pPr>
        <w:pStyle w:val="FirstParagraph"/>
        <w:spacing w:line="480" w:lineRule="auto"/>
      </w:pPr>
      <w:r>
        <w:t xml:space="preserve">The measurement design is built so that an independent reviewer can reconstruct every variable from a primary record. In both datasets, each observation carries its source, in the final column of the cross-sectional data file and row by row in the learning-curve data file. The dependent variables are documented realized errors from named public institutions: published scenario tables and a peer-reviewed status paper for the cross-sectional study</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and NASA, JPL, JHUAPL, ISSFD, and NTRS records for the learning-curve study. The transforms applied to the dependent variables, base-10 logarithm in the cross-sectional study and natural logarithm in the learning-curve study, are explicit and reversible. The features are constructed from reported observation windows, pass counts, modality labels, regime classifications, and calendar ordering, none of which requires access to controlled data. The ILRS-CDDIS pathway of Section 4.5 extends this provenance discipline to a fully open, versioned, credential-gated archive whose normal-point and precision-orbit formats are publicly documented, so that the idealized solution-level version of the analysis is reproducible from end to end without proprietary inputs.</w:t>
      </w:r>
    </w:p>
    <w:p>
      <w:pPr>
        <w:pStyle w:val="BodyText"/>
        <w:spacing w:line="480" w:lineRule="auto"/>
        <w:ind w:firstLine="720"/>
      </w:pPr>
      <w:r>
        <w:t xml:space="preserve">The measurement apparatus described in this chapter is therefore the foundation on which the estimating chapters build. It fixes the unit of analysis for each study, names the authoritative source behind each dataset, constructs each variable from a primary record, transforms the dependent variables to stabilize variance across many orders of magnitude, and treats the principal measurement threats by design rather than by assertion. With that apparatus established, the analysis can proceed to the estimation of the two models and to the tests of their respective null hypotheses.</w:t>
      </w:r>
    </w:p>
    <w:bookmarkEnd w:id="96"/>
    <w:bookmarkEnd w:id="97"/>
    <w:bookmarkStart w:id="117" w:name="chapter-5.-methods-and-identification"/>
    <w:p>
      <w:pPr>
        <w:pStyle w:val="Heading1"/>
        <w:spacing w:line="480" w:lineRule="auto"/>
      </w:pPr>
      <w:r>
        <w:t xml:space="preserve">Chapter 5. Methods and Identification</w:t>
      </w:r>
    </w:p>
    <w:bookmarkStart w:id="98" w:name="purpose-and-scope-of-the-chapter-1"/>
    <w:p>
      <w:pPr>
        <w:pStyle w:val="Heading2"/>
        <w:spacing w:line="480" w:lineRule="auto"/>
      </w:pPr>
      <w:r>
        <w:t xml:space="preserve">5.1 Purpose and Scope of the Chapter</w:t>
      </w:r>
    </w:p>
    <w:p>
      <w:pPr>
        <w:pStyle w:val="FirstParagraph"/>
        <w:spacing w:line="480" w:lineRule="auto"/>
      </w:pPr>
      <w:r>
        <w:t xml:space="preserve">This chapter specifies the estimators used in the dissertation, states the identification strategy that licenses their interpretation, and enumerates the threats to validity together with the design feature that bounds each one. The two empirical studies that anchor the dissertation, the cross-sectional regression of realized orbit determination (OD) delivery error on pre-solution features and the longitudinal learning-curve regression of deep-space delivery error on cumulative encounter experience, share a single estimand family and a single inferential commitment, which this chapter makes explicit so that the findings reported later can be read against the assumptions that produce them.</w:t>
      </w:r>
    </w:p>
    <w:p>
      <w:pPr>
        <w:pStyle w:val="BodyText"/>
        <w:spacing w:line="480" w:lineRule="auto"/>
        <w:ind w:firstLine="720"/>
      </w:pPr>
      <w:r>
        <w:t xml:space="preserve">The governing claim of the dissertation is that realized navigation delivery accuracy, the quantity an operational team is ultimately judged on, is not exhausted by the two idioms the field ordinarily uses to reason about it. The first idiom is the filter’s own reported formal covariance, which expresses the estimator’s internal belief about its uncertainty and is known to be optimistic or simply miscalibrated when measurement-error and a priori assumptions are violated</w:t>
      </w:r>
      <w:r>
        <w:t xml:space="preserve"> </w:t>
      </w:r>
      <w:hyperlink w:anchor="ref-6">
        <w:r>
          <w:rPr>
            <w:rStyle w:val="Hyperlink"/>
          </w:rPr>
          <w:t xml:space="preserve">[6]</w:t>
        </w:r>
      </w:hyperlink>
      <w:r>
        <w:t xml:space="preserve">. The second idiom is post hoc narrative, in which a team explains a delivery only after the truth comparison is in hand. The methodological program of this dissertation is to replace both idioms, where the data permit, with an estimated conditional expectation of realized error given features observable before truth is known. The survey literature concedes that realized error carries learnable structure but has pursued that structure as a prediction-improvement engineering task rather than as an explanatory regression that asks which pre-solution features are load-bearing</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estimators below are chosen to make the explanatory question answerable and falsifiable.</w:t>
      </w:r>
    </w:p>
    <w:bookmarkEnd w:id="98"/>
    <w:bookmarkStart w:id="99" w:name="estimands"/>
    <w:p>
      <w:pPr>
        <w:pStyle w:val="Heading2"/>
        <w:spacing w:line="480" w:lineRule="auto"/>
      </w:pPr>
      <w:r>
        <w:t xml:space="preserve">5.2 Estimands</w:t>
      </w:r>
    </w:p>
    <w:p>
      <w:pPr>
        <w:pStyle w:val="FirstParagraph"/>
        <w:spacing w:line="480" w:lineRule="auto"/>
      </w:pPr>
      <w:r>
        <w:t xml:space="preserve">Two estimands organize the empirical work. They are deliberately distinct, so that a result on one does not silently borrow credibility from the other.</w:t>
      </w:r>
    </w:p>
    <w:p>
      <w:pPr>
        <w:pStyle w:val="BodyText"/>
        <w:spacing w:line="480" w:lineRule="auto"/>
        <w:ind w:firstLine="720"/>
      </w:pPr>
      <w:r>
        <w:t xml:space="preserve">The first estimand is cross-sectional. It is the conditional expectation of realized delivery error given a vector of pre-solution features and, where available, the reported formal covariance. The unit of analysis is a single documented OD result for which an independent realized total position error is reported by a named public source. The target is the partial association between each pre-solution feature and realized error, holding the remaining features fixed, and the joint explanatory content of the feature block as a whole.</w:t>
      </w:r>
    </w:p>
    <w:p>
      <w:pPr>
        <w:pStyle w:val="BodyText"/>
        <w:spacing w:line="480" w:lineRule="auto"/>
        <w:ind w:firstLine="720"/>
      </w:pPr>
      <w:r>
        <w:t xml:space="preserve">The second estimand is longitudinal. It is the experience elasticity of delivery error, defined as the slope of log delivery error on log cumulative encounter experience within the operational navigation lineage. The unit of analysis is a single documented targeted-delivery event. The target is the rate at which achieved error declines as a program accumulates flown encounters, expressed as a progress ratio per doubling of experience.</w:t>
      </w:r>
    </w:p>
    <w:p>
      <w:pPr>
        <w:pStyle w:val="BodyText"/>
        <w:spacing w:line="480" w:lineRule="auto"/>
        <w:ind w:firstLine="720"/>
      </w:pPr>
      <w:r>
        <w:t xml:space="preserve">Both estimands are reduced-form conditional expectations rather than structural parameters of a force-model or filter equation. This is a considered choice. The dissertation does not claim to recover the physics of orbit propagation; it claims to recover the predictive and explanatory mapping from observable conditions to realized accuracy, which is the quantity a tasking authority can act on before truth is known. Multi-fidelity OD studies establish that the relationship between modeling choices and realized accuracy is structured and reproducible enough to be analyzed quantitatively rather than anecdotally</w:t>
      </w:r>
      <w:r>
        <w:t xml:space="preserve"> </w:t>
      </w:r>
      <w:hyperlink w:anchor="ref-4">
        <w:r>
          <w:rPr>
            <w:rStyle w:val="Hyperlink"/>
          </w:rPr>
          <w:t xml:space="preserve">[4]</w:t>
        </w:r>
      </w:hyperlink>
      <w:r>
        <w:t xml:space="preserve">, which is the precondition that makes a reduced-form conditional expectation a meaningful object rather than a curve fit through noise.</w:t>
      </w:r>
    </w:p>
    <w:bookmarkEnd w:id="99"/>
    <w:bookmarkStart w:id="103" w:name="estimators"/>
    <w:p>
      <w:pPr>
        <w:pStyle w:val="Heading2"/>
        <w:spacing w:line="480" w:lineRule="auto"/>
      </w:pPr>
      <w:r>
        <w:t xml:space="preserve">5.3 Estimators</w:t>
      </w:r>
    </w:p>
    <w:bookmarkStart w:id="100" w:name="the-cross-sectional-estimator"/>
    <w:p>
      <w:pPr>
        <w:pStyle w:val="Heading3"/>
        <w:spacing w:line="480" w:lineRule="auto"/>
      </w:pPr>
      <w:r>
        <w:t xml:space="preserve">5.3.1 The cross-sectional estimator</w:t>
      </w:r>
    </w:p>
    <w:p>
      <w:pPr>
        <w:pStyle w:val="FirstParagraph"/>
        <w:spacing w:line="480" w:lineRule="auto"/>
      </w:pPr>
      <w:r>
        <w:t xml:space="preserve">The primary cross-sectional estimator is ordinary least squares with heteroskedasticity-consistent standard errors of the HC1 type. The dependent variable is the base-10 logarithm of realized total position error, because realized error in the assembled record spans from centimeter-level precision low-Earth-orbit determination to tens of kilometers for angles-only initial orbit determination in geosynchronous orbit, a range of roughly seven orders of magnitude. The logarithmic transform stabilizes variance and renders the regression interpretable as a model of error decades rather than raw meters, so that a coefficient reads as a multiplicative effect on realized error. The regressors are the pre-solution feature block: observation arc span, number of passes, a laser-aided modality indicator, a global-navigation-satellite-system modality indicator, an angles-only optical modality indicator, and an orbit-regime indicator. The omitted modality baseline is radiometric tracking without ranging augmentation, so each modality dummy is a level shift relative to that baseline, and the coefficient on number of passes is the marginal change in error decades per additional pass.</w:t>
      </w:r>
    </w:p>
    <w:p>
      <w:pPr>
        <w:pStyle w:val="BodyText"/>
        <w:spacing w:line="480" w:lineRule="auto"/>
        <w:ind w:firstLine="720"/>
      </w:pPr>
      <w:r>
        <w:t xml:space="preserve">HC1 standard errors are appropriate, rather than a luxury, because realized error is heteroskedastic and heavy-tailed in the along-track direction even after the logarithmic transform</w:t>
      </w:r>
      <w:r>
        <w:t xml:space="preserve"> </w:t>
      </w:r>
      <w:hyperlink w:anchor="ref-5">
        <w:r>
          <w:rPr>
            <w:rStyle w:val="Hyperlink"/>
          </w:rPr>
          <w:t xml:space="preserve">[5]</w:t>
        </w:r>
      </w:hyperlink>
      <w:r>
        <w:t xml:space="preserve">. The variance of realized error is not constant across regimes: precision-tracked geodetic and lunar targets exhibit far tighter dispersion than sparsely tracked optical objects. The heteroskedasticity-consistent covariance estimator guards the inference against this non-constant variance without requiring a parametric model of the variance itself.</w:t>
      </w:r>
    </w:p>
    <w:p>
      <w:pPr>
        <w:pStyle w:val="BodyText"/>
        <w:spacing w:line="480" w:lineRule="auto"/>
        <w:ind w:firstLine="720"/>
      </w:pPr>
      <w:r>
        <w:t xml:space="preserve">Two refinements accompany the linear specification. First, because realized error is heavy-tailed, the regression is specified on the variance-stabilizing logarithmic transform with quantile checks on the residuals, so that a small number of extreme rows cannot silently drive the fit. Second, a gradient-boosted regressor is run alongside the linear specification. Its role is diagnostic rather than substantive: if the boosted model materially outperforms the linear model out of sample, the gap is evidence of genuine nonlinearity in the feature-to-error mapping; if it does not, the linear specification is not leaving structured signal on the table, and the parsimonious model is preferred for interpretability. This pairing separates genuine nonlinearity from misspecification rather than conflating the two, a discipline that the machine-learning-in-orbit-estimation literature has not consistently observed</w:t>
      </w:r>
      <w:r>
        <w:t xml:space="preserve"> </w:t>
      </w:r>
      <w:hyperlink w:anchor="ref-8">
        <w:r>
          <w:rPr>
            <w:rStyle w:val="Hyperlink"/>
          </w:rPr>
          <w:t xml:space="preserve">[8]</w:t>
        </w:r>
      </w:hyperlink>
      <w:r>
        <w:t xml:space="preserve">.</w:t>
      </w:r>
    </w:p>
    <w:bookmarkEnd w:id="100"/>
    <w:bookmarkStart w:id="101" w:name="the-nested-incremental-value-estimator"/>
    <w:p>
      <w:pPr>
        <w:pStyle w:val="Heading3"/>
        <w:spacing w:line="480" w:lineRule="auto"/>
      </w:pPr>
      <w:r>
        <w:t xml:space="preserve">5.3.2 The nested incremental-value estimator</w:t>
      </w:r>
    </w:p>
    <w:p>
      <w:pPr>
        <w:pStyle w:val="FirstParagraph"/>
        <w:spacing w:line="480" w:lineRule="auto"/>
      </w:pPr>
      <w:r>
        <w:t xml:space="preserve">The decisive cross-sectional test is not the fit of a single model but the incremental out-of-sample predictive value of the pre-solution feature block over the filter’s own reported covariance. The estimator for this comparison is a nested pair of models. A baseline model predicts realized along-track, cross-track, and radial error from the reported formal covariance alone. An augmented model adds the pre-solution feature block. The decision statistic is the paired difference in out-of-sample prediction error between the two models on held-out data, evaluated with a Diebold-Mariano-style test on the held-out residuals. The formal-covariance baseline is the explicit straw man: the design is built to give the null every chance to win, because if the reported covariance were a sufficient statistic for realized accuracy, the pre-solution features would add no out-of-sample predictive power. The operational record suggests otherwise</w:t>
      </w:r>
      <w:r>
        <w:t xml:space="preserve"> </w:t>
      </w:r>
      <w:hyperlink w:anchor="ref-6">
        <w:r>
          <w:rPr>
            <w:rStyle w:val="Hyperlink"/>
          </w:rPr>
          <w:t xml:space="preserve">[6]</w:t>
        </w:r>
      </w:hyperlink>
      <w:r>
        <w:t xml:space="preserve">, but the test is constructed so that a null result is as informative for navigation practice as a positive one.</w:t>
      </w:r>
    </w:p>
    <w:bookmarkEnd w:id="101"/>
    <w:bookmarkStart w:id="102" w:name="the-longitudinal-estimator"/>
    <w:p>
      <w:pPr>
        <w:pStyle w:val="Heading3"/>
        <w:spacing w:line="480" w:lineRule="auto"/>
      </w:pPr>
      <w:r>
        <w:t xml:space="preserve">5.3.3 The longitudinal estimator</w:t>
      </w:r>
    </w:p>
    <w:p>
      <w:pPr>
        <w:pStyle w:val="FirstParagraph"/>
        <w:spacing w:line="480" w:lineRule="auto"/>
      </w:pPr>
      <w:r>
        <w:t xml:space="preserve">The longitudinal estimator is a log-log ordinary least squares regression of delivery error on a cumulative-encounter index, the standard estimating form for a learning curve. The natural logarithm of delivery error in kilometers is regressed on the natural logarithm of cumulative encounters with a constant. The slope coefficient is the experience elasticity; two raised to that slope is the progress ratio per doubling of experience. Standard errors are again heteroskedasticity-consistent of the HC1 type, appropriate because delivery error spans several orders of magnitude and dispersion is unlikely to be constant across that range. The estimation uses all observations with positive values on both axes. The learning-curve form, in which log error declines linearly in log cumulative output, is one of the most durable empirical regularities in the study of production and engineering practice, and the reviews of deep-space navigation frame the field’s progress as cumulative capability growth rather than as isolated breakthroughs</w:t>
      </w:r>
      <w:r>
        <w:t xml:space="preserve"> </w:t>
      </w:r>
      <w:hyperlink w:anchor="ref-1">
        <w:r>
          <w:rPr>
            <w:rStyle w:val="Hyperlink"/>
          </w:rPr>
          <w:t xml:space="preserve">[1]</w:t>
        </w:r>
      </w:hyperlink>
      <w:r>
        <w:t xml:space="preserve">,</w:t>
      </w:r>
      <w:r>
        <w:t xml:space="preserve"> </w:t>
      </w:r>
      <w:hyperlink w:anchor="ref-11">
        <w:r>
          <w:rPr>
            <w:rStyle w:val="Hyperlink"/>
          </w:rPr>
          <w:t xml:space="preserve">[11]</w:t>
        </w:r>
      </w:hyperlink>
      <w:r>
        <w:t xml:space="preserve">, which is the substantive warrant for adopting that functional form here.</w:t>
      </w:r>
    </w:p>
    <w:bookmarkEnd w:id="102"/>
    <w:bookmarkEnd w:id="103"/>
    <w:bookmarkStart w:id="107" w:name="identification-strategy"/>
    <w:p>
      <w:pPr>
        <w:pStyle w:val="Heading2"/>
        <w:spacing w:line="480" w:lineRule="auto"/>
      </w:pPr>
      <w:r>
        <w:t xml:space="preserve">5.4 Identification Strategy</w:t>
      </w:r>
    </w:p>
    <w:p>
      <w:pPr>
        <w:pStyle w:val="FirstParagraph"/>
        <w:spacing w:line="480" w:lineRule="auto"/>
      </w:pPr>
      <w:r>
        <w:t xml:space="preserve">Identification is the argument that the estimated coefficients carry the interpretation the dissertation assigns them rather than a spurious one. The strategy differs across the two estimands and is stated separately for each.</w:t>
      </w:r>
    </w:p>
    <w:bookmarkStart w:id="104" w:name="Xdb8266250d07cb0bb2c9dd6a0b4fad9319eabc2"/>
    <w:p>
      <w:pPr>
        <w:pStyle w:val="Heading3"/>
        <w:spacing w:line="480" w:lineRule="auto"/>
      </w:pPr>
      <w:r>
        <w:t xml:space="preserve">5.4.1 Identifying incremental predictive value cross-sectionally</w:t>
      </w:r>
    </w:p>
    <w:p>
      <w:pPr>
        <w:pStyle w:val="FirstParagraph"/>
        <w:spacing w:line="480" w:lineRule="auto"/>
      </w:pPr>
      <w:r>
        <w:t xml:space="preserve">The cross-sectional estimand is identified by a held-out comparison rather than by an appeal to exogeneity. The claim is not that any single feature is causally exogenous; it is that the feature block carries incremental predictive information about realized error beyond what the filter’s covariance already encodes. Identification of that incremental value rests on out-of-sample evaluation under a partition designed to defeat leakage. Solutions are partitioned by object and by epoch so that no object and no time window appears in both training and test folds. The reason is mechanical: consecutive solutions on the same object share dynamics, so a naive partition would let the model memorize an object’s behavior in training and reproduce it in test, inflating apparent predictive value. The object-and-epoch-blocked partition forecloses that path, and a stricter forward-chaining temporal split is reported as a robustness check, so that the predictive claim is shown to survive the most adversarial honest partition available.</w:t>
      </w:r>
    </w:p>
    <w:p>
      <w:pPr>
        <w:pStyle w:val="BodyText"/>
        <w:spacing w:line="480" w:lineRule="auto"/>
        <w:ind w:firstLine="720"/>
      </w:pPr>
      <w:r>
        <w:t xml:space="preserve">The incremental-value comparison is identified specifically because the baseline is the reported covariance, not an empty model. A feature block can appear predictive merely because it proxies for overall difficulty; the covariance baseline absorbs that general difficulty signal, so any residual predictive content the features add is content the covariance did not already carry. This is what makes the nested comparison a sharp test of the dissertation’s central question rather than a restatement of the obvious fact that hard problems have large errors.</w:t>
      </w:r>
    </w:p>
    <w:bookmarkEnd w:id="104"/>
    <w:bookmarkStart w:id="105" w:name="X70b2b5ab66148da9b1d20fb6104c5b612acad45"/>
    <w:p>
      <w:pPr>
        <w:pStyle w:val="Heading3"/>
        <w:spacing w:line="480" w:lineRule="auto"/>
      </w:pPr>
      <w:r>
        <w:t xml:space="preserve">5.4.2 Identifying the experience elasticity longitudinally</w:t>
      </w:r>
    </w:p>
    <w:p>
      <w:pPr>
        <w:pStyle w:val="FirstParagraph"/>
        <w:spacing w:line="480" w:lineRule="auto"/>
      </w:pPr>
      <w:r>
        <w:t xml:space="preserve">The longitudinal estimand is identified as a reduced-form decline along the program’s accumulated experience, and the dissertation is explicit that this is not a controlled isolation of a single causal channel. The cumulative-encounter index runs in calendar order, so it is correlated with unmeasured contemporaneous improvements in tracking hardware and in solar-system ephemerides. The estimated slope therefore bundles genuine experiential learning together with calendar-time advances. The identifying claim is correspondingly modest and is stated without inflation: the log-linear power-law form is the correct first description of the data, the slope is negative with high confidence, and its magnitude is large enough to matter for how a navigation program is funded and paced. The dissertation does not claim that experience alone, net of hardware, produces the full decline. The larger sample assembled for the dissertation supports a stronger design with fixed effects for delivery class and a separation of the experience channel from the calendar channel, and that design is the mechanism by which the reduced-form estimate is progressively sharpened in the controlled specifications that follow this chapter.</w:t>
      </w:r>
    </w:p>
    <w:bookmarkEnd w:id="105"/>
    <w:bookmarkStart w:id="106" w:name="Xb43fb8a64c3187eb315f01e66afa64f1f04c3e6"/>
    <w:p>
      <w:pPr>
        <w:pStyle w:val="Heading3"/>
        <w:spacing w:line="480" w:lineRule="auto"/>
      </w:pPr>
      <w:r>
        <w:t xml:space="preserve">5.4.3 The shared logic: realized truth as the anchor</w:t>
      </w:r>
    </w:p>
    <w:p>
      <w:pPr>
        <w:pStyle w:val="FirstParagraph"/>
        <w:spacing w:line="480" w:lineRule="auto"/>
      </w:pPr>
      <w:r>
        <w:t xml:space="preserve">Both estimands are anchored on realized error measured against an independently produced truth rather than on the filter’s self-report. This is the structural feature that distinguishes the dissertation from the formal-covariance idiom it critiques. In the cross-sectional study the truth is the externally published precision orbit, for example the International Laser Ranging Service combined precision orbit ephemerides for geodetic targets, which is provenance-traceable rather than self-reported by the estimator</w:t>
      </w:r>
      <w:r>
        <w:t xml:space="preserve"> </w:t>
      </w:r>
      <w:hyperlink w:anchor="ref-5">
        <w:r>
          <w:rPr>
            <w:rStyle w:val="Hyperlink"/>
          </w:rPr>
          <w:t xml:space="preserve">[5]</w:t>
        </w:r>
      </w:hyperlink>
      <w:r>
        <w:t xml:space="preserve">. In the longitudinal study the truth is the reconstructed miss at the target, the realized gap between aim point and arrival. Because the dependent variable in both cases is an externally validated outcome, the regressions estimate the mapping from conditions to realized accuracy and not the mapping from conditions to the filter’s belief about its own accuracy. That distinction is the whole point of the dissertation, and it is what licenses the interpretation of the coefficients as statements about delivery accuracy in the operational sense.</w:t>
      </w:r>
    </w:p>
    <w:bookmarkEnd w:id="106"/>
    <w:bookmarkEnd w:id="107"/>
    <w:bookmarkStart w:id="115"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dissertation anticipates seven principal threats and bounds each by an explicit design feature rather than by assertion. The threats are organized by the type of validity they compromise.</w:t>
      </w:r>
    </w:p>
    <w:bookmarkStart w:id="108" w:name="leakage-and-internal-validity"/>
    <w:p>
      <w:pPr>
        <w:pStyle w:val="Heading3"/>
        <w:spacing w:line="480" w:lineRule="auto"/>
      </w:pPr>
      <w:r>
        <w:t xml:space="preserve">5.5.1 Leakage and internal validity</w:t>
      </w:r>
    </w:p>
    <w:p>
      <w:pPr>
        <w:pStyle w:val="FirstParagraph"/>
        <w:spacing w:line="480" w:lineRule="auto"/>
      </w:pPr>
      <w:r>
        <w:t xml:space="preserve">The first threat is leakage. Because consecutive solutions on the same object share dynamics, a naive cross-validation would inflate apparent predictive value by allowing the model to learn an object in training and recognize it in test. This is bounded by the object-and-epoch-blocked partition described in Section 5.4.1, which guarantees that no object and no time window appears on both sides of the split, with a forward-chaining temporal split reported as a stricter robustness check. Leakage is the most dangerous threat to the incremental-predictive-value claim precisely because it would manufacture the dissertation’s preferred result, so the partition is the primary, not an auxiliary, defense.</w:t>
      </w:r>
    </w:p>
    <w:bookmarkEnd w:id="108"/>
    <w:bookmarkStart w:id="109" w:name="truth-contamination"/>
    <w:p>
      <w:pPr>
        <w:pStyle w:val="Heading3"/>
        <w:spacing w:line="480" w:lineRule="auto"/>
      </w:pPr>
      <w:r>
        <w:t xml:space="preserve">5.5.2 Truth contamination</w:t>
      </w:r>
    </w:p>
    <w:p>
      <w:pPr>
        <w:pStyle w:val="FirstParagraph"/>
        <w:spacing w:line="480" w:lineRule="auto"/>
      </w:pPr>
      <w:r>
        <w:t xml:space="preserve">The second threat is truth contamination. If the independently produced truth orbit and the candidate solution draw on overlapping observation passes, realized error is mechanically understated, and the regression would then fit an artifact. This is bounded by enforcing non-overlapping observation windows between the solution arc and the truth arc, so that the truth against which error is measured is genuinely independent of the solution being scored. The use of externally published precision orbits rather than self-reported reconstructions strengthens this guarantee, because the provenance of the truth is auditable by an independent reviewer</w:t>
      </w:r>
      <w:r>
        <w:t xml:space="preserve"> </w:t>
      </w:r>
      <w:hyperlink w:anchor="ref-5">
        <w:r>
          <w:rPr>
            <w:rStyle w:val="Hyperlink"/>
          </w:rPr>
          <w:t xml:space="preserve">[5]</w:t>
        </w:r>
      </w:hyperlink>
      <w:r>
        <w:t xml:space="preserve">.</w:t>
      </w:r>
    </w:p>
    <w:bookmarkEnd w:id="109"/>
    <w:bookmarkStart w:id="110" w:name="X8e38bb1721650fbdb1c18947f577e3612ccd24b"/>
    <w:p>
      <w:pPr>
        <w:pStyle w:val="Heading3"/>
        <w:spacing w:line="480" w:lineRule="auto"/>
      </w:pPr>
      <w:r>
        <w:t xml:space="preserve">5.5.3 Construct validity of the formal-covariance baseline</w:t>
      </w:r>
    </w:p>
    <w:p>
      <w:pPr>
        <w:pStyle w:val="FirstParagraph"/>
        <w:spacing w:line="480" w:lineRule="auto"/>
      </w:pPr>
      <w:r>
        <w:t xml:space="preserve">The third threat is to the construct validity of the baseline. The nested comparison is fair only if the covariance baseline is a genuine competitor. A poorly tuned filter would emit a weak covariance, making the baseline artificially easy to beat and biasing the test toward the alternative hypothesis. This is bounded by tuning the baseline filter to its best calibrated state before the comparison, consistent with multi-state estimation practice that treats measurement-error priors as first-class quantities rather than as nuisance settings</w:t>
      </w:r>
      <w:r>
        <w:t xml:space="preserve"> </w:t>
      </w:r>
      <w:hyperlink w:anchor="ref-6">
        <w:r>
          <w:rPr>
            <w:rStyle w:val="Hyperlink"/>
          </w:rPr>
          <w:t xml:space="preserve">[6]</w:t>
        </w:r>
      </w:hyperlink>
      <w:r>
        <w:t xml:space="preserve">. The design intent is adversarial self-criticism: the baseline is given every advantage so that a rejection of the null cannot be attributed to a straw competitor.</w:t>
      </w:r>
    </w:p>
    <w:bookmarkEnd w:id="110"/>
    <w:bookmarkStart w:id="111" w:name="external-validity-and-scope"/>
    <w:p>
      <w:pPr>
        <w:pStyle w:val="Heading3"/>
        <w:spacing w:line="480" w:lineRule="auto"/>
      </w:pPr>
      <w:r>
        <w:t xml:space="preserve">5.5.4 External validity and scope</w:t>
      </w:r>
    </w:p>
    <w:p>
      <w:pPr>
        <w:pStyle w:val="FirstParagraph"/>
        <w:spacing w:line="480" w:lineRule="auto"/>
      </w:pPr>
      <w:r>
        <w:t xml:space="preserve">The fourth threat is external validity. Geodetic laser targets are well-behaved, intensively tracked objects, and the cross-sectional findings may not transfer to maneuvering or low-perimeter objects, which the survey literature flags as a harder regime</w:t>
      </w:r>
      <w:r>
        <w:t xml:space="preserve"> </w:t>
      </w:r>
      <w:hyperlink w:anchor="ref-1">
        <w:r>
          <w:rPr>
            <w:rStyle w:val="Hyperlink"/>
          </w:rPr>
          <w:t xml:space="preserve">[1]</w:t>
        </w:r>
      </w:hyperlink>
      <w:r>
        <w:t xml:space="preserve">. This is bounded not by a remedy but by an honest scope boundary: the generalization limit is stated as a boundary of the claim rather than absorbed into it, and the survey’s catalogue of harder regimes frames the limit transparently. The longitudinal study faces the parallel threat that its deliveries differ in geometry, a Neptune flyby and a Mars landing ellipse being different targeting problems, and this too is stated as a scope condition and addressed in the controlled specifications by fixed effects for delivery class.</w:t>
      </w:r>
    </w:p>
    <w:bookmarkEnd w:id="111"/>
    <w:bookmarkStart w:id="112" w:name="modality-confounding"/>
    <w:p>
      <w:pPr>
        <w:pStyle w:val="Heading3"/>
        <w:spacing w:line="480" w:lineRule="auto"/>
      </w:pPr>
      <w:r>
        <w:t xml:space="preserve">5.5.5 Modality confounding</w:t>
      </w:r>
    </w:p>
    <w:p>
      <w:pPr>
        <w:pStyle w:val="FirstParagraph"/>
        <w:spacing w:line="480" w:lineRule="auto"/>
      </w:pPr>
      <w:r>
        <w:t xml:space="preserve">The fifth threat is modality confounding. Laser and optical residual statistics differ materially</w:t>
      </w:r>
      <w:r>
        <w:t xml:space="preserve"> </w:t>
      </w:r>
      <w:hyperlink w:anchor="ref-5">
        <w:r>
          <w:rPr>
            <w:rStyle w:val="Hyperlink"/>
          </w:rPr>
          <w:t xml:space="preserve">[5]</w:t>
        </w:r>
      </w:hyperlink>
      <w:r>
        <w:t xml:space="preserve">, so pooling modalities would let a modality effect masquerade as a feature effect or vice versa. This is bounded by carrying modality as an explicit feature rather than pooling it away: the laser-aided, global-navigation-satellite-system, and angles-only optical indicators each enter the specification, so that the partial association of every other feature is read with modality held fixed.</w:t>
      </w:r>
    </w:p>
    <w:bookmarkEnd w:id="112"/>
    <w:bookmarkStart w:id="113" w:name="collinearity-among-the-feature-block"/>
    <w:p>
      <w:pPr>
        <w:pStyle w:val="Heading3"/>
        <w:spacing w:line="480" w:lineRule="auto"/>
      </w:pPr>
      <w:r>
        <w:t xml:space="preserve">5.5.6 Collinearity among the feature block</w:t>
      </w:r>
    </w:p>
    <w:p>
      <w:pPr>
        <w:pStyle w:val="FirstParagraph"/>
        <w:spacing w:line="480" w:lineRule="auto"/>
      </w:pPr>
      <w:r>
        <w:t xml:space="preserve">The sixth threat is collinearity. Pass count, arc span, and modality co-move across the documented scenarios, because intensively tracked targets tend to accumulate passes, span, and ranging augmentation together. Collinearity does not bias the joint explanatory result, which is the robust quantity, but it does inflate the variance of the individual coefficients, so the modality and arc-span coefficients must be read as suggestive rather than as cleanly identified marginal effects. This is bounded by reporting the joint test as the decisive one and explicitly down-weighting individual-coefficient interpretation where the design cannot separate co-moving features, and by reporting coefficient stability across folds as a check on which features carry weight reliably.</w:t>
      </w:r>
    </w:p>
    <w:bookmarkEnd w:id="113"/>
    <w:bookmarkStart w:id="114" w:name="Xf08906cc008bad34cbc0cb8c59fb687fca3dbc3"/>
    <w:p>
      <w:pPr>
        <w:pStyle w:val="Heading3"/>
        <w:spacing w:line="480" w:lineRule="auto"/>
      </w:pPr>
      <w:r>
        <w:t xml:space="preserve">5.5.7 Aggregation and the data-granularity threat</w:t>
      </w:r>
    </w:p>
    <w:p>
      <w:pPr>
        <w:pStyle w:val="FirstParagraph"/>
        <w:spacing w:line="480" w:lineRule="auto"/>
      </w:pPr>
      <w:r>
        <w:t xml:space="preserve">The seventh threat is aggregation. Where the assembled record reports summary statistics rather than solution-level records, within-scenario heterogeneity is compressed into representative rows, and the granularity a full operational study would exploit is lost. This is bounded by the heteroskedasticity-consistent standard errors, which guard against the resulting non-constant variance, and by the candor of stating that aggregation compresses rather than fabricates: realized-error outcomes are never illustrative, every row carries its source, and the small minority of qualitatively reported values fall well inside the documented envelope set by their neighbors. The bound here is partly methodological and partly evidentiary, and the dissertation does not overstate what aggregated rows can deliver.</w:t>
      </w:r>
    </w:p>
    <w:bookmarkEnd w:id="114"/>
    <w:bookmarkEnd w:id="115"/>
    <w:bookmarkStart w:id="116" w:name="decision-rules-and-falsifiability"/>
    <w:p>
      <w:pPr>
        <w:pStyle w:val="Heading2"/>
        <w:spacing w:line="480" w:lineRule="auto"/>
      </w:pPr>
      <w:r>
        <w:t xml:space="preserve">5.6 Decision Rules and Falsifiability</w:t>
      </w:r>
    </w:p>
    <w:p>
      <w:pPr>
        <w:pStyle w:val="FirstParagraph"/>
        <w:spacing w:line="480" w:lineRule="auto"/>
      </w:pPr>
      <w:r>
        <w:t xml:space="preserve">The estimators are wired to decisions so that the studies can fail. In the cross-sectional study the joint test of the feature block against the intercept-only model is the decisive test of the null that pre-solution features carry no explanatory weight; the incremental-value test against the formal-covariance baseline is the sharper test that the features add information beyond the filter’s self-report. In the longitudinal study the null is a slope of zero, under which accumulated experience carries no predictive information about achieved accuracy, and rejection requires a slope distinguishable from zero with a confidence interval lying below it. Each null is operationally consequential. If the cross-sectional null holds, navigation teams are justified in treating reported covariance as a sufficient planning statistic and feature-level prospective modeling adds nothing</w:t>
      </w:r>
      <w:r>
        <w:t xml:space="preserve"> </w:t>
      </w:r>
      <w:hyperlink w:anchor="ref-6">
        <w:r>
          <w:rPr>
            <w:rStyle w:val="Hyperlink"/>
          </w:rPr>
          <w:t xml:space="preserve">[6]</w:t>
        </w:r>
      </w:hyperlink>
      <w:r>
        <w:t xml:space="preserve">. If the longitudinal null holds, cadence and accumulated experience carry no measurable return and the resource argument for sustained operational tempo loses its empirical footing. Constructing the tests so that a null is as informative as a positive result is the discipline that keeps the dissertation explanatory rather than merely confirmatory, and it is the standard against which the chapters that follow report their findings.</w:t>
      </w:r>
    </w:p>
    <w:bookmarkEnd w:id="116"/>
    <w:bookmarkEnd w:id="117"/>
    <w:bookmarkStart w:id="123" w:name="chapter-6.-results"/>
    <w:p>
      <w:pPr>
        <w:pStyle w:val="Heading1"/>
        <w:spacing w:line="480" w:lineRule="auto"/>
      </w:pPr>
      <w:r>
        <w:t xml:space="preserve">Chapter 6. Results</w:t>
      </w:r>
    </w:p>
    <w:p>
      <w:pPr>
        <w:pStyle w:val="FirstParagraph"/>
        <w:spacing w:line="480" w:lineRule="auto"/>
      </w:pPr>
      <w:r>
        <w:t xml:space="preserve">This chapter reports the estimated results of the two complementary studies that together constitute the empirical core of the dissertation. The first study treats navigation delivery accuracy cross-sectionally, asking which pre-solution features of a tracking and determination scenario predict the realized orbit-determination (OD) error a solution delivers. The second study treats delivery accuracy longitudinally, asking whether the accumulated operational experience of a deep-space navigation program predicts delivery error and in what functional form. Both estimations were specified before fitting, both use ordinary least squares with heteroskedasticity-consistent standard errors, and both were designed so that a null result would be as informative for navigation practice as a positive one. The two estimands are distinct, but they converge on a single substantive conclusion, developed across the sections that follow: observable, pre-truth features of a navigation problem are not silent about the accuracy that problem will eventually deliver. They carry estimable, rank-orderable predictive weight, and they identify which lever a tasking authority can pull.</w:t>
      </w:r>
    </w:p>
    <w:p>
      <w:pPr>
        <w:pStyle w:val="BodyText"/>
        <w:spacing w:line="480" w:lineRule="auto"/>
        <w:ind w:firstLine="720"/>
      </w:pPr>
      <w:r>
        <w:t xml:space="preserve">The presentation is organized to keep estimation and interpretation tightly coupled. Section 6.1 reports the cross-sectional regression in full, including the global fit, the joint test of the null, and the individual coefficient structure with standard errors and significance. Section 6.2 interprets that coefficient structure in operational terms, translating log-decade coefficients into multiplicative error factors and reading the pattern of significant and non-significant terms as a coherent statement about collinearity among observation-side features. Section 6.3 reports the longitudinal learning-curve regression, its slope, its progress ratio, and its share of explained variance. Section 6.4 interprets the learning-curve estimate, taking care to separate what the estimate licenses from what it does not. Section 6.5 reads the two studies against one another and against the prior literature. All tables, the fitted formulas, the underlying data file, and the diagnostic charts are reproduced in Appendix A and are not repeated here; this chapter reports the numbers and what they mean.</w:t>
      </w:r>
    </w:p>
    <w:bookmarkStart w:id="118" w:name="X4eb4581fce28838319b6cda1d07052da58132b4"/>
    <w:p>
      <w:pPr>
        <w:pStyle w:val="Heading2"/>
        <w:spacing w:line="480" w:lineRule="auto"/>
      </w:pPr>
      <w:r>
        <w:t xml:space="preserve">6.1 Cross-Sectional Regression of Realized Delivery Error</w:t>
      </w:r>
    </w:p>
    <w:p>
      <w:pPr>
        <w:pStyle w:val="FirstParagraph"/>
        <w:spacing w:line="480" w:lineRule="auto"/>
      </w:pPr>
      <w:r>
        <w:t xml:space="preserve">The cross-sectional model regresses the base-10 logarithm of realized total three-dimensional position error on a block of pre-solution features assembled across twenty-eight documented OD scenarios. The dependent variable is expressed in log decades because realized error in the sample spans from the centimeter level of precision low-Earth-orbit determination to roughly one hundred twenty-eight kilometers for angles-only initial orbit determination in geosynchronous orbit, a range of seven orders of magnitude that no linear-in-meters specification could fit without being dominated by its upper tail. The log transform stabilizes the variance and, equally important, renders every coefficient interpretable as a shift in the order of magnitude of error rather than in raw distance. The feature block comprises observation arc span in minutes, the number of tracking passes, a laser-aided indicator, a global-navigation-satellite-system (GNSS) indicator, an angles-only optical indicator, and a cislunar-regime indicator. The omitted modality baseline is radiometric S-band tracking without ranging augmentation, so each modality dummy is read as a level shift relative to that baseline. Estimation uses ordinary least squares with heteroskedasticity-consistent HC1 standard errors, which is the appropriate posture given the deliberate heterogeneity of the sample and the consequent near-certainty of non-constant residual variance.</w:t>
      </w:r>
    </w:p>
    <w:p>
      <w:pPr>
        <w:pStyle w:val="BodyText"/>
        <w:spacing w:line="480" w:lineRule="auto"/>
        <w:ind w:firstLine="720"/>
      </w:pPr>
      <w:r>
        <w:t xml:space="preserve">The model explains the realized delivery error to a degree that is unusual for a sample assembled this heterogeneously. The coefficient of determination is 0.839, and the adjusted coefficient of determination, which penalizes the six-feature specification for its parameter count against twenty-eight observations, is 0.793. The gap between the two, roughly four and a half points, is modest and indicates that the explanatory power is not an artifact of overfitting a large feature block to a small sample; the features earn their place. In substantive terms, the pre-solution feature block accounts for the large majority of the variation in the decade of error a solution delivers, leaving roughly sixteen percent of the variance in log error unexplained by the modeled features.</w:t>
      </w:r>
    </w:p>
    <w:p>
      <w:pPr>
        <w:pStyle w:val="BodyText"/>
        <w:spacing w:line="480" w:lineRule="auto"/>
        <w:ind w:firstLine="720"/>
      </w:pPr>
      <w:r>
        <w:t xml:space="preserve">The decisive test of the chapter’s central hypothesis is the joint F-test of the feature block against the intercept-only model. The null hypothesis H0 holds that the pre-solution feature block provides no joint explanation of realized delivery error, in which case the F statistic would be statistically indistinguishable from zero and the reported covariance idiom would be vindicated as a sufficient planning statistic. The estimated F statistic is 51.22 on the feature block, with an associated p-value of 1.85 times ten to the minus eleventh. The null is rejected decisively and without ambiguity. The probability of observing a joint fit this strong under a world in which the pre-solution features carry no predictive weight is on the order of two parts in one hundred billion. The operational record, in other words, does not behave as if reported covariance were a sufficient statistic for realized accuracy; observable features available before truth is known jointly forecast the decade of error a delivery will land in. This is the single falsifiable contribution the prospectus set out to test, and it survives</w:t>
      </w:r>
      <w:r>
        <w:t xml:space="preserve"> </w:t>
      </w:r>
      <w:hyperlink w:anchor="ref-1">
        <w:r>
          <w:rPr>
            <w:rStyle w:val="Hyperlink"/>
          </w:rPr>
          <w:t xml:space="preserve">[1]</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intercept of the fitted model is 3.8564, with a standard error of 0.7666 and a p-value indistinguishable from zero. Because the dependent variable is log10 error in meters and the omitted baseline is radiometric S-band tracking, the intercept locates the predicted log error of a baseline-modality scenario with the continuous features at zero, an unobservable reference point whose role is to anchor the modality and pass-count shifts rather than to carry interpretation in its own right. Its tight standard error confirms that the model’s level is precisely pinned by the data.</w:t>
      </w:r>
    </w:p>
    <w:p>
      <w:pPr>
        <w:pStyle w:val="BodyText"/>
        <w:spacing w:line="480" w:lineRule="auto"/>
        <w:ind w:firstLine="720"/>
      </w:pPr>
      <w:r>
        <w:t xml:space="preserve">Within the feature block, two coefficients carry individual statistical significance at conventional thresholds, and their identities are the substance of the cross-sectional finding. The number of passes enters with a coefficient of negative 0.1532, a standard error of 0.0276, and a p-value indistinguishable from zero, making it the most precisely estimated and most strongly significant feature in the model. The cislunar-regime indicator enters with a coefficient of negative 0.9112, a standard error of 0.3253, and a p-value of 0.0051, clearing the one-percent threshold. The remaining four features are directionally interpretable but do not reach significance at the five-percent level: the laser-aided indicator at negative 0.5653 with a standard error of 0.3441 and a p-value of 0.1004; the angles-only optical indicator at positive 0.7230 with a standard error of 0.5479 and a p-value of 0.1870; the arc-span coefficient at negative 0.0002 with a standard error of 0.0002 and a p-value of 0.4139; and the GNSS indicator at negative 0.0711 with a standard error of 0.8224 and a p-value of 0.9311. The next section reads this structure.</w:t>
      </w:r>
    </w:p>
    <w:bookmarkEnd w:id="118"/>
    <w:bookmarkStart w:id="119" w:name="X5f3e0804361fdddd3c4e55a6600aeabdd55412a"/>
    <w:p>
      <w:pPr>
        <w:pStyle w:val="Heading2"/>
        <w:spacing w:line="480" w:lineRule="auto"/>
      </w:pPr>
      <w:r>
        <w:t xml:space="preserve">6.2 Interpreting the Cross-Sectional Coefficients</w:t>
      </w:r>
    </w:p>
    <w:p>
      <w:pPr>
        <w:pStyle w:val="FirstParagraph"/>
        <w:spacing w:line="480" w:lineRule="auto"/>
      </w:pPr>
      <w:r>
        <w:t xml:space="preserve">The pass count is the operational heart of the study. Its coefficient rewards a careful reading. A coefficient of negative 0.1532 on the number of passes means that each additional tracking pass folded into a solution lowers the predicted log10 realized error by approximately 0.15 decades, holding the modality and regime indicators and the arc span fixed. Because the dependent variable is a base-10 logarithm, a shift of negative 0.1532 decades translates into a multiplicative change in raw error of ten raised to the negative 0.1532 power, which is approximately 0.70. Each additional pass is therefore associated with realized error contracting to roughly seventy percent of its prior value, a thirty-percent reduction per pass. The cumulative effect over a realistic increment of observation is what makes this finding operationally consequential: ten additional passes correspond to a shift of approximately 1.53 decades, that is ten raised to the negative 1.53 power, or realized error falling to roughly three percent of its starting value, an improvement of more than an order and a half of magnitude. This is the same scale of improvement that the short-arc geosynchronous literature reports as observational arcs accumulate, where adding arcs drives three-dimensional error down by more than an order of magnitude in the angles-only case</w:t>
      </w:r>
      <w:r>
        <w:t xml:space="preserve"> </w:t>
      </w:r>
      <w:hyperlink w:anchor="ref-5">
        <w:r>
          <w:rPr>
            <w:rStyle w:val="Hyperlink"/>
          </w:rPr>
          <w:t xml:space="preserve">[5]</w:t>
        </w:r>
      </w:hyperlink>
      <w:r>
        <w:t xml:space="preserve">. The standard error of 0.0276 is small relative to the coefficient, giving a ratio of estimate to standard error of roughly five and a half, which is why the term clears significance so cleanly. For a tasking authority the practical content is direct: the marginal value of an additional pass is not anecdotal but estimable, and it is large.</w:t>
      </w:r>
    </w:p>
    <w:p>
      <w:pPr>
        <w:pStyle w:val="BodyText"/>
        <w:spacing w:line="480" w:lineRule="auto"/>
        <w:ind w:firstLine="720"/>
      </w:pPr>
      <w:r>
        <w:t xml:space="preserve">The cislunar-regime coefficient is the second significant term and must be interpreted as a conditioning effect rather than as a causal lever a planner can pull. A coefficient of negative 0.9112 on the cislunar indicator means that, relative to the radiometric S-band baseline and holding pass count and the other features fixed, scenarios in the cislunar regime deliver predicted log10 error roughly 0.91 decades lower than their pass count alone would imply, a multiplicative factor of ten raised to the negative 0.9112 power, or approximately 0.12 in raw error. The cislunar rows in the sample are dominated by the intensively tracked Lunar Reconnaissance Orbiter solutions, which fold in multi-day, multi-modality arcs whose effective constraining power exceeds what a simple pass count captures. The negative regime coefficient is therefore best read as the model’s way of recording that those targets are far better behaved than their tabulated pass count alone would predict. Its significance, at a p-value of 0.0051, carries a methodological caution as much as a substantive one: it confirms that pooling precision-tracked geodetic and lunar targets with sparsely tracked optical objects without a regime control would bias any single-feature claim, which is precisely why the regime indicator is carried explicitly rather than averaged away</w:t>
      </w:r>
      <w:r>
        <w:t xml:space="preserve"> </w:t>
      </w:r>
      <w:hyperlink w:anchor="ref-1">
        <w:r>
          <w:rPr>
            <w:rStyle w:val="Hyperlink"/>
          </w:rPr>
          <w:t xml:space="preserve">[1]</w:t>
        </w:r>
      </w:hyperlink>
      <w:r>
        <w:t xml:space="preserve">.</w:t>
      </w:r>
    </w:p>
    <w:p>
      <w:pPr>
        <w:pStyle w:val="BodyText"/>
        <w:spacing w:line="480" w:lineRule="auto"/>
        <w:ind w:firstLine="720"/>
      </w:pPr>
      <w:r>
        <w:t xml:space="preserve">The four non-significant coefficients are not failures of the model. Read together, they tell a coherent collinearity story. The laser-aided indicator, at negative 0.5653, points firmly in the expected direction. Ranging measurements constrain the radial and along-track directions far more tightly than angles-only data, and a coefficient of negative 0.5653 decades implies a raw-error factor of about 0.27, a nearly fourfold tightening. Yet with a standard error of 0.3441 the term carries a p-value of 0.1004 and does not clear the five-percent bar once pass count and regime are held fixed. The angles-only optical indicator carries the opposite sign, positive 0.7230, exactly as theory predicts for a range-weak modality that should inflate realized error, but its standard error of 0.5479 leaves it at a p-value of 0.1870. The arc-span coefficient, at negative 0.0002 with a standard error of 0.0002 and a p-value of 0.4139, is statistically indistinguishable from zero, and the GNSS indicator at negative 0.0711, with a standard error of 0.8224 and a p-value of 0.9311, is the least precisely estimated term in the model, its enormous standard error reflecting how few and how clustered the GNSS scenarios are.</w:t>
      </w:r>
    </w:p>
    <w:p>
      <w:pPr>
        <w:pStyle w:val="BodyText"/>
        <w:spacing w:line="480" w:lineRule="auto"/>
        <w:ind w:firstLine="720"/>
      </w:pPr>
      <w:r>
        <w:t xml:space="preserve">The most natural reading of this pattern is that observation quantity, captured by the pass count, absorbs much of the variance that raw arc minutes and the modality dummies would otherwise carry. Passes, arc span, and modality co-move across the documented scenarios: a solution with many passes tends also to have a longer span and a ranging modality, so once pass count is in the model the marginal information left for the other observation-side features to explain is small. This is collinearity operating exactly as it should, transferring explanatory credit to the single feature that best summarizes observation quantity and leaving the correlated features with directionally correct but imprecisely estimated coefficients. The honest conclusion is the one the model supports: the joint explanatory result is robust, the pass-count and regime effects are individually identified, and the individual modality coefficients should be read as suggestive of mechanism rather than as cleanly separated marginal effects. The directional consistency of laser-aided (negative) and optical-only (positive) is itself evidence that the modality mechanism is real even where the sample lacks the power to isolate it.</w:t>
      </w:r>
    </w:p>
    <w:bookmarkEnd w:id="119"/>
    <w:bookmarkStart w:id="120" w:name="longitudinal-learning-curve-regression"/>
    <w:p>
      <w:pPr>
        <w:pStyle w:val="Heading2"/>
        <w:spacing w:line="480" w:lineRule="auto"/>
      </w:pPr>
      <w:r>
        <w:t xml:space="preserve">6.3 Longitudinal Learning-Curve Regression</w:t>
      </w:r>
    </w:p>
    <w:p>
      <w:pPr>
        <w:pStyle w:val="FirstParagraph"/>
        <w:spacing w:line="480" w:lineRule="auto"/>
      </w:pPr>
      <w:r>
        <w:t xml:space="preserve">The second study shifts from the cross-section of scenarios to the time series of a navigation program’s accumulated experience. It assembles twenty documented operational deep-space targeted-delivery events spanning 1971 to 2022, each a publicly reported arrival in the JPL-led planetary navigation lineage and its immediate peers, with delivery error in kilometers as the outcome and a chronologically ordered cumulative-encounter index as the experience axis. The specification is the canonical learning-curve form: a log-log ordinary least squares regression of the natural logarithm of delivery error on the natural logarithm of cumulative encounters, with a constant and heteroskedasticity-consistent HC1 standard errors. The slope is the experience elasticity of delivery error, and two raised to that slope is the progress ratio, the multiplicative factor by which error changes for each doubling of cumulative experience. The null hypothesis is a slope of zero, under which accumulated experience would carry no predictive information about achieved accuracy.</w:t>
      </w:r>
    </w:p>
    <w:p>
      <w:pPr>
        <w:pStyle w:val="BodyText"/>
        <w:spacing w:line="480" w:lineRule="auto"/>
        <w:ind w:firstLine="720"/>
      </w:pPr>
      <w:r>
        <w:t xml:space="preserve">The estimated slope on log cumulative encounters is negative 3.0356, with an HC1 standard error of 0.8471 and a p-value of 0.0003. The slope is negative and statistically distinguishable from zero at well beyond the one-percent level: the ratio of the estimate to its standard error is roughly negative three and a half, and the null of no learning is rejected at conventional thresholds. The intercept is 11.2302, with a standard error of 2.1528, and is precisely estimated; it locates the fitted line’s level at the start of the experience axis. The model explains 0.352 of the variation in log delivery error across the twenty observations, that is roughly thirty-five percent, leaving the remaining two-thirds of the variance to be accounted for by factors outside a single experience axis. The share of explained variance is far lower than in the cross-sectional model, a difference that is itself informative and is taken up in the interpretation below.</w:t>
      </w:r>
    </w:p>
    <w:p>
      <w:pPr>
        <w:pStyle w:val="BodyText"/>
        <w:spacing w:line="480" w:lineRule="auto"/>
        <w:ind w:firstLine="720"/>
      </w:pPr>
      <w:r>
        <w:t xml:space="preserve">The slope translates into a progress ratio of 0.122, computed as two raised to the negative 3.0356 power. The substantive content of that ratio is striking: along the fitted curve, each doubling of cumulative encounter experience is associated with delivery error falling to roughly one-eighth of its prior value, since 0.122 is approximately one over eight. By the standards of the production-curve and engineering-learning literature, in which progress ratios commonly sit between 0.80 and 0.90, that is an extraordinarily steep rate of decline. A program that learns this fast on paper would, over a handful of doublings of accumulated encounters, traverse the full five-order-of-magnitude descent from the hundred-kilometer aiming zones of the early 1970s to the meter-class touchdowns of the most recent small-body deliveries. The estimate confirms the qualitative narrative of the field’s own histories: the descent of delivery error over fifty years has the log-linear power-law shape that the learning-curve hypothesis predicts, and its slope is negative with high confidence</w:t>
      </w:r>
      <w:r>
        <w:t xml:space="preserve"> </w:t>
      </w:r>
      <w:hyperlink w:anchor="ref-1">
        <w:r>
          <w:rPr>
            <w:rStyle w:val="Hyperlink"/>
          </w:rPr>
          <w:t xml:space="preserve">[1]</w:t>
        </w:r>
      </w:hyperlink>
      <w:r>
        <w:t xml:space="preserve">.</w:t>
      </w:r>
    </w:p>
    <w:bookmarkEnd w:id="120"/>
    <w:bookmarkStart w:id="121" w:name="interpreting-the-learning-curve-estimate"/>
    <w:p>
      <w:pPr>
        <w:pStyle w:val="Heading2"/>
        <w:spacing w:line="480" w:lineRule="auto"/>
      </w:pPr>
      <w:r>
        <w:t xml:space="preserve">6.4 Interpreting the Learning-Curve Estimate</w:t>
      </w:r>
    </w:p>
    <w:p>
      <w:pPr>
        <w:pStyle w:val="FirstParagraph"/>
        <w:spacing w:line="480" w:lineRule="auto"/>
      </w:pPr>
      <w:r>
        <w:t xml:space="preserve">The learning-curve result must be interpreted with more reserve than its sharp slope and tiny p-value might invite, and the reserve is built into how the estimate is read rather than appended as an afterthought. Three features of the estimation discipline the claim. First, the share of explained variance is modest. With an R-squared of 0.352, the cumulative-experience axis accounts for about a third of the variation in log delivery error and leaves about two-thirds unexplained. The learning curve is the right first-order description of the data, but it is manifestly not the whole story; delivery error does not collapse smoothly with every encounter. The unexplained two-thirds is where delivery type, navigation mode, and target geometry live, and the cross-sectional study of Section 6.1 is precisely the instrument that recovers some of that residual structure. The two studies are therefore complementary by construction: the longitudinal model establishes the dominant trend, and the cross-sectional model explains deviations from it.</w:t>
      </w:r>
    </w:p>
    <w:p>
      <w:pPr>
        <w:pStyle w:val="BodyText"/>
        <w:spacing w:line="480" w:lineRule="auto"/>
        <w:ind w:firstLine="720"/>
      </w:pPr>
      <w:r>
        <w:t xml:space="preserve">Second, the precision of the slope is real but the magnitude is loosely pinned. With a point estimate of negative 3.0356 and an HC1 standard error of 0.8471, a conventional ninety-five-percent interval spans roughly from negative 4.70 to negative 1.38, a wide band that lies entirely below zero. The width of that band is the honest signal in the estimate. The sign of the experience elasticity is established with high confidence, and the qualitative claim that the program learns is secure, but the exact steepness of the curve is uncertain by a factor of more than three across the interval. The defensible claim is therefore directional and strong on sign rather than precise on magnitude: across the documented record, accumulated program experience is a powerful negative predictor of delivery error, and the relationship takes the log-linear power-law shape the hypothesis predicts, but the headline progress ratio of 0.122 should be carried as a central estimate inside a wide envelope rather than as a precise constant of the discipline.</w:t>
      </w:r>
    </w:p>
    <w:p>
      <w:pPr>
        <w:pStyle w:val="BodyText"/>
        <w:spacing w:line="480" w:lineRule="auto"/>
        <w:ind w:firstLine="720"/>
      </w:pPr>
      <w:r>
        <w:t xml:space="preserve">Third, the estimate is reduced-form by design, and this is the most important interpretive boundary. The cumulative-encounter index runs in calendar order, so it is necessarily entangled with contemporaneous and unmeasured improvements in tracking hardware, in planetary and satellite ephemerides, and in camera calibration that arrived alongside the flown encounters rather than because of them. The regression cannot, with twenty observations and a single experience axis, separate genuine experiential learning from these co-occurring advances. What it estimates is the reduced-form decline of delivery error along the program’s accumulated experience, not a controlled isolation of an experience channel. The steepness of the slope, far steeper than typical manufacturing learning curves, is itself a clue that the experience axis is proxying for more than experience alone; a pure learning channel would be unlikely to produce a one-eighth-per-doubling rate by itself. The residual pattern reinforces this. Unguided ballistic entries sit above the curve set by guided neighbors, and orbit-insertion deliveries do not track flyby deliveries one for one, which is consistent with the cross-sectional finding that delivery type and navigation mode carry predictive weight beyond raw experience. What the present estimate establishes is sufficient and bounded: the learning-curve form is the correct first description, its slope is negative with high confidence, and its magnitude is large enough to matter for how a navigation program is funded and paced. Those three findings, and not a precise elasticity, are what the longitudinal study contributes.</w:t>
      </w:r>
    </w:p>
    <w:bookmarkEnd w:id="121"/>
    <w:bookmarkStart w:id="122" w:name="synthesis-across-the-two-studies"/>
    <w:p>
      <w:pPr>
        <w:pStyle w:val="Heading2"/>
        <w:spacing w:line="480" w:lineRule="auto"/>
      </w:pPr>
      <w:r>
        <w:t xml:space="preserve">6.5 Synthesis Across the Two Studies</w:t>
      </w:r>
    </w:p>
    <w:p>
      <w:pPr>
        <w:pStyle w:val="FirstParagraph"/>
        <w:spacing w:line="480" w:lineRule="auto"/>
      </w:pPr>
      <w:r>
        <w:t xml:space="preserve">The two estimations converge. Read together, they make a single coherent claim with two faces. The cross-sectional model establishes that, for a given delivery, the pre-solution features of the tracking and determination problem jointly forecast the decade of realized error with an R-squared of 0.839 and a joint F of 51.22 at a p-value of 1.85 times ten to the minus eleventh, and that the single most reliable individually identified lever is the quantity of tracking folded into the solution, each pass contracting realized error to roughly seventy percent of its prior value. The longitudinal model establishes that, for a navigation program across time, accumulated operational experience is a powerful negative predictor of delivery error, with an experience elasticity of negative 3.0356 at a p-value of 0.0003 and a progress ratio of 0.122 per doubling, even as two-thirds of the longitudinal variance remains for the cross-sectional features to explain. The two findings are not redundant; they operate at different units of analysis, the scenario and the program, and each recovers structure the other leaves on the table.</w:t>
      </w:r>
    </w:p>
    <w:p>
      <w:pPr>
        <w:pStyle w:val="BodyText"/>
        <w:spacing w:line="480" w:lineRule="auto"/>
        <w:ind w:firstLine="720"/>
      </w:pPr>
      <w:r>
        <w:t xml:space="preserve">Both results point the same direction for navigation practice and for the resource argument that motivates the dissertation. Delivery accuracy is not a fixed property of an instrument suite. At the scenario level it is bought, predictably and quantifiably, by adding tracking, with a per-pass return that is estimable rather than asserted. At the program level it compounds with operational repetition, with a decline steep enough to dominate the fifty-year record. The cross-sectional study confirms what the prospectus set out to falsify and could not: pre-solution features are not silent, and they outpredict the reported-covariance idiom that the field has leaned on as a planning statistic</w:t>
      </w:r>
      <w:r>
        <w:t xml:space="preserve"> </w:t>
      </w:r>
      <w:hyperlink w:anchor="ref-6">
        <w:r>
          <w:rPr>
            <w:rStyle w:val="Hyperlink"/>
          </w:rPr>
          <w:t xml:space="preserve">[6]</w:t>
        </w:r>
      </w:hyperlink>
      <w:r>
        <w:t xml:space="preserve">. The longitudinal study confirms that the same logic scales upward to the enterprise, where sustaining a steady cadence of flown encounters yields a measurable return and gaps in cadence forfeit accumulation. The pattern of significant and non-significant coefficients in the cross-section, with pass count and regime identified and the modality terms directionally correct but collinear, and the wide but wholly-negative confidence interval on the learning-curve slope, are reported here without softening because the honesty of those boundaries is what gives the central findings their weight. Across documented deliveries and across a documented program, observable features predict realized navigation accuracy, and they identify which knob to turn</w:t>
      </w:r>
      <w:r>
        <w:t xml:space="preserve"> </w:t>
      </w:r>
      <w:hyperlink w:anchor="ref-1">
        <w:r>
          <w:rPr>
            <w:rStyle w:val="Hyperlink"/>
          </w:rPr>
          <w:t xml:space="preserve">[1]</w:t>
        </w:r>
      </w:hyperlink>
      <w:r>
        <w:t xml:space="preserve">,</w:t>
      </w:r>
      <w:r>
        <w:t xml:space="preserve"> </w:t>
      </w:r>
      <w:hyperlink w:anchor="ref-5">
        <w:r>
          <w:rPr>
            <w:rStyle w:val="Hyperlink"/>
          </w:rPr>
          <w:t xml:space="preserve">[5]</w:t>
        </w:r>
      </w:hyperlink>
      <w:r>
        <w:t xml:space="preserve">,</w:t>
      </w:r>
      <w:r>
        <w:t xml:space="preserve"> </w:t>
      </w:r>
      <w:hyperlink w:anchor="ref-8">
        <w:r>
          <w:rPr>
            <w:rStyle w:val="Hyperlink"/>
          </w:rPr>
          <w:t xml:space="preserve">[8]</w:t>
        </w:r>
      </w:hyperlink>
      <w:r>
        <w:t xml:space="preserve">.</w:t>
      </w:r>
    </w:p>
    <w:bookmarkEnd w:id="122"/>
    <w:bookmarkEnd w:id="123"/>
    <w:bookmarkStart w:id="130" w:name="X21322cb5e29cbf4eb576afddcad42f86ace4e0d"/>
    <w:p>
      <w:pPr>
        <w:pStyle w:val="Heading1"/>
        <w:spacing w:line="480" w:lineRule="auto"/>
      </w:pPr>
      <w:r>
        <w:t xml:space="preserve">Chapter 7. Discussion and Governance Implications</w:t>
      </w:r>
    </w:p>
    <w:bookmarkStart w:id="124" w:name="what-the-two-studies-jointly-establish"/>
    <w:p>
      <w:pPr>
        <w:pStyle w:val="Heading2"/>
        <w:spacing w:line="480" w:lineRule="auto"/>
      </w:pPr>
      <w:r>
        <w:t xml:space="preserve">7.1 What the Two Studies Jointly Establish</w:t>
      </w:r>
    </w:p>
    <w:p>
      <w:pPr>
        <w:pStyle w:val="FirstParagraph"/>
        <w:spacing w:line="480" w:lineRule="auto"/>
      </w:pPr>
      <w:r>
        <w:t xml:space="preserve">The dissertation set out to test a single proposition stated three ways: that realized navigation delivery accuracy, the quantity an operational team is ultimately judged on, carries learnable structure that observable antecedents can recover before truth is known. The cross-sectional study and the longitudinal study attack that proposition from orthogonal directions, and the value of reading them together is that their agreement is not an artifact of a shared specification. The cross-sectional regression asks which pre-solution features of a single orbit determination (OD) solution predict the realized total position error it will deliver, and it returns a joint explanatory result strong enough to reject the null that the feature block is silent, with the model accounting for the large majority of variance in log realized error across a deliberately heterogeneous sample spanning seven orders of magnitude. The longitudinal regression asks whether the accumulated operational experience of a navigation program predicts the delivery error of its next arrival, and it returns a negative experience elasticity distinguishable from zero, with the log-linear power-law form that the learning-curve hypothesis predicts. One study holds time fixed and varies the solution; the other holds the solution class roughly constant and varies cumulative experience. Both find that the antecedent is load-bearing.</w:t>
      </w:r>
    </w:p>
    <w:p>
      <w:pPr>
        <w:pStyle w:val="BodyText"/>
        <w:spacing w:line="480" w:lineRule="auto"/>
        <w:ind w:firstLine="720"/>
      </w:pPr>
      <w:r>
        <w:t xml:space="preserve">The convergence matters because the field’s two dominant idioms for reasoning about delivery accuracy are both prospectively mute. The filter’s own formal covariance reports the estimator’s internal belief about its uncertainty, a belief known to be optimistic or simply miscalibrated when measurement-error and a priori assumptions are violated</w:t>
      </w:r>
      <w:r>
        <w:t xml:space="preserve"> </w:t>
      </w:r>
      <w:hyperlink w:anchor="ref-6">
        <w:r>
          <w:rPr>
            <w:rStyle w:val="Hyperlink"/>
          </w:rPr>
          <w:t xml:space="preserve">[6]</w:t>
        </w:r>
      </w:hyperlink>
      <w:r>
        <w:t xml:space="preserve">. Post hoc narrative explains a delivery only after the truth comparison is in hand, which is to say after the decision it might have informed has already been made. The survey literature on OD for space situational awareness catalogues dozens of estimator architectures and observation modalities, and concedes through its turn toward error-pattern mining and learned corrections that realized error is structured, yet it has pursued that structure as a prediction-improvement engineering task rather than as an explanatory accounting of which inputs are decisive</w:t>
      </w:r>
      <w:r>
        <w:t xml:space="preserve"> </w:t>
      </w:r>
      <w:hyperlink w:anchor="ref-1">
        <w:r>
          <w:rPr>
            <w:rStyle w:val="Hyperlink"/>
          </w:rPr>
          <w:t xml:space="preserve">[1]</w:t>
        </w:r>
      </w:hyperlink>
      <w:r>
        <w:t xml:space="preserve">. The parallel survey of machine learning in orbit estimation documents the same migration and the same omission</w:t>
      </w:r>
      <w:r>
        <w:t xml:space="preserve"> </w:t>
      </w:r>
      <w:hyperlink w:anchor="ref-8">
        <w:r>
          <w:rPr>
            <w:rStyle w:val="Hyperlink"/>
          </w:rPr>
          <w:t xml:space="preserve">[8]</w:t>
        </w:r>
      </w:hyperlink>
      <w:r>
        <w:t xml:space="preserve">. The contribution of this dissertation is to make the explanatory question answerable and falsifiable, and to answer it in the direction that the operational record already hinted at: pre-solution features are not redundant with the covariance, and accumulated experience is not a rhetorical flourish about institutional memory but a measurable predictor with an estimable slope.</w:t>
      </w:r>
    </w:p>
    <w:p>
      <w:pPr>
        <w:pStyle w:val="BodyText"/>
        <w:spacing w:line="480" w:lineRule="auto"/>
        <w:ind w:firstLine="720"/>
      </w:pPr>
      <w:r>
        <w:t xml:space="preserve">This chapter reads those findings forward. Section 7.2 translates the cross-sectional result into guidance for tasking and tracking-plan decisions. Section 7.3 translates the learning-curve result into a resource and cadence argument addressed to NASA program management and JPL institutional planning. Section 7.4 confronts the limitations honestly, because the strength of the governance claim depends on stating its boundaries with the same precision as its content. Section 7.5 sets out the future research that would convert directional findings into operationally deployable tools.</w:t>
      </w:r>
    </w:p>
    <w:bookmarkEnd w:id="124"/>
    <w:bookmarkStart w:id="125" w:name="X0628d09cb80ca800bf77f04b67c74f897de037b"/>
    <w:p>
      <w:pPr>
        <w:pStyle w:val="Heading2"/>
        <w:spacing w:line="480" w:lineRule="auto"/>
      </w:pPr>
      <w:r>
        <w:t xml:space="preserve">7.2 Implications for Tasking and Tracking-Plan Decisions</w:t>
      </w:r>
    </w:p>
    <w:p>
      <w:pPr>
        <w:pStyle w:val="FirstParagraph"/>
        <w:spacing w:line="480" w:lineRule="auto"/>
      </w:pPr>
      <w:r>
        <w:t xml:space="preserve">The reading is concrete. The cross-sectional finding translates directly into operational terms. The single most reliable lever on realized delivery error in the sample is the quantity of tracking folded into the solution, captured by the number of passes. Each additional pass lowers log10 realized error by about 0.15 decades, equivalent to multiplying realized error by roughly 0.70 per pass, so that ten additional passes correspond to about a decade and a half of error reduction, the same order-of-magnitude improvement the short-arc geosynchronous literature reports as arcs accumulate</w:t>
      </w:r>
      <w:r>
        <w:t xml:space="preserve"> </w:t>
      </w:r>
      <w:hyperlink w:anchor="ref-5">
        <w:r>
          <w:rPr>
            <w:rStyle w:val="Hyperlink"/>
          </w:rPr>
          <w:t xml:space="preserve">[5]</w:t>
        </w:r>
      </w:hyperlink>
      <w:r>
        <w:t xml:space="preserve">. For a tasking authority, this converts a question ordinarily answered by intuition into one answered by a coefficient: the marginal value of an additional pass is estimable, and the decision to commit further sensor time can be weighed against a forecast of the accuracy it will buy rather than against an anecdote about what similar objects required in the past.</w:t>
      </w:r>
    </w:p>
    <w:p>
      <w:pPr>
        <w:pStyle w:val="BodyText"/>
        <w:spacing w:line="480" w:lineRule="auto"/>
        <w:ind w:firstLine="720"/>
      </w:pPr>
      <w:r>
        <w:t xml:space="preserve">That reframing changes the unit of the tasking conversation. The prospectus posed the question a tasking authority actually asks, which is not what the realized error eventually was but how accurate the delivery is likely to be before the plan is committed and which knob most changes that answer. The cross-sectional model answers both halves. It supplies a conditional expectation of realized error given the pre-solution feature vector, and it supplies a rank ordering of which features carry the predictive weight. In the documented sample, observation quantity dominates, with the dynamical regime entering as a significant conditioning term whose role is as much a caution as a finding: pooling intensively tracked geodetic and lunar targets with sparsely tracked optical objects without a regime control would bias any single-feature claim, which is why the regime indicator is carried explicitly rather than averaged away</w:t>
      </w:r>
      <w:r>
        <w:t xml:space="preserve"> </w:t>
      </w:r>
      <w:hyperlink w:anchor="ref-1">
        <w:r>
          <w:rPr>
            <w:rStyle w:val="Hyperlink"/>
          </w:rPr>
          <w:t xml:space="preserve">[1]</w:t>
        </w:r>
      </w:hyperlink>
      <w:r>
        <w:t xml:space="preserve">. The operational lesson is that the same feature can be a lever on one class of object and a confounder on another, and that a tasking model must condition on regime to keep its forecasts honest across the catalogue of object types the survey literature flags as differing in difficulty</w:t>
      </w:r>
      <w:r>
        <w:t xml:space="preserve"> </w:t>
      </w:r>
      <w:hyperlink w:anchor="ref-1">
        <w:r>
          <w:rPr>
            <w:rStyle w:val="Hyperlink"/>
          </w:rPr>
          <w:t xml:space="preserve">[1]</w:t>
        </w:r>
      </w:hyperlink>
      <w:r>
        <w:t xml:space="preserve">.</w:t>
      </w:r>
    </w:p>
    <w:p>
      <w:pPr>
        <w:pStyle w:val="BodyText"/>
        <w:spacing w:line="480" w:lineRule="auto"/>
        <w:ind w:firstLine="720"/>
      </w:pPr>
      <w:r>
        <w:t xml:space="preserve">The modality features sharpen the guidance in a direction the operational community already half knows. Ranging measurements, whether satellite laser ranging or onboard global navigation satellite system tracking, constrain the radial and along-track directions far more tightly than angles-only optical data, which is weak in range. In the cross-sectional sample the laser-aided indicator points the expected way, lowering log error by a factor consistent with the radial and along-track tightening that ranging provides, while the angles-only optical indicator carries the positive sign expected of a range-weak modality. That neither modality term clears individual significance once pass count and regime are held fixed is itself instructive for tasking. It indicates that observation quantity absorbs much of the variance that raw modality would otherwise carry, because passes, span, and modality co-move across documented scenarios. The practical implication is not that modality is irrelevant but that a tasking authority cannot treat adding a laser station and adding passes as independent dials when they are correlated in the historical record; the cleaner lever, empirically, is the one that survives the joint specification. Studies of two-site debris tracking under limited observation environments make the same point from the sensor-network side, showing that the combination of angle and laser ranging data from multiple sites materially changes the achievable orbit prediction accuracy</w:t>
      </w:r>
      <w:r>
        <w:t xml:space="preserve"> </w:t>
      </w:r>
      <w:hyperlink w:anchor="ref-10">
        <w:r>
          <w:rPr>
            <w:rStyle w:val="Hyperlink"/>
          </w:rPr>
          <w:t xml:space="preserve">[10]</w:t>
        </w:r>
      </w:hyperlink>
      <w:r>
        <w:t xml:space="preserve">, and multi-station radiometric tracking studies confirm that observation-side design choices change navigation accuracy in a structured, reproducible way</w:t>
      </w:r>
      <w:r>
        <w:t xml:space="preserve"> </w:t>
      </w:r>
      <w:hyperlink w:anchor="ref-7">
        <w:r>
          <w:rPr>
            <w:rStyle w:val="Hyperlink"/>
          </w:rPr>
          <w:t xml:space="preserve">[7]</w:t>
        </w:r>
      </w:hyperlink>
      <w:r>
        <w:t xml:space="preserve">.</w:t>
      </w:r>
    </w:p>
    <w:p>
      <w:pPr>
        <w:pStyle w:val="BodyText"/>
        <w:spacing w:line="480" w:lineRule="auto"/>
        <w:ind w:firstLine="720"/>
      </w:pPr>
      <w:r>
        <w:t xml:space="preserve">There is a further governance implication in the comparison the cross-sectional study was built to make against the filter’s reported covariance. The prospectus framed the formal-covariance baseline as the explicit straw man, the competitor the study was designed to give every chance to win, because if reported covariance were a sufficient statistic for realized accuracy then pre-solution features would add no out-of-sample predictive power</w:t>
      </w:r>
      <w:r>
        <w:t xml:space="preserve"> </w:t>
      </w:r>
      <w:hyperlink w:anchor="ref-6">
        <w:r>
          <w:rPr>
            <w:rStyle w:val="Hyperlink"/>
          </w:rPr>
          <w:t xml:space="preserve">[6]</w:t>
        </w:r>
      </w:hyperlink>
      <w:r>
        <w:t xml:space="preserve">. The finding that the feature block jointly explains realized error tells a tasking authority that the covariance the filter reports is not, on its own, a sound basis for a commitment decision. This is consequential for any custody or screening pipeline that propagates reported covariance forward and acts on it, because a covariance that is optimistic in a known direction will systematically understate the realized error of the very deliveries the pipeline is most likely to trust. Multi-state estimation paradigms that treat measurement-error priors as first-class entities exist precisely because the single-filter covariance is an unreliable guide under violated assumptions</w:t>
      </w:r>
      <w:r>
        <w:t xml:space="preserve"> </w:t>
      </w:r>
      <w:hyperlink w:anchor="ref-6">
        <w:r>
          <w:rPr>
            <w:rStyle w:val="Hyperlink"/>
          </w:rPr>
          <w:t xml:space="preserve">[6]</w:t>
        </w:r>
      </w:hyperlink>
      <w:r>
        <w:t xml:space="preserve">, and the cross-sectional result here is an empirical corroboration of that concern expressed in the language of out-of-sample prediction.</w:t>
      </w:r>
    </w:p>
    <w:bookmarkEnd w:id="125"/>
    <w:bookmarkStart w:id="126" w:name="Xbca72d169a2dba480b2f9fffe2a40a712de9380"/>
    <w:p>
      <w:pPr>
        <w:pStyle w:val="Heading2"/>
        <w:spacing w:line="480" w:lineRule="auto"/>
      </w:pPr>
      <w:r>
        <w:t xml:space="preserve">7.3 Implications for NASA Program Management and JPL Institutional Planning</w:t>
      </w:r>
    </w:p>
    <w:p>
      <w:pPr>
        <w:pStyle w:val="FirstParagraph"/>
        <w:spacing w:line="480" w:lineRule="auto"/>
      </w:pPr>
      <w:r>
        <w:t xml:space="preserve">The audience shifts here. The longitudinal study speaks to a different audience and a longer time horizon. Its claim is that delivery accuracy is not a fixed property of an instrument suite but a capability that compounds with operational repetition, and that the compounding is large enough to dominate the long-run record. The estimated experience elasticity is negative and statistically distinguishable from zero, and it translates into a steep progress ratio under which each doubling of cumulative encounter experience is associated with delivery error falling to a small fraction of its prior value along the fitted curve. Read as a program-level regularity, this supports a specific resource argument that has ordinarily been made by assertion: a navigation enterprise that flies encounters steadily moves down a steep curve, and gaps in cadence forfeit the accumulation that the curve rewards.</w:t>
      </w:r>
    </w:p>
    <w:p>
      <w:pPr>
        <w:pStyle w:val="BodyText"/>
        <w:spacing w:line="480" w:lineRule="auto"/>
        <w:ind w:firstLine="720"/>
      </w:pPr>
      <w:r>
        <w:t xml:space="preserve">For NASA program management the governance payload is that cadence is itself a capability input. The conventional framing treats each mission as a discrete acquisition whose navigation performance is bounded by the technology it carries. The learning-curve result reframes the mission portfolio as a production line whose output is delivery capability, where the experience accumulated on encounter N is an input to the accuracy achievable on encounter N plus one. The mechanism is not mysterious. Optical navigation entered operational use as an experiment and matured encounter by encounter through a sequence of refinements, including better satellite ephemerides, better estimates of system masses, better camera calibration, and a navigation software suite the discipline describes as the embodiment of decades of mission-tested practice</w:t>
      </w:r>
      <w:r>
        <w:t xml:space="preserve"> </w:t>
      </w:r>
      <w:hyperlink w:anchor="ref-1">
        <w:r>
          <w:rPr>
            <w:rStyle w:val="Hyperlink"/>
          </w:rPr>
          <w:t xml:space="preserve">[1]</w:t>
        </w:r>
      </w:hyperlink>
      <w:r>
        <w:t xml:space="preserve">. Reviews of autonomous and optically aided navigation frame the field’s progress as cumulative capability growth rather than isolated breakthroughs</w:t>
      </w:r>
      <w:r>
        <w:t xml:space="preserve"> </w:t>
      </w:r>
      <w:hyperlink w:anchor="ref-1">
        <w:r>
          <w:rPr>
            <w:rStyle w:val="Hyperlink"/>
          </w:rPr>
          <w:t xml:space="preserve">[1]</w:t>
        </w:r>
      </w:hyperlink>
      <w:r>
        <w:t xml:space="preserve">, and the empirical contribution here is to attach a slope to that qualitative claim. A program that lets cadence lapse is not merely deferring a mission; it is stepping off a curve whose return is measurable, and the dissertation gives institutional planners a defensible figure for the value of staying on it.</w:t>
      </w:r>
    </w:p>
    <w:p>
      <w:pPr>
        <w:pStyle w:val="BodyText"/>
        <w:spacing w:line="480" w:lineRule="auto"/>
        <w:ind w:firstLine="720"/>
      </w:pPr>
      <w:r>
        <w:t xml:space="preserve">For JPL specifically, the implication touches the institution’s distinctive claim on planetary navigation. The longitudinal sample is drawn from the JPL-led planetary navigation lineage and its immediate peers, and the steepness of the estimated curve is consistent with the proposition that the laboratory’s accumulated model of the solar system and its mission-tested estimation pipeline are the carriers of capability, not any single technology generation. This has a direct bearing on workforce and tooling decisions. If the curve is driven by the feedback of each encounter into calibration, tooling, and procedure, then the assets that must be protected through a cadence gap are the human expertise and the software embodiment that encode the accumulated know-how, because those are the channels through which experience converts into accuracy. The decision-relevant question for JPL leadership is therefore not only how many missions fly but whether the continuity of the navigation team and the maintenance of the estimation suite are preserved across the gaps that funding cycles impose. A learning curve is only realized if the learner persists between encounters.</w:t>
      </w:r>
    </w:p>
    <w:p>
      <w:pPr>
        <w:pStyle w:val="BodyText"/>
        <w:spacing w:line="480" w:lineRule="auto"/>
        <w:ind w:firstLine="720"/>
      </w:pPr>
      <w:r>
        <w:t xml:space="preserve">The two studies combine into a single message for decision-makers that neither could carry alone. The cross-sectional result tells a tasking authority which knob to turn within a mission to buy accuracy now. The longitudinal result tells a program executive which investment to protect across missions to buy accuracy over a decade. The first is a tactical lever measured in passes; the second is a strategic lever measured in sustained cadence and preserved expertise. That the same dependent variable, realized delivery error, responds to both, and responds in directions that the operational community recognizes, is what licenses treating the dissertation as a contribution to navigation governance rather than to navigation technique alone.</w:t>
      </w:r>
    </w:p>
    <w:bookmarkEnd w:id="126"/>
    <w:bookmarkStart w:id="127" w:name="limitations"/>
    <w:p>
      <w:pPr>
        <w:pStyle w:val="Heading2"/>
        <w:spacing w:line="480" w:lineRule="auto"/>
      </w:pPr>
      <w:r>
        <w:t xml:space="preserve">7.4 Limitations</w:t>
      </w:r>
    </w:p>
    <w:p>
      <w:pPr>
        <w:pStyle w:val="FirstParagraph"/>
        <w:spacing w:line="480" w:lineRule="auto"/>
      </w:pPr>
      <w:r>
        <w:t xml:space="preserve">The governance claims above are only as strong as the data and designs that produce them, and the limitations must be stated with the same precision as the findings. Five bound the cross-sectional result and three bound the longitudinal result, and the honest reading is that the dissertation establishes directional regularities of high confidence rather than precisely identified marginal effects ready for unsupervised operational deployment.</w:t>
      </w:r>
    </w:p>
    <w:p>
      <w:pPr>
        <w:pStyle w:val="BodyText"/>
        <w:spacing w:line="480" w:lineRule="auto"/>
        <w:ind w:firstLine="720"/>
      </w:pPr>
      <w:r>
        <w:t xml:space="preserve">The first cross-sectional limitation is aggregation. The sample assembles reported summary statistics rather than solution-level records, so the within-scenario heterogeneity that a full operational study would exploit is compressed into representative rows. The heteroskedasticity-consistent standard errors guard against the resulting non-constant variance but cannot recover lost granularity, and the joint explanatory result is therefore more robust than any single coefficient read in isolation. The second limitation is collinearity. Pass count, arc span, and modality co-move across the documented scenarios, which means the individual modality coefficients should be read as suggestive rather than as cleanly identified marginal effects. The most defensible statement is that observation quantity absorbs much of the shared variance, not that modality is causally inert. The third limitation is the construct validity of the formal-covariance baseline itself. A poorly tuned filter would make the covariance an artificially weak competitor and bias the comparison toward the alternative, which is why the design specifies that the baseline be tuned to its best calibrated state before the comparison, consistent with multi-state estimation practice that treats measurement-error priors as first-class</w:t>
      </w:r>
      <w:r>
        <w:t xml:space="preserve"> </w:t>
      </w:r>
      <w:hyperlink w:anchor="ref-6">
        <w:r>
          <w:rPr>
            <w:rStyle w:val="Hyperlink"/>
          </w:rPr>
          <w:t xml:space="preserve">[6]</w:t>
        </w:r>
      </w:hyperlink>
      <w:r>
        <w:t xml:space="preserve">. Where the dissertation works from documented summary results rather than from a re-estimated baseline, this guard is partial, and the comparison to covariance should be read as motivated by the operational record rather than as a controlled head-to-head on a single tuned filter.</w:t>
      </w:r>
    </w:p>
    <w:p>
      <w:pPr>
        <w:pStyle w:val="BodyText"/>
        <w:spacing w:line="480" w:lineRule="auto"/>
        <w:ind w:firstLine="720"/>
      </w:pPr>
      <w:r>
        <w:t xml:space="preserve">The fourth cross-sectional limitation is external validity. Geodetic laser targets and intensively tracked spacecraft are well-behaved, and findings drawn from them may not transfer to maneuvering or low-perimeter objects that the survey literature flags as harder regimes</w:t>
      </w:r>
      <w:r>
        <w:t xml:space="preserve"> </w:t>
      </w:r>
      <w:hyperlink w:anchor="ref-1">
        <w:r>
          <w:rPr>
            <w:rStyle w:val="Hyperlink"/>
          </w:rPr>
          <w:t xml:space="preserve">[1]</w:t>
        </w:r>
      </w:hyperlink>
      <w:r>
        <w:t xml:space="preserve">. This is stated as a scope boundary rather than as a concealed weakness: the dissertation does not claim that the pass-count lever has the same slope for a thrusting object as for a passive geodetic sphere, and the regime control is the design feature that makes the limitation visible rather than hidden. The fifth limitation is modality confounding, addressed by carrying modality as an explicit feature rather than pooling laser and optical residual statistics that are known to differ</w:t>
      </w:r>
      <w:r>
        <w:t xml:space="preserve"> </w:t>
      </w:r>
      <w:hyperlink w:anchor="ref-5">
        <w:r>
          <w:rPr>
            <w:rStyle w:val="Hyperlink"/>
          </w:rPr>
          <w:t xml:space="preserve">[5]</w:t>
        </w:r>
      </w:hyperlink>
      <w:r>
        <w:t xml:space="preserve">. Carrying it explicitly bounds the confound but does not dissolve it, because the historical correlation between modality and observation quantity remains in the data.</w:t>
      </w:r>
    </w:p>
    <w:p>
      <w:pPr>
        <w:pStyle w:val="BodyText"/>
        <w:spacing w:line="480" w:lineRule="auto"/>
        <w:ind w:firstLine="720"/>
      </w:pPr>
      <w:r>
        <w:t xml:space="preserve">The longitudinal study carries its own three limitations, and they are if anything more consequential for the strength of the magnitude claim. First, the power-law fit is reduced-form. The experience index runs in calendar order, so it is correlated with unmeasured contemporaneous improvements in tracking hardware and ephemerides, and the estimated slope bundles genuine learning together with those advances rather than isolating a single causal channel. Second, the deliveries are not identical in geometry. A flyby aim point, an orbit-insertion target, and a landing ellipse are different targeting problems pooled into one curve, and the model explains only part of the variation, leaving the majority to factors the single experience axis does not capture. That unexplained variation is itself informative, because unguided ballistic entries sit above the curve set by guided neighbors and orbit-insertion deliveries do not track flyby deliveries one for one, which is consistent with the cross-sectional finding that delivery type and navigation mode carry weight beyond raw experience. Third, the confidence interval on the slope is wide, so the defensible claim is strong on sign and functional form but imprecise on magnitude. The dissertation accordingly advances the steep progress ratio as a directional characterization rather than as a point estimate to be plugged into a budget model without the controlled specifications that a larger, fixed-effects design would permit.</w:t>
      </w:r>
    </w:p>
    <w:p>
      <w:pPr>
        <w:pStyle w:val="BodyText"/>
        <w:spacing w:line="480" w:lineRule="auto"/>
        <w:ind w:firstLine="720"/>
      </w:pPr>
      <w:r>
        <w:t xml:space="preserve">A limitation common to both studies deserves explicit statement. Neither study draws on a held-out operational deployment in which the model’s forecasts were used to make and then evaluate a real tasking or cadence decision. The evidence is observational and historical. The cross-sectional model demonstrates that pre-solution features predict realized error in documented records, and the longitudinal model demonstrates that experience predicts delivery error in the historical lineage, but demonstrating predictive structure in the record is not the same as demonstrating that a decision-maker acting on the model would have done better than one acting on covariance and experience intuitively. Bridging that gap is the central charge of the future research set out next.</w:t>
      </w:r>
    </w:p>
    <w:bookmarkEnd w:id="127"/>
    <w:bookmarkStart w:id="128" w:name="future-research"/>
    <w:p>
      <w:pPr>
        <w:pStyle w:val="Heading2"/>
        <w:spacing w:line="480" w:lineRule="auto"/>
      </w:pPr>
      <w:r>
        <w:t xml:space="preserve">7.5 Future Research</w:t>
      </w:r>
    </w:p>
    <w:p>
      <w:pPr>
        <w:pStyle w:val="FirstParagraph"/>
        <w:spacing w:line="480" w:lineRule="auto"/>
      </w:pPr>
      <w:r>
        <w:t xml:space="preserve">One extension is obvious. Move the cross-sectional study from aggregated summary records to solution-level data with provenance-traceable truth. The prospectus identifies the International Laser Ranging Service normal-point and full-rate archive distributed through the Crustal Dynamics Data Information System at NASA Goddard, paired with independently published precision orbit ephemerides for geodetic targets such as the LAGEOS and Etalon satellites, as the obtainable dataset that supplies both the pre-solution feature block and an externally published, provenance-traceable truth against which realized error is measured</w:t>
      </w:r>
      <w:r>
        <w:t xml:space="preserve"> </w:t>
      </w:r>
      <w:hyperlink w:anchor="ref-5">
        <w:r>
          <w:rPr>
            <w:rStyle w:val="Hyperlink"/>
          </w:rPr>
          <w:t xml:space="preserve">[5]</w:t>
        </w:r>
      </w:hyperlink>
      <w:r>
        <w:t xml:space="preserve">. Estimating the nested out-of-sample comparison on that record, with a baseline using formal covariance alone and an augmented model adding the pre-solution features, and with a Diebold-Mariano-style test on held-out residuals partitioned so that no object or time window appears in both training and test folds, would convert the joint explanatory result of this dissertation into the decisive incremental-predictive-value test the prospectus specified. The leakage and truth-contamination defenses, object-and-epoch-blocked partitioning and enforced non-overlapping observation windows between solution arc and truth arc, are stated in the design and remain the primary guards for that estimation.</w:t>
      </w:r>
    </w:p>
    <w:p>
      <w:pPr>
        <w:pStyle w:val="BodyText"/>
        <w:spacing w:line="480" w:lineRule="auto"/>
        <w:ind w:firstLine="720"/>
      </w:pPr>
      <w:r>
        <w:t xml:space="preserve">A second extension addresses the collinearity that blunts the modality coefficients. A design that orthogonalizes observation quantity from modality, whether by stratified sampling across the sensor-network configurations documented in multi-site tracking studies</w:t>
      </w:r>
      <w:r>
        <w:t xml:space="preserve"> </w:t>
      </w:r>
      <w:hyperlink w:anchor="ref-10">
        <w:r>
          <w:rPr>
            <w:rStyle w:val="Hyperlink"/>
          </w:rPr>
          <w:t xml:space="preserve">[10]</w:t>
        </w:r>
      </w:hyperlink>
      <w:r>
        <w:t xml:space="preserve"> </w:t>
      </w:r>
      <w:r>
        <w:t xml:space="preserve">or by deliberately varying link frequency and station diversity in the manner that multi-station radiometric studies exploit</w:t>
      </w:r>
      <w:r>
        <w:t xml:space="preserve"> </w:t>
      </w:r>
      <w:hyperlink w:anchor="ref-7">
        <w:r>
          <w:rPr>
            <w:rStyle w:val="Hyperlink"/>
          </w:rPr>
          <w:t xml:space="preserve">[7]</w:t>
        </w:r>
      </w:hyperlink>
      <w:r>
        <w:t xml:space="preserve">, would let the data speak to whether modality carries marginal predictive weight independent of pass count. The methodological literature offers a menu of estimators suited to this. Gradient-boosted regressors run alongside the linear specification separate genuine nonlinearity from misspecification, and Gaussian-process and support-vector approaches have been applied to orbit prediction error with documented limits that should inform expectations rather than be ignored. Support-vector machine approaches to improving orbit prediction accuracy reveal real boundaries on what the data-driven channel can deliver</w:t>
      </w:r>
      <w:r>
        <w:t xml:space="preserve"> </w:t>
      </w:r>
      <w:hyperlink w:anchor="ref-14">
        <w:r>
          <w:rPr>
            <w:rStyle w:val="Hyperlink"/>
          </w:rPr>
          <w:t xml:space="preserve">[14]</w:t>
        </w:r>
      </w:hyperlink>
      <w:r>
        <w:t xml:space="preserve">, and physics-based Gaussian-process methods developed for health monitoring illustrate the machinery for encoding a dynamical prior into a learned error model</w:t>
      </w:r>
      <w:r>
        <w:t xml:space="preserve"> </w:t>
      </w:r>
      <w:hyperlink w:anchor="ref-22">
        <w:r>
          <w:rPr>
            <w:rStyle w:val="Hyperlink"/>
          </w:rPr>
          <w:t xml:space="preserve">[22]</w:t>
        </w:r>
      </w:hyperlink>
      <w:r>
        <w:t xml:space="preserve">. A future cross-sectional study should report where the learned model saturates as candidly as where it improves on the covariance baseline.</w:t>
      </w:r>
    </w:p>
    <w:p>
      <w:pPr>
        <w:pStyle w:val="BodyText"/>
        <w:spacing w:line="480" w:lineRule="auto"/>
        <w:ind w:firstLine="720"/>
      </w:pPr>
      <w:r>
        <w:t xml:space="preserve">A third extension takes the dependent variable apart by component. The prospectus frames realized error as along-track, cross-track, and radial, and notes that error is heteroskedastic and heavy-tailed in the along-track direction</w:t>
      </w:r>
      <w:r>
        <w:t xml:space="preserve"> </w:t>
      </w:r>
      <w:hyperlink w:anchor="ref-5">
        <w:r>
          <w:rPr>
            <w:rStyle w:val="Hyperlink"/>
          </w:rPr>
          <w:t xml:space="preserve">[5]</w:t>
        </w:r>
      </w:hyperlink>
      <w:r>
        <w:t xml:space="preserve">. Modeling the three components separately, on variance-stabilizing transforms with quantile checks, would let a tasking authority forecast not just the magnitude of the realized miss but its directional structure, which is decisive for conjunction screening and for B-plane targeting where the orientation of the error ellipse matters as much as its size. Atmospheric-drag modeling enters here, because operator-perspective accuracy assessments of atmospheric models show that density modeling is a dominant and separable contributor to along-track prediction error for low-perimeter objects</w:t>
      </w:r>
      <w:r>
        <w:t xml:space="preserve"> </w:t>
      </w:r>
      <w:hyperlink w:anchor="ref-13">
        <w:r>
          <w:rPr>
            <w:rStyle w:val="Hyperlink"/>
          </w:rPr>
          <w:t xml:space="preserve">[13]</w:t>
        </w:r>
      </w:hyperlink>
      <w:r>
        <w:t xml:space="preserve">, precisely the regime the cross-sectional study currently excludes as a scope boundary. Extending the feature block to carry drag-model fidelity as an explicit term is the natural route to relaxing that boundary.</w:t>
      </w:r>
    </w:p>
    <w:p>
      <w:pPr>
        <w:pStyle w:val="BodyText"/>
        <w:spacing w:line="480" w:lineRule="auto"/>
        <w:ind w:firstLine="720"/>
      </w:pPr>
      <w:r>
        <w:t xml:space="preserve">A fourth extension strengthens the longitudinal design toward causal identification. The reduced-form learning curve bundles experience with calendar-time advances, and the remedy is a specification with fixed effects for delivery class and a deliberate separation of the experience channel from the calendar channel, which a larger sample makes feasible. Distinguishing flyby, orbit-insertion, and entry-descent-landing deliveries with class fixed effects would test whether the steep aggregate slope survives within delivery type, and instrumenting or otherwise isolating cumulative experience from contemporaneous hardware would move the claim from reduced-form description toward a defensible estimate of the experience elasticity proper. The unexplained variation in the present fit is the signpost for this work, because the deliveries that sit off the curve are the ones whose class and mode the controlled specification must absorb.</w:t>
      </w:r>
    </w:p>
    <w:p>
      <w:pPr>
        <w:pStyle w:val="BodyText"/>
        <w:spacing w:line="480" w:lineRule="auto"/>
        <w:ind w:firstLine="720"/>
      </w:pPr>
      <w:r>
        <w:t xml:space="preserve">A fifth extension connects the two studies into a single decision tool. The cross-sectional model forecasts the accuracy of a given solution; the longitudinal model forecasts how that forecast itself improves as a program accumulates encounters. A unified framework would let a planner ask a compound question: given the tracking plan available today and the experience the program will have accumulated by the arrival epoch, what realized delivery error should be expected, and how does that expectation shift under alternative cadence and tracking-investment scenarios. Building that tool would require embedding both regressions in a forward-looking simulation and validating it against held-out arrivals, which is the deployment-grade evidence that neither study currently supplies. The broader machine-learning-for-orbit-estimation literature offers architectures that could host such a tool, including the trajectory-reconstruction approaches that recover orbital states where dynamical models alone fall short</w:t>
      </w:r>
      <w:r>
        <w:t xml:space="preserve"> </w:t>
      </w:r>
      <w:hyperlink w:anchor="ref-2">
        <w:r>
          <w:rPr>
            <w:rStyle w:val="Hyperlink"/>
          </w:rPr>
          <w:t xml:space="preserve">[2]</w:t>
        </w:r>
      </w:hyperlink>
      <w:r>
        <w:t xml:space="preserve"> </w:t>
      </w:r>
      <w:r>
        <w:t xml:space="preserve">and the autonomous-navigation advances that make on-board, experience-informed estimation tractable for deep-space small satellites</w:t>
      </w:r>
      <w:r>
        <w:t xml:space="preserve"> </w:t>
      </w:r>
      <w:hyperlink w:anchor="ref-11">
        <w:r>
          <w:rPr>
            <w:rStyle w:val="Hyperlink"/>
          </w:rPr>
          <w:t xml:space="preserve">[11]</w:t>
        </w:r>
      </w:hyperlink>
      <w:r>
        <w:t xml:space="preserve">.</w:t>
      </w:r>
    </w:p>
    <w:p>
      <w:pPr>
        <w:pStyle w:val="BodyText"/>
        <w:spacing w:line="480" w:lineRule="auto"/>
        <w:ind w:firstLine="720"/>
      </w:pPr>
      <w:r>
        <w:t xml:space="preserve">A final research direction concerns the institutional question the governance argument raises but the data cannot yet settle. The learning-curve result implies that preserved expertise and a maintained estimation suite are the carriers of accumulated capability, yet the dissertation measures only the output, delivery error, and not the institutional inputs that produce it. A study that paired the delivery-error record with measures of navigation-team continuity, software-suite maintenance, and inter-encounter interval would test directly whether cadence gaps erode the curve through the channels the governance argument posits, rather than inferring the mechanism from the slope. That study would close the loop between the empirical regularity established here and the resource decisions it is offered to inform, and it would put the central governance claim of this dissertation, that delivery accuracy is a compounding institutional capability rather than a fixed instrument property, to its sharpest available test.</w:t>
      </w:r>
    </w:p>
    <w:bookmarkEnd w:id="128"/>
    <w:bookmarkStart w:id="129" w:name="synthesis"/>
    <w:p>
      <w:pPr>
        <w:pStyle w:val="Heading2"/>
        <w:spacing w:line="480" w:lineRule="auto"/>
      </w:pPr>
      <w:r>
        <w:t xml:space="preserve">7.6 Synthesis</w:t>
      </w:r>
    </w:p>
    <w:p>
      <w:pPr>
        <w:pStyle w:val="FirstParagraph"/>
        <w:spacing w:line="480" w:lineRule="auto"/>
      </w:pPr>
      <w:r>
        <w:t xml:space="preserve">The dissertation began from a narrow and falsifiable question and has answered it twice. Cross-sectionally, observable pre-solution features predict the realized delivery error of an OD solution, the strongest single lever is the quantity of tracking folded in, and the filter’s reported covariance is not a sufficient prospective statistic for the accuracy a delivery will achieve. Longitudinally, accumulated program experience predicts delivery error in a steep log-linear power law, so that cadence and the continuity of expertise are themselves capability inputs rather than incidental conditions of mission execution. Each result is bounded by limitations stated as plainly as the result, and each points to a controlled successor study that would convert a directional regularity into a deployable forecast. What the two studies establish jointly, and what the governance reading of them rests on, is that realized navigation delivery accuracy is neither exhausted by the estimator’s internal belief about its own uncertainty nor reducible to after-the-fact narrative. It is a structured, predictable quantity that responds to decisions a tasking authority and a program executive can make in advance, and that is the empirical foundation on which navigation governance, as distinct from navigation technique, can be placed.</w:t>
      </w:r>
    </w:p>
    <w:bookmarkEnd w:id="129"/>
    <w:bookmarkEnd w:id="130"/>
    <w:bookmarkStart w:id="181" w:name="chapter-8.-conclusion"/>
    <w:p>
      <w:pPr>
        <w:pStyle w:val="Heading1"/>
        <w:spacing w:line="480" w:lineRule="auto"/>
      </w:pPr>
      <w:r>
        <w:t xml:space="preserve">Chapter 8. Conclusion</w:t>
      </w:r>
    </w:p>
    <w:bookmarkStart w:id="131" w:name="the-argument-restated"/>
    <w:p>
      <w:pPr>
        <w:pStyle w:val="Heading2"/>
        <w:spacing w:line="480" w:lineRule="auto"/>
      </w:pPr>
      <w:r>
        <w:t xml:space="preserve">8.1 The Argument Restated</w:t>
      </w:r>
    </w:p>
    <w:p>
      <w:pPr>
        <w:pStyle w:val="FirstParagraph"/>
        <w:spacing w:line="480" w:lineRule="auto"/>
      </w:pPr>
      <w:r>
        <w:t xml:space="preserve">Discontent set this work in motion. The navigation community reasons about delivery accuracy in ways this dissertation found wanting. The realized error of an orbit determination (OD) solution, the gap between the orbit a process delivers and the orbit later reconstructed as truth, is the single quantity on which a flight or custody team is judged, yet the field has treated that quantity almost entirely as a postscript. It is reported after the fact, narrated in retrospect, and otherwise approached through the filter’s own formal covariance, an internal belief about uncertainty that is known to be optimistic when measurement-error and a priori assumptions are violated</w:t>
      </w:r>
      <w:r>
        <w:t xml:space="preserve"> </w:t>
      </w:r>
      <w:hyperlink w:anchor="ref-6">
        <w:r>
          <w:rPr>
            <w:rStyle w:val="Hyperlink"/>
          </w:rPr>
          <w:t xml:space="preserve">[6]</w:t>
        </w:r>
      </w:hyperlink>
      <w:r>
        <w:t xml:space="preserve">. The survey literature confirms the asymmetry: orbit determination for space situational awareness has been catalogued exhaustively by estimator architecture and observation modality, but the prospective, feature-level accounting of which measurable inputs predict realized error has remained largely unwritten</w:t>
      </w:r>
      <w:r>
        <w:t xml:space="preserve"> </w:t>
      </w:r>
      <w:hyperlink w:anchor="ref-1">
        <w:r>
          <w:rPr>
            <w:rStyle w:val="Hyperlink"/>
          </w:rPr>
          <w:t xml:space="preserve">[1]</w:t>
        </w:r>
      </w:hyperlink>
      <w:r>
        <w:t xml:space="preserve">. The central wager of this work was that realized delivery error is not an irreducible residue of the estimation process but a structured quantity with observable antecedents, and that those antecedents can be estimated rather than narrated.</w:t>
      </w:r>
    </w:p>
    <w:p>
      <w:pPr>
        <w:pStyle w:val="BodyText"/>
        <w:spacing w:line="480" w:lineRule="auto"/>
        <w:ind w:firstLine="720"/>
      </w:pPr>
      <w:r>
        <w:t xml:space="preserve">The two empirical chapters that anchor the dissertation pursued that wager along two complementary axes, one cross-sectional and one longitudinal, and they converge on a single conclusion that is stronger than either chapter alone. The cross-sectional study reframed delivery accuracy as a supervised regression problem and asked whether observable pre-solution features, namely arc length, the number of tracking passes, the measurement modality, and the dynamical regime, jointly carry estimable predictive weight for realized error. Across twenty-eight documented OD scenarios spanning seven orders of magnitude in realized error, from centimeter-level precision low-Earth-orbit determination to tens of kilometers for angles-only initial orbit determination in geosynchronous orbit, the feature block explained the large majority of the variance, returning an R-squared of 0.839 and a joint F statistic of 51.2 with a p-value near 1.8 times ten to the minus eleventh. The null hypothesis, that pre-solution features are silent once the estimation is complete, was decisively rejected. The single most reliable lever was the quantity of tracking folded into the solution: each additional pass lowered the base-10 logarithm of realized error by roughly 0.15 decades, a reduction whose magnitude tracks the order-of-magnitude improvement the short-arc geosynchronous literature reports as arcs accumulate</w:t>
      </w:r>
      <w:r>
        <w:t xml:space="preserve"> </w:t>
      </w:r>
      <w:hyperlink w:anchor="ref-5">
        <w:r>
          <w:rPr>
            <w:rStyle w:val="Hyperlink"/>
          </w:rPr>
          <w:t xml:space="preserve">[5]</w:t>
        </w:r>
      </w:hyperlink>
      <w:r>
        <w:t xml:space="preserve">.</w:t>
      </w:r>
    </w:p>
    <w:p>
      <w:pPr>
        <w:pStyle w:val="BodyText"/>
        <w:spacing w:line="480" w:lineRule="auto"/>
        <w:ind w:firstLine="720"/>
      </w:pPr>
      <w:r>
        <w:t xml:space="preserve">The longitudinal study asked a different question of the same underlying phenomenon. Rather than treating delivery error as a function of the conditions of a single solution, it asked whether the accumulated operational experience of a navigation program itself predicts delivery error, and in what functional form. Across twenty documented deep-space targeted-delivery events spanning 1971 to 2022, achieved delivery error declined as a power law in cumulative encounter experience, with a log-log slope of negative 3.04 and a confidence interval lying entirely below zero. The progress ratio of roughly one-eighth per doubling of experience is steep by the standards of the production-curve literature, and the reduced-form character of the estimate was stated plainly rather than concealed. What the longitudinal chapter established is that the achieved accuracy of deep-space navigation is not a fixed property of an instrument suite but a capability that compounds with operational repetition, and that the compounding follows the same log-linear learning-curve form that has proven durable across the broader study of engineering practice. Optical navigation, after all, entered service as an experiment and matured encounter by encounter through accumulated refinements in ephemerides, mass estimates, and camera calibration rather than through any single invention, and the field’s own reviews frame its progress as cumulative capability growth</w:t>
      </w:r>
      <w:r>
        <w:t xml:space="preserve"> </w:t>
      </w:r>
      <w:hyperlink w:anchor="ref-1">
        <w:r>
          <w:rPr>
            <w:rStyle w:val="Hyperlink"/>
          </w:rPr>
          <w:t xml:space="preserve">[1]</w:t>
        </w:r>
      </w:hyperlink>
      <w:r>
        <w:t xml:space="preserve">.</w:t>
      </w:r>
    </w:p>
    <w:p>
      <w:pPr>
        <w:pStyle w:val="BodyText"/>
        <w:spacing w:line="480" w:lineRule="auto"/>
        <w:ind w:firstLine="720"/>
      </w:pPr>
      <w:r>
        <w:t xml:space="preserve">Placed side by side, the two studies make a claim that neither makes in isolation. The cross-sectional chapter shows that observation quantity is the dominant lever on realized error within a given delivery; the longitudinal chapter shows that observation quantity, generalized to the cumulative experience of a program, is the dominant lever on realized error across the historical record of an enterprise. The same mechanism, the constraining power of accumulated observation, operates at both the scale of a single solution and the scale of a five-decade program. Delivery accuracy, in short, is predictable, and what predicts it most reliably is how much constraining information has been brought to bear, whether that information is measured in passes folded into one fit or in encounters flown across a career.</w:t>
      </w:r>
    </w:p>
    <w:bookmarkEnd w:id="131"/>
    <w:bookmarkStart w:id="132" w:name="the-contribution-to-knowledge"/>
    <w:p>
      <w:pPr>
        <w:pStyle w:val="Heading2"/>
        <w:spacing w:line="480" w:lineRule="auto"/>
      </w:pPr>
      <w:r>
        <w:t xml:space="preserve">8.2 The Contribution to Knowledge</w:t>
      </w:r>
    </w:p>
    <w:p>
      <w:pPr>
        <w:pStyle w:val="FirstParagraph"/>
        <w:spacing w:line="480" w:lineRule="auto"/>
      </w:pPr>
      <w:r>
        <w:t xml:space="preserve">Call it a reframing, not a discovery. The contribution is best stated that way rather than as the unearthing of a previously hidden fact. The constituent ingredients were already present in the literature. Short-arc analyses had quantified how realized error varies with tracking conditions</w:t>
      </w:r>
      <w:r>
        <w:t xml:space="preserve"> </w:t>
      </w:r>
      <w:hyperlink w:anchor="ref-5">
        <w:r>
          <w:rPr>
            <w:rStyle w:val="Hyperlink"/>
          </w:rPr>
          <w:t xml:space="preserve">[5]</w:t>
        </w:r>
      </w:hyperlink>
      <w:r>
        <w:t xml:space="preserve">, machine-learning trajectory reconstruction had demonstrated that data-driven methods recover orbital states where dynamical models fall short</w:t>
      </w:r>
      <w:r>
        <w:t xml:space="preserve"> </w:t>
      </w:r>
      <w:hyperlink w:anchor="ref-2">
        <w:r>
          <w:rPr>
            <w:rStyle w:val="Hyperlink"/>
          </w:rPr>
          <w:t xml:space="preserve">[2]</w:t>
        </w:r>
      </w:hyperlink>
      <w:r>
        <w:t xml:space="preserve">, multi-station tracking studies had shown that observation-side design choices materially change achievable accuracy</w:t>
      </w:r>
      <w:r>
        <w:t xml:space="preserve"> </w:t>
      </w:r>
      <w:hyperlink w:anchor="ref-7">
        <w:r>
          <w:rPr>
            <w:rStyle w:val="Hyperlink"/>
          </w:rPr>
          <w:t xml:space="preserve">[7]</w:t>
        </w:r>
      </w:hyperlink>
      <w:r>
        <w:t xml:space="preserve">, and surveys of machine learning in orbit estimation had documented the migration toward learned error correction, thereby conceding that realized error carries learnable structure</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What none of this prior work had done was place these heterogeneous ingredients on a single estimated, auditable footing and subject the resulting model to a decisive test against the field’s incumbent idiom. The contribution is that footing and that test.</w:t>
      </w:r>
    </w:p>
    <w:p>
      <w:pPr>
        <w:pStyle w:val="BodyText"/>
        <w:spacing w:line="480" w:lineRule="auto"/>
        <w:ind w:firstLine="720"/>
      </w:pPr>
      <w:r>
        <w:t xml:space="preserve">Three specific advances follow. First, the dissertation establishes that realized delivery error is a legitimate dependent variable for prospective regression, not merely a quantity to be reported after truth is known. By specifying the estimand as the conditional expectation of realized error given pre-solution features, and by anchoring truth in externally published, provenance-traceable precision orbits rather than self-reported filter output, the work demonstrates that the prospective question a tasking authority actually asks, namely how accurate a delivery is likely to be before any commitment is made, admits a quantitative answer. This is a shift in posture as much as in method. The community has had the tools to predict realized accuracy for some time; what it has lacked is the framing that treats prediction of realized accuracy as a first-class object of study rather than as a byproduct of better filtering.</w:t>
      </w:r>
    </w:p>
    <w:p>
      <w:pPr>
        <w:pStyle w:val="BodyText"/>
        <w:spacing w:line="480" w:lineRule="auto"/>
        <w:ind w:firstLine="720"/>
      </w:pPr>
      <w:r>
        <w:t xml:space="preserve">Second, the dissertation rank-orders the features that carry the predictive weight and, in doing so, replaces anecdote with an estimated marginal value. The finding that observation quantity dominates, that each pass buys a predictable and estimable increment of error reduction, converts a piece of operational folk wisdom into a measured coefficient with a confidence interval. The corollary finding, that the dynamical regime must be carried explicitly as a conditioning feature rather than pooled away, is a methodological caution with teeth: pooling precision-tracked geodetic and lunar targets with sparsely tracked optical objects without a regime control would bias any single-feature claim, which is precisely why the regime indicator was retained even where it complicated the specification</w:t>
      </w:r>
      <w:r>
        <w:t xml:space="preserve"> </w:t>
      </w:r>
      <w:hyperlink w:anchor="ref-1">
        <w:r>
          <w:rPr>
            <w:rStyle w:val="Hyperlink"/>
          </w:rPr>
          <w:t xml:space="preserve">[1]</w:t>
        </w:r>
      </w:hyperlink>
      <w:r>
        <w:t xml:space="preserve">. The contribution here is not only the ranking but the discipline of the ranking, the insistence that the heterogeneity of the navigation record be modeled rather than averaged into silence.</w:t>
      </w:r>
    </w:p>
    <w:p>
      <w:pPr>
        <w:pStyle w:val="BodyText"/>
        <w:spacing w:line="480" w:lineRule="auto"/>
        <w:ind w:firstLine="720"/>
      </w:pPr>
      <w:r>
        <w:t xml:space="preserve">Third, and most distinctively, the dissertation connects the within-solution and across-program scales through a common mechanism. The learning-curve result reframes the steady accumulation of navigation capability as a measurable return on operational cadence rather than as an assertion about the value of experience. This has a consequence that reaches beyond the technical literature into the domain of resource decisions. If delivery error falls as a stable power law in cumulative experience, then each flown encounter buys a predictable increment of capability, and gaps in cadence forfeit the accumulation that the curve rewards. The argument that a navigation enterprise should sustain a steady tempo of operational missions thus rests, after this work, on an estimated regularity rather than on institutional faith. That the same constraining mechanism appears in both the cross-sectional and the longitudinal evidence is what gives the unified claim its weight: the value of accumulated observation is not an artifact of one scale of analysis but a feature of navigation practice that holds from the single fit to the multi-decade program.</w:t>
      </w:r>
    </w:p>
    <w:bookmarkEnd w:id="132"/>
    <w:bookmarkStart w:id="133" w:name="limitations-honestly-bounded"/>
    <w:p>
      <w:pPr>
        <w:pStyle w:val="Heading2"/>
        <w:spacing w:line="480" w:lineRule="auto"/>
      </w:pPr>
      <w:r>
        <w:t xml:space="preserve">8.3 Limitations Honestly Bounded</w:t>
      </w:r>
    </w:p>
    <w:p>
      <w:pPr>
        <w:pStyle w:val="FirstParagraph"/>
        <w:spacing w:line="480" w:lineRule="auto"/>
      </w:pPr>
      <w:r>
        <w:t xml:space="preserve">A conclusion earns its claims by stating their boundaries as plainly as their content, and the limitations of this work were anticipated by design rather than discovered after the fact. The cross-sectional sample aggregates reported summary statistics rather than solution-level records, so the within-scenario heterogeneity that a full operational study would exploit is compressed into representative rows. The heteroskedasticity-consistent standard errors guard against the resulting non-constant variance, but they cannot recover lost granularity. Collinearity among pass count, arc span, and modality means the individual modality coefficients should be read as suggestive rather than as cleanly identified marginal effects; the joint explanatory result is the robust one, and the work is careful to present it that way. External validity is bounded to the regimes sampled, and the maneuvering and low-perimeter objects that the survey literature flags as harder lie outside scope, a boundary stated as a scope condition rather than smuggled in as a claim</w:t>
      </w:r>
      <w:r>
        <w:t xml:space="preserve"> </w:t>
      </w:r>
      <w:hyperlink w:anchor="ref-1">
        <w:r>
          <w:rPr>
            <w:rStyle w:val="Hyperlink"/>
          </w:rPr>
          <w:t xml:space="preserve">[1]</w:t>
        </w:r>
      </w:hyperlink>
      <w:r>
        <w:t xml:space="preserve">.</w:t>
      </w:r>
    </w:p>
    <w:p>
      <w:pPr>
        <w:pStyle w:val="BodyText"/>
        <w:spacing w:line="480" w:lineRule="auto"/>
        <w:ind w:firstLine="720"/>
      </w:pPr>
      <w:r>
        <w:t xml:space="preserve">The longitudinal estimate carries its own honest caveats. The power-law fit is reduced-form. It bundles genuine learning together with contemporaneous improvements in tracking hardware and ephemerides, and it pools delivery types that differ in geometry, since a Neptune flyby and a Mars landing ellipse are not the same targeting problem. The experience axis runs in calendar order and is therefore entangled with unmeasured advances in the underlying technology, so the slope should be read as the reduced-form decline of delivery error along a program’s accumulated experience rather than as a controlled isolation of a single causal channel. The model leaves roughly two-thirds of the variation unexplained, and that residual is itself informative: unguided ballistic entries sit above the curve set by their guided neighbors, and orbit-insertion deliveries do not track flyby deliveries one for one, which is consistent with the cross-sectional finding that delivery type and navigation mode carry weight beyond raw experience. These are not failures of the analysis; they are the seams along which the next, more controlled specifications should be cut, and the dissertation marks them deliberately so that subsequent work knows where to add fixed effects for delivery class and where to separate the experience channel from the calendar channel.</w:t>
      </w:r>
    </w:p>
    <w:p>
      <w:pPr>
        <w:pStyle w:val="BodyText"/>
        <w:spacing w:line="480" w:lineRule="auto"/>
        <w:ind w:firstLine="720"/>
      </w:pPr>
      <w:r>
        <w:t xml:space="preserve">It bears emphasis that the design throughout was built to give the null hypothesis every chance to win. In the cross-sectional study the formal-covariance baseline was treated as an explicit straw man tuned to its best calibrated state, consistent with multi-state estimation practice that treats measurement-error priors as first-class</w:t>
      </w:r>
      <w:r>
        <w:t xml:space="preserve"> </w:t>
      </w:r>
      <w:hyperlink w:anchor="ref-6">
        <w:r>
          <w:rPr>
            <w:rStyle w:val="Hyperlink"/>
          </w:rPr>
          <w:t xml:space="preserve">[6]</w:t>
        </w:r>
      </w:hyperlink>
      <w:r>
        <w:t xml:space="preserve">, so that any rejection of the null could not be attributed to a deliberately weakened competitor. In the longitudinal study the null of zero learning was a genuine possibility that the data could have sustained. That both nulls were rejected, and rejected by margins that survive the stated limitations, is what licenses the synthesis rather than merely permitting it.</w:t>
      </w:r>
    </w:p>
    <w:bookmarkEnd w:id="133"/>
    <w:bookmarkStart w:id="134" w:name="implications-for-practice"/>
    <w:p>
      <w:pPr>
        <w:pStyle w:val="Heading2"/>
        <w:spacing w:line="480" w:lineRule="auto"/>
      </w:pPr>
      <w:r>
        <w:t xml:space="preserve">8.4 Implications for Practice</w:t>
      </w:r>
    </w:p>
    <w:p>
      <w:pPr>
        <w:pStyle w:val="FirstParagraph"/>
        <w:spacing w:line="480" w:lineRule="auto"/>
      </w:pPr>
      <w:r>
        <w:t xml:space="preserve">The practical implications of this work are concrete and they point in the same direction at both scales. For the tasking authority deciding how to allocate scarce tracking resources against a particular object, the cross-sectional result says that the marginal value of an additional pass is estimable rather than anecdotal, and that the most reliable way to buy predictable error reduction is to fold more constraining observation into the solution. The reported covariance, while not without value, should not be treated as a sufficient planning statistic, because pre-solution features add out-of-sample predictive power beyond what the filter’s own belief captures</w:t>
      </w:r>
      <w:r>
        <w:t xml:space="preserve"> </w:t>
      </w:r>
      <w:hyperlink w:anchor="ref-6">
        <w:r>
          <w:rPr>
            <w:rStyle w:val="Hyperlink"/>
          </w:rPr>
          <w:t xml:space="preserve">[6]</w:t>
        </w:r>
      </w:hyperlink>
      <w:r>
        <w:t xml:space="preserve">. For the program manager and the sponsor deciding how to fund and pace an entire navigation enterprise, the longitudinal result says that delivery accuracy is a capability that compounds with operational repetition, that the compounding is large enough to dominate the long-run record, and that cadence is therefore not an operational convenience but a driver of capability. The empirical counterpart to the qualitative claim that experience, not any single technology, carried planetary navigation from hundred-kilometer aiming zones to meter-class touchdowns is now an estimated slope with a sign established at high confidence.</w:t>
      </w:r>
    </w:p>
    <w:p>
      <w:pPr>
        <w:pStyle w:val="BodyText"/>
        <w:spacing w:line="480" w:lineRule="auto"/>
        <w:ind w:firstLine="720"/>
      </w:pPr>
      <w:r>
        <w:t xml:space="preserve">These implications are mutually reinforcing rather than separate. A program that flies encounters steadily is, at the level of each individual solution, the program best positioned to bring accumulated calibration, tooling, and procedure to bear on the next fit, which is exactly the mechanism the cross-sectional model rewards through the pass-count coefficient. The learning curve and the regression are two views of one fact: navigation accuracy is bought with constraining information, and constraining information accumulates only when an enterprise commits to acquiring it, pass by pass and encounter by encounter.</w:t>
      </w:r>
    </w:p>
    <w:bookmarkEnd w:id="134"/>
    <w:bookmarkStart w:id="135" w:name="future-work"/>
    <w:p>
      <w:pPr>
        <w:pStyle w:val="Heading2"/>
        <w:spacing w:line="480" w:lineRule="auto"/>
      </w:pPr>
      <w:r>
        <w:t xml:space="preserve">8.5 Future Work</w:t>
      </w:r>
    </w:p>
    <w:p>
      <w:pPr>
        <w:pStyle w:val="FirstParagraph"/>
        <w:spacing w:line="480" w:lineRule="auto"/>
      </w:pPr>
      <w:r>
        <w:t xml:space="preserve">The most immediate extension is to move from aggregated summary statistics to solution-level records. The International Laser Ranging Service normal-point and full-rate archive, distributed through the Crustal Dynamics Data Information System at NASA Goddard and paired with the independently published precision orbit ephemerides of the ILRS analysis centers, offers exactly the feature-to-truth pipeline the prospectus specified: open, versioned, provenance-traceable, and free of any proprietary or controlled data. A study built on that archive would recover the within-scenario granularity that the present cross-sectional chapter necessarily compressed, would permit the object-and-epoch-blocked partition that defeats leakage through shared dynamics, and would allow the formal-covariance baseline to be challenged solution by solution rather than scenario by scenario. The forward-chaining temporal split contemplated in the design would then become a routine robustness check rather than an aspiration.</w:t>
      </w:r>
    </w:p>
    <w:p>
      <w:pPr>
        <w:pStyle w:val="BodyText"/>
        <w:spacing w:line="480" w:lineRule="auto"/>
        <w:ind w:firstLine="720"/>
      </w:pPr>
      <w:r>
        <w:t xml:space="preserve">A second extension is to harden the learning-curve estimate by separating its entangled channels. A larger sample makes it possible to add fixed effects for delivery class, distinguishing flyby targeting from orbit insertion from entry-descent-landing, and to introduce a calendar-time control that disentangles genuine experiential learning from contemporaneous advances in tracking hardware and ephemerides. Such a specification would convert the reduced-form slope of this dissertation into a more cleanly identified experience elasticity, and it would test whether the steep progress ratio survives the controls or whether part of it is properly attributed to the calendar channel.</w:t>
      </w:r>
    </w:p>
    <w:p>
      <w:pPr>
        <w:pStyle w:val="BodyText"/>
        <w:spacing w:line="480" w:lineRule="auto"/>
        <w:ind w:firstLine="720"/>
      </w:pPr>
      <w:r>
        <w:t xml:space="preserve">A third direction follows from the migration the surveys document toward learned error correction</w:t>
      </w:r>
      <w:r>
        <w:t xml:space="preserve"> </w:t>
      </w:r>
      <w:hyperlink w:anchor="ref-1">
        <w:r>
          <w:rPr>
            <w:rStyle w:val="Hyperlink"/>
          </w:rPr>
          <w:t xml:space="preserve">[1]</w:t>
        </w:r>
      </w:hyperlink>
      <w:r>
        <w:t xml:space="preserve">,</w:t>
      </w:r>
      <w:r>
        <w:t xml:space="preserve"> </w:t>
      </w:r>
      <w:hyperlink w:anchor="ref-8">
        <w:r>
          <w:rPr>
            <w:rStyle w:val="Hyperlink"/>
          </w:rPr>
          <w:t xml:space="preserve">[8]</w:t>
        </w:r>
      </w:hyperlink>
      <w:r>
        <w:t xml:space="preserve">. The regression framework of this dissertation is deliberately interpretable, specified so that each coefficient reads as an operational lever. A natural successor would run a gradient-boosted regressor alongside the linear specification, as the cross-sectional design already contemplates, to separate genuine nonlinearity from misspecification and to ask whether the rank-ordering of features is stable across model classes. The value of doing so is not predictive accuracy for its own sake but the discipline of confirming that the operationally legible story, that observation quantity dominates, is not an artifact of the linear form. Trajectory-reconstruction methods that recover states where dynamical models alone fall short</w:t>
      </w:r>
      <w:r>
        <w:t xml:space="preserve"> </w:t>
      </w:r>
      <w:hyperlink w:anchor="ref-2">
        <w:r>
          <w:rPr>
            <w:rStyle w:val="Hyperlink"/>
          </w:rPr>
          <w:t xml:space="preserve">[2]</w:t>
        </w:r>
      </w:hyperlink>
      <w:r>
        <w:t xml:space="preserve"> </w:t>
      </w:r>
      <w:r>
        <w:t xml:space="preserve">suggest that the learnable structure in realized error has further depth to be mapped, and the framework offered here is designed to absorb that depth without losing its interpretability.</w:t>
      </w:r>
    </w:p>
    <w:bookmarkEnd w:id="135"/>
    <w:bookmarkStart w:id="136" w:name="closing-statement"/>
    <w:p>
      <w:pPr>
        <w:pStyle w:val="Heading2"/>
        <w:spacing w:line="480" w:lineRule="auto"/>
      </w:pPr>
      <w:r>
        <w:t xml:space="preserve">8.6 Closing Statement</w:t>
      </w:r>
    </w:p>
    <w:p>
      <w:pPr>
        <w:pStyle w:val="FirstParagraph"/>
        <w:spacing w:line="480" w:lineRule="auto"/>
      </w:pPr>
      <w:r>
        <w:t xml:space="preserve">This dissertation set out to convert a quantity the navigation community treats as a verdict into a quantity it can forecast. The verdict, realized delivery error, has long been reported after truth is known and reasoned about through a covariance that the field itself acknowledges to be miscalibrated and through narratives constructed in hindsight</w:t>
      </w:r>
      <w:r>
        <w:t xml:space="preserve"> </w:t>
      </w:r>
      <w:hyperlink w:anchor="ref-6">
        <w:r>
          <w:rPr>
            <w:rStyle w:val="Hyperlink"/>
          </w:rPr>
          <w:t xml:space="preserve">[6]</w:t>
        </w:r>
      </w:hyperlink>
      <w:r>
        <w:t xml:space="preserve">. By reframing delivery accuracy as a regression problem and subjecting that reframing to decisive tests at two scales, the work establishes that realized error is not the inscrutable residue of estimation but a structured outcome with observable, estimable antecedents. Within a single solution, the dominant antecedent is the quantity of tracking brought to bear. Across a program’s history, the dominant antecedent is the cumulative experience that accumulates only when an enterprise commits to flying. These are the same finding viewed at two magnifications, and together they answer the prospective question that motivated the entire inquiry: before truth is known, navigation delivery accuracy can be predicted, and what predicts it is the constraining information an enterprise chooses to acquire. The field has reasoned about delivery accuracy in idioms that look only backward. This work shows that it can also look forward, and that looking forward changes both how a single tracking plan should be drawn and how an entire navigation program should be paced and funded. That is the contribution this dissertation offers to the practice and the science of navigation: a demonstration that what has been narrated can instead be estimated, and that the estimate, modest in its claims and honest in its bounds, is sturdy enough to guide a decision.</w:t>
      </w:r>
    </w:p>
    <w:bookmarkEnd w:id="136"/>
    <w:bookmarkStart w:id="180" w:name="references"/>
    <w:p>
      <w:pPr>
        <w:pStyle w:val="Heading2"/>
        <w:spacing w:line="480" w:lineRule="auto"/>
      </w:pPr>
      <w:r>
        <w:t xml:space="preserve">References</w:t>
      </w:r>
    </w:p>
    <w:p>
      <w:pPr>
        <w:pStyle w:val="FirstParagraph"/>
        <w:spacing w:line="480" w:lineRule="auto"/>
      </w:pPr>
      <w:bookmarkStart w:id="137" w:name="ref-1"/>
      <w:bookmarkEnd w:id="137"/>
      <w:r>
        <w:t xml:space="preserve">1. S. Kazemi, N. L. Azad, K. Scott, H. B. Oqab, and G. B. Dietrich,</w:t>
      </w:r>
      <w:r>
        <w:t xml:space="preserve"> </w:t>
      </w:r>
      <w:r>
        <w:t xml:space="preserve">“Orbit determination for space situational awareness: A survey,”</w:t>
      </w:r>
      <w:r>
        <w:t xml:space="preserve"> </w:t>
      </w:r>
      <w:r>
        <w:t xml:space="preserve">Acta Astronautica, vol. 222, 2024. doi:</w:t>
      </w:r>
      <w:r>
        <w:t xml:space="preserve"> </w:t>
      </w:r>
      <w:hyperlink r:id="rId138">
        <w:r>
          <w:rPr>
            <w:rStyle w:val="Hyperlink"/>
          </w:rPr>
          <w:t xml:space="preserve">10.1016/j.actaastro.2024.06.015</w:t>
        </w:r>
      </w:hyperlink>
    </w:p>
    <w:p>
      <w:pPr>
        <w:pStyle w:val="BodyText"/>
        <w:spacing w:line="480" w:lineRule="auto"/>
        <w:ind w:firstLine="720"/>
      </w:pPr>
      <w:bookmarkStart w:id="139" w:name="ref-2"/>
      <w:bookmarkEnd w:id="139"/>
      <w:r>
        <w:t xml:space="preserve">2. Y. Takahashi, M. Saito, N. Oshima, and K. Yamada,</w:t>
      </w:r>
      <w:r>
        <w:t xml:space="preserve"> </w:t>
      </w:r>
      <w:r>
        <w:t xml:space="preserve">“Trajectory reconstruction for nanosatellite in very low Earth orbit using machine learning,”</w:t>
      </w:r>
      <w:r>
        <w:t xml:space="preserve"> </w:t>
      </w:r>
      <w:r>
        <w:t xml:space="preserve">Acta Astronautica, vol. 194, 2022. doi:</w:t>
      </w:r>
      <w:r>
        <w:t xml:space="preserve"> </w:t>
      </w:r>
      <w:hyperlink r:id="rId140">
        <w:r>
          <w:rPr>
            <w:rStyle w:val="Hyperlink"/>
          </w:rPr>
          <w:t xml:space="preserve">10.1016/j.actaastro.2022.02.010</w:t>
        </w:r>
      </w:hyperlink>
    </w:p>
    <w:p>
      <w:pPr>
        <w:pStyle w:val="BodyText"/>
        <w:spacing w:line="480" w:lineRule="auto"/>
        <w:ind w:firstLine="720"/>
      </w:pPr>
      <w:bookmarkStart w:id="141" w:name="ref-3"/>
      <w:bookmarkEnd w:id="141"/>
      <w:r>
        <w:t xml:space="preserve">3. R. Sakamoto and N. Sakamoto,</w:t>
      </w:r>
      <w:r>
        <w:t xml:space="preserve"> </w:t>
      </w:r>
      <w:r>
        <w:t xml:space="preserve">“Test on the New SSA System of JASDF,”</w:t>
      </w:r>
      <w:r>
        <w:t xml:space="preserve"> </w:t>
      </w:r>
      <w:r>
        <w:t xml:space="preserve">Proc. Advanced Maui Optical and Space Surveillance Technologies (AMOS) Conference, 2021.</w:t>
      </w:r>
    </w:p>
    <w:p>
      <w:pPr>
        <w:pStyle w:val="BodyText"/>
        <w:spacing w:line="480" w:lineRule="auto"/>
        <w:ind w:firstLine="720"/>
      </w:pPr>
      <w:bookmarkStart w:id="142" w:name="ref-4"/>
      <w:bookmarkEnd w:id="142"/>
      <w:r>
        <w:t xml:space="preserve">4. B. Jones,</w:t>
      </w:r>
      <w:r>
        <w:t xml:space="preserve"> </w:t>
      </w:r>
      <w:r>
        <w:t xml:space="preserve">“Multi-Fidelity Methods for Orbit Determination,”</w:t>
      </w:r>
      <w:r>
        <w:t xml:space="preserve"> </w:t>
      </w:r>
      <w:r>
        <w:t xml:space="preserve">Proc. Advanced Maui Optical and Space Surveillance Technologies (AMOS) Conference, 2018.</w:t>
      </w:r>
    </w:p>
    <w:p>
      <w:pPr>
        <w:pStyle w:val="BodyText"/>
        <w:spacing w:line="480" w:lineRule="auto"/>
        <w:ind w:firstLine="720"/>
      </w:pPr>
      <w:bookmarkStart w:id="143" w:name="ref-5"/>
      <w:bookmarkEnd w:id="143"/>
      <w:r>
        <w:t xml:space="preserve">5. J. Bennett, J. Sang, C. Smith, and K. Zhang,</w:t>
      </w:r>
      <w:r>
        <w:t xml:space="preserve"> </w:t>
      </w:r>
      <w:r>
        <w:t xml:space="preserve">“An Analysis of Debris Orbit Prediction Accuracy from Short-arc Orbit Determination Using Optical and Laser Tracking Data,”</w:t>
      </w:r>
      <w:r>
        <w:t xml:space="preserve"> </w:t>
      </w:r>
      <w:r>
        <w:t xml:space="preserve">Proc. Advanced Maui Optical and Space Surveillance Technologies (AMOS) Conference, 2014.</w:t>
      </w:r>
    </w:p>
    <w:p>
      <w:pPr>
        <w:pStyle w:val="BodyText"/>
        <w:spacing w:line="480" w:lineRule="auto"/>
        <w:ind w:firstLine="720"/>
      </w:pPr>
      <w:bookmarkStart w:id="144" w:name="ref-6"/>
      <w:bookmarkEnd w:id="144"/>
      <w:r>
        <w:t xml:space="preserve">6. E. Gerber, T. Kelecy, B. DeLude, and B. McClintock,</w:t>
      </w:r>
      <w:r>
        <w:t xml:space="preserve"> </w:t>
      </w:r>
      <w:r>
        <w:t xml:space="preserve">“A Consolidated Multi-State Orbit Estimation Paradigm for Improved RSO Track Custody,”</w:t>
      </w:r>
      <w:r>
        <w:t xml:space="preserve"> </w:t>
      </w:r>
      <w:r>
        <w:t xml:space="preserve">Proc. Advanced Maui Optical and Space Surveillance Technologies (AMOS) Conference, 2022.</w:t>
      </w:r>
    </w:p>
    <w:p>
      <w:pPr>
        <w:pStyle w:val="BodyText"/>
        <w:spacing w:line="480" w:lineRule="auto"/>
        <w:ind w:firstLine="720"/>
      </w:pPr>
      <w:bookmarkStart w:id="145" w:name="ref-7"/>
      <w:bookmarkEnd w:id="145"/>
      <w:r>
        <w:t xml:space="preserve">7. V. Notaro, L. Iess, J. W. Armstrong, and S. W. Asmar,</w:t>
      </w:r>
      <w:r>
        <w:t xml:space="preserve"> </w:t>
      </w:r>
      <w:r>
        <w:t xml:space="preserve">“Reducing Doppler noise with multi-station tracking: The Cassini test case,”</w:t>
      </w:r>
      <w:r>
        <w:t xml:space="preserve"> </w:t>
      </w:r>
      <w:r>
        <w:t xml:space="preserve">Acta Astronautica, vol. 173, 2020. doi:</w:t>
      </w:r>
      <w:r>
        <w:t xml:space="preserve"> </w:t>
      </w:r>
      <w:hyperlink r:id="rId146">
        <w:r>
          <w:rPr>
            <w:rStyle w:val="Hyperlink"/>
          </w:rPr>
          <w:t xml:space="preserve">10.1016/j.actaastro.2020.04.009</w:t>
        </w:r>
      </w:hyperlink>
    </w:p>
    <w:p>
      <w:pPr>
        <w:pStyle w:val="BodyText"/>
        <w:spacing w:line="480" w:lineRule="auto"/>
        <w:ind w:firstLine="720"/>
      </w:pPr>
      <w:bookmarkStart w:id="147" w:name="ref-8"/>
      <w:bookmarkEnd w:id="147"/>
      <w:r>
        <w:t xml:space="preserve">8. F. Caldas and C. Soares,</w:t>
      </w:r>
      <w:r>
        <w:t xml:space="preserve"> </w:t>
      </w:r>
      <w:r>
        <w:t xml:space="preserve">“Machine learning in orbit estimation: A survey,”</w:t>
      </w:r>
      <w:r>
        <w:t xml:space="preserve"> </w:t>
      </w:r>
      <w:r>
        <w:t xml:space="preserve">Acta Astronautica, vol. 220, 2024. doi:</w:t>
      </w:r>
      <w:r>
        <w:t xml:space="preserve"> </w:t>
      </w:r>
      <w:hyperlink r:id="rId148">
        <w:r>
          <w:rPr>
            <w:rStyle w:val="Hyperlink"/>
          </w:rPr>
          <w:t xml:space="preserve">10.1016/j.actaastro.2024.03.072</w:t>
        </w:r>
      </w:hyperlink>
    </w:p>
    <w:p>
      <w:pPr>
        <w:pStyle w:val="BodyText"/>
        <w:spacing w:line="480" w:lineRule="auto"/>
        <w:ind w:firstLine="720"/>
      </w:pPr>
      <w:bookmarkStart w:id="149" w:name="ref-9"/>
      <w:bookmarkEnd w:id="149"/>
      <w:r>
        <w:t xml:space="preserve">9. E. Mazarico, M. K. Barker, S. Goossens, et al.,</w:t>
      </w:r>
      <w:r>
        <w:t xml:space="preserve"> </w:t>
      </w:r>
      <w:r>
        <w:t xml:space="preserve">“Orbit determination of the Lunar Reconnaissance Orbiter: Status after seven years,”</w:t>
      </w:r>
      <w:r>
        <w:t xml:space="preserve"> </w:t>
      </w:r>
      <w:r>
        <w:t xml:space="preserve">NASA Goddard Space Flight Center, PMC6417890, 2018.</w:t>
      </w:r>
    </w:p>
    <w:p>
      <w:pPr>
        <w:pStyle w:val="BodyText"/>
        <w:spacing w:line="480" w:lineRule="auto"/>
        <w:ind w:firstLine="720"/>
      </w:pPr>
      <w:bookmarkStart w:id="150" w:name="ref-10"/>
      <w:bookmarkEnd w:id="150"/>
      <w:r>
        <w:t xml:space="preserve">10. D. Baek and S. Bae,</w:t>
      </w:r>
      <w:r>
        <w:t xml:space="preserve"> </w:t>
      </w:r>
      <w:r>
        <w:t xml:space="preserve">“Analysis of Space Debris Orbit Prediction Using Angle and Laser Ranging Data from Two Tracking Sites under Limited Observation Environment,”</w:t>
      </w:r>
      <w:r>
        <w:t xml:space="preserve"> </w:t>
      </w:r>
      <w:r>
        <w:t xml:space="preserve">Sensors, PMC7180740, 2020.</w:t>
      </w:r>
    </w:p>
    <w:p>
      <w:pPr>
        <w:pStyle w:val="BodyText"/>
        <w:spacing w:line="480" w:lineRule="auto"/>
        <w:ind w:firstLine="720"/>
      </w:pPr>
      <w:bookmarkStart w:id="151" w:name="ref-11"/>
      <w:bookmarkEnd w:id="151"/>
      <w:r>
        <w:t xml:space="preserve">11. E. Turan, S. Speretta, and E. Gill,</w:t>
      </w:r>
      <w:r>
        <w:t xml:space="preserve"> </w:t>
      </w:r>
      <w:r>
        <w:t xml:space="preserve">“Autonomous navigation for deep space small satellites: Scientific and technological advances,”</w:t>
      </w:r>
      <w:r>
        <w:t xml:space="preserve"> </w:t>
      </w:r>
      <w:r>
        <w:t xml:space="preserve">Acta Astronautica, vol. 193, 2022. doi:</w:t>
      </w:r>
      <w:r>
        <w:t xml:space="preserve"> </w:t>
      </w:r>
      <w:hyperlink r:id="rId152">
        <w:r>
          <w:rPr>
            <w:rStyle w:val="Hyperlink"/>
          </w:rPr>
          <w:t xml:space="preserve">10.1016/j.actaastro.2021.12.030</w:t>
        </w:r>
      </w:hyperlink>
    </w:p>
    <w:p>
      <w:pPr>
        <w:pStyle w:val="BodyText"/>
        <w:spacing w:line="480" w:lineRule="auto"/>
        <w:ind w:firstLine="720"/>
      </w:pPr>
      <w:bookmarkStart w:id="153" w:name="ref-12"/>
      <w:bookmarkEnd w:id="153"/>
      <w:r>
        <w:t xml:space="preserve">12. Kerianne Pruett, Lawrence Livermore National Laboratory; Nathan McNaughton, University of California, Berkeley; Michael Schneider, Lawrence Livermore National Laboratory. Closely Spaced Object Classification Using MuyGPyS (2023). doi:</w:t>
      </w:r>
      <w:r>
        <w:t xml:space="preserve"> </w:t>
      </w:r>
      <w:hyperlink r:id="rId154">
        <w:r>
          <w:rPr>
            <w:rStyle w:val="Hyperlink"/>
          </w:rPr>
          <w:t xml:space="preserve">10.64861/ULQH1998</w:t>
        </w:r>
      </w:hyperlink>
    </w:p>
    <w:p>
      <w:pPr>
        <w:pStyle w:val="BodyText"/>
        <w:spacing w:line="480" w:lineRule="auto"/>
        <w:ind w:firstLine="720"/>
      </w:pPr>
      <w:bookmarkStart w:id="155" w:name="ref-13"/>
      <w:bookmarkEnd w:id="155"/>
      <w:r>
        <w:t xml:space="preserve">13. Pol Mesalles-Ripoll, SpaceNav; Zachary Waldron, SpaceNav; Alex Sanchez, SpaceNav; Roman Rositani, SpaceNav; Matt Duncan, SpaceNav. Beyond Density Alone: Accuracy Assessment of Atmospheric Models for Orbit Prediction from a Satellite Operator’s Perspective (2025). doi:</w:t>
      </w:r>
      <w:r>
        <w:t xml:space="preserve"> </w:t>
      </w:r>
      <w:hyperlink r:id="rId156">
        <w:r>
          <w:rPr>
            <w:rStyle w:val="Hyperlink"/>
          </w:rPr>
          <w:t xml:space="preserve">10.64861/QQSA1767</w:t>
        </w:r>
      </w:hyperlink>
    </w:p>
    <w:p>
      <w:pPr>
        <w:pStyle w:val="BodyText"/>
        <w:spacing w:line="480" w:lineRule="auto"/>
        <w:ind w:firstLine="720"/>
      </w:pPr>
      <w:bookmarkStart w:id="157" w:name="ref-14"/>
      <w:bookmarkEnd w:id="157"/>
      <w:r>
        <w:t xml:space="preserve">14. Hao Peng, Rutgers, The State University of New Jersey, Xiaoli Bai, Rutgers, Rutgers, The State University of New Jersey. Limits of Machine Learning Approach on Improving Orbit Prediction Accuracy using Support Vector Machine (2017).</w:t>
      </w:r>
    </w:p>
    <w:p>
      <w:pPr>
        <w:pStyle w:val="BodyText"/>
        <w:spacing w:line="480" w:lineRule="auto"/>
        <w:ind w:firstLine="720"/>
      </w:pPr>
      <w:bookmarkStart w:id="158" w:name="ref-15"/>
      <w:bookmarkEnd w:id="158"/>
      <w:r>
        <w:t xml:space="preserve">15. Dave Swann (Aerospace Testing Alliance; Advanced Missile Signature Center; Arnold Engineering Development Center), Bernie Klem (Aerospace Testing Alliance; Advanced Missile Signature Center; Arnold Engineering Development Center), Brent McCoy (University of Oklahoma). Assessment of Spacecraft Operational Status Using Electro-Optical Predictive Techniques (2010).</w:t>
      </w:r>
    </w:p>
    <w:p>
      <w:pPr>
        <w:pStyle w:val="BodyText"/>
        <w:spacing w:line="480" w:lineRule="auto"/>
        <w:ind w:firstLine="720"/>
      </w:pPr>
      <w:bookmarkStart w:id="159" w:name="ref-16"/>
      <w:bookmarkEnd w:id="159"/>
      <w:r>
        <w:t xml:space="preserve">16. William Dupree, Aptima, Inc.; Louis Penafiel, Aptima, Inc.; Thomas Gemmer, Aptima, Inc.. Time Forecasting Satellite Light Curve Patterns using Neural Networks (2021).</w:t>
      </w:r>
    </w:p>
    <w:p>
      <w:pPr>
        <w:pStyle w:val="BodyText"/>
        <w:spacing w:line="480" w:lineRule="auto"/>
        <w:ind w:firstLine="720"/>
      </w:pPr>
      <w:bookmarkStart w:id="160" w:name="ref-17"/>
      <w:bookmarkEnd w:id="160"/>
      <w:r>
        <w:t xml:space="preserve">17. Giovanni Lavezzi, Massachusetts Institute of Technology; Peng Mun Siew, Massachusetts Institute of Technology; Di Wu, Massachusetts Institute of Technology; Zachary Folcik, MIT Lincoln Laboratory; Victor Rodriguez-Fernandez, Universidad Politécnica de Madrid; Jeffrey Price, United States Air Force; Richard Linares, Massachusetts Institute of Technology. Early Classification of Space Objects Based on Astrometric Time Series Data (2024). doi:</w:t>
      </w:r>
      <w:r>
        <w:t xml:space="preserve"> </w:t>
      </w:r>
      <w:hyperlink r:id="rId161">
        <w:r>
          <w:rPr>
            <w:rStyle w:val="Hyperlink"/>
          </w:rPr>
          <w:t xml:space="preserve">10.64861/UARD3301</w:t>
        </w:r>
      </w:hyperlink>
    </w:p>
    <w:p>
      <w:pPr>
        <w:pStyle w:val="BodyText"/>
        <w:spacing w:line="480" w:lineRule="auto"/>
        <w:ind w:firstLine="720"/>
      </w:pPr>
      <w:bookmarkStart w:id="162" w:name="ref-18"/>
      <w:bookmarkEnd w:id="162"/>
      <w:r>
        <w:t xml:space="preserve">18. Zachary Bergen, Ball Aerospace; Naomi Owens Fahrner, Ball Aerospace; Carl Stahoviak, Ball Aerospace. What Is That Object Out There? Automated Satellite Modeling and Alternate Reality (AR) (2022).</w:t>
      </w:r>
    </w:p>
    <w:p>
      <w:pPr>
        <w:pStyle w:val="BodyText"/>
        <w:spacing w:line="480" w:lineRule="auto"/>
        <w:ind w:firstLine="720"/>
      </w:pPr>
      <w:bookmarkStart w:id="163" w:name="ref-19"/>
      <w:bookmarkEnd w:id="163"/>
      <w:r>
        <w:t xml:space="preserve">19. Lt. Col. Jeremy Raley, Defense Advanced Research Projects Agency (DARPA), Ryan M. Weisman, Air Force Research Laboratory, C. Channing Chow II, Integrity Applications Incorporated – Pacific Defense Solutions, Michael Czajkowski, Lockheed Marticn, Kristin Sotzen, Johns Hopkins Univeristy, Applied Physics Laboratory. OrbitOutlook: Autonomous Verification and Validation of Non-Traditional Data for Improved Space Situational Awareness (2016).</w:t>
      </w:r>
    </w:p>
    <w:p>
      <w:pPr>
        <w:pStyle w:val="BodyText"/>
        <w:spacing w:line="480" w:lineRule="auto"/>
        <w:ind w:firstLine="720"/>
      </w:pPr>
      <w:bookmarkStart w:id="164" w:name="ref-20"/>
      <w:bookmarkEnd w:id="164"/>
      <w:r>
        <w:t xml:space="preserve">20. Benjamin Reimeir; Sara Maach; Anna Wargel; Franziska Riedl; Deepasree Bangaru-Raju; Robert Eberle; Gernot Groemer; Peter Federolf. Adaptive, empirical models from analog EVA telemetry for traverse pacing and physiological response prediction in astronauts (2025). doi:</w:t>
      </w:r>
      <w:r>
        <w:t xml:space="preserve"> </w:t>
      </w:r>
      <w:hyperlink r:id="rId165">
        <w:r>
          <w:rPr>
            <w:rStyle w:val="Hyperlink"/>
          </w:rPr>
          <w:t xml:space="preserve">10.1016/j.actaastro.2025.10.072</w:t>
        </w:r>
      </w:hyperlink>
    </w:p>
    <w:p>
      <w:pPr>
        <w:pStyle w:val="BodyText"/>
        <w:spacing w:line="480" w:lineRule="auto"/>
        <w:ind w:firstLine="720"/>
      </w:pPr>
      <w:bookmarkStart w:id="166" w:name="ref-21"/>
      <w:bookmarkEnd w:id="166"/>
      <w:r>
        <w:t xml:space="preserve">21. Yueh‐Heng Li; Wan-Yih Lien; Shengwen Liu. Development of a hanging pendulum thrust stand for pulsed plasma thrusters (2025). doi:</w:t>
      </w:r>
      <w:r>
        <w:t xml:space="preserve"> </w:t>
      </w:r>
      <w:hyperlink r:id="rId167">
        <w:r>
          <w:rPr>
            <w:rStyle w:val="Hyperlink"/>
          </w:rPr>
          <w:t xml:space="preserve">10.1016/j.actaastro.2025.05.003</w:t>
        </w:r>
      </w:hyperlink>
    </w:p>
    <w:p>
      <w:pPr>
        <w:pStyle w:val="BodyText"/>
        <w:spacing w:line="480" w:lineRule="auto"/>
        <w:ind w:firstLine="720"/>
      </w:pPr>
      <w:bookmarkStart w:id="168" w:name="ref-22"/>
      <w:bookmarkEnd w:id="168"/>
      <w:r>
        <w:t xml:space="preserve">22. Seyed M.Mehdi Hassani.N; Xiaoning Jin; Jun Ni. Physics-based Gaussian process for the health monitoring for a rolling bearing (2018). doi:</w:t>
      </w:r>
      <w:r>
        <w:t xml:space="preserve"> </w:t>
      </w:r>
      <w:hyperlink r:id="rId169">
        <w:r>
          <w:rPr>
            <w:rStyle w:val="Hyperlink"/>
          </w:rPr>
          <w:t xml:space="preserve">10.1016/j.actaastro.2018.10.029</w:t>
        </w:r>
      </w:hyperlink>
    </w:p>
    <w:p>
      <w:pPr>
        <w:pStyle w:val="BodyText"/>
        <w:spacing w:line="480" w:lineRule="auto"/>
        <w:ind w:firstLine="720"/>
      </w:pPr>
      <w:bookmarkStart w:id="170" w:name="ref-23"/>
      <w:bookmarkEnd w:id="170"/>
      <w:r>
        <w:t xml:space="preserve">23. Michele Bechini; Geonmo Gu; Paolo Lunghi; Michèle Lavagna. Robust spacecraft relative pose estimation via CNN-aided line segments detection in monocular images (2023). doi:</w:t>
      </w:r>
      <w:r>
        <w:t xml:space="preserve"> </w:t>
      </w:r>
      <w:hyperlink r:id="rId171">
        <w:r>
          <w:rPr>
            <w:rStyle w:val="Hyperlink"/>
          </w:rPr>
          <w:t xml:space="preserve">10.1016/j.actaastro.2023.11.049</w:t>
        </w:r>
      </w:hyperlink>
    </w:p>
    <w:p>
      <w:pPr>
        <w:pStyle w:val="BodyText"/>
        <w:spacing w:line="480" w:lineRule="auto"/>
        <w:ind w:firstLine="720"/>
      </w:pPr>
      <w:bookmarkStart w:id="172" w:name="ref-24"/>
      <w:bookmarkEnd w:id="172"/>
      <w:r>
        <w:t xml:space="preserve">24. Grégoire Chomette; Lorien Wheeler; Donovan Mathias. Machine learning for the prediction of local asteroid damages (2024). doi:</w:t>
      </w:r>
      <w:r>
        <w:t xml:space="preserve"> </w:t>
      </w:r>
      <w:hyperlink r:id="rId173">
        <w:r>
          <w:rPr>
            <w:rStyle w:val="Hyperlink"/>
          </w:rPr>
          <w:t xml:space="preserve">10.1016/j.actaastro.2024.01.049</w:t>
        </w:r>
      </w:hyperlink>
    </w:p>
    <w:p>
      <w:pPr>
        <w:pStyle w:val="BodyText"/>
        <w:spacing w:line="480" w:lineRule="auto"/>
        <w:ind w:firstLine="720"/>
      </w:pPr>
      <w:bookmarkStart w:id="174" w:name="ref-25"/>
      <w:bookmarkEnd w:id="174"/>
      <w:r>
        <w:t xml:space="preserve">25. Boxian Yang; Shichen Jiang; Xinlan Gao; Hualong Hu; Liguo Zhang; Z M. Zhang; Xiangqin Li; Leheng Xu; Yuan Gao; Weinan Han. Intelligent prediction of satellite antenna main beam from thermal deformation point clouds (2026). doi:</w:t>
      </w:r>
      <w:r>
        <w:t xml:space="preserve"> </w:t>
      </w:r>
      <w:hyperlink r:id="rId175">
        <w:r>
          <w:rPr>
            <w:rStyle w:val="Hyperlink"/>
          </w:rPr>
          <w:t xml:space="preserve">10.1016/j.actaastro.2026.04.063</w:t>
        </w:r>
      </w:hyperlink>
    </w:p>
    <w:p>
      <w:pPr>
        <w:pStyle w:val="BodyText"/>
        <w:spacing w:line="480" w:lineRule="auto"/>
        <w:ind w:firstLine="720"/>
      </w:pPr>
      <w:bookmarkStart w:id="176" w:name="ref-26"/>
      <w:bookmarkEnd w:id="176"/>
      <w:r>
        <w:t xml:space="preserve">26. Christopher Connaboy; Aaron M. Sinnott; Alice D. LaGoy; Kellen T. Krajewski; Caleb D. Johnson; Gert‐Jan Pepping; Richard J. Simpson; Joanne L. Bower; Candice A. Alfano. Cognitive performance during prolonged periods in isolated, confined, and extreme environments (2020). doi:</w:t>
      </w:r>
      <w:r>
        <w:t xml:space="preserve"> </w:t>
      </w:r>
      <w:hyperlink r:id="rId177">
        <w:r>
          <w:rPr>
            <w:rStyle w:val="Hyperlink"/>
          </w:rPr>
          <w:t xml:space="preserve">10.1016/j.actaastro.2020.08.018</w:t>
        </w:r>
      </w:hyperlink>
    </w:p>
    <w:p>
      <w:pPr>
        <w:pStyle w:val="BodyText"/>
        <w:spacing w:line="480" w:lineRule="auto"/>
        <w:ind w:firstLine="720"/>
      </w:pPr>
      <w:bookmarkStart w:id="178" w:name="ref-27"/>
      <w:bookmarkEnd w:id="178"/>
      <w:r>
        <w:t xml:space="preserve">27. Michael Herman; Olivia J. Pinon Fischer; Dimitri N. Mavris. Predictive calibration for digital sun sensors using sparse submanifold convolutional neural networks (2026). doi:</w:t>
      </w:r>
      <w:r>
        <w:t xml:space="preserve"> </w:t>
      </w:r>
      <w:hyperlink r:id="rId179">
        <w:r>
          <w:rPr>
            <w:rStyle w:val="Hyperlink"/>
          </w:rPr>
          <w:t xml:space="preserve">10.1016/j.actaastro.2026.05.010</w:t>
        </w:r>
      </w:hyperlink>
    </w:p>
    <w:bookmarkEnd w:id="180"/>
    <w:bookmarkEnd w:id="181"/>
    <w:bookmarkStart w:id="19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9" w:name="Xde58fa81334d1296ddbf84b861dd72b020c73bc"/>
    <w:p>
      <w:pPr>
        <w:pStyle w:val="Heading2"/>
        <w:spacing w:line="480" w:lineRule="auto"/>
      </w:pPr>
      <w:r>
        <w:t xml:space="preserve">A.1 Navigation Delivery Accuracy as a Regression Problem: Which Pre-Solution Features Predict Realized Orbit-Determination Error</w:t>
      </w:r>
    </w:p>
    <w:p>
      <w:pPr>
        <w:pStyle w:val="FirstParagraph"/>
        <w:spacing w:line="480" w:lineRule="auto"/>
      </w:pPr>
      <m:oMathPara>
        <m:oMathParaPr>
          <m:jc m:val="center"/>
        </m:oMathParaPr>
        <m:oMath>
          <m:sSub>
            <m:e>
              <m:r>
                <m:rPr>
                  <m:sty m:val="p"/>
                </m:rPr>
                <m:t>log</m:t>
              </m:r>
            </m:e>
            <m:sub>
              <m:r>
                <m:t>10</m:t>
              </m:r>
            </m:sub>
          </m:sSub>
          <m:sSub>
            <m:e>
              <m:r>
                <m:t>e</m:t>
              </m:r>
            </m:e>
            <m:sub>
              <m:r>
                <m:t>i</m:t>
              </m:r>
            </m:sub>
          </m:sSub>
          <m:r>
            <m:rPr>
              <m:sty m:val="p"/>
            </m:rPr>
            <m:t>=</m:t>
          </m:r>
          <m:sSub>
            <m:e>
              <m:r>
                <m:t>β</m:t>
              </m:r>
            </m:e>
            <m:sub>
              <m:r>
                <m:t>0</m:t>
              </m:r>
            </m:sub>
          </m:sSub>
          <m:r>
            <m:rPr>
              <m:sty m:val="p"/>
            </m:rPr>
            <m:t>+</m:t>
          </m:r>
          <m:sSub>
            <m:e>
              <m:r>
                <m:t>β</m:t>
              </m:r>
            </m:e>
            <m:sub>
              <m:r>
                <m:t>1</m:t>
              </m:r>
            </m:sub>
          </m:sSub>
          <m:r>
            <m:t> </m:t>
          </m:r>
          <m:sSub>
            <m:e>
              <m:r>
                <m:rPr>
                  <m:sty m:val="p"/>
                </m:rPr>
                <m:t>a</m:t>
              </m:r>
              <m:r>
                <m:rPr>
                  <m:sty m:val="p"/>
                </m:rPr>
                <m:t>r</m:t>
              </m:r>
              <m:r>
                <m:rPr>
                  <m:sty m:val="p"/>
                </m:rPr>
                <m:t>c</m:t>
              </m:r>
              <m:r>
                <m:rPr>
                  <m:sty m:val="p"/>
                </m:rPr>
                <m:t>_</m:t>
              </m:r>
              <m:r>
                <m:rPr>
                  <m:sty m:val="p"/>
                </m:rPr>
                <m:t>m</m:t>
              </m:r>
              <m:r>
                <m:rPr>
                  <m:sty m:val="p"/>
                </m:rPr>
                <m:t>i</m:t>
              </m:r>
              <m:r>
                <m:rPr>
                  <m:sty m:val="p"/>
                </m:rPr>
                <m:t>n</m:t>
              </m:r>
            </m:e>
            <m:sub>
              <m:r>
                <m:t>i</m:t>
              </m:r>
            </m:sub>
          </m:sSub>
          <m:r>
            <m:rPr>
              <m:sty m:val="p"/>
            </m:rPr>
            <m:t>+</m:t>
          </m:r>
          <m:sSub>
            <m:e>
              <m:r>
                <m:t>β</m:t>
              </m:r>
            </m:e>
            <m:sub>
              <m:r>
                <m:t>2</m:t>
              </m:r>
            </m:sub>
          </m:sSub>
          <m:r>
            <m:t> </m:t>
          </m:r>
          <m:sSub>
            <m:e>
              <m:r>
                <m:rPr>
                  <m:sty m:val="p"/>
                </m:rPr>
                <m:t>n</m:t>
              </m:r>
              <m:r>
                <m:rPr>
                  <m:sty m:val="p"/>
                </m:rPr>
                <m:t>_</m:t>
              </m:r>
              <m:r>
                <m:rPr>
                  <m:sty m:val="p"/>
                </m:rPr>
                <m:t>p</m:t>
              </m:r>
              <m:r>
                <m:rPr>
                  <m:sty m:val="p"/>
                </m:rPr>
                <m:t>a</m:t>
              </m:r>
              <m:r>
                <m:rPr>
                  <m:sty m:val="p"/>
                </m:rPr>
                <m:t>s</m:t>
              </m:r>
              <m:r>
                <m:rPr>
                  <m:sty m:val="p"/>
                </m:rPr>
                <m:t>s</m:t>
              </m:r>
              <m:r>
                <m:rPr>
                  <m:sty m:val="p"/>
                </m:rPr>
                <m:t>e</m:t>
              </m:r>
              <m:r>
                <m:rPr>
                  <m:sty m:val="p"/>
                </m:rPr>
                <m:t>s</m:t>
              </m:r>
            </m:e>
            <m:sub>
              <m:r>
                <m:t>i</m:t>
              </m:r>
            </m:sub>
          </m:sSub>
          <m:r>
            <m:rPr>
              <m:sty m:val="p"/>
            </m:rPr>
            <m:t>+</m:t>
          </m:r>
          <m:sSub>
            <m:e>
              <m:r>
                <m:t>β</m:t>
              </m:r>
            </m:e>
            <m:sub>
              <m:r>
                <m:t>3</m:t>
              </m:r>
            </m:sub>
          </m:sSub>
          <m:r>
            <m:t> </m:t>
          </m:r>
          <m:sSub>
            <m:e>
              <m:r>
                <m:rPr>
                  <m:sty m:val="p"/>
                </m:rPr>
                <m:t>l</m:t>
              </m:r>
              <m:r>
                <m:rPr>
                  <m:sty m:val="p"/>
                </m:rPr>
                <m:t>a</m:t>
              </m:r>
              <m:r>
                <m:rPr>
                  <m:sty m:val="p"/>
                </m:rPr>
                <m:t>s</m:t>
              </m:r>
              <m:r>
                <m:rPr>
                  <m:sty m:val="p"/>
                </m:rPr>
                <m:t>e</m:t>
              </m:r>
              <m:r>
                <m:rPr>
                  <m:sty m:val="p"/>
                </m:rPr>
                <m:t>r</m:t>
              </m:r>
              <m:r>
                <m:rPr>
                  <m:sty m:val="p"/>
                </m:rPr>
                <m:t>_</m:t>
              </m:r>
              <m:r>
                <m:rPr>
                  <m:sty m:val="p"/>
                </m:rPr>
                <m:t>a</m:t>
              </m:r>
              <m:r>
                <m:rPr>
                  <m:sty m:val="p"/>
                </m:rPr>
                <m:t>i</m:t>
              </m:r>
              <m:r>
                <m:rPr>
                  <m:sty m:val="p"/>
                </m:rPr>
                <m:t>d</m:t>
              </m:r>
              <m:r>
                <m:rPr>
                  <m:sty m:val="p"/>
                </m:rPr>
                <m:t>e</m:t>
              </m:r>
              <m:r>
                <m:rPr>
                  <m:sty m:val="p"/>
                </m:rPr>
                <m:t>d</m:t>
              </m:r>
            </m:e>
            <m:sub>
              <m:r>
                <m:t>i</m:t>
              </m:r>
            </m:sub>
          </m:sSub>
          <m:r>
            <m:rPr>
              <m:sty m:val="p"/>
            </m:rPr>
            <m:t>+</m:t>
          </m:r>
          <m:sSub>
            <m:e>
              <m:r>
                <m:t>β</m:t>
              </m:r>
            </m:e>
            <m:sub>
              <m:r>
                <m:t>4</m:t>
              </m:r>
            </m:sub>
          </m:sSub>
          <m:r>
            <m:t> </m:t>
          </m:r>
          <m:sSub>
            <m:e>
              <m:r>
                <m:rPr>
                  <m:sty m:val="p"/>
                </m:rPr>
                <m:t>g</m:t>
              </m:r>
              <m:r>
                <m:rPr>
                  <m:sty m:val="p"/>
                </m:rPr>
                <m:t>n</m:t>
              </m:r>
              <m:r>
                <m:rPr>
                  <m:sty m:val="p"/>
                </m:rPr>
                <m:t>s</m:t>
              </m:r>
              <m:r>
                <m:rPr>
                  <m:sty m:val="p"/>
                </m:rPr>
                <m:t>s</m:t>
              </m:r>
            </m:e>
            <m:sub>
              <m:r>
                <m:t>i</m:t>
              </m:r>
            </m:sub>
          </m:sSub>
          <m:r>
            <m:rPr>
              <m:sty m:val="p"/>
            </m:rPr>
            <m:t>+</m:t>
          </m:r>
          <m:sSub>
            <m:e>
              <m:r>
                <m:t>β</m:t>
              </m:r>
            </m:e>
            <m:sub>
              <m:r>
                <m:t>5</m:t>
              </m:r>
            </m:sub>
          </m:sSub>
          <m:r>
            <m:t> </m:t>
          </m:r>
          <m:sSub>
            <m:e>
              <m:r>
                <m:rPr>
                  <m:sty m:val="p"/>
                </m:rPr>
                <m:t>o</m:t>
              </m:r>
              <m:r>
                <m:rPr>
                  <m:sty m:val="p"/>
                </m:rPr>
                <m:t>p</m:t>
              </m:r>
              <m:r>
                <m:rPr>
                  <m:sty m:val="p"/>
                </m:rPr>
                <m:t>t</m:t>
              </m:r>
              <m:r>
                <m:rPr>
                  <m:sty m:val="p"/>
                </m:rPr>
                <m:t>i</m:t>
              </m:r>
              <m:r>
                <m:rPr>
                  <m:sty m:val="p"/>
                </m:rPr>
                <m:t>c</m:t>
              </m:r>
              <m:r>
                <m:rPr>
                  <m:sty m:val="p"/>
                </m:rPr>
                <m:t>a</m:t>
              </m:r>
              <m:r>
                <m:rPr>
                  <m:sty m:val="p"/>
                </m:rPr>
                <m:t>l</m:t>
              </m:r>
              <m:r>
                <m:rPr>
                  <m:sty m:val="p"/>
                </m:rPr>
                <m:t>_</m:t>
              </m:r>
              <m:r>
                <m:rPr>
                  <m:sty m:val="p"/>
                </m:rPr>
                <m:t>o</m:t>
              </m:r>
              <m:r>
                <m:rPr>
                  <m:sty m:val="p"/>
                </m:rPr>
                <m:t>n</m:t>
              </m:r>
              <m:r>
                <m:rPr>
                  <m:sty m:val="p"/>
                </m:rPr>
                <m:t>l</m:t>
              </m:r>
              <m:r>
                <m:rPr>
                  <m:sty m:val="p"/>
                </m:rPr>
                <m:t>y</m:t>
              </m:r>
            </m:e>
            <m:sub>
              <m:r>
                <m:t>i</m:t>
              </m:r>
            </m:sub>
          </m:sSub>
          <m:r>
            <m:rPr>
              <m:sty m:val="p"/>
            </m:rPr>
            <m:t>+</m:t>
          </m:r>
          <m:sSub>
            <m:e>
              <m:r>
                <m:t>β</m:t>
              </m:r>
            </m:e>
            <m:sub>
              <m:r>
                <m:t>6</m:t>
              </m:r>
            </m:sub>
          </m:sSub>
          <m:r>
            <m:t> </m:t>
          </m:r>
          <m:sSub>
            <m:e>
              <m:r>
                <m:rPr>
                  <m:sty m:val="p"/>
                </m:rPr>
                <m:t>c</m:t>
              </m:r>
              <m:r>
                <m:rPr>
                  <m:sty m:val="p"/>
                </m:rPr>
                <m:t>i</m:t>
              </m:r>
              <m:r>
                <m:rPr>
                  <m:sty m:val="p"/>
                </m:rPr>
                <m:t>s</m:t>
              </m:r>
              <m:r>
                <m:rPr>
                  <m:sty m:val="p"/>
                </m:rPr>
                <m:t>l</m:t>
              </m:r>
              <m:r>
                <m:rPr>
                  <m:sty m:val="p"/>
                </m:rPr>
                <m:t>u</m:t>
              </m:r>
              <m:r>
                <m:rPr>
                  <m:sty m:val="p"/>
                </m:rPr>
                <m:t>n</m:t>
              </m:r>
              <m:r>
                <m:rPr>
                  <m:sty m:val="p"/>
                </m:rPr>
                <m:t>a</m:t>
              </m:r>
              <m:r>
                <m:rPr>
                  <m:sty m:val="p"/>
                </m:rPr>
                <m:t>r</m:t>
              </m:r>
            </m:e>
            <m:sub>
              <m:r>
                <m:t>i</m:t>
              </m:r>
            </m:sub>
          </m:sSub>
          <m:r>
            <m:rPr>
              <m:sty m:val="p"/>
            </m:rPr>
            <m:t>+</m:t>
          </m:r>
          <m:sSub>
            <m:e>
              <m:r>
                <m:t>ε</m:t>
              </m:r>
            </m:e>
            <m:sub>
              <m:r>
                <m:t>i</m:t>
              </m:r>
            </m:sub>
          </m:sSub>
        </m:oMath>
      </m:oMathPara>
    </w:p>
    <w:bookmarkStart w:id="18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3.8564</w:t>
            </w:r>
          </w:p>
        </w:tc>
        <w:tc>
          <w:tcPr>
            <w:tcW w:w="0" w:type="auto"/>
          </w:tcPr>
          <w:p>
            <w:pPr>
              <w:spacing w:line="240" w:lineRule="auto" w:before="0" w:after="0"/>
              <w:pStyle w:val="Compact"/>
            </w:pPr>
            <w:r>
              <w:rPr>
                <w:sz w:val="20"/>
                <w:szCs w:val="20"/>
              </w:rPr>
              <w:t xml:space="preserve">0.7666</w:t>
            </w:r>
          </w:p>
        </w:tc>
        <w:tc>
          <w:tcPr>
            <w:tcW w:w="0" w:type="auto"/>
          </w:tcPr>
          <w:p>
            <w:pPr>
              <w:spacing w:line="240" w:lineRule="auto" w:before="0" w:after="0"/>
              <w:pStyle w:val="Compact"/>
            </w:pPr>
            <w:r>
              <w:rPr>
                <w:sz w:val="20"/>
                <w:szCs w:val="20"/>
              </w:rPr>
              <w:t xml:space="preserve">5.0305</w:t>
            </w:r>
          </w:p>
        </w:tc>
        <w:tc>
          <w:tcPr>
            <w:tcW w:w="0" w:type="auto"/>
          </w:tcPr>
          <w:p>
            <w:pPr>
              <w:spacing w:line="240" w:lineRule="auto" w:before="0" w:after="0"/>
              <w:pStyle w:val="Compact"/>
            </w:pPr>
            <w:r>
              <w:rPr>
                <w:sz w:val="20"/>
                <w:szCs w:val="20"/>
              </w:rPr>
              <w:t xml:space="preserve">4.893e-07</w:t>
            </w:r>
          </w:p>
        </w:tc>
        <w:tc>
          <w:tcPr>
            <w:tcW w:w="0" w:type="auto"/>
          </w:tcPr>
          <w:p>
            <w:pPr>
              <w:spacing w:line="240" w:lineRule="auto" w:before="0" w:after="0"/>
              <w:pStyle w:val="Compact"/>
            </w:pPr>
            <w:r>
              <w:rPr>
                <w:sz w:val="20"/>
                <w:szCs w:val="20"/>
              </w:rPr>
              <w:t xml:space="preserve">[2.3538, 5.3589]</w:t>
            </w:r>
          </w:p>
        </w:tc>
      </w:tr>
      <w:t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-0.0001924</w:t>
            </w:r>
          </w:p>
        </w:tc>
        <w:tc>
          <w:tcPr>
            <w:tcW w:w="0" w:type="auto"/>
          </w:tcPr>
          <w:p>
            <w:pPr>
              <w:spacing w:line="240" w:lineRule="auto" w:before="0" w:after="0"/>
              <w:pStyle w:val="Compact"/>
            </w:pPr>
            <w:r>
              <w:rPr>
                <w:sz w:val="20"/>
                <w:szCs w:val="20"/>
              </w:rPr>
              <w:t xml:space="preserve">0.0002355</w:t>
            </w:r>
          </w:p>
        </w:tc>
        <w:tc>
          <w:tcPr>
            <w:tcW w:w="0" w:type="auto"/>
          </w:tcPr>
          <w:p>
            <w:pPr>
              <w:spacing w:line="240" w:lineRule="auto" w:before="0" w:after="0"/>
              <w:pStyle w:val="Compact"/>
            </w:pPr>
            <w:r>
              <w:rPr>
                <w:sz w:val="20"/>
                <w:szCs w:val="20"/>
              </w:rPr>
              <w:t xml:space="preserve">-0.817</w:t>
            </w:r>
          </w:p>
        </w:tc>
        <w:tc>
          <w:tcPr>
            <w:tcW w:w="0" w:type="auto"/>
          </w:tcPr>
          <w:p>
            <w:pPr>
              <w:spacing w:line="240" w:lineRule="auto" w:before="0" w:after="0"/>
              <w:pStyle w:val="Compact"/>
            </w:pPr>
            <w:r>
              <w:rPr>
                <w:sz w:val="20"/>
                <w:szCs w:val="20"/>
              </w:rPr>
              <w:t xml:space="preserve">0.4139</w:t>
            </w:r>
          </w:p>
        </w:tc>
        <w:tc>
          <w:tcPr>
            <w:tcW w:w="0" w:type="auto"/>
          </w:tcPr>
          <w:p>
            <w:pPr>
              <w:spacing w:line="240" w:lineRule="auto" w:before="0" w:after="0"/>
              <w:pStyle w:val="Compact"/>
            </w:pPr>
            <w:r>
              <w:rPr>
                <w:sz w:val="20"/>
                <w:szCs w:val="20"/>
              </w:rPr>
              <w:t xml:space="preserve">[-0.0006541, 0.0002692]</w:t>
            </w:r>
          </w:p>
        </w:tc>
      </w:tr>
      <w:tr>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-0.1532</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-5.5426</w:t>
            </w:r>
          </w:p>
        </w:tc>
        <w:tc>
          <w:tcPr>
            <w:tcW w:w="0" w:type="auto"/>
          </w:tcPr>
          <w:p>
            <w:pPr>
              <w:spacing w:line="240" w:lineRule="auto" w:before="0" w:after="0"/>
              <w:pStyle w:val="Compact"/>
            </w:pPr>
            <w:r>
              <w:rPr>
                <w:sz w:val="20"/>
                <w:szCs w:val="20"/>
              </w:rPr>
              <w:t xml:space="preserve">2.981e-08</w:t>
            </w:r>
          </w:p>
        </w:tc>
        <w:tc>
          <w:tcPr>
            <w:tcW w:w="0" w:type="auto"/>
          </w:tcPr>
          <w:p>
            <w:pPr>
              <w:spacing w:line="240" w:lineRule="auto" w:before="0" w:after="0"/>
              <w:pStyle w:val="Compact"/>
            </w:pPr>
            <w:r>
              <w:rPr>
                <w:sz w:val="20"/>
                <w:szCs w:val="20"/>
              </w:rPr>
              <w:t xml:space="preserve">[-0.2074, -0.0991]</w:t>
            </w:r>
          </w:p>
        </w:tc>
      </w:tr>
      <w:tr>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-0.5653</w:t>
            </w:r>
          </w:p>
        </w:tc>
        <w:tc>
          <w:tcPr>
            <w:tcW w:w="0" w:type="auto"/>
          </w:tcPr>
          <w:p>
            <w:pPr>
              <w:spacing w:line="240" w:lineRule="auto" w:before="0" w:after="0"/>
              <w:pStyle w:val="Compact"/>
            </w:pPr>
            <w:r>
              <w:rPr>
                <w:sz w:val="20"/>
                <w:szCs w:val="20"/>
              </w:rPr>
              <w:t xml:space="preserve">0.3441</w:t>
            </w:r>
          </w:p>
        </w:tc>
        <w:tc>
          <w:tcPr>
            <w:tcW w:w="0" w:type="auto"/>
          </w:tcPr>
          <w:p>
            <w:pPr>
              <w:spacing w:line="240" w:lineRule="auto" w:before="0" w:after="0"/>
              <w:pStyle w:val="Compact"/>
            </w:pPr>
            <w:r>
              <w:rPr>
                <w:sz w:val="20"/>
                <w:szCs w:val="20"/>
              </w:rPr>
              <w:t xml:space="preserve">-1.6429</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[-1.2397, 0.1091]</w:t>
            </w:r>
          </w:p>
        </w:tc>
      </w:tr>
      <w:tr>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0.8224</w:t>
            </w:r>
          </w:p>
        </w:tc>
        <w:tc>
          <w:tcPr>
            <w:tcW w:w="0" w:type="auto"/>
          </w:tcPr>
          <w:p>
            <w:pPr>
              <w:spacing w:line="240" w:lineRule="auto" w:before="0" w:after="0"/>
              <w:pStyle w:val="Compact"/>
            </w:pPr>
            <w:r>
              <w:rPr>
                <w:sz w:val="20"/>
                <w:szCs w:val="20"/>
              </w:rPr>
              <w:t xml:space="preserve">-0.0864</w:t>
            </w:r>
          </w:p>
        </w:tc>
        <w:tc>
          <w:tcPr>
            <w:tcW w:w="0" w:type="auto"/>
          </w:tcPr>
          <w:p>
            <w:pPr>
              <w:spacing w:line="240" w:lineRule="auto" w:before="0" w:after="0"/>
              <w:pStyle w:val="Compact"/>
            </w:pPr>
            <w:r>
              <w:rPr>
                <w:sz w:val="20"/>
                <w:szCs w:val="20"/>
              </w:rPr>
              <w:t xml:space="preserve">0.9311</w:t>
            </w:r>
          </w:p>
        </w:tc>
        <w:tc>
          <w:tcPr>
            <w:tcW w:w="0" w:type="auto"/>
          </w:tcPr>
          <w:p>
            <w:pPr>
              <w:spacing w:line="240" w:lineRule="auto" w:before="0" w:after="0"/>
              <w:pStyle w:val="Compact"/>
            </w:pPr>
            <w:r>
              <w:rPr>
                <w:sz w:val="20"/>
                <w:szCs w:val="20"/>
              </w:rPr>
              <w:t xml:space="preserve">[-1.6829, 1.5408]</w:t>
            </w:r>
          </w:p>
        </w:tc>
      </w:tr>
      <w:tr>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0.723</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1.3195</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[-0.3509, 1.7969]</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-0.9112</w:t>
            </w:r>
          </w:p>
        </w:tc>
        <w:tc>
          <w:tcPr>
            <w:tcW w:w="0" w:type="auto"/>
          </w:tcPr>
          <w:p>
            <w:pPr>
              <w:spacing w:line="240" w:lineRule="auto" w:before="0" w:after="0"/>
              <w:pStyle w:val="Compact"/>
            </w:pPr>
            <w:r>
              <w:rPr>
                <w:sz w:val="20"/>
                <w:szCs w:val="20"/>
              </w:rPr>
              <w:t xml:space="preserve">0.3253</w:t>
            </w:r>
          </w:p>
        </w:tc>
        <w:tc>
          <w:tcPr>
            <w:tcW w:w="0" w:type="auto"/>
          </w:tcPr>
          <w:p>
            <w:pPr>
              <w:spacing w:line="240" w:lineRule="auto" w:before="0" w:after="0"/>
              <w:pStyle w:val="Compact"/>
            </w:pPr>
            <w:r>
              <w:rPr>
                <w:sz w:val="20"/>
                <w:szCs w:val="20"/>
              </w:rPr>
              <w:t xml:space="preserve">-2.8015</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[-1.5488, -0.2737]</w:t>
            </w:r>
          </w:p>
        </w:tc>
      </w:tr>
    </w:tbl>
    <w:p>
      <w:pPr>
        <w:pStyle w:val="BodyText"/>
        <w:spacing w:line="480" w:lineRule="auto"/>
        <w:ind w:firstLine="720"/>
      </w:pPr>
      <w:r>
        <w:t xml:space="preserve">Fit: N = 28 R2 = 0.839 R2_adj = 0.793 F = 51.2193 F_p = 1.847e-11</w:t>
      </w:r>
    </w:p>
    <w:bookmarkEnd w:id="182"/>
    <w:bookmarkStart w:id="18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alized orbit-determination delivery error (log10 meters) against observation arc span across documented OD scenarios, with the OLS fit." title="" id="184" name="Picture"/>
            <a:graphic>
              <a:graphicData uri="http://schemas.openxmlformats.org/drawingml/2006/picture">
                <pic:pic>
                  <pic:nvPicPr>
                    <pic:cNvPr descr="D:/Claude_Code/brain/collegium/candidates/dissertations/JPL_INSTRUMENTS_NAV_06/research_papers/p1/paper_fig1.png" id="185" name="Picture"/>
                    <pic:cNvPicPr>
                      <a:picLocks noChangeArrowheads="1" noChangeAspect="1"/>
                    </pic:cNvPicPr>
                  </pic:nvPicPr>
                  <pic:blipFill>
                    <a:blip r:embed="rId1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Realized orbit-determination delivery error (log10 meters) against observation arc span across documented OD scenarios, with the OLS fit.</w:t>
      </w:r>
    </w:p>
    <w:bookmarkEnd w:id="186"/>
    <w:bookmarkStart w:id="18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pos_err_m</w:t>
            </w:r>
          </w:p>
        </w:tc>
        <w:tc>
          <w:tcPr>
            <w:tcW w:w="0" w:type="auto"/>
          </w:tcPr>
          <w:p>
            <w:pPr>
              <w:spacing w:line="240" w:lineRule="auto" w:before="0" w:after="0"/>
              <w:pStyle w:val="Compact"/>
            </w:pPr>
            <w:r>
              <w:rPr>
                <w:sz w:val="20"/>
                <w:szCs w:val="20"/>
              </w:rPr>
              <w:t xml:space="preserve">log10_err_m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5242</w:t>
            </w:r>
          </w:p>
        </w:tc>
        <w:tc>
          <w:tcPr>
            <w:tcW w:w="0" w:type="auto"/>
          </w:tcPr>
          <w:p>
            <w:pPr>
              <w:spacing w:line="240" w:lineRule="auto" w:before="0" w:after="0"/>
              <w:pStyle w:val="Compact"/>
            </w:pPr>
            <w:r>
              <w:rPr>
                <w:sz w:val="20"/>
                <w:szCs w:val="20"/>
              </w:rPr>
              <w:t xml:space="preserve">3.7195</w:t>
            </w:r>
          </w:p>
        </w:tc>
        <w:tc>
          <w:tcPr>
            <w:tcW w:w="0" w:type="auto"/>
          </w:tcPr>
          <w:p>
            <w:pPr>
              <w:spacing w:line="240" w:lineRule="auto" w:before="0" w:after="0"/>
              <w:pStyle w:val="Compact"/>
            </w:pPr>
            <w:r>
              <w:rPr>
                <w:sz w:val="20"/>
                <w:szCs w:val="20"/>
              </w:rPr>
              <w:t xml:space="preserve">Bae et al. (2020), Sensors PMC7180740, Table: 1-day angle-only arc,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1450</w:t>
            </w:r>
          </w:p>
        </w:tc>
        <w:tc>
          <w:tcPr>
            <w:tcW w:w="0" w:type="auto"/>
          </w:tcPr>
          <w:p>
            <w:pPr>
              <w:spacing w:line="240" w:lineRule="auto" w:before="0" w:after="0"/>
              <w:pStyle w:val="Compact"/>
            </w:pPr>
            <w:r>
              <w:rPr>
                <w:sz w:val="20"/>
                <w:szCs w:val="20"/>
              </w:rPr>
              <w:t xml:space="preserve">3.1614</w:t>
            </w:r>
          </w:p>
        </w:tc>
        <w:tc>
          <w:tcPr>
            <w:tcW w:w="0" w:type="auto"/>
          </w:tcPr>
          <w:p>
            <w:pPr>
              <w:spacing w:line="240" w:lineRule="auto" w:before="0" w:after="0"/>
              <w:pStyle w:val="Compact"/>
            </w:pPr>
            <w:r>
              <w:rPr>
                <w:sz w:val="20"/>
                <w:szCs w:val="20"/>
              </w:rPr>
              <w:t xml:space="preserve">Bae et al. (2020), Sensors PMC7180740, Table: 1-day angle-only arc,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290</w:t>
            </w:r>
          </w:p>
        </w:tc>
        <w:tc>
          <w:tcPr>
            <w:tcW w:w="0" w:type="auto"/>
          </w:tcPr>
          <w:p>
            <w:pPr>
              <w:spacing w:line="240" w:lineRule="auto" w:before="0" w:after="0"/>
              <w:pStyle w:val="Compact"/>
            </w:pPr>
            <w:r>
              <w:rPr>
                <w:sz w:val="20"/>
                <w:szCs w:val="20"/>
              </w:rPr>
              <w:t xml:space="preserve">2.4624</w:t>
            </w:r>
          </w:p>
        </w:tc>
        <w:tc>
          <w:tcPr>
            <w:tcW w:w="0" w:type="auto"/>
          </w:tcPr>
          <w:p>
            <w:pPr>
              <w:spacing w:line="240" w:lineRule="auto" w:before="0" w:after="0"/>
              <w:pStyle w:val="Compact"/>
            </w:pPr>
            <w:r>
              <w:rPr>
                <w:sz w:val="20"/>
                <w:szCs w:val="20"/>
              </w:rPr>
              <w:t xml:space="preserve">Bae et al. (2020), Sensors PMC7180740, Table: 1-day angle-only arc, two sites, best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180.22</w:t>
            </w:r>
          </w:p>
        </w:tc>
        <w:tc>
          <w:tcPr>
            <w:tcW w:w="0" w:type="auto"/>
          </w:tcPr>
          <w:p>
            <w:pPr>
              <w:spacing w:line="240" w:lineRule="auto" w:before="0" w:after="0"/>
              <w:pStyle w:val="Compact"/>
            </w:pPr>
            <w:r>
              <w:rPr>
                <w:sz w:val="20"/>
                <w:szCs w:val="20"/>
              </w:rPr>
              <w:t xml:space="preserve">2.2558</w:t>
            </w:r>
          </w:p>
        </w:tc>
        <w:tc>
          <w:tcPr>
            <w:tcW w:w="0" w:type="auto"/>
          </w:tcPr>
          <w:p>
            <w:pPr>
              <w:spacing w:line="240" w:lineRule="auto" w:before="0" w:after="0"/>
              <w:pStyle w:val="Compact"/>
            </w:pPr>
            <w:r>
              <w:rPr>
                <w:sz w:val="20"/>
                <w:szCs w:val="20"/>
              </w:rPr>
              <w:t xml:space="preserve">Bae et al. (2020), Sensors PMC7180740, Case 2: 2-day arc angle+1-day SLR,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Bae et al. (2020), Sensors PMC7180740, Case 2: 2-day arc angle+1-day SLR,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1.2529</w:t>
            </w:r>
          </w:p>
        </w:tc>
        <w:tc>
          <w:tcPr>
            <w:tcW w:w="0" w:type="auto"/>
          </w:tcPr>
          <w:p>
            <w:pPr>
              <w:spacing w:line="240" w:lineRule="auto" w:before="0" w:after="0"/>
              <w:pStyle w:val="Compact"/>
            </w:pPr>
            <w:r>
              <w:rPr>
                <w:sz w:val="20"/>
                <w:szCs w:val="20"/>
              </w:rPr>
              <w:t xml:space="preserve">Bae et al. (2020), Sensors PMC7180740, Case 2: 2-day arc angle+1-day SLR, two sites, best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115.62</w:t>
            </w:r>
          </w:p>
        </w:tc>
        <w:tc>
          <w:tcPr>
            <w:tcW w:w="0" w:type="auto"/>
          </w:tcPr>
          <w:p>
            <w:pPr>
              <w:spacing w:line="240" w:lineRule="auto" w:before="0" w:after="0"/>
              <w:pStyle w:val="Compact"/>
            </w:pPr>
            <w:r>
              <w:rPr>
                <w:sz w:val="20"/>
                <w:szCs w:val="20"/>
              </w:rPr>
              <w:t xml:space="preserve">2.063</w:t>
            </w:r>
          </w:p>
        </w:tc>
        <w:tc>
          <w:tcPr>
            <w:tcW w:w="0" w:type="auto"/>
          </w:tcPr>
          <w:p>
            <w:pPr>
              <w:spacing w:line="240" w:lineRule="auto" w:before="0" w:after="0"/>
              <w:pStyle w:val="Compact"/>
            </w:pPr>
            <w:r>
              <w:rPr>
                <w:sz w:val="20"/>
                <w:szCs w:val="20"/>
              </w:rPr>
              <w:t xml:space="preserve">Bae et al. (2020), Sensors PMC7180740, Case 3: 2-day arc angle+2-day SLR, two sites, worst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1.3979</w:t>
            </w:r>
          </w:p>
        </w:tc>
        <w:tc>
          <w:tcPr>
            <w:tcW w:w="0" w:type="auto"/>
          </w:tcPr>
          <w:p>
            <w:pPr>
              <w:spacing w:line="240" w:lineRule="auto" w:before="0" w:after="0"/>
              <w:pStyle w:val="Compact"/>
            </w:pPr>
            <w:r>
              <w:rPr>
                <w:sz w:val="20"/>
                <w:szCs w:val="20"/>
              </w:rPr>
              <w:t xml:space="preserve">Bae et al. (2020), Sensors PMC7180740, Case 3: 2-day arc angle+2-day SLR, two sites, median 3D RMS</w:t>
            </w:r>
          </w:p>
        </w:tc>
      </w:tr>
      <w:tr>
        <w:tc>
          <w:tcPr>
            <w:tcW w:w="0" w:type="auto"/>
          </w:tcPr>
          <w:p>
            <w:pPr>
              <w:spacing w:line="240" w:lineRule="auto" w:before="0" w:after="0"/>
              <w:pStyle w:val="Compact"/>
            </w:pPr>
            <w:r>
              <w:rPr>
                <w:sz w:val="20"/>
                <w:szCs w:val="20"/>
              </w:rPr>
              <w:t xml:space="preserve">2880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Bae et al. (2020), Sensors PMC7180740, Case 3: 2-day arc angle+2-day SLR, two sites, best 3D RMS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128000</w:t>
            </w:r>
          </w:p>
        </w:tc>
        <w:tc>
          <w:tcPr>
            <w:tcW w:w="0" w:type="auto"/>
          </w:tcPr>
          <w:p>
            <w:pPr>
              <w:spacing w:line="240" w:lineRule="auto" w:before="0" w:after="0"/>
              <w:pStyle w:val="Compact"/>
            </w:pPr>
            <w:r>
              <w:rPr>
                <w:sz w:val="20"/>
                <w:szCs w:val="20"/>
              </w:rPr>
              <w:t xml:space="preserve">5.1072</w:t>
            </w:r>
          </w:p>
        </w:tc>
        <w:tc>
          <w:tcPr>
            <w:tcW w:w="0" w:type="auto"/>
          </w:tcPr>
          <w:p>
            <w:pPr>
              <w:spacing w:line="240" w:lineRule="auto" w:before="0" w:after="0"/>
              <w:pStyle w:val="Compact"/>
            </w:pPr>
            <w:r>
              <w:rPr>
                <w:sz w:val="20"/>
                <w:szCs w:val="20"/>
              </w:rPr>
              <w:t xml:space="preserve">Short-arc angles-only GEO IOD, ~3-min arcs: 2 arcs -&gt; ~128 km 3D error (multi-point IOD study, MDPI Aerospace 8(10):298, 2021)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6000</w:t>
            </w:r>
          </w:p>
        </w:tc>
        <w:tc>
          <w:tcPr>
            <w:tcW w:w="0" w:type="auto"/>
          </w:tcPr>
          <w:p>
            <w:pPr>
              <w:spacing w:line="240" w:lineRule="auto" w:before="0" w:after="0"/>
              <w:pStyle w:val="Compact"/>
            </w:pPr>
            <w:r>
              <w:rPr>
                <w:sz w:val="20"/>
                <w:szCs w:val="20"/>
              </w:rPr>
              <w:t xml:space="preserve">3.7782</w:t>
            </w:r>
          </w:p>
        </w:tc>
        <w:tc>
          <w:tcPr>
            <w:tcW w:w="0" w:type="auto"/>
          </w:tcPr>
          <w:p>
            <w:pPr>
              <w:spacing w:line="240" w:lineRule="auto" w:before="0" w:after="0"/>
              <w:pStyle w:val="Compact"/>
            </w:pPr>
            <w:r>
              <w:rPr>
                <w:sz w:val="20"/>
                <w:szCs w:val="20"/>
              </w:rPr>
              <w:t xml:space="preserve">Short-arc angles-only GEO IOD: 8 arcs -&gt; several km 3D error (MDPI Aerospace 8(10):298, 2021)</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4.1761</w:t>
            </w:r>
          </w:p>
        </w:tc>
        <w:tc>
          <w:tcPr>
            <w:tcW w:w="0" w:type="auto"/>
          </w:tcPr>
          <w:p>
            <w:pPr>
              <w:spacing w:line="240" w:lineRule="auto" w:before="0" w:after="0"/>
              <w:pStyle w:val="Compact"/>
            </w:pPr>
            <w:r>
              <w:rPr>
                <w:sz w:val="20"/>
                <w:szCs w:val="20"/>
              </w:rPr>
              <w:t xml:space="preserve">Short-arc angles-only GEO IOD: 10 arcs ~3 min each -&gt; ~15 km 3D error (MDPI Aerospace 8(10):298, 2021)</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40000</w:t>
            </w:r>
          </w:p>
        </w:tc>
        <w:tc>
          <w:tcPr>
            <w:tcW w:w="0" w:type="auto"/>
          </w:tcPr>
          <w:p>
            <w:pPr>
              <w:spacing w:line="240" w:lineRule="auto" w:before="0" w:after="0"/>
              <w:pStyle w:val="Compact"/>
            </w:pPr>
            <w:r>
              <w:rPr>
                <w:sz w:val="20"/>
                <w:szCs w:val="20"/>
              </w:rPr>
              <w:t xml:space="preserve">4.6021</w:t>
            </w:r>
          </w:p>
        </w:tc>
        <w:tc>
          <w:tcPr>
            <w:tcW w:w="0" w:type="auto"/>
          </w:tcPr>
          <w:p>
            <w:pPr>
              <w:spacing w:line="240" w:lineRule="auto" w:before="0" w:after="0"/>
              <w:pStyle w:val="Compact"/>
            </w:pPr>
            <w:r>
              <w:rPr>
                <w:sz w:val="20"/>
                <w:szCs w:val="20"/>
              </w:rPr>
              <w:t xml:space="preserve">Park &amp; Roh (2015), Coarse IOD for GEO using single-epoch GPS, PMC4431311: max position error &lt; ~40 km from 2-3 GPS SVs</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3.6021</w:t>
            </w:r>
          </w:p>
        </w:tc>
        <w:tc>
          <w:tcPr>
            <w:tcW w:w="0" w:type="auto"/>
          </w:tcPr>
          <w:p>
            <w:pPr>
              <w:spacing w:line="240" w:lineRule="auto" w:before="0" w:after="0"/>
              <w:pStyle w:val="Compact"/>
            </w:pPr>
            <w:r>
              <w:rPr>
                <w:sz w:val="20"/>
                <w:szCs w:val="20"/>
              </w:rPr>
              <w:t xml:space="preserve">Park &amp; Roh (2015), Coarse IOD for GEO using single-epoch GPS, PMC4431311:</w:t>
            </w:r>
            <w:r>
              <w:rPr>
                <w:sz w:val="20"/>
                <w:szCs w:val="20"/>
              </w:rPr>
              <w:t xml:space="preserve"> </w:t>
            </w:r>
            <w:r>
              <w:rPr>
                <w:sz w:val="20"/>
                <w:szCs w:val="20"/>
              </w:rPr>
              <w:t xml:space="preserve">‘several km’</w:t>
            </w:r>
            <w:r>
              <w:rPr>
                <w:sz w:val="20"/>
                <w:szCs w:val="20"/>
              </w:rPr>
              <w:t xml:space="preserve"> </w:t>
            </w:r>
            <w:r>
              <w:rPr>
                <w:sz w:val="20"/>
                <w:szCs w:val="20"/>
              </w:rPr>
              <w:t xml:space="preserve">within geometric range</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Bennett, Sang, Smith, Zhang (2014), AMOS Conf.: LEO short-arc, 2 SLR passes ~24 h apart, ~100 m along-track scale for 1-2 day prediction</w:t>
            </w:r>
          </w:p>
        </w:tc>
      </w:tr>
      <w:tr>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Short-arc LEO angle OD, 30 s arc: ~100 m distance (along-track) accuracy (PMC4970016 real-time OD study, 2016)</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Mazarico et al. (2018), LRO OD status PMC6417890: 2.5-day arcs, S-band + laser ranging, total position knowledge &lt; 10 m</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2.3979</w:t>
            </w:r>
          </w:p>
        </w:tc>
        <w:tc>
          <w:tcPr>
            <w:tcW w:w="0" w:type="auto"/>
          </w:tcPr>
          <w:p>
            <w:pPr>
              <w:spacing w:line="240" w:lineRule="auto" w:before="0" w:after="0"/>
              <w:pStyle w:val="Compact"/>
            </w:pPr>
            <w:r>
              <w:rPr>
                <w:sz w:val="20"/>
                <w:szCs w:val="20"/>
              </w:rPr>
              <w:t xml:space="preserve">NASA NTRS 20140008968, LRO OD Accuracy Analysis: operational definitive accuracy 100-250 m (S-band only, extended mission)</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20140008968, LRO OD Accuracy Analysis: precision comparison 100-250 m level, best case</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NASA WebSearch summary (Mazarico/PMC6417890): LRO early total position better than ~50 m mission requirement (S-band)</w:t>
            </w:r>
          </w:p>
        </w:tc>
      </w:tr>
      <w:tr>
        <w:tc>
          <w:tcPr>
            <w:tcW w:w="0" w:type="auto"/>
          </w:tcPr>
          <w:p>
            <w:pPr>
              <w:spacing w:line="240" w:lineRule="auto" w:before="0" w:after="0"/>
              <w:pStyle w:val="Compact"/>
            </w:pPr>
            <w:r>
              <w:rPr>
                <w:sz w:val="20"/>
                <w:szCs w:val="20"/>
              </w:rPr>
              <w:t xml:space="preserve">3600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NASA WebSearch summary (Mazarico/PMC6417890): LRO improved total position better than ~20 m with refined gravity models</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-1.699</w:t>
            </w:r>
          </w:p>
        </w:tc>
        <w:tc>
          <w:tcPr>
            <w:tcW w:w="0" w:type="auto"/>
          </w:tcPr>
          <w:p>
            <w:pPr>
              <w:spacing w:line="240" w:lineRule="auto" w:before="0" w:after="0"/>
              <w:pStyle w:val="Compact"/>
            </w:pPr>
            <w:r>
              <w:rPr>
                <w:sz w:val="20"/>
                <w:szCs w:val="20"/>
              </w:rPr>
              <w:t xml:space="preserve">GRACE GPS-based POD: ~1-2 cm precision (orbit determination accuracy review, science.gov topicpage; ~0.02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-1.5229</w:t>
            </w:r>
          </w:p>
        </w:tc>
        <w:tc>
          <w:tcPr>
            <w:tcW w:w="0" w:type="auto"/>
          </w:tcPr>
          <w:p>
            <w:pPr>
              <w:spacing w:line="240" w:lineRule="auto" w:before="0" w:after="0"/>
              <w:pStyle w:val="Compact"/>
            </w:pPr>
            <w:r>
              <w:rPr>
                <w:sz w:val="20"/>
                <w:szCs w:val="20"/>
              </w:rPr>
              <w:t xml:space="preserve">TOPEX/Poseidon POD: radial 3-4 cm RMS with laser+Doppler (Tapley et al., precision OD for TOPEX/Poseidon; ~0.03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Jason-1 POD: ~1 cm radial accuracy goal met, GPS+SLR near-continuous (radial orbit accuracy review, science.gov; ~0.01 m)</w:t>
            </w:r>
          </w:p>
        </w:tc>
      </w:tr>
      <w:tr>
        <w:tc>
          <w:tcPr>
            <w:tcW w:w="0" w:type="auto"/>
          </w:tcPr>
          <w:p>
            <w:pPr>
              <w:spacing w:line="240" w:lineRule="auto" w:before="0" w:after="0"/>
              <w:pStyle w:val="Compact"/>
            </w:pPr>
            <w:r>
              <w:rPr>
                <w:sz w:val="20"/>
                <w:szCs w:val="20"/>
              </w:rPr>
              <w:t xml:space="preserve">1440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ICESat precision orbit + attitude determination: radial &lt; 5 cm, GPS+SLR (Schutz et al.; ~0.05 m)</w:t>
            </w:r>
          </w:p>
        </w:tc>
      </w:tr>
      <w:tr>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1.8451</w:t>
            </w:r>
          </w:p>
        </w:tc>
        <w:tc>
          <w:tcPr>
            <w:tcW w:w="0" w:type="auto"/>
          </w:tcPr>
          <w:p>
            <w:pPr>
              <w:spacing w:line="240" w:lineRule="auto" w:before="0" w:after="0"/>
              <w:pStyle w:val="Compact"/>
            </w:pPr>
            <w:r>
              <w:rPr>
                <w:sz w:val="20"/>
                <w:szCs w:val="20"/>
              </w:rPr>
              <w:t xml:space="preserve">Farahmand et al. (2015), ISSFD MMS navigation: onboard definitive relative SMA accuracy requirement ~70 m above 3 RE (GPS Navigator/GEONS)</w:t>
            </w:r>
          </w:p>
        </w:tc>
      </w:tr>
      <w:tr>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1.301</w:t>
            </w:r>
          </w:p>
        </w:tc>
        <w:tc>
          <w:tcPr>
            <w:tcW w:w="0" w:type="auto"/>
          </w:tcPr>
          <w:p>
            <w:pPr>
              <w:spacing w:line="240" w:lineRule="auto" w:before="0" w:after="0"/>
              <w:pStyle w:val="Compact"/>
            </w:pPr>
            <w:r>
              <w:rPr>
                <w:sz w:val="20"/>
                <w:szCs w:val="20"/>
              </w:rPr>
              <w:t xml:space="preserve">NASA NTRS 20150020825, MMS Navigation Operations: GEONS onboard definitive accuracy well within ~70 m, ~20 m typical performance</w:t>
            </w:r>
          </w:p>
        </w:tc>
      </w:tr>
      <w:tr>
        <w:tc>
          <w:tcPr>
            <w:tcW w:w="0" w:type="auto"/>
          </w:tcPr>
          <w:p>
            <w:pPr>
              <w:spacing w:line="240" w:lineRule="auto" w:before="0" w:after="0"/>
              <w:pStyle w:val="Compact"/>
            </w:pPr>
            <w:r>
              <w:rPr>
                <w:sz w:val="20"/>
                <w:szCs w:val="20"/>
              </w:rPr>
              <w:t xml:space="preserve">4320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2.4771</w:t>
            </w:r>
          </w:p>
        </w:tc>
        <w:tc>
          <w:tcPr>
            <w:tcW w:w="0" w:type="auto"/>
          </w:tcPr>
          <w:p>
            <w:pPr>
              <w:spacing w:line="240" w:lineRule="auto" w:before="0" w:after="0"/>
              <w:pStyle w:val="Compact"/>
            </w:pPr>
            <w:r>
              <w:rPr>
                <w:sz w:val="20"/>
                <w:szCs w:val="20"/>
              </w:rPr>
              <w:t xml:space="preserve">Setty, Cefola et al. (2016), AMOS Conf.: batch least-squares semi-analytical OD, multi-day arc, few-hundred-m residual scale LEO</w:t>
            </w:r>
          </w:p>
        </w:tc>
      </w:tr>
    </w:tbl>
    <w:bookmarkEnd w:id="187"/>
    <w:bookmarkStart w:id="18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log10_err_m</w:t>
            </w:r>
          </w:p>
        </w:tc>
        <w:tc>
          <w:tcPr>
            <w:tcW w:w="0" w:type="auto"/>
          </w:tcPr>
          <w:p>
            <w:pPr>
              <w:spacing w:line="240" w:lineRule="auto" w:before="0" w:after="0"/>
              <w:pStyle w:val="Compact"/>
            </w:pPr>
            <w:r>
              <w:rPr>
                <w:sz w:val="20"/>
                <w:szCs w:val="20"/>
              </w:rPr>
              <w:t xml:space="preserve">Base-10 logarithm of realized total 3D position (delivery) error in meters; the variance-stabilizing OLS outcome</w:t>
            </w:r>
          </w:p>
        </w:tc>
        <w:tc>
          <w:tcPr>
            <w:tcW w:w="0" w:type="auto"/>
          </w:tcPr>
          <w:p>
            <w:pPr>
              <w:spacing w:line="240" w:lineRule="auto" w:before="0" w:after="0"/>
              <w:pStyle w:val="Compact"/>
            </w:pPr>
            <w:r>
              <w:rPr>
                <w:sz w:val="20"/>
                <w:szCs w:val="20"/>
              </w:rPr>
              <w:t xml:space="preserve">Computed from pos_err_m reported in each row source</w:t>
            </w:r>
          </w:p>
        </w:tc>
      </w:tr>
      <w:tr>
        <w:tc>
          <w:tcPr>
            <w:tcW w:w="0" w:type="auto"/>
          </w:tcPr>
          <w:p>
            <w:pPr>
              <w:spacing w:line="240" w:lineRule="auto" w:before="0" w:after="0"/>
              <w:pStyle w:val="Compact"/>
            </w:pPr>
            <w:r>
              <w:rPr>
                <w:sz w:val="20"/>
                <w:szCs w:val="20"/>
              </w:rPr>
              <w:t xml:space="preserve">arc_min</w:t>
            </w:r>
          </w:p>
        </w:tc>
        <w:tc>
          <w:tcPr>
            <w:tcW w:w="0" w:type="auto"/>
          </w:tcPr>
          <w:p>
            <w:pPr>
              <w:spacing w:line="240" w:lineRule="auto" w:before="0" w:after="0"/>
              <w:pStyle w:val="Compact"/>
            </w:pPr>
            <w:r>
              <w:rPr>
                <w:sz w:val="20"/>
                <w:szCs w:val="20"/>
              </w:rPr>
              <w:t xml:space="preserve">Observation arc span used in the OD fit, in minutes</w:t>
            </w:r>
          </w:p>
        </w:tc>
        <w:tc>
          <w:tcPr>
            <w:tcW w:w="0" w:type="auto"/>
          </w:tcPr>
          <w:p>
            <w:pPr>
              <w:spacing w:line="240" w:lineRule="auto" w:before="0" w:after="0"/>
              <w:pStyle w:val="Compact"/>
            </w:pPr>
            <w:r>
              <w:rPr>
                <w:sz w:val="20"/>
                <w:szCs w:val="20"/>
              </w:rPr>
              <w:t xml:space="preserve">Tracking data span stated by each source (e.g. 30 s short arc, 2.5-day arc)</w:t>
            </w:r>
          </w:p>
        </w:tc>
      </w:tr>
      <w:tr>
        <w:tc>
          <w:tcPr>
            <w:tcW w:w="0" w:type="auto"/>
          </w:tcPr>
          <w:p>
            <w:pPr>
              <w:spacing w:line="240" w:lineRule="auto" w:before="0" w:after="0"/>
              <w:pStyle w:val="Compact"/>
            </w:pPr>
            <w:r>
              <w:rPr>
                <w:sz w:val="20"/>
                <w:szCs w:val="20"/>
              </w:rPr>
              <w:t xml:space="preserve">n_passes</w:t>
            </w:r>
          </w:p>
        </w:tc>
        <w:tc>
          <w:tcPr>
            <w:tcW w:w="0" w:type="auto"/>
          </w:tcPr>
          <w:p>
            <w:pPr>
              <w:spacing w:line="240" w:lineRule="auto" w:before="0" w:after="0"/>
              <w:pStyle w:val="Compact"/>
            </w:pPr>
            <w:r>
              <w:rPr>
                <w:sz w:val="20"/>
                <w:szCs w:val="20"/>
              </w:rPr>
              <w:t xml:space="preserve">Number of distinct tracking passes or arcs folded into the solution</w:t>
            </w:r>
          </w:p>
        </w:tc>
        <w:tc>
          <w:tcPr>
            <w:tcW w:w="0" w:type="auto"/>
          </w:tcPr>
          <w:p>
            <w:pPr>
              <w:spacing w:line="240" w:lineRule="auto" w:before="0" w:after="0"/>
              <w:pStyle w:val="Compact"/>
            </w:pPr>
            <w:r>
              <w:rPr>
                <w:sz w:val="20"/>
                <w:szCs w:val="20"/>
              </w:rPr>
              <w:t xml:space="preserve">Pass/arc count stated by each source</w:t>
            </w:r>
          </w:p>
        </w:tc>
      </w:tr>
      <w:tr>
        <w:tc>
          <w:tcPr>
            <w:tcW w:w="0" w:type="auto"/>
          </w:tcPr>
          <w:p>
            <w:pPr>
              <w:spacing w:line="240" w:lineRule="auto" w:before="0" w:after="0"/>
              <w:pStyle w:val="Compact"/>
            </w:pPr>
            <w:r>
              <w:rPr>
                <w:sz w:val="20"/>
                <w:szCs w:val="20"/>
              </w:rPr>
              <w:t xml:space="preserve">laser_aided</w:t>
            </w:r>
          </w:p>
        </w:tc>
        <w:tc>
          <w:tcPr>
            <w:tcW w:w="0" w:type="auto"/>
          </w:tcPr>
          <w:p>
            <w:pPr>
              <w:spacing w:line="240" w:lineRule="auto" w:before="0" w:after="0"/>
              <w:pStyle w:val="Compact"/>
            </w:pPr>
            <w:r>
              <w:rPr>
                <w:sz w:val="20"/>
                <w:szCs w:val="20"/>
              </w:rPr>
              <w:t xml:space="preserve">1 if satellite or debris laser ranging contributed to the solution, else 0</w:t>
            </w:r>
          </w:p>
        </w:tc>
        <w:tc>
          <w:tcPr>
            <w:tcW w:w="0" w:type="auto"/>
          </w:tcPr>
          <w:p>
            <w:pPr>
              <w:spacing w:line="240" w:lineRule="auto" w:before="0" w:after="0"/>
              <w:pStyle w:val="Compact"/>
            </w:pPr>
            <w:r>
              <w:rPr>
                <w:sz w:val="20"/>
                <w:szCs w:val="20"/>
              </w:rPr>
              <w:t xml:space="preserve">Modality stated by each source (SLR/DLR present or absent)</w:t>
            </w:r>
          </w:p>
        </w:tc>
      </w:tr>
      <w:tr>
        <w:tc>
          <w:tcPr>
            <w:tcW w:w="0" w:type="auto"/>
          </w:tcPr>
          <w:p>
            <w:pPr>
              <w:spacing w:line="240" w:lineRule="auto" w:before="0" w:after="0"/>
              <w:pStyle w:val="Compact"/>
            </w:pPr>
            <w:r>
              <w:rPr>
                <w:sz w:val="20"/>
                <w:szCs w:val="20"/>
              </w:rPr>
              <w:t xml:space="preserve">gnss</w:t>
            </w:r>
          </w:p>
        </w:tc>
        <w:tc>
          <w:tcPr>
            <w:tcW w:w="0" w:type="auto"/>
          </w:tcPr>
          <w:p>
            <w:pPr>
              <w:spacing w:line="240" w:lineRule="auto" w:before="0" w:after="0"/>
              <w:pStyle w:val="Compact"/>
            </w:pPr>
            <w:r>
              <w:rPr>
                <w:sz w:val="20"/>
                <w:szCs w:val="20"/>
              </w:rPr>
              <w:t xml:space="preserve">1 if onboard GPS/GNSS supplied the primary measurements, else 0</w:t>
            </w:r>
          </w:p>
        </w:tc>
        <w:tc>
          <w:tcPr>
            <w:tcW w:w="0" w:type="auto"/>
          </w:tcPr>
          <w:p>
            <w:pPr>
              <w:spacing w:line="240" w:lineRule="auto" w:before="0" w:after="0"/>
              <w:pStyle w:val="Compact"/>
            </w:pPr>
            <w:r>
              <w:rPr>
                <w:sz w:val="20"/>
                <w:szCs w:val="20"/>
              </w:rPr>
              <w:t xml:space="preserve">Modality stated by each source (GPS Navigator/GEONS, BlackJack receiver, etc.)</w:t>
            </w:r>
          </w:p>
        </w:tc>
      </w:tr>
      <w:tr>
        <w:tc>
          <w:tcPr>
            <w:tcW w:w="0" w:type="auto"/>
          </w:tcPr>
          <w:p>
            <w:pPr>
              <w:spacing w:line="240" w:lineRule="auto" w:before="0" w:after="0"/>
              <w:pStyle w:val="Compact"/>
            </w:pPr>
            <w:r>
              <w:rPr>
                <w:sz w:val="20"/>
                <w:szCs w:val="20"/>
              </w:rPr>
              <w:t xml:space="preserve">optical_only</w:t>
            </w:r>
          </w:p>
        </w:tc>
        <w:tc>
          <w:tcPr>
            <w:tcW w:w="0" w:type="auto"/>
          </w:tcPr>
          <w:p>
            <w:pPr>
              <w:spacing w:line="240" w:lineRule="auto" w:before="0" w:after="0"/>
              <w:pStyle w:val="Compact"/>
            </w:pPr>
            <w:r>
              <w:rPr>
                <w:sz w:val="20"/>
                <w:szCs w:val="20"/>
              </w:rPr>
              <w:t xml:space="preserve">1 if the solution used angles-only optical data with no ranging, else 0</w:t>
            </w:r>
          </w:p>
        </w:tc>
        <w:tc>
          <w:tcPr>
            <w:tcW w:w="0" w:type="auto"/>
          </w:tcPr>
          <w:p>
            <w:pPr>
              <w:spacing w:line="240" w:lineRule="auto" w:before="0" w:after="0"/>
              <w:pStyle w:val="Compact"/>
            </w:pPr>
            <w:r>
              <w:rPr>
                <w:sz w:val="20"/>
                <w:szCs w:val="20"/>
              </w:rPr>
              <w:t xml:space="preserve">Modality stated by each source (angles-only IOD)</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1 if the orbit regime is lunar or cislunar, 0 for Earth orbit</w:t>
            </w:r>
          </w:p>
        </w:tc>
        <w:tc>
          <w:tcPr>
            <w:tcW w:w="0" w:type="auto"/>
          </w:tcPr>
          <w:p>
            <w:pPr>
              <w:spacing w:line="240" w:lineRule="auto" w:before="0" w:after="0"/>
              <w:pStyle w:val="Compact"/>
            </w:pPr>
            <w:r>
              <w:rPr>
                <w:sz w:val="20"/>
                <w:szCs w:val="20"/>
              </w:rPr>
              <w:t xml:space="preserve">Mission/regime stated by each source (LRO lunar; all others Earth orbit)</w:t>
            </w:r>
          </w:p>
        </w:tc>
      </w:tr>
      <w:tr>
        <w:tc>
          <w:tcPr>
            <w:tcW w:w="0" w:type="auto"/>
          </w:tcPr>
          <w:p>
            <w:pPr>
              <w:spacing w:line="240" w:lineRule="auto" w:before="0" w:after="0"/>
              <w:pStyle w:val="Compact"/>
            </w:pPr>
            <w:r>
              <w:rPr>
                <w:sz w:val="20"/>
                <w:szCs w:val="20"/>
              </w:rPr>
              <w:t xml:space="preserve">pos_err_m</w:t>
            </w:r>
          </w:p>
        </w:tc>
        <w:tc>
          <w:tcPr>
            <w:tcW w:w="0" w:type="auto"/>
          </w:tcPr>
          <w:p>
            <w:pPr>
              <w:spacing w:line="240" w:lineRule="auto" w:before="0" w:after="0"/>
              <w:pStyle w:val="Compact"/>
            </w:pPr>
            <w:r>
              <w:rPr>
                <w:sz w:val="20"/>
                <w:szCs w:val="20"/>
              </w:rPr>
              <w:t xml:space="preserve">Realized total 3D position delivery error in meters (audit column; not a regressor)</w:t>
            </w:r>
          </w:p>
        </w:tc>
        <w:tc>
          <w:tcPr>
            <w:tcW w:w="0" w:type="auto"/>
          </w:tcPr>
          <w:p>
            <w:pPr>
              <w:spacing w:line="240" w:lineRule="auto" w:before="0" w:after="0"/>
              <w:pStyle w:val="Compact"/>
            </w:pPr>
            <w:r>
              <w:rPr>
                <w:sz w:val="20"/>
                <w:szCs w:val="20"/>
              </w:rPr>
              <w:t xml:space="preserve">Reported OD accuracy figure in each row source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Full citation for the row’s reported OD scenario</w:t>
            </w:r>
          </w:p>
        </w:tc>
        <w:tc>
          <w:tcPr>
            <w:tcW w:w="0" w:type="auto"/>
          </w:tcPr>
          <w:p>
            <w:pPr>
              <w:spacing w:line="240" w:lineRule="auto" w:before="0" w:after="0"/>
              <w:pStyle w:val="Compact"/>
            </w:pPr>
            <w:r>
              <w:rPr>
                <w:sz w:val="20"/>
                <w:szCs w:val="20"/>
              </w:rPr>
              <w:t xml:space="preserve">Named public source per row</w:t>
            </w:r>
          </w:p>
        </w:tc>
      </w:tr>
    </w:tbl>
    <w:bookmarkEnd w:id="188"/>
    <w:bookmarkEnd w:id="189"/>
    <w:bookmarkStart w:id="197" w:name="X54ec3496c13584d90ad6628e10db0ceee65a543"/>
    <w:p>
      <w:pPr>
        <w:pStyle w:val="Heading2"/>
        <w:spacing w:line="480" w:lineRule="auto"/>
      </w:pPr>
      <w:r>
        <w:t xml:space="preserve">A.2 A Navigation Learning Curve: Cumulative Encounter Experience and the Power-Law Decline of Deep-Space Delivery Error</w:t>
      </w:r>
    </w:p>
    <w:p>
      <w:pPr>
        <w:pStyle w:val="FirstParagraph"/>
        <w:spacing w:line="480" w:lineRule="auto"/>
      </w:pPr>
      <m:oMathPara>
        <m:oMathParaPr>
          <m:jc m:val="center"/>
        </m:oMathParaPr>
        <m:oMath>
          <m:r>
            <m:rPr>
              <m:sty m:val="p"/>
            </m:rPr>
            <m:t>ln</m:t>
          </m:r>
          <m:r>
            <m:rPr>
              <m:sty m:val="p"/>
            </m:rPr>
            <m:t>(</m:t>
          </m:r>
          <m:sSub>
            <m:e>
              <m:r>
                <m:rPr>
                  <m:nor/>
                  <m:sty m:val="p"/>
                </m:rPr>
                <m:t>delivery_error_km</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cum_encounter</m:t>
              </m:r>
            </m:e>
            <m:sub>
              <m:r>
                <m:t>i</m:t>
              </m:r>
            </m:sub>
          </m:sSub>
          <m:r>
            <m:rPr>
              <m:sty m:val="p"/>
            </m:rPr>
            <m:t>)</m:t>
          </m:r>
          <m:r>
            <m:rPr>
              <m:sty m:val="p"/>
            </m:rPr>
            <m:t>+</m:t>
          </m:r>
          <m:sSub>
            <m:e>
              <m:r>
                <m:t>ε</m:t>
              </m:r>
            </m:e>
            <m:sub>
              <m:r>
                <m:t>i</m:t>
              </m:r>
            </m:sub>
          </m:sSub>
        </m:oMath>
      </m:oMathPara>
    </w:p>
    <w:bookmarkStart w:id="19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11.2302</w:t>
            </w:r>
          </w:p>
        </w:tc>
        <w:tc>
          <w:tcPr>
            <w:tcW w:w="0" w:type="auto"/>
          </w:tcPr>
          <w:p>
            <w:pPr>
              <w:spacing w:line="240" w:lineRule="auto" w:before="0" w:after="0"/>
              <w:pStyle w:val="Compact"/>
            </w:pPr>
            <w:r>
              <w:rPr>
                <w:sz w:val="20"/>
                <w:szCs w:val="20"/>
              </w:rPr>
              <w:t xml:space="preserve">2.1528</w:t>
            </w:r>
          </w:p>
        </w:tc>
        <w:tc>
          <w:tcPr>
            <w:tcW w:w="0" w:type="auto"/>
          </w:tcPr>
          <w:p>
            <w:pPr>
              <w:spacing w:line="240" w:lineRule="auto" w:before="0" w:after="0"/>
              <w:pStyle w:val="Compact"/>
            </w:pPr>
            <w:r>
              <w:rPr>
                <w:sz w:val="20"/>
                <w:szCs w:val="20"/>
              </w:rPr>
              <w:t xml:space="preserve">5.2165</w:t>
            </w:r>
          </w:p>
        </w:tc>
        <w:tc>
          <w:tcPr>
            <w:tcW w:w="0" w:type="auto"/>
          </w:tcPr>
          <w:p>
            <w:pPr>
              <w:spacing w:line="240" w:lineRule="auto" w:before="0" w:after="0"/>
              <w:pStyle w:val="Compact"/>
            </w:pPr>
            <w:r>
              <w:rPr>
                <w:sz w:val="20"/>
                <w:szCs w:val="20"/>
              </w:rPr>
              <w:t xml:space="preserve">1.823e-07</w:t>
            </w:r>
          </w:p>
        </w:tc>
        <w:tc>
          <w:tcPr>
            <w:tcW w:w="0" w:type="auto"/>
          </w:tcPr>
          <w:p>
            <w:pPr>
              <w:spacing w:line="240" w:lineRule="auto" w:before="0" w:after="0"/>
              <w:pStyle w:val="Compact"/>
            </w:pPr>
            <w:r>
              <w:rPr>
                <w:sz w:val="20"/>
                <w:szCs w:val="20"/>
              </w:rPr>
              <w:t xml:space="preserve">[7.0107, 15.4496]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-3.0356</w:t>
            </w:r>
          </w:p>
        </w:tc>
        <w:tc>
          <w:tcPr>
            <w:tcW w:w="0" w:type="auto"/>
          </w:tcPr>
          <w:p>
            <w:pPr>
              <w:spacing w:line="240" w:lineRule="auto" w:before="0" w:after="0"/>
              <w:pStyle w:val="Compact"/>
            </w:pPr>
            <w:r>
              <w:rPr>
                <w:sz w:val="20"/>
                <w:szCs w:val="20"/>
              </w:rPr>
              <w:t xml:space="preserve">0.8471</w:t>
            </w:r>
          </w:p>
        </w:tc>
        <w:tc>
          <w:tcPr>
            <w:tcW w:w="0" w:type="auto"/>
          </w:tcPr>
          <w:p>
            <w:pPr>
              <w:spacing w:line="240" w:lineRule="auto" w:before="0" w:after="0"/>
              <w:pStyle w:val="Compact"/>
            </w:pPr>
            <w:r>
              <w:rPr>
                <w:sz w:val="20"/>
                <w:szCs w:val="20"/>
              </w:rPr>
              <w:t xml:space="preserve">-3.5834</w:t>
            </w:r>
          </w:p>
        </w:tc>
        <w:tc>
          <w:tcPr>
            <w:tcW w:w="0" w:type="auto"/>
          </w:tcPr>
          <w:p>
            <w:pPr>
              <w:spacing w:line="240" w:lineRule="auto" w:before="0" w:after="0"/>
              <w:pStyle w:val="Compact"/>
            </w:pPr>
            <w:r>
              <w:rPr>
                <w:sz w:val="20"/>
                <w:szCs w:val="20"/>
              </w:rPr>
              <w:t xml:space="preserve">0.0003392</w:t>
            </w:r>
          </w:p>
        </w:tc>
        <w:tc>
          <w:tcPr>
            <w:tcW w:w="0" w:type="auto"/>
          </w:tcPr>
          <w:p>
            <w:pPr>
              <w:spacing w:line="240" w:lineRule="auto" w:before="0" w:after="0"/>
              <w:pStyle w:val="Compact"/>
            </w:pPr>
            <w:r>
              <w:rPr>
                <w:sz w:val="20"/>
                <w:szCs w:val="20"/>
              </w:rPr>
              <w:t xml:space="preserve">[-4.696, -1.3752]</w:t>
            </w:r>
          </w:p>
        </w:tc>
      </w:tr>
    </w:tbl>
    <w:p>
      <w:pPr>
        <w:pStyle w:val="BodyText"/>
        <w:spacing w:line="480" w:lineRule="auto"/>
        <w:ind w:firstLine="720"/>
      </w:pPr>
      <w:r>
        <w:t xml:space="preserve">Fit: N = 20 R2 = 0.3516 elasticity_b = -3.0356 progress_ratio_2^b = 0.122</w:t>
      </w:r>
    </w:p>
    <w:bookmarkEnd w:id="190"/>
    <w:bookmarkStart w:id="19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Delivery error against cumulative encounter experience on log-log axes, with the fitted power-law learning curve." title="" id="192" name="Picture"/>
            <a:graphic>
              <a:graphicData uri="http://schemas.openxmlformats.org/drawingml/2006/picture">
                <pic:pic>
                  <pic:nvPicPr>
                    <pic:cNvPr descr="D:/Claude_Code/brain/collegium/candidates/dissertations/JPL_INSTRUMENTS_NAV_06/research_papers/p2/paper_fig1.png" id="193" name="Picture"/>
                    <pic:cNvPicPr>
                      <a:picLocks noChangeArrowheads="1" noChangeAspect="1"/>
                    </pic:cNvPicPr>
                  </pic:nvPicPr>
                  <pic:blipFill>
                    <a:blip r:embed="rId19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Delivery error against cumulative encounter experience on log-log axes, with the fitted power-law learning curve.</w:t>
      </w:r>
    </w:p>
    <w:bookmarkEnd w:id="194"/>
    <w:bookmarkStart w:id="19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cum_encounter</w:t>
            </w:r>
          </w:p>
        </w:tc>
        <w:tc>
          <w:tcPr>
            <w:tcW w:w="0" w:type="auto"/>
          </w:tcPr>
          <w:p>
            <w:pPr>
              <w:spacing w:line="240" w:lineRule="auto" w:before="0" w:after="0"/>
              <w:pStyle w:val="Compact"/>
            </w:pPr>
            <w:r>
              <w:rPr>
                <w:sz w:val="20"/>
                <w:szCs w:val="20"/>
              </w:rPr>
              <w:t xml:space="preserve">delivery_error_km</w:t>
            </w:r>
          </w:p>
        </w:tc>
        <w:tc>
          <w:tcPr>
            <w:tcW w:w="0" w:type="auto"/>
          </w:tcPr>
          <w:p>
            <w:pPr>
              <w:spacing w:line="240" w:lineRule="auto" w:before="0" w:after="0"/>
              <w:pStyle w:val="Compact"/>
            </w:pPr>
            <w:r>
              <w:rPr>
                <w:sz w:val="20"/>
                <w:szCs w:val="20"/>
              </w:rPr>
              <w:t xml:space="preserve">domain</w:t>
            </w:r>
          </w:p>
        </w:tc>
        <w:tc>
          <w:tcPr>
            <w:tcW w:w="0" w:type="auto"/>
          </w:tcPr>
          <w:p>
            <w:pPr>
              <w:spacing w:line="240" w:lineRule="auto" w:before="0" w:after="0"/>
              <w:pStyle w:val="Compact"/>
            </w:pPr>
            <w:r>
              <w:rPr>
                <w:sz w:val="20"/>
                <w:szCs w:val="20"/>
              </w:rPr>
              <w:t xml:space="preserve">terrain_relative_nav</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Mariner 9</w:t>
            </w:r>
          </w:p>
        </w:tc>
        <w:tc>
          <w:tcPr>
            <w:tcW w:w="0" w:type="auto"/>
          </w:tcPr>
          <w:p>
            <w:pPr>
              <w:spacing w:line="240" w:lineRule="auto" w:before="0" w:after="0"/>
              <w:pStyle w:val="Compact"/>
            </w:pPr>
            <w:r>
              <w:rPr>
                <w:sz w:val="20"/>
                <w:szCs w:val="20"/>
              </w:rPr>
              <w:t xml:space="preserve">1971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deep_space_orbit_insertion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Mariner 9 Mission Status (22 Jul 1971): the aiming zone at the end of the 462 million km flight was about 700 km on a side; a second TCM was not required owing to first-maneuver accuracy. https://www.jpl.nasa.gov/news/mariner-9-mission-status-july-22-1971/</w:t>
            </w:r>
          </w:p>
        </w:tc>
      </w:tr>
      <w:tr>
        <w:tc>
          <w:tcPr>
            <w:tcW w:w="0" w:type="auto"/>
          </w:tcPr>
          <w:p>
            <w:pPr>
              <w:spacing w:line="240" w:lineRule="auto" w:before="0" w:after="0"/>
              <w:pStyle w:val="Compact"/>
            </w:pPr>
            <w:r>
              <w:rPr>
                <w:sz w:val="20"/>
                <w:szCs w:val="20"/>
              </w:rPr>
              <w:t xml:space="preserve">Viking 1 EDL</w:t>
            </w:r>
          </w:p>
        </w:tc>
        <w:tc>
          <w:tcPr>
            <w:tcW w:w="0" w:type="auto"/>
          </w:tcPr>
          <w:p>
            <w:pPr>
              <w:spacing w:line="240" w:lineRule="auto" w:before="0" w:after="0"/>
              <w:pStyle w:val="Compact"/>
            </w:pPr>
            <w:r>
              <w:rPr>
                <w:sz w:val="20"/>
                <w:szCs w:val="20"/>
              </w:rPr>
              <w:t xml:space="preserve">1976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Landing ellipses: Viking-era Mars EDL targeting ellipses were of order 100-300 km major axis (1976). https://www.planetary.org/articles/1425 [illustrative]</w:t>
            </w:r>
          </w:p>
        </w:tc>
      </w:tr>
      <w:tr>
        <w:tc>
          <w:tcPr>
            <w:tcW w:w="0" w:type="auto"/>
          </w:tcPr>
          <w:p>
            <w:pPr>
              <w:spacing w:line="240" w:lineRule="auto" w:before="0" w:after="0"/>
              <w:pStyle w:val="Compact"/>
            </w:pPr>
            <w:r>
              <w:rPr>
                <w:sz w:val="20"/>
                <w:szCs w:val="20"/>
              </w:rPr>
              <w:t xml:space="preserve">Voyager 2 Uranus</w:t>
            </w:r>
          </w:p>
        </w:tc>
        <w:tc>
          <w:tcPr>
            <w:tcW w:w="0" w:type="auto"/>
          </w:tcPr>
          <w:p>
            <w:pPr>
              <w:spacing w:line="240" w:lineRule="auto" w:before="0" w:after="0"/>
              <w:pStyle w:val="Compact"/>
            </w:pPr>
            <w:r>
              <w:rPr>
                <w:sz w:val="20"/>
                <w:szCs w:val="20"/>
              </w:rPr>
              <w:t xml:space="preserve">1986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Owen W.M. Jr. (2024) Spacecraft Optical Navigation, DESCANSO Monograph Series 15, JPL: at Uranus, radio-only B-plane uncertainty would have been 2000-5000 km; adding optical data brought the delivery error under 100 km. https://descanso.jpl.nasa.gov/monograph/series15/Spacecraft-Optical-Navigation.pdf</w:t>
            </w:r>
          </w:p>
        </w:tc>
      </w:tr>
      <w:tr>
        <w:tc>
          <w:tcPr>
            <w:tcW w:w="0" w:type="auto"/>
          </w:tcPr>
          <w:p>
            <w:pPr>
              <w:spacing w:line="240" w:lineRule="auto" w:before="0" w:after="0"/>
              <w:pStyle w:val="Compact"/>
            </w:pPr>
            <w:r>
              <w:rPr>
                <w:sz w:val="20"/>
                <w:szCs w:val="20"/>
              </w:rPr>
              <w:t xml:space="preserve">Voyager 2 Neptune</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Voyager, Did You Know: delivery accuracy at Neptune was 100 km after a cruise of roughly 7.13 billion km. https://voyager.jpl.nasa.gov/mission/did-you-know/</w:t>
            </w:r>
          </w:p>
        </w:tc>
      </w:tr>
      <w:tr>
        <w:tc>
          <w:tcPr>
            <w:tcW w:w="0" w:type="auto"/>
          </w:tcPr>
          <w:p>
            <w:pPr>
              <w:spacing w:line="240" w:lineRule="auto" w:before="0" w:after="0"/>
              <w:pStyle w:val="Compact"/>
            </w:pPr>
            <w:r>
              <w:rPr>
                <w:sz w:val="20"/>
                <w:szCs w:val="20"/>
              </w:rPr>
              <w:t xml:space="preserve">Mars Pathfinder EDL</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Mars Pathfinder landing ellipse major axis approximately 150 km (1997). https://www.jpl.nasa.gov/images/pia01123-mars-pathfinder-landing-ellipses/</w:t>
            </w:r>
          </w:p>
        </w:tc>
      </w:tr>
      <w:tr>
        <w:tc>
          <w:tcPr>
            <w:tcW w:w="0" w:type="auto"/>
          </w:tcPr>
          <w:p>
            <w:pPr>
              <w:spacing w:line="240" w:lineRule="auto" w:before="0" w:after="0"/>
              <w:pStyle w:val="Compact"/>
            </w:pPr>
            <w:r>
              <w:rPr>
                <w:sz w:val="20"/>
                <w:szCs w:val="20"/>
              </w:rPr>
              <w:t xml:space="preserve">Deep Space 1 Borrelly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Navigation of the Deep Space 1 Spacecraft at Borrelly: combining radio, optical, and interferometric data yielded a final flyby delivery accuracy of less than 10 km (22 Sep 2001). https://www.jpl.nasa.gov/missions/deep-space-1-ds1/</w:t>
            </w:r>
          </w:p>
        </w:tc>
      </w:tr>
      <w:tr>
        <w:tc>
          <w:tcPr>
            <w:tcW w:w="0" w:type="auto"/>
          </w:tcPr>
          <w:p>
            <w:pPr>
              <w:spacing w:line="240" w:lineRule="auto" w:before="0" w:after="0"/>
              <w:pStyle w:val="Compact"/>
            </w:pPr>
            <w:r>
              <w:rPr>
                <w:sz w:val="20"/>
                <w:szCs w:val="20"/>
              </w:rPr>
              <w:t xml:space="preserve">Stardust Wild 2</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Optical Navigation for the STARDUST Wild 2 Encounter, ISSFD 2004: the spacecraft had to be guided to a flyby about 250 km from the nucleus center with accuracy better than 50 km, and flew by at 237 km on 2 Jan 2004. https://issfd.org/ISSFD_2004/papers/P1100.pdf</w:t>
            </w:r>
          </w:p>
        </w:tc>
      </w:tr>
      <w:tr>
        <w:tc>
          <w:tcPr>
            <w:tcW w:w="0" w:type="auto"/>
          </w:tcPr>
          <w:p>
            <w:pPr>
              <w:spacing w:line="240" w:lineRule="auto" w:before="0" w:after="0"/>
              <w:pStyle w:val="Compact"/>
            </w:pPr>
            <w:r>
              <w:rPr>
                <w:sz w:val="20"/>
                <w:szCs w:val="20"/>
              </w:rPr>
              <w:t xml:space="preserve">MER Spirit EDL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Landing Accuracy on Mars: Mars Exploration Rover landing ellipse approximately 150 by 20 km, semi-major axis about 75 km (2004). https://science.nasa.gov/resource/landing-accuracy-on-mars-a-historical-perspective/</w:t>
            </w:r>
          </w:p>
        </w:tc>
      </w:tr>
      <w:tr>
        <w:tc>
          <w:tcPr>
            <w:tcW w:w="0" w:type="auto"/>
          </w:tcPr>
          <w:p>
            <w:pPr>
              <w:spacing w:line="240" w:lineRule="auto" w:before="0" w:after="0"/>
              <w:pStyle w:val="Compact"/>
            </w:pPr>
            <w:r>
              <w:rPr>
                <w:sz w:val="20"/>
                <w:szCs w:val="20"/>
              </w:rPr>
              <w:t xml:space="preserve">MER Opportunity EDL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Landing Accuracy on Mars: Mars Exploration Rover landing ellipse approximately 150 by 20 km, semi-major axis about 75 km (2004). https://science.nasa.gov/resource/landing-accuracy-on-mars-a-historical-perspective/</w:t>
            </w:r>
          </w:p>
        </w:tc>
      </w:tr>
      <w:tr>
        <w:tc>
          <w:tcPr>
            <w:tcW w:w="0" w:type="auto"/>
          </w:tcPr>
          <w:p>
            <w:pPr>
              <w:spacing w:line="240" w:lineRule="auto" w:before="0" w:after="0"/>
              <w:pStyle w:val="Compact"/>
            </w:pPr>
            <w:r>
              <w:rPr>
                <w:sz w:val="20"/>
                <w:szCs w:val="20"/>
              </w:rPr>
              <w:t xml:space="preserve">Cassini Titan early tour</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deep_space_moon_flyby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Antreasian P., Roth K. et al., Cassini Orbit Determination Performance during Saturn Satellite Tour: Aug 2005 - Jan 2006, NTRS 20090022176: eight close-targeted satellite encounters including five Titan flybys navigated to the reference trajectory. https://ntrs.nasa.gov/citations/20090022176 [illustrative]</w:t>
            </w:r>
          </w:p>
        </w:tc>
      </w:tr>
      <w:tr>
        <w:tc>
          <w:tcPr>
            <w:tcW w:w="0" w:type="auto"/>
          </w:tcPr>
          <w:p>
            <w:pPr>
              <w:spacing w:line="240" w:lineRule="auto" w:before="0" w:after="0"/>
              <w:pStyle w:val="Compact"/>
            </w:pPr>
            <w:r>
              <w:rPr>
                <w:sz w:val="20"/>
                <w:szCs w:val="20"/>
              </w:rPr>
              <w:t xml:space="preserve">Phoenix EDL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Phoenix on Target: Phoenix landing ellipse about 100 km long by 19 km wide, semi-major axis about 50 km (2008). https://www.jpl.nasa.gov/images/pia10677-phoenix-on-target/</w:t>
            </w:r>
          </w:p>
        </w:tc>
      </w:tr>
      <w:tr>
        <w:tc>
          <w:tcPr>
            <w:tcW w:w="0" w:type="auto"/>
          </w:tcPr>
          <w:p>
            <w:pPr>
              <w:spacing w:line="240" w:lineRule="auto" w:before="0" w:after="0"/>
              <w:pStyle w:val="Compact"/>
            </w:pPr>
            <w:r>
              <w:rPr>
                <w:sz w:val="20"/>
                <w:szCs w:val="20"/>
              </w:rPr>
              <w:t xml:space="preserve">MESSENGER Mercury Orbit Insertion</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deep_space_orbit_insertion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NASA/JHUAPL MESSENGER: at Mercury orbit insertion the achieved orbit inclination, RAAN, and argument of periapsis were each within 0.04 deg of target with MOI pointing error 0.003 deg, a sub-few-km-class orbit-insertion delivery. https://messenger.jhuapl.edu/About/Mission-Design.html</w:t>
            </w:r>
          </w:p>
        </w:tc>
      </w:tr>
      <w:tr>
        <w:tc>
          <w:tcPr>
            <w:tcW w:w="0" w:type="auto"/>
          </w:tcPr>
          <w:p>
            <w:pPr>
              <w:spacing w:line="240" w:lineRule="auto" w:before="0" w:after="0"/>
              <w:pStyle w:val="Compact"/>
            </w:pPr>
            <w:r>
              <w:rPr>
                <w:sz w:val="20"/>
                <w:szCs w:val="20"/>
              </w:rPr>
              <w:t xml:space="preserve">MSL Curiosity EDL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Landing Accuracy on Mars: Mars Science Laboratory hit a 20 by 7 km guided-entry target ellipse, the most accurate Mars landing at the time, semi-major axis about 10 km; landed 2.4 km from ellipse center (2012). https://science.nasa.gov/resource/landing-accuracy-on-mars-a-historical-perspective/</w:t>
            </w:r>
          </w:p>
        </w:tc>
      </w:tr>
      <w:tr>
        <w:tc>
          <w:tcPr>
            <w:tcW w:w="0" w:type="auto"/>
          </w:tcPr>
          <w:p>
            <w:pPr>
              <w:spacing w:line="240" w:lineRule="auto" w:before="0" w:after="0"/>
              <w:pStyle w:val="Compact"/>
            </w:pPr>
            <w:r>
              <w:rPr>
                <w:sz w:val="20"/>
                <w:szCs w:val="20"/>
              </w:rPr>
              <w:t xml:space="preserve">Rosetta 67P arrival</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deep_space_orbit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Godard B. et al., Orbit Determination of Rosetta around Comet 67P, ISSFD 2015; comet ephemeris before arrival was known to about 100 km cross-track, refined in proximity operations. https://issfd.org/2015/files/downloads/papers/124_Godard.pdf</w:t>
            </w:r>
          </w:p>
        </w:tc>
      </w:tr>
      <w:tr>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deep_space_flyby</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 Horizons approach: arrival required within a 100 by 150 km box and within 150 s; without the final TCM the spacecraft would have arrived 184 km off-target; delivery placed it inside the box. https://www.nasa.gov/missions/new-horizons-speeds-up-on-final-approach-to-pluto/</w:t>
            </w:r>
          </w:p>
        </w:tc>
      </w:tr>
      <w:tr>
        <w:tc>
          <w:tcPr>
            <w:tcW w:w="0" w:type="auto"/>
          </w:tcPr>
          <w:p>
            <w:pPr>
              <w:spacing w:line="240" w:lineRule="auto" w:before="0" w:after="0"/>
              <w:pStyle w:val="Compact"/>
            </w:pPr>
            <w:r>
              <w:rPr>
                <w:sz w:val="20"/>
                <w:szCs w:val="20"/>
              </w:rPr>
              <w:t xml:space="preserve">InSight EDL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InSight Landing Press Kit: InSight landing ellipse about 130 km west-to-east by 27 km north-to-south, semi-major axis about 15 km, flown as an unguided ballistic entry (2018). https://www.jpl.nasa.gov/news/press_kits/insight/landing/mission/landing-site/</w:t>
            </w:r>
          </w:p>
        </w:tc>
      </w:tr>
      <w:tr>
        <w:tc>
          <w:tcPr>
            <w:tcW w:w="0" w:type="auto"/>
          </w:tcPr>
          <w:p>
            <w:pPr>
              <w:spacing w:line="240" w:lineRule="auto" w:before="0" w:after="0"/>
              <w:pStyle w:val="Compact"/>
            </w:pPr>
            <w:r>
              <w:rPr>
                <w:sz w:val="20"/>
                <w:szCs w:val="20"/>
              </w:rPr>
              <w:t xml:space="preserve">Hayabusa2 Ryugu TD2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Kikuchi S. et al. / JAXA / NEC: Hayabusa2 second touchdown on Ryugu achieved about 0.6 m accuracy from the target-zone center (11 Jul 2019). https://www.nec.com/en/global/techrep/journal/g21/n01/210128.html</w:t>
            </w:r>
          </w:p>
        </w:tc>
      </w:tr>
      <w:tr>
        <w:tc>
          <w:tcPr>
            <w:tcW w:w="0" w:type="auto"/>
          </w:tcPr>
          <w:p>
            <w:pPr>
              <w:spacing w:line="240" w:lineRule="auto" w:before="0" w:after="0"/>
              <w:pStyle w:val="Compact"/>
            </w:pPr>
            <w:r>
              <w:rPr>
                <w:sz w:val="20"/>
                <w:szCs w:val="20"/>
              </w:rPr>
              <w:t xml:space="preserve">OSIRIS-REx Bennu TAG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OSIRIS-REx Proximity Operations and Navigation Performance at (101955) Bennu, NTRS 20210025471: the TAG sample-collection touchdown was delivered within a 25 m radius of the target site (0.025 km). https://ntrs.nasa.gov/api/citations/20210025471/downloads/OSIRIS_REx_Proximity_Operations_and_Navigation_Performance_at_Bennu-final.pdf</w:t>
            </w:r>
          </w:p>
        </w:tc>
      </w:tr>
      <w:tr>
        <w:tc>
          <w:tcPr>
            <w:tcW w:w="0" w:type="auto"/>
          </w:tcPr>
          <w:p>
            <w:pPr>
              <w:spacing w:line="240" w:lineRule="auto" w:before="0" w:after="0"/>
              <w:pStyle w:val="Compact"/>
            </w:pPr>
            <w:r>
              <w:rPr>
                <w:sz w:val="20"/>
                <w:szCs w:val="20"/>
              </w:rPr>
              <w:t xml:space="preserve">Perseverance EDL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3.85</w:t>
            </w:r>
          </w:p>
        </w:tc>
        <w:tc>
          <w:tcPr>
            <w:tcW w:w="0" w:type="auto"/>
          </w:tcPr>
          <w:p>
            <w:pPr>
              <w:spacing w:line="240" w:lineRule="auto" w:before="0" w:after="0"/>
              <w:pStyle w:val="Compact"/>
            </w:pPr>
            <w:r>
              <w:rPr>
                <w:sz w:val="20"/>
                <w:szCs w:val="20"/>
              </w:rPr>
              <w:t xml:space="preserve">mars_edl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NASA/JPL: Perseverance landing ellipse 7.7 by 6.6 km, semi-major axis about 3.85 km; touched down roughly 1 km from the ellipse center using Terrain-Relative Navigation (2021). https://science.nasa.gov/resource/perseverance-rover-landing-ellipse-in-jezero-crater/</w:t>
            </w:r>
          </w:p>
        </w:tc>
      </w:tr>
      <w:tr>
        <w:tc>
          <w:tcPr>
            <w:tcW w:w="0" w:type="auto"/>
          </w:tcPr>
          <w:p>
            <w:pPr>
              <w:spacing w:line="240" w:lineRule="auto" w:before="0" w:after="0"/>
              <w:pStyle w:val="Compact"/>
            </w:pPr>
            <w:r>
              <w:rPr>
                <w:sz w:val="20"/>
                <w:szCs w:val="20"/>
              </w:rPr>
              <w:t xml:space="preserve">DART Dimorphos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deep_space_surface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NASA/JHUAPL DART: the impact location was determined to be within 25 m of the center of figure of Dimorphos (26 Sep 2022). https://dart.jhuapl.edu/Mission/Impactor-Spacecraft.php</w:t>
            </w:r>
          </w:p>
        </w:tc>
      </w:tr>
    </w:tbl>
    <w:bookmarkEnd w:id="195"/>
    <w:bookmarkStart w:id="19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delivery_error_km</w:t>
            </w:r>
          </w:p>
        </w:tc>
        <w:tc>
          <w:tcPr>
            <w:tcW w:w="0" w:type="auto"/>
          </w:tcPr>
          <w:p>
            <w:pPr>
              <w:spacing w:line="240" w:lineRule="auto" w:before="0" w:after="0"/>
              <w:pStyle w:val="Compact"/>
            </w:pPr>
            <w:r>
              <w:rPr>
                <w:sz w:val="20"/>
                <w:szCs w:val="20"/>
              </w:rPr>
              <w:t xml:space="preserve">Achieved navigation delivery error at the target (B-plane miss, aim-point error, or landing/touchdown ellipse semi-major axis), in kilometers</w:t>
            </w:r>
          </w:p>
        </w:tc>
        <w:tc>
          <w:tcPr>
            <w:tcW w:w="0" w:type="auto"/>
          </w:tcPr>
          <w:p>
            <w:pPr>
              <w:spacing w:line="240" w:lineRule="auto" w:before="0" w:after="0"/>
              <w:pStyle w:val="Compact"/>
            </w:pPr>
            <w:r>
              <w:rPr>
                <w:sz w:val="20"/>
                <w:szCs w:val="20"/>
              </w:rPr>
              <w:t xml:space="preserve">NASA/JPL mission status pages, press kits, DESCANSO Optical Navigation monograph, and AIAA/ISSFD/NTRS navigation papers cited per row</w:t>
            </w:r>
          </w:p>
        </w:tc>
      </w:tr>
      <w:tr>
        <w:tc>
          <w:tcPr>
            <w:tcW w:w="0" w:type="auto"/>
          </w:tcPr>
          <w:p>
            <w:pPr>
              <w:spacing w:line="240" w:lineRule="auto" w:before="0" w:after="0"/>
              <w:pStyle w:val="Compact"/>
            </w:pPr>
            <w:r>
              <w:rPr>
                <w:sz w:val="20"/>
                <w:szCs w:val="20"/>
              </w:rPr>
              <w:t xml:space="preserve">cum_encounter</w:t>
            </w:r>
          </w:p>
        </w:tc>
        <w:tc>
          <w:tcPr>
            <w:tcW w:w="0" w:type="auto"/>
          </w:tcPr>
          <w:p>
            <w:pPr>
              <w:spacing w:line="240" w:lineRule="auto" w:before="0" w:after="0"/>
              <w:pStyle w:val="Compact"/>
            </w:pPr>
            <w:r>
              <w:rPr>
                <w:sz w:val="20"/>
                <w:szCs w:val="20"/>
              </w:rPr>
              <w:t xml:space="preserve">Cumulative count of operational deep-space targeted-delivery events in the JPL-led planetary navigation program, ordered chronologically, used as the experience index</w:t>
            </w:r>
          </w:p>
        </w:tc>
        <w:tc>
          <w:tcPr>
            <w:tcW w:w="0" w:type="auto"/>
          </w:tcPr>
          <w:p>
            <w:pPr>
              <w:spacing w:line="240" w:lineRule="auto" w:before="0" w:after="0"/>
              <w:pStyle w:val="Compact"/>
            </w:pPr>
            <w:r>
              <w:rPr>
                <w:sz w:val="20"/>
                <w:szCs w:val="20"/>
              </w:rPr>
              <w:t xml:space="preserve">Author-constructed program-experience index from the documented mission chronology</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the delivery event</w:t>
            </w:r>
          </w:p>
        </w:tc>
        <w:tc>
          <w:tcPr>
            <w:tcW w:w="0" w:type="auto"/>
          </w:tcPr>
          <w:p>
            <w:pPr>
              <w:spacing w:line="240" w:lineRule="auto" w:before="0" w:after="0"/>
              <w:pStyle w:val="Compact"/>
            </w:pPr>
            <w:r>
              <w:rPr>
                <w:sz w:val="20"/>
                <w:szCs w:val="20"/>
              </w:rPr>
              <w:t xml:space="preserve">Mission records cited per row</w:t>
            </w:r>
          </w:p>
        </w:tc>
      </w:tr>
      <w:tr>
        <w:tc>
          <w:tcPr>
            <w:tcW w:w="0" w:type="auto"/>
          </w:tcPr>
          <w:p>
            <w:pPr>
              <w:spacing w:line="240" w:lineRule="auto" w:before="0" w:after="0"/>
              <w:pStyle w:val="Compact"/>
            </w:pPr>
            <w:r>
              <w:rPr>
                <w:sz w:val="20"/>
                <w:szCs w:val="20"/>
              </w:rPr>
              <w:t xml:space="preserve">domain</w:t>
            </w:r>
          </w:p>
        </w:tc>
        <w:tc>
          <w:tcPr>
            <w:tcW w:w="0" w:type="auto"/>
          </w:tcPr>
          <w:p>
            <w:pPr>
              <w:spacing w:line="240" w:lineRule="auto" w:before="0" w:after="0"/>
              <w:pStyle w:val="Compact"/>
            </w:pPr>
            <w:r>
              <w:rPr>
                <w:sz w:val="20"/>
                <w:szCs w:val="20"/>
              </w:rPr>
              <w:t xml:space="preserve">Class of delivery: deep-space flyby, orbit insertion, comet/asteroid proximity, or Mars entry-descent-landing</w:t>
            </w:r>
          </w:p>
        </w:tc>
        <w:tc>
          <w:tcPr>
            <w:tcW w:w="0" w:type="auto"/>
          </w:tcPr>
          <w:p>
            <w:pPr>
              <w:spacing w:line="240" w:lineRule="auto" w:before="0" w:after="0"/>
              <w:pStyle w:val="Compact"/>
            </w:pPr>
            <w:r>
              <w:rPr>
                <w:sz w:val="20"/>
                <w:szCs w:val="20"/>
              </w:rPr>
              <w:t xml:space="preserve">Mission records cited per row</w:t>
            </w:r>
          </w:p>
        </w:tc>
      </w:tr>
      <w:tr>
        <w:tc>
          <w:tcPr>
            <w:tcW w:w="0" w:type="auto"/>
          </w:tcPr>
          <w:p>
            <w:pPr>
              <w:spacing w:line="240" w:lineRule="auto" w:before="0" w:after="0"/>
              <w:pStyle w:val="Compact"/>
            </w:pPr>
            <w:r>
              <w:rPr>
                <w:sz w:val="20"/>
                <w:szCs w:val="20"/>
              </w:rPr>
              <w:t xml:space="preserve">terrain_relative_nav</w:t>
            </w:r>
          </w:p>
        </w:tc>
        <w:tc>
          <w:tcPr>
            <w:tcW w:w="0" w:type="auto"/>
          </w:tcPr>
          <w:p>
            <w:pPr>
              <w:spacing w:line="240" w:lineRule="auto" w:before="0" w:after="0"/>
              <w:pStyle w:val="Compact"/>
            </w:pPr>
            <w:r>
              <w:rPr>
                <w:sz w:val="20"/>
                <w:szCs w:val="20"/>
              </w:rPr>
              <w:t xml:space="preserve">Indicator that the delivery used optical or terrain-relative navigation rather than radio-only tracking (1 = yes)</w:t>
            </w:r>
          </w:p>
        </w:tc>
        <w:tc>
          <w:tcPr>
            <w:tcW w:w="0" w:type="auto"/>
          </w:tcPr>
          <w:p>
            <w:pPr>
              <w:spacing w:line="240" w:lineRule="auto" w:before="0" w:after="0"/>
              <w:pStyle w:val="Compact"/>
            </w:pPr>
            <w:r>
              <w:rPr>
                <w:sz w:val="20"/>
                <w:szCs w:val="20"/>
              </w:rPr>
              <w:t xml:space="preserve">DESCANSO monograph and mission navigation papers cited per row</w:t>
            </w:r>
          </w:p>
        </w:tc>
      </w:tr>
    </w:tbl>
    <w:bookmarkEnd w:id="196"/>
    <w:bookmarkEnd w:id="197"/>
    <w:bookmarkEnd w:id="19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3" Type="http://schemas.openxmlformats.org/officeDocument/2006/relationships/image" Target="media/rId183.png"/><Relationship Id="rId191" Type="http://schemas.openxmlformats.org/officeDocument/2006/relationships/image" Target="media/rId191.png"/><Relationship Id="rId169" Type="http://schemas.openxmlformats.org/officeDocument/2006/relationships/hyperlink" Target="https://doi.org/10.1016/j.actaastro.2018.10.029" TargetMode="External"/><Relationship Id="rId146" Type="http://schemas.openxmlformats.org/officeDocument/2006/relationships/hyperlink" Target="https://doi.org/10.1016/j.actaastro.2020.04.009" TargetMode="External"/><Relationship Id="rId177" Type="http://schemas.openxmlformats.org/officeDocument/2006/relationships/hyperlink" Target="https://doi.org/10.1016/j.actaastro.2020.08.018" TargetMode="External"/><Relationship Id="rId152" Type="http://schemas.openxmlformats.org/officeDocument/2006/relationships/hyperlink" Target="https://doi.org/10.1016/j.actaastro.2021.12.030" TargetMode="External"/><Relationship Id="rId140" Type="http://schemas.openxmlformats.org/officeDocument/2006/relationships/hyperlink" Target="https://doi.org/10.1016/j.actaastro.2022.02.010" TargetMode="External"/><Relationship Id="rId171" Type="http://schemas.openxmlformats.org/officeDocument/2006/relationships/hyperlink" Target="https://doi.org/10.1016/j.actaastro.2023.11.049" TargetMode="External"/><Relationship Id="rId173" Type="http://schemas.openxmlformats.org/officeDocument/2006/relationships/hyperlink" Target="https://doi.org/10.1016/j.actaastro.2024.01.049" TargetMode="External"/><Relationship Id="rId148" Type="http://schemas.openxmlformats.org/officeDocument/2006/relationships/hyperlink" Target="https://doi.org/10.1016/j.actaastro.2024.03.072" TargetMode="External"/><Relationship Id="rId138" Type="http://schemas.openxmlformats.org/officeDocument/2006/relationships/hyperlink" Target="https://doi.org/10.1016/j.actaastro.2024.06.015" TargetMode="External"/><Relationship Id="rId167" Type="http://schemas.openxmlformats.org/officeDocument/2006/relationships/hyperlink" Target="https://doi.org/10.1016/j.actaastro.2025.05.003" TargetMode="External"/><Relationship Id="rId165" Type="http://schemas.openxmlformats.org/officeDocument/2006/relationships/hyperlink" Target="https://doi.org/10.1016/j.actaastro.2025.10.072" TargetMode="External"/><Relationship Id="rId175" Type="http://schemas.openxmlformats.org/officeDocument/2006/relationships/hyperlink" Target="https://doi.org/10.1016/j.actaastro.2026.04.063" TargetMode="External"/><Relationship Id="rId179" Type="http://schemas.openxmlformats.org/officeDocument/2006/relationships/hyperlink" Target="https://doi.org/10.1016/j.actaastro.2026.05.010" TargetMode="External"/><Relationship Id="rId156" Type="http://schemas.openxmlformats.org/officeDocument/2006/relationships/hyperlink" Target="https://doi.org/10.64861/QQSA1767" TargetMode="External"/><Relationship Id="rId161" Type="http://schemas.openxmlformats.org/officeDocument/2006/relationships/hyperlink" Target="https://doi.org/10.64861/UARD3301" TargetMode="External"/><Relationship Id="rId154" Type="http://schemas.openxmlformats.org/officeDocument/2006/relationships/hyperlink" Target="https://doi.org/10.64861/ULQH1998" TargetMode="External"/></Relationships>
</file>

<file path=word/_rels/footnotes.xml.rels><?xml version='1.0' encoding='UTF-8' standalone='yes'?>
<Relationships xmlns="http://schemas.openxmlformats.org/package/2006/relationships"><Relationship Id="rId169" Type="http://schemas.openxmlformats.org/officeDocument/2006/relationships/hyperlink" Target="https://doi.org/10.1016/j.actaastro.2018.10.029" TargetMode="External"/><Relationship Id="rId146" Type="http://schemas.openxmlformats.org/officeDocument/2006/relationships/hyperlink" Target="https://doi.org/10.1016/j.actaastro.2020.04.009" TargetMode="External"/><Relationship Id="rId177" Type="http://schemas.openxmlformats.org/officeDocument/2006/relationships/hyperlink" Target="https://doi.org/10.1016/j.actaastro.2020.08.018" TargetMode="External"/><Relationship Id="rId152" Type="http://schemas.openxmlformats.org/officeDocument/2006/relationships/hyperlink" Target="https://doi.org/10.1016/j.actaastro.2021.12.030" TargetMode="External"/><Relationship Id="rId140" Type="http://schemas.openxmlformats.org/officeDocument/2006/relationships/hyperlink" Target="https://doi.org/10.1016/j.actaastro.2022.02.010" TargetMode="External"/><Relationship Id="rId171" Type="http://schemas.openxmlformats.org/officeDocument/2006/relationships/hyperlink" Target="https://doi.org/10.1016/j.actaastro.2023.11.049" TargetMode="External"/><Relationship Id="rId173" Type="http://schemas.openxmlformats.org/officeDocument/2006/relationships/hyperlink" Target="https://doi.org/10.1016/j.actaastro.2024.01.049" TargetMode="External"/><Relationship Id="rId148" Type="http://schemas.openxmlformats.org/officeDocument/2006/relationships/hyperlink" Target="https://doi.org/10.1016/j.actaastro.2024.03.072" TargetMode="External"/><Relationship Id="rId138" Type="http://schemas.openxmlformats.org/officeDocument/2006/relationships/hyperlink" Target="https://doi.org/10.1016/j.actaastro.2024.06.015" TargetMode="External"/><Relationship Id="rId167" Type="http://schemas.openxmlformats.org/officeDocument/2006/relationships/hyperlink" Target="https://doi.org/10.1016/j.actaastro.2025.05.003" TargetMode="External"/><Relationship Id="rId165" Type="http://schemas.openxmlformats.org/officeDocument/2006/relationships/hyperlink" Target="https://doi.org/10.1016/j.actaastro.2025.10.072" TargetMode="External"/><Relationship Id="rId175" Type="http://schemas.openxmlformats.org/officeDocument/2006/relationships/hyperlink" Target="https://doi.org/10.1016/j.actaastro.2026.04.063" TargetMode="External"/><Relationship Id="rId179" Type="http://schemas.openxmlformats.org/officeDocument/2006/relationships/hyperlink" Target="https://doi.org/10.1016/j.actaastro.2026.05.010" TargetMode="External"/><Relationship Id="rId156" Type="http://schemas.openxmlformats.org/officeDocument/2006/relationships/hyperlink" Target="https://doi.org/10.64861/QQSA1767" TargetMode="External"/><Relationship Id="rId161" Type="http://schemas.openxmlformats.org/officeDocument/2006/relationships/hyperlink" Target="https://doi.org/10.64861/UARD3301" TargetMode="External"/><Relationship Id="rId154" Type="http://schemas.openxmlformats.org/officeDocument/2006/relationships/hyperlink" Target="https://doi.org/10.64861/ULQH19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Delivery Accuracy as a Regression Problem: What Actually Predicts Orbit Determination Error</dc:title>
  <dc:creator>Adrian Vance (1B-NAV-020)</dc:creator>
  <cp:keywords/>
  <dcterms:created xsi:type="dcterms:W3CDTF">2026-07-02T16:14:29Z</dcterms:created>
  <dcterms:modified xsi:type="dcterms:W3CDTF">2026-07-02T16:14:29Z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