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17d8c6f5b4c706efc29842a4626da777c8abc82"/>
    <w:p>
      <w:pPr>
        <w:pStyle w:val="Heading1"/>
      </w:pPr>
      <w:r>
        <w:t xml:space="preserve">Onboard Autonomy, Agility, and Observation Yield: An OLS Cross-Section of Earth-Observing Missions</w:t>
      </w:r>
    </w:p>
    <w:bookmarkStart w:id="61" w:name="introduction"/>
    <w:p>
      <w:pPr>
        <w:pStyle w:val="Heading2"/>
      </w:pPr>
      <w:r>
        <w:t xml:space="preserve">1. Introduction</w:t>
      </w:r>
    </w:p>
    <w:p>
      <w:pPr>
        <w:pStyle w:val="FirstParagraph"/>
      </w:pPr>
      <w:r>
        <w:t xml:space="preserve">Adaptive onboard targeting is the technical channel through which a satellite converts new information (a cloud break, a thermal anomaly, a fresh ground request) into observations that would not otherwise have been collected on the same orbit pass. The value-of-information question for Earth observation is whether the missions that have invested in onboard autonomy and agile pointing actually realize a measurable yield premium over missions that operate on fixed ground-planned schedules. This paper tests that proposition empirically using a cross-section of 32 Earth-observing missions for which acquisition rates and platform parameters are publicly documented.</w:t>
      </w:r>
    </w:p>
    <w:p>
      <w:pPr>
        <w:pStyle w:val="BodyText"/>
      </w:pPr>
      <w:r>
        <w:t xml:space="preserve">The motivation is operational. The Autonomous Sciencecraft Experiment on EO-1 demonstrated that an onboard agent could re-task an orbiting instrument in response to detected events and reduce the latency between detection and acquisition by orders of magnitude relative to ground-loop tasking</w:t>
      </w:r>
      <w:r>
        <w:t xml:space="preserve"> </w:t>
      </w:r>
      <w:hyperlink w:anchor="ref-1">
        <m:oMathPara>
          <m:oMathParaPr>
            <m:jc m:val="center"/>
          </m:oMathParaPr>
          <m:oMath>
            <m:r>
              <m:t>1</m:t>
            </m:r>
          </m:oMath>
        </m:oMathPara>
      </w:hyperlink>
      <w:r>
        <w:t xml:space="preserve">. Two decades later, agile commercial platforms (Pleiades, WorldView, SkySat) routinely advertise onboard re-tasking inside a planning horizon, while large public-good missions (Landsat, Sentinel, MODIS) still operate from largely fixed ground plans. Whether autonomy and agility translate into more images per spacecraft-day, after holding downlink and vintage constant, is the empirical question.</w:t>
      </w:r>
    </w:p>
    <w:p>
      <w:pPr>
        <w:pStyle w:val="FirstParagraph"/>
      </w:pPr>
      <w:r>
        <w:t xml:space="preserve">The contribution is to assemble a single, source-cited dataset that makes that comparison possible and to estimate a transparent linear model on it. The estimates are reported as they emerge from the data; the discussion treats inference limits seriously rather than rounding them away.</w:t>
      </w:r>
    </w:p>
    <w:bookmarkEnd w:id="61"/>
    <w:bookmarkStart w:id="62" w:name="theory-and-hypotheses"/>
    <w:p>
      <w:pPr>
        <w:pStyle w:val="Heading2"/>
      </w:pPr>
      <w:r>
        <w:t xml:space="preserve">2. Theory and Hypotheses</w:t>
      </w:r>
    </w:p>
    <w:p>
      <w:pPr>
        <w:pStyle w:val="FirstParagraph"/>
      </w:pPr>
      <w:r>
        <w:t xml:space="preserve">Three lines of work motivate the specification. First, the autonomy literature predicts that onboard re-tasking should raise yield because it relaxes the upload-cycle constraint that bounds how many ground-planned observations can fit in an orbit pass [1, 2]. Second, the agility literature predicts that higher body-pointing slew rates expand the set of targets reachable from a given orbit, again raising yield [3, 4]. Third, the systems-engineering literature treats downlink capacity as the long-run bottleneck that ultimately caps how many images per day a platform can deliver to users [5, 6]. The value-of-information framing in the broader space-economy literature treats observation yield as the proximate decision-relevant output through which space assets create user value [7, 8].</w:t>
      </w:r>
    </w:p>
    <w:p>
      <w:pPr>
        <w:pStyle w:val="BodyText"/>
      </w:pPr>
      <w:r>
        <w:t xml:space="preserve">The hypothesis is therefore a joint one. Conditional on downlink capacity and vintage:</w:t>
      </w:r>
    </w:p>
    <w:p>
      <w:pPr>
        <w:pStyle w:val="BodyText"/>
      </w:pPr>
      <w:r>
        <w:t xml:space="preserve">H1. Higher onboard autonomy raises log daily image yield.</w:t>
      </w:r>
    </w:p>
    <w:p>
      <w:pPr>
        <w:pStyle w:val="BodyText"/>
      </w:pPr>
      <w:r>
        <w:t xml:space="preserve">H2. Higher agility raises log daily image yield.</w:t>
      </w:r>
    </w:p>
    <w:p>
      <w:pPr>
        <w:pStyle w:val="BodyText"/>
      </w:pPr>
      <w:r>
        <w:t xml:space="preserve">H3. Higher downlink capacity raises log daily image yield.</w:t>
      </w:r>
    </w:p>
    <w:p>
      <w:pPr>
        <w:pStyle w:val="BodyText"/>
      </w:pPr>
      <w:r>
        <w:t xml:space="preserve">H4. Newer missions (later year of initial operational capability) raise log daily image yield through the cumulative effect of unmodeled platform improvements.</w:t>
      </w:r>
    </w:p>
    <w:p>
      <w:pPr>
        <w:pStyle w:val="BodyText"/>
      </w:pPr>
      <w:r>
        <w:t xml:space="preserve">The specification is a robust OLS in the log of daily image acquisitions on autonomy level, agility, log downlink, and year of initial operational capability.</w:t>
      </w:r>
    </w:p>
    <w:bookmarkEnd w:id="62"/>
    <w:bookmarkStart w:id="63" w:name="data"/>
    <w:p>
      <w:pPr>
        <w:pStyle w:val="Heading2"/>
      </w:pPr>
      <w:r>
        <w:t xml:space="preserve">3. Data</w:t>
      </w:r>
    </w:p>
    <w:p>
      <w:pPr>
        <w:pStyle w:val="FirstParagraph"/>
      </w:pPr>
      <w:r>
        <w:t xml:space="preserve">The unit of observation is the Earth-observing mission. The dataset covers 32 missions whose initial operational capability falls between 1999 and 2022. The sample mixes public-good and commercial platforms intentionally, because the autonomy variable only has variance across that mix. The autonomy variable is an ordinal scale from 1 (fixed ground-planned schedule) to 4 (onboard adaptive event response), adapted from the EO-1 Autonomous Sciencecraft Experiment framework</w:t>
      </w:r>
      <w:r>
        <w:t xml:space="preserve"> </w:t>
      </w:r>
      <w:hyperlink w:anchor="ref-1">
        <m:oMathPara>
          <m:oMathParaPr>
            <m:jc m:val="center"/>
          </m:oMathParaPr>
          <m:oMath>
            <m:r>
              <m:t>1</m:t>
            </m:r>
          </m:oMath>
        </m:oMathPara>
      </w:hyperlink>
      <w:r>
        <w:t xml:space="preserve"> </w:t>
      </w:r>
      <w:r>
        <w:t xml:space="preserve">and the operational taxonomies used in subsequent commercial-mission user guides. The yield variable is the nominal daily image acquisition rate as published in vendor datasheets, agency user guides, and peer-reviewed mission papers. Each row in the data file carries its source in the final column.</w:t>
      </w:r>
    </w:p>
    <w:p>
      <w:pPr>
        <w:pStyle w:val="FirstParagraph"/>
      </w:pPr>
      <w:r>
        <w:t xml:space="preserve">The dataset is observational, not experimental. Mission designers select autonomy levels jointly with agility, downlink capacity, and orbit. The estimates that follow are therefore conditional correlations, not causal effects. Section 6 returns to this point.</w:t>
      </w:r>
    </w:p>
    <w:bookmarkEnd w:id="63"/>
    <w:bookmarkStart w:id="64" w:name="method"/>
    <w:p>
      <w:pPr>
        <w:pStyle w:val="Heading2"/>
      </w:pPr>
      <w:r>
        <w:t xml:space="preserve">4. Method</w:t>
      </w:r>
    </w:p>
    <w:p>
      <w:pPr>
        <w:pStyle w:val="FirstParagraph"/>
      </w:pPr>
      <w:r>
        <w:t xml:space="preserve">The estimator is ordinary least squares with Huber-White heteroskedasticity-robust standard errors (HC1). The dependent variable is the natural log of daily image acquisitions. The regressors are autonomy level (1 to 4), agility in degrees per second, log downlink in Gbps, and year of initial operational capability. Variable definitions and source columns are listed in the embedded workbook.</w:t>
      </w:r>
    </w:p>
    <w:p>
      <w:pPr>
        <w:pStyle w:val="BodyText"/>
      </w:pPr>
      <w:r>
        <w:t xml:space="preserve">Three caveats apply. The sample is small (N = 32). The autonomy variable is ordinal and may not be linear in its true effect. The yield measure is nominal rather than realized; weather and tasking demand are not modeled, and several missions advertise rates above what users typically receive. The specification is therefore best read as a first-cut conditional comparison rather than a structural model of acquisition.</w:t>
      </w:r>
    </w:p>
    <w:bookmarkEnd w:id="64"/>
    <w:bookmarkStart w:id="65" w:name="findings"/>
    <w:p>
      <w:pPr>
        <w:pStyle w:val="Heading2"/>
      </w:pPr>
      <w:r>
        <w:t xml:space="preserve">5. Findings</w:t>
      </w:r>
    </w:p>
    <w:p>
      <w:pPr>
        <w:pStyle w:val="FirstParagraph"/>
      </w:pPr>
      <w:r>
        <w:t xml:space="preserve">The model fits modestly. The overall R-squared is 0.32 (adjusted R-squared 0.22), with an F statistic of 3.41 on the four regressors and an F p-value of 0.022, so the regressors are jointly informative at conventional thresholds.</w:t>
      </w:r>
    </w:p>
    <w:p>
      <w:pPr>
        <w:pStyle w:val="BodyText"/>
      </w:pPr>
      <w:r>
        <w:t xml:space="preserve">None of the four individual coefficients clears a 5 percent threshold under robust standard errors. The autonomy-level coefficient is negative (-0.18) and not significant (p = 0.29). The agility coefficient is essentially zero (-0.06, p = 0.63). The log-downlink coefficient is positive (0.18) and not significant (p = 0.28). The year-of-IOC coefficient is positive (0.04, p = 0.06) and is the only regressor that approaches conventional significance.</w:t>
      </w:r>
    </w:p>
    <w:p>
      <w:pPr>
        <w:pStyle w:val="BodyText"/>
      </w:pPr>
      <w:r>
        <w:t xml:space="preserve">The substantive reading is therefore the inverse of the hypothesized story. Once downlink and vintage are held constant, neither autonomy nor agility shows a measurable yield premium in this cross-section. The strongest single signal is simply that newer missions produce more daily images, which is consistent with cumulative platform improvement but does not isolate the autonomy channel.</w:t>
      </w:r>
    </w:p>
    <w:p>
      <w:pPr>
        <w:pStyle w:val="BodyText"/>
      </w:pPr>
      <w:r>
        <w:t xml:space="preserve">Two features of the data deserve flagging. PlanetScope-Dove and GOES-16 sit at the high end of the yield distribution despite zero on the slew-rate scale, because they generate yield through different mechanisms (constellation count for Dove, geostationary continuous scanning for GOES). They are kept in the sample to avoid cherry-picking, but they pull against the agility coefficient. Aqua-MODIS and ICESat-2 sit at the low end of downlink despite operational maturity, which dampens the downlink coefficient.</w:t>
      </w:r>
    </w:p>
    <w:bookmarkEnd w:id="65"/>
    <w:bookmarkStart w:id="66" w:name="discussion"/>
    <w:p>
      <w:pPr>
        <w:pStyle w:val="Heading2"/>
      </w:pPr>
      <w:r>
        <w:t xml:space="preserve">6. Discussion</w:t>
      </w:r>
    </w:p>
    <w:p>
      <w:pPr>
        <w:pStyle w:val="FirstParagraph"/>
      </w:pPr>
      <w:r>
        <w:t xml:space="preserve">The estimates do not support a value-of-information story in which onboard autonomy is the visible driver of cross-mission yield differences. The strongest reading the data will support is that newer platforms produce more daily images, with autonomy and agility entering the regression as variables whose effect cannot be statistically separated from the rest of the platform bundle in a sample of this size.</w:t>
      </w:r>
    </w:p>
    <w:p>
      <w:pPr>
        <w:pStyle w:val="BodyText"/>
      </w:pPr>
      <w:r>
        <w:t xml:space="preserve">Several limits should be reported plainly. The autonomy ordinal is coarse and was assigned from public documentation; a finer scale that distinguished onboard scheduling from onboard event response would be preferable. The yield variable is a nominal advertised rate and does not reflect realized user delivery. The sample is small and dominated by a handful of large operational families (Landsat, Sentinel, WorldView, Pleiades) whose internal correlation across regressors is high. Causal identification would require either within-mission variation (a before-and-after design around an autonomy upgrade, as in the EO-1 ASE deployment) or instrumental variation in autonomy that did not co-move with agility and downlink.</w:t>
      </w:r>
    </w:p>
    <w:p>
      <w:pPr>
        <w:pStyle w:val="BodyText"/>
      </w:pPr>
      <w:r>
        <w:t xml:space="preserve">The policy reading is more interesting than the statistical reading. If autonomy and agility do not pop out of a cross-mission regression on yield, the case for adaptive onboard targeting has to be made on latency, science return per target, or tasking responsiveness rather than on raw image counts. That is the direction the next paper in this dissertation will take. The dataset and the estimator are reported here transparently so that the negative result is auditable.</w:t>
      </w:r>
    </w:p>
    <w:bookmarkEnd w:id="66"/>
    <w:bookmarkStart w:id="75" w:name="references"/>
    <w:p>
      <w:pPr>
        <w:pStyle w:val="Heading2"/>
      </w:pPr>
      <w:r>
        <w:t xml:space="preserve">References</w:t>
      </w:r>
    </w:p>
    <w:p>
      <w:pPr>
        <w:pStyle w:val="FirstParagraph"/>
      </w:pPr>
      <w:bookmarkStart w:id="67" w:name="ref-1"/>
      <w:bookmarkEnd w:id="67"/>
      <w:r>
        <w:t xml:space="preserve">1. S. Chien, R. Sherwood, D. Tran, B. Cichy, G. Rabideau, R. Castano, A. Davies, D. Mandl, S. Frye, B. Trout, S. Shulman, and D. Boyer,</w:t>
      </w:r>
      <w:r>
        <w:t xml:space="preserve"> </w:t>
      </w:r>
      <w:r>
        <w:t xml:space="preserve">“Using autonomy flight software to improve science return on Earth Observing One,”</w:t>
      </w:r>
      <w:r>
        <w:t xml:space="preserve"> </w:t>
      </w:r>
      <w:r>
        <w:t xml:space="preserve">Journal of Aerospace Computing, Information, and Communication, vol. 2, no. 4, pp. 196 to 216, 2005.</w:t>
      </w:r>
    </w:p>
    <w:p>
      <w:pPr>
        <w:pStyle w:val="BodyText"/>
      </w:pPr>
      <w:bookmarkStart w:id="68" w:name="ref-2"/>
      <w:bookmarkEnd w:id="68"/>
      <w:r>
        <w:t xml:space="preserve">2. M. Iacopino and C. Iacopino,</w:t>
      </w:r>
      <w:r>
        <w:t xml:space="preserve"> </w:t>
      </w:r>
      <w:r>
        <w:t xml:space="preserve">“Agent-based approaches for distributed space systems and mission management: Methodologies and applications,”</w:t>
      </w:r>
      <w:r>
        <w:t xml:space="preserve"> </w:t>
      </w:r>
      <w:r>
        <w:t xml:space="preserve">Acta Astronautica, vol. 235, pp. 410 to 425, 2025.</w:t>
      </w:r>
    </w:p>
    <w:p>
      <w:pPr>
        <w:pStyle w:val="BodyText"/>
      </w:pPr>
      <w:bookmarkStart w:id="69" w:name="ref-3"/>
      <w:bookmarkEnd w:id="69"/>
      <w:r>
        <w:t xml:space="preserve">3. J.-M. Delvit, P. Kubik, and J. Lacoste-Barutel,</w:t>
      </w:r>
      <w:r>
        <w:t xml:space="preserve"> </w:t>
      </w:r>
      <w:r>
        <w:t xml:space="preserve">“Pleiades-HR system productivity,”</w:t>
      </w:r>
      <w:r>
        <w:t xml:space="preserve"> </w:t>
      </w:r>
      <w:r>
        <w:t xml:space="preserve">in ISPRS Annals of the Photogrammetry, Remote Sensing and Spatial Information Sciences, vol. I-7, pp. 99 to 104, 2012.</w:t>
      </w:r>
    </w:p>
    <w:p>
      <w:pPr>
        <w:pStyle w:val="BodyText"/>
      </w:pPr>
      <w:bookmarkStart w:id="70" w:name="ref-4"/>
      <w:bookmarkEnd w:id="70"/>
      <w:r>
        <w:t xml:space="preserve">4. R. Updike and C. Comp,</w:t>
      </w:r>
      <w:r>
        <w:t xml:space="preserve"> </w:t>
      </w:r>
      <w:r>
        <w:t xml:space="preserve">“Radiometric use of WorldView-2 imagery,”</w:t>
      </w:r>
      <w:r>
        <w:t xml:space="preserve"> </w:t>
      </w:r>
      <w:r>
        <w:t xml:space="preserve">DigitalGlobe Technical Note, 2010.</w:t>
      </w:r>
    </w:p>
    <w:p>
      <w:pPr>
        <w:pStyle w:val="BodyText"/>
      </w:pPr>
      <w:bookmarkStart w:id="71" w:name="ref-5"/>
      <w:bookmarkEnd w:id="71"/>
      <w:r>
        <w:t xml:space="preserve">5. M. Drusch, U. Del Bello, S. Carlier, O. Colin, V. Fernandez, F. Gascon, B. Hoersch, C. Isola, P. Laberinti, P. Martimort, A. Meygret, F. Spoto, O. Sy, F. Marchese, and P. Bargellini,</w:t>
      </w:r>
      <w:r>
        <w:t xml:space="preserve"> </w:t>
      </w:r>
      <w:r>
        <w:t xml:space="preserve">“Sentinel-2: ESA’s optical high-resolution mission for GMES operational services,”</w:t>
      </w:r>
      <w:r>
        <w:t xml:space="preserve"> </w:t>
      </w:r>
      <w:r>
        <w:t xml:space="preserve">Remote Sensing of Environment, vol. 120, pp. 25 to 36, 2012.</w:t>
      </w:r>
    </w:p>
    <w:p>
      <w:pPr>
        <w:pStyle w:val="BodyText"/>
      </w:pPr>
      <w:bookmarkStart w:id="72" w:name="ref-6"/>
      <w:bookmarkEnd w:id="72"/>
      <w:r>
        <w:t xml:space="preserve">6. T. Markus, T. Neumann, A. Martino, W. Abdalati, K. Brunt, B. Csatho, S. Farrell, H. Fricker, A. Gardner, D. Harding, M. Jasinski, R. Kwok, L. Magruder, D. Lubin, S. Luthcke, J. Morison, R. Nelson, A. Neuenschwander, S. Palm, S. Popescu, C. Shum, B. Schutz, B. Smith, Y. Yang, and J. Zwally,</w:t>
      </w:r>
      <w:r>
        <w:t xml:space="preserve"> </w:t>
      </w:r>
      <w:r>
        <w:t xml:space="preserve">“The Ice, Cloud, and land Elevation Satellite-2 (ICESat-2): Science requirements, concept, and implementation,”</w:t>
      </w:r>
      <w:r>
        <w:t xml:space="preserve"> </w:t>
      </w:r>
      <w:r>
        <w:t xml:space="preserve">Remote Sensing of Environment, vol. 190, pp. 260 to 273, 2017.</w:t>
      </w:r>
    </w:p>
    <w:p>
      <w:pPr>
        <w:pStyle w:val="BodyText"/>
      </w:pPr>
      <w:bookmarkStart w:id="73" w:name="ref-7"/>
      <w:bookmarkEnd w:id="73"/>
      <w:r>
        <w:t xml:space="preserve">7. M. Weinzierl,</w:t>
      </w:r>
      <w:r>
        <w:t xml:space="preserve"> </w:t>
      </w:r>
      <w:r>
        <w:t xml:space="preserve">“Space, the final economic frontier,”</w:t>
      </w:r>
      <w:r>
        <w:t xml:space="preserve"> </w:t>
      </w:r>
      <w:r>
        <w:t xml:space="preserve">Journal of Economic Perspectives, vol. 32, no. 2, pp. 173 to 192, 2018.</w:t>
      </w:r>
    </w:p>
    <w:p>
      <w:pPr>
        <w:pStyle w:val="BodyText"/>
      </w:pPr>
      <w:bookmarkStart w:id="74" w:name="ref-8"/>
      <w:bookmarkEnd w:id="74"/>
      <w:r>
        <w:t xml:space="preserve">8. B. Stilwell, M. Sundahl, and N. Dailey,</w:t>
      </w:r>
      <w:r>
        <w:t xml:space="preserve"> </w:t>
      </w:r>
      <w:r>
        <w:t xml:space="preserve">“Orbital classification and the value of space situational awareness,”</w:t>
      </w:r>
      <w:r>
        <w:t xml:space="preserve"> </w:t>
      </w:r>
      <w:r>
        <w:t xml:space="preserve">ASCEND Proceedings, AIAA, 2025.</w:t>
      </w:r>
    </w:p>
    <w:bookmarkEnd w:id="75"/>
    <w:bookmarkStart w:id="76"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images_per_day</m:t>
              </m:r>
            </m:e>
            <m:sub>
              <m:r>
                <m:t>i</m:t>
              </m:r>
            </m:sub>
          </m:sSub>
          <m:r>
            <m:rPr>
              <m:sty m:val="p"/>
            </m:rPr>
            <m:t>)</m:t>
          </m:r>
          <m:r>
            <m:rPr>
              <m:sty m:val="p"/>
            </m:rPr>
            <m:t>=</m:t>
          </m:r>
          <m:sSub>
            <m:e>
              <m:r>
                <m:t>β</m:t>
              </m:r>
            </m:e>
            <m:sub>
              <m:r>
                <m:t>0</m:t>
              </m:r>
            </m:sub>
          </m:sSub>
          <m:r>
            <m:rPr>
              <m:sty m:val="p"/>
            </m:rPr>
            <m:t>+</m:t>
          </m:r>
          <m:sSub>
            <m:e>
              <m:r>
                <m:t>β</m:t>
              </m:r>
            </m:e>
            <m:sub>
              <m:r>
                <m:t>1</m:t>
              </m:r>
            </m:sub>
          </m:sSub>
          <m:sSub>
            <m:e>
              <m:r>
                <m:rPr>
                  <m:nor/>
                  <m:sty m:val="p"/>
                </m:rPr>
                <m:t>autonomy_level</m:t>
              </m:r>
            </m:e>
            <m:sub>
              <m:r>
                <m:t>i</m:t>
              </m:r>
            </m:sub>
          </m:sSub>
          <m:r>
            <m:rPr>
              <m:sty m:val="p"/>
            </m:rPr>
            <m:t>+</m:t>
          </m:r>
          <m:sSub>
            <m:e>
              <m:r>
                <m:t>β</m:t>
              </m:r>
            </m:e>
            <m:sub>
              <m:r>
                <m:t>2</m:t>
              </m:r>
            </m:sub>
          </m:sSub>
          <m:sSub>
            <m:e>
              <m:r>
                <m:rPr>
                  <m:nor/>
                  <m:sty m:val="p"/>
                </m:rPr>
                <m:t>agility</m:t>
              </m:r>
            </m:e>
            <m:sub>
              <m:r>
                <m:t>i</m:t>
              </m:r>
            </m:sub>
          </m:sSub>
          <m:r>
            <m:rPr>
              <m:sty m:val="p"/>
            </m:rPr>
            <m:t>+</m:t>
          </m:r>
          <m:sSub>
            <m:e>
              <m:r>
                <m:t>β</m:t>
              </m:r>
            </m:e>
            <m:sub>
              <m:r>
                <m:t>3</m:t>
              </m:r>
            </m:sub>
          </m:sSub>
          <m:r>
            <m:rPr>
              <m:sty m:val="p"/>
            </m:rPr>
            <m:t>ln</m:t>
          </m:r>
          <m:r>
            <m:rPr>
              <m:sty m:val="p"/>
            </m:rPr>
            <m:t>(</m:t>
          </m:r>
          <m:sSub>
            <m:e>
              <m:r>
                <m:rPr>
                  <m:nor/>
                  <m:sty m:val="p"/>
                </m:rPr>
                <m:t>downlink</m:t>
              </m:r>
            </m:e>
            <m:sub>
              <m:r>
                <m:t>i</m:t>
              </m:r>
            </m:sub>
          </m:sSub>
          <m:r>
            <m:rPr>
              <m:sty m:val="p"/>
            </m:rPr>
            <m:t>)</m:t>
          </m:r>
          <m:r>
            <m:rPr>
              <m:sty m:val="p"/>
            </m:rPr>
            <m:t>+</m:t>
          </m:r>
          <m:sSub>
            <m:e>
              <m:r>
                <m:t>β</m:t>
              </m:r>
            </m:e>
            <m:sub>
              <m:r>
                <m:t>4</m:t>
              </m:r>
            </m:sub>
          </m:sSub>
          <m:sSub>
            <m:e>
              <m:r>
                <m:rPr>
                  <m:nor/>
                  <m:sty m:val="p"/>
                </m:rPr>
                <m:t>year_ioc</m:t>
              </m:r>
            </m:e>
            <m:sub>
              <m:r>
                <m:t>i</m:t>
              </m:r>
            </m:sub>
          </m:sSub>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-71.2807</w:t>
            </w:r>
          </w:p>
        </w:tc>
        <w:tc>
          <w:tcPr>
            <w:tcW w:w="0" w:type="auto"/>
          </w:tcPr>
          <w:p>
            <w:pPr>
              <w:spacing w:line="240" w:lineRule="auto" w:before="0" w:after="0"/>
              <w:pStyle w:val="Compact"/>
            </w:pPr>
            <w:r>
              <w:rPr>
                <w:sz w:val="20"/>
                <w:szCs w:val="20"/>
              </w:rPr>
              <w:t xml:space="preserve">42.1652</w:t>
            </w:r>
          </w:p>
        </w:tc>
        <w:tc>
          <w:tcPr>
            <w:tcW w:w="0" w:type="auto"/>
          </w:tcPr>
          <w:p>
            <w:pPr>
              <w:spacing w:line="240" w:lineRule="auto" w:before="0" w:after="0"/>
              <w:pStyle w:val="Compact"/>
            </w:pPr>
            <w:r>
              <w:rPr>
                <w:sz w:val="20"/>
                <w:szCs w:val="20"/>
              </w:rPr>
              <w:t xml:space="preserve">-1.6905</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[-153.923, 11.3616]</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0.1668</w:t>
            </w:r>
          </w:p>
        </w:tc>
        <w:tc>
          <w:tcPr>
            <w:tcW w:w="0" w:type="auto"/>
          </w:tcPr>
          <w:p>
            <w:pPr>
              <w:spacing w:line="240" w:lineRule="auto" w:before="0" w:after="0"/>
              <w:pStyle w:val="Compact"/>
            </w:pPr>
            <w:r>
              <w:rPr>
                <w:sz w:val="20"/>
                <w:szCs w:val="20"/>
              </w:rPr>
              <w:t xml:space="preserve">-1.0514</w:t>
            </w:r>
          </w:p>
        </w:tc>
        <w:tc>
          <w:tcPr>
            <w:tcW w:w="0" w:type="auto"/>
          </w:tcPr>
          <w:p>
            <w:pPr>
              <w:spacing w:line="240" w:lineRule="auto" w:before="0" w:after="0"/>
              <w:pStyle w:val="Compact"/>
            </w:pPr>
            <w:r>
              <w:rPr>
                <w:sz w:val="20"/>
                <w:szCs w:val="20"/>
              </w:rPr>
              <w:t xml:space="preserve">0.2931</w:t>
            </w:r>
          </w:p>
        </w:tc>
        <w:tc>
          <w:tcPr>
            <w:tcW w:w="0" w:type="auto"/>
          </w:tcPr>
          <w:p>
            <w:pPr>
              <w:spacing w:line="240" w:lineRule="auto" w:before="0" w:after="0"/>
              <w:pStyle w:val="Compact"/>
            </w:pPr>
            <w:r>
              <w:rPr>
                <w:sz w:val="20"/>
                <w:szCs w:val="20"/>
              </w:rPr>
              <w:t xml:space="preserve">[-0.5022, 0.1515]</w:t>
            </w:r>
          </w:p>
        </w:tc>
      </w:tr>
      <w:tr>
        <w:tc>
          <w:tcPr>
            <w:tcW w:w="0" w:type="auto"/>
          </w:tcPr>
          <w:p>
            <w:pPr>
              <w:spacing w:line="240" w:lineRule="auto" w:before="0" w:after="0"/>
              <w:pStyle w:val="Compact"/>
            </w:pPr>
            <w:r>
              <w:rPr>
                <w:sz w:val="20"/>
                <w:szCs w:val="20"/>
              </w:rPr>
              <w:t xml:space="preserve">agility_deg_s</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0.1265</w:t>
            </w:r>
          </w:p>
        </w:tc>
        <w:tc>
          <w:tcPr>
            <w:tcW w:w="0" w:type="auto"/>
          </w:tcPr>
          <w:p>
            <w:pPr>
              <w:spacing w:line="240" w:lineRule="auto" w:before="0" w:after="0"/>
              <w:pStyle w:val="Compact"/>
            </w:pPr>
            <w:r>
              <w:rPr>
                <w:sz w:val="20"/>
                <w:szCs w:val="20"/>
              </w:rPr>
              <w:t xml:space="preserve">-0.4778</w:t>
            </w:r>
          </w:p>
        </w:tc>
        <w:tc>
          <w:tcPr>
            <w:tcW w:w="0" w:type="auto"/>
          </w:tcPr>
          <w:p>
            <w:pPr>
              <w:spacing w:line="240" w:lineRule="auto" w:before="0" w:after="0"/>
              <w:pStyle w:val="Compact"/>
            </w:pPr>
            <w:r>
              <w:rPr>
                <w:sz w:val="20"/>
                <w:szCs w:val="20"/>
              </w:rPr>
              <w:t xml:space="preserve">0.6328</w:t>
            </w:r>
          </w:p>
        </w:tc>
        <w:tc>
          <w:tcPr>
            <w:tcW w:w="0" w:type="auto"/>
          </w:tcPr>
          <w:p>
            <w:pPr>
              <w:spacing w:line="240" w:lineRule="auto" w:before="0" w:after="0"/>
              <w:pStyle w:val="Compact"/>
            </w:pPr>
            <w:r>
              <w:rPr>
                <w:sz w:val="20"/>
                <w:szCs w:val="20"/>
              </w:rPr>
              <w:t xml:space="preserve">[-0.3083, 0.1875]</w:t>
            </w:r>
          </w:p>
        </w:tc>
      </w:tr>
      <w:tr>
        <w:tc>
          <w:tcPr>
            <w:tcW w:w="0" w:type="auto"/>
          </w:tcPr>
          <w:p>
            <w:pPr>
              <w:spacing w:line="240" w:lineRule="auto" w:before="0" w:after="0"/>
              <w:pStyle w:val="Compact"/>
            </w:pPr>
            <w:r>
              <w:rPr>
                <w:sz w:val="20"/>
                <w:szCs w:val="20"/>
              </w:rPr>
              <w:t xml:space="preserve">log_downlink_gbps</w:t>
            </w:r>
          </w:p>
        </w:tc>
        <w:tc>
          <w:tcPr>
            <w:tcW w:w="0" w:type="auto"/>
          </w:tcPr>
          <w:p>
            <w:pPr>
              <w:spacing w:line="240" w:lineRule="auto" w:before="0" w:after="0"/>
              <w:pStyle w:val="Compact"/>
            </w:pPr>
            <w:r>
              <w:rPr>
                <w:sz w:val="20"/>
                <w:szCs w:val="20"/>
              </w:rPr>
              <w:t xml:space="preserve">0.1841</w:t>
            </w:r>
          </w:p>
        </w:tc>
        <w:tc>
          <w:tcPr>
            <w:tcW w:w="0" w:type="auto"/>
          </w:tcPr>
          <w:p>
            <w:pPr>
              <w:spacing w:line="240" w:lineRule="auto" w:before="0" w:after="0"/>
              <w:pStyle w:val="Compact"/>
            </w:pPr>
            <w:r>
              <w:rPr>
                <w:sz w:val="20"/>
                <w:szCs w:val="20"/>
              </w:rPr>
              <w:t xml:space="preserve">0.1701</w:t>
            </w:r>
          </w:p>
        </w:tc>
        <w:tc>
          <w:tcPr>
            <w:tcW w:w="0" w:type="auto"/>
          </w:tcPr>
          <w:p>
            <w:pPr>
              <w:spacing w:line="240" w:lineRule="auto" w:before="0" w:after="0"/>
              <w:pStyle w:val="Compact"/>
            </w:pPr>
            <w:r>
              <w:rPr>
                <w:sz w:val="20"/>
                <w:szCs w:val="20"/>
              </w:rPr>
              <w:t xml:space="preserve">1.082</w:t>
            </w:r>
          </w:p>
        </w:tc>
        <w:tc>
          <w:tcPr>
            <w:tcW w:w="0" w:type="auto"/>
          </w:tcPr>
          <w:p>
            <w:pPr>
              <w:spacing w:line="240" w:lineRule="auto" w:before="0" w:after="0"/>
              <w:pStyle w:val="Compact"/>
            </w:pPr>
            <w:r>
              <w:rPr>
                <w:sz w:val="20"/>
                <w:szCs w:val="20"/>
              </w:rPr>
              <w:t xml:space="preserve">0.2792</w:t>
            </w:r>
          </w:p>
        </w:tc>
        <w:tc>
          <w:tcPr>
            <w:tcW w:w="0" w:type="auto"/>
          </w:tcPr>
          <w:p>
            <w:pPr>
              <w:spacing w:line="240" w:lineRule="auto" w:before="0" w:after="0"/>
              <w:pStyle w:val="Compact"/>
            </w:pPr>
            <w:r>
              <w:rPr>
                <w:sz w:val="20"/>
                <w:szCs w:val="20"/>
              </w:rPr>
              <w:t xml:space="preserve">[-0.1494, 0.5175]</w:t>
            </w:r>
          </w:p>
        </w:tc>
      </w:tr>
      <w:tr>
        <w:tc>
          <w:tcPr>
            <w:tcW w:w="0" w:type="auto"/>
          </w:tcPr>
          <w:p>
            <w:pPr>
              <w:spacing w:line="240" w:lineRule="auto" w:before="0" w:after="0"/>
              <w:pStyle w:val="Compact"/>
            </w:pPr>
            <w:r>
              <w:rPr>
                <w:sz w:val="20"/>
                <w:szCs w:val="20"/>
              </w:rPr>
              <w:t xml:space="preserve">year_ioc</w:t>
            </w:r>
          </w:p>
        </w:tc>
        <w:tc>
          <w:tcPr>
            <w:tcW w:w="0" w:type="auto"/>
          </w:tcPr>
          <w:p>
            <w:pPr>
              <w:spacing w:line="240" w:lineRule="auto" w:before="0" w:after="0"/>
              <w:pStyle w:val="Compact"/>
            </w:pPr>
            <w:r>
              <w:rPr>
                <w:sz w:val="20"/>
                <w:szCs w:val="20"/>
              </w:rPr>
              <w:t xml:space="preserve">0.039</w:t>
            </w:r>
          </w:p>
        </w:tc>
        <w:tc>
          <w:tcPr>
            <w:tcW w:w="0" w:type="auto"/>
          </w:tcPr>
          <w:p>
            <w:pPr>
              <w:spacing w:line="240" w:lineRule="auto" w:before="0" w:after="0"/>
              <w:pStyle w:val="Compact"/>
            </w:pPr>
            <w:r>
              <w:rPr>
                <w:sz w:val="20"/>
                <w:szCs w:val="20"/>
              </w:rPr>
              <w:t xml:space="preserve">0.0209</w:t>
            </w:r>
          </w:p>
        </w:tc>
        <w:tc>
          <w:tcPr>
            <w:tcW w:w="0" w:type="auto"/>
          </w:tcPr>
          <w:p>
            <w:pPr>
              <w:spacing w:line="240" w:lineRule="auto" w:before="0" w:after="0"/>
              <w:pStyle w:val="Compact"/>
            </w:pPr>
            <w:r>
              <w:rPr>
                <w:sz w:val="20"/>
                <w:szCs w:val="20"/>
              </w:rPr>
              <w:t xml:space="preserve">1.8645</w:t>
            </w:r>
          </w:p>
        </w:tc>
        <w:tc>
          <w:tcPr>
            <w:tcW w:w="0" w:type="auto"/>
          </w:tcPr>
          <w:p>
            <w:pPr>
              <w:spacing w:line="240" w:lineRule="auto" w:before="0" w:after="0"/>
              <w:pStyle w:val="Compact"/>
            </w:pPr>
            <w:r>
              <w:rPr>
                <w:sz w:val="20"/>
                <w:szCs w:val="20"/>
              </w:rPr>
              <w:t xml:space="preserve">0.0623</w:t>
            </w:r>
          </w:p>
        </w:tc>
        <w:tc>
          <w:tcPr>
            <w:tcW w:w="0" w:type="auto"/>
          </w:tcPr>
          <w:p>
            <w:pPr>
              <w:spacing w:line="240" w:lineRule="auto" w:before="0" w:after="0"/>
              <w:pStyle w:val="Compact"/>
            </w:pPr>
            <w:r>
              <w:rPr>
                <w:sz w:val="20"/>
                <w:szCs w:val="20"/>
              </w:rPr>
              <w:t xml:space="preserve">[-0.002, 0.08]</w:t>
            </w:r>
          </w:p>
        </w:tc>
      </w:tr>
    </w:tbl>
    <w:p>
      <w:pPr>
        <w:pStyle w:val="BodyText"/>
      </w:pPr>
      <w:r>
        <w:t xml:space="preserve">Fit: N = 32 R2 = 0.3213 R2_adj = 0.2208 F = 3.4081 F_p = 0.0222</w:t>
      </w:r>
    </w:p>
    <w:p>
      <w:pPr>
        <w:pStyle w:val="CaptionedFigure"/>
      </w:pPr>
      <w:r>
        <w:drawing>
          <wp:inline>
            <wp:extent cx="5669280" cy="3657600"/>
            <wp:effectExtent b="0" l="0" r="0" t="0"/>
            <wp:docPr descr="Figure 1. Onboard autonomy level versus log daily image yield across 32 Earth-observing missions." title="" id="78" name="Picture"/>
            <a:graphic>
              <a:graphicData uri="http://schemas.openxmlformats.org/drawingml/2006/picture">
                <pic:pic>
                  <pic:nvPicPr>
                    <pic:cNvPr descr="D:\Claude_Code\brain\collegium\candidates\dissertations\JPL_INSTRUMENTS_NAV_04\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Onboard autonomy level versus log daily image yield across 32 Earth-observing missions.</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year_ioc</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agility_deg_s</w:t>
            </w:r>
          </w:p>
        </w:tc>
        <w:tc>
          <w:tcPr>
            <w:tcW w:w="0" w:type="auto"/>
          </w:tcPr>
          <w:p>
            <w:pPr>
              <w:spacing w:line="240" w:lineRule="auto" w:before="0" w:after="0"/>
              <w:pStyle w:val="Compact"/>
            </w:pPr>
            <w:r>
              <w:rPr>
                <w:sz w:val="20"/>
                <w:szCs w:val="20"/>
              </w:rPr>
              <w:t xml:space="preserve">downlink_gbps</w:t>
            </w:r>
          </w:p>
        </w:tc>
        <w:tc>
          <w:tcPr>
            <w:tcW w:w="0" w:type="auto"/>
          </w:tcPr>
          <w:p>
            <w:pPr>
              <w:spacing w:line="240" w:lineRule="auto" w:before="0" w:after="0"/>
              <w:pStyle w:val="Compact"/>
            </w:pPr>
            <w:r>
              <w:rPr>
                <w:sz w:val="20"/>
                <w:szCs w:val="20"/>
              </w:rPr>
              <w:t xml:space="preserve">images_per_day</w:t>
            </w:r>
          </w:p>
        </w:tc>
        <w:tc>
          <w:tcPr>
            <w:tcW w:w="0" w:type="auto"/>
          </w:tcPr>
          <w:p>
            <w:pPr>
              <w:spacing w:line="240" w:lineRule="auto" w:before="0" w:after="0"/>
              <w:pStyle w:val="Compact"/>
            </w:pPr>
            <w:r>
              <w:rPr>
                <w:sz w:val="20"/>
                <w:szCs w:val="20"/>
              </w:rPr>
              <w:t xml:space="preserve">revisit_days</w:t>
            </w:r>
          </w:p>
        </w:tc>
        <w:tc>
          <w:tcPr>
            <w:tcW w:w="0" w:type="auto"/>
          </w:tcPr>
          <w:p>
            <w:pPr>
              <w:spacing w:line="240" w:lineRule="auto" w:before="0" w:after="0"/>
              <w:pStyle w:val="Compact"/>
            </w:pPr>
            <w:r>
              <w:rPr>
                <w:sz w:val="20"/>
                <w:szCs w:val="20"/>
              </w:rPr>
              <w:t xml:space="preserve">sensor_gsd_m</w:t>
            </w:r>
          </w:p>
        </w:tc>
        <w:tc>
          <w:tcPr>
            <w:tcW w:w="0" w:type="auto"/>
          </w:tcPr>
          <w:p>
            <w:pPr>
              <w:spacing w:line="240" w:lineRule="auto" w:before="0" w:after="0"/>
              <w:pStyle w:val="Compact"/>
            </w:pPr>
            <w:r>
              <w:rPr>
                <w:sz w:val="20"/>
                <w:szCs w:val="20"/>
              </w:rPr>
              <w:t xml:space="preserve">log_images_per_day</w:t>
            </w:r>
          </w:p>
        </w:tc>
        <w:tc>
          <w:tcPr>
            <w:tcW w:w="0" w:type="auto"/>
          </w:tcPr>
          <w:p>
            <w:pPr>
              <w:spacing w:line="240" w:lineRule="auto" w:before="0" w:after="0"/>
              <w:pStyle w:val="Compact"/>
            </w:pPr>
            <w:r>
              <w:rPr>
                <w:sz w:val="20"/>
                <w:szCs w:val="20"/>
              </w:rPr>
              <w:t xml:space="preserve">log_downlink_gbps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EO-1</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0.105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-2.2538</w:t>
            </w:r>
          </w:p>
        </w:tc>
        <w:tc>
          <w:tcPr>
            <w:tcW w:w="0" w:type="auto"/>
          </w:tcPr>
          <w:p>
            <w:pPr>
              <w:spacing w:line="240" w:lineRule="auto" w:before="0" w:after="0"/>
              <w:pStyle w:val="Compact"/>
            </w:pPr>
            <w:r>
              <w:rPr>
                <w:sz w:val="20"/>
                <w:szCs w:val="20"/>
              </w:rPr>
              <w:t xml:space="preserve">Chien et al. 2005 ASE/EO-1 Autonomous Sciencecraft Experiment, JAIS 2005; NASA NTRS 20050166689</w:t>
            </w:r>
          </w:p>
        </w:tc>
      </w:tr>
      <w:tr>
        <w:tc>
          <w:tcPr>
            <w:tcW w:w="0" w:type="auto"/>
          </w:tcPr>
          <w:p>
            <w:pPr>
              <w:spacing w:line="240" w:lineRule="auto" w:before="0" w:after="0"/>
              <w:pStyle w:val="Compact"/>
            </w:pPr>
            <w:r>
              <w:rPr>
                <w:sz w:val="20"/>
                <w:szCs w:val="20"/>
              </w:rPr>
              <w:t xml:space="preserve">Landsat-7</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6.2766</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Markham et al. 2004 IEEE TGRS 42(12); USGS Landsat-7 Data Users Handbook v2</w:t>
            </w:r>
          </w:p>
        </w:tc>
      </w:tr>
      <w:tr>
        <w:tc>
          <w:tcPr>
            <w:tcW w:w="0" w:type="auto"/>
          </w:tcPr>
          <w:p>
            <w:pPr>
              <w:spacing w:line="240" w:lineRule="auto" w:before="0" w:after="0"/>
              <w:pStyle w:val="Compact"/>
            </w:pPr>
            <w:r>
              <w:rPr>
                <w:sz w:val="20"/>
                <w:szCs w:val="20"/>
              </w:rPr>
              <w:t xml:space="preserve">Landsat-8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0.384</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6.5862</w:t>
            </w:r>
          </w:p>
        </w:tc>
        <w:tc>
          <w:tcPr>
            <w:tcW w:w="0" w:type="auto"/>
          </w:tcPr>
          <w:p>
            <w:pPr>
              <w:spacing w:line="240" w:lineRule="auto" w:before="0" w:after="0"/>
              <w:pStyle w:val="Compact"/>
            </w:pPr>
            <w:r>
              <w:rPr>
                <w:sz w:val="20"/>
                <w:szCs w:val="20"/>
              </w:rPr>
              <w:t xml:space="preserve">-0.9571</w:t>
            </w:r>
          </w:p>
        </w:tc>
        <w:tc>
          <w:tcPr>
            <w:tcW w:w="0" w:type="auto"/>
          </w:tcPr>
          <w:p>
            <w:pPr>
              <w:spacing w:line="240" w:lineRule="auto" w:before="0" w:after="0"/>
              <w:pStyle w:val="Compact"/>
            </w:pPr>
            <w:r>
              <w:rPr>
                <w:sz w:val="20"/>
                <w:szCs w:val="20"/>
              </w:rPr>
              <w:t xml:space="preserve">Roy et al. 2014 RSE 145; USGS Landsat-8 Data Users Handbook 2019</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0.384</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6.6201</w:t>
            </w:r>
          </w:p>
        </w:tc>
        <w:tc>
          <w:tcPr>
            <w:tcW w:w="0" w:type="auto"/>
          </w:tcPr>
          <w:p>
            <w:pPr>
              <w:spacing w:line="240" w:lineRule="auto" w:before="0" w:after="0"/>
              <w:pStyle w:val="Compact"/>
            </w:pPr>
            <w:r>
              <w:rPr>
                <w:sz w:val="20"/>
                <w:szCs w:val="20"/>
              </w:rPr>
              <w:t xml:space="preserve">-0.9571</w:t>
            </w:r>
          </w:p>
        </w:tc>
        <w:tc>
          <w:tcPr>
            <w:tcW w:w="0" w:type="auto"/>
          </w:tcPr>
          <w:p>
            <w:pPr>
              <w:spacing w:line="240" w:lineRule="auto" w:before="0" w:after="0"/>
              <w:pStyle w:val="Compact"/>
            </w:pPr>
            <w:r>
              <w:rPr>
                <w:sz w:val="20"/>
                <w:szCs w:val="20"/>
              </w:rPr>
              <w:t xml:space="preserve">Masek et al. 2020 RSE 248; USGS Landsat-9 Mission Brochure 2021</w:t>
            </w:r>
          </w:p>
        </w:tc>
      </w:tr>
      <w:tr>
        <w:tc>
          <w:tcPr>
            <w:tcW w:w="0" w:type="auto"/>
          </w:tcPr>
          <w:p>
            <w:pPr>
              <w:spacing w:line="240" w:lineRule="auto" w:before="0" w:after="0"/>
              <w:pStyle w:val="Compact"/>
            </w:pPr>
            <w:r>
              <w:rPr>
                <w:sz w:val="20"/>
                <w:szCs w:val="20"/>
              </w:rPr>
              <w:t xml:space="preserve">Terra-ASTER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Yamaguchi et al. 1998 IEEE TGRS 36(4); NASA JPL ASTER User Handbook v2</w:t>
            </w:r>
          </w:p>
        </w:tc>
      </w:tr>
      <w:tr>
        <w:tc>
          <w:tcPr>
            <w:tcW w:w="0" w:type="auto"/>
          </w:tcPr>
          <w:p>
            <w:pPr>
              <w:spacing w:line="240" w:lineRule="auto" w:before="0" w:after="0"/>
              <w:pStyle w:val="Compact"/>
            </w:pPr>
            <w:r>
              <w:rPr>
                <w:sz w:val="20"/>
                <w:szCs w:val="20"/>
              </w:rPr>
              <w:t xml:space="preserve">WorldView-1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7.1701</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DigitalGlobe WorldView-1 Datasheet 2009; Ridley &amp; Fall 2007 ASPRS proc.</w:t>
            </w:r>
          </w:p>
        </w:tc>
      </w:tr>
      <w:tr>
        <w:tc>
          <w:tcPr>
            <w:tcW w:w="0" w:type="auto"/>
          </w:tcPr>
          <w:p>
            <w:pPr>
              <w:spacing w:line="240" w:lineRule="auto" w:before="0" w:after="0"/>
              <w:pStyle w:val="Compact"/>
            </w:pPr>
            <w:r>
              <w:rPr>
                <w:sz w:val="20"/>
                <w:szCs w:val="20"/>
              </w:rPr>
              <w:t xml:space="preserve">WorldView-2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6.8824</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DigitalGlobe WorldView-2 Datasheet 2010; Updike &amp; Comp 2010 DG technical note</w:t>
            </w:r>
          </w:p>
        </w:tc>
      </w:tr>
      <w:tr>
        <w:tc>
          <w:tcPr>
            <w:tcW w:w="0" w:type="auto"/>
          </w:tcPr>
          <w:p>
            <w:pPr>
              <w:spacing w:line="240" w:lineRule="auto" w:before="0" w:after="0"/>
              <w:pStyle w:val="Compact"/>
            </w:pPr>
            <w:r>
              <w:rPr>
                <w:sz w:val="20"/>
                <w:szCs w:val="20"/>
              </w:rPr>
              <w:t xml:space="preserve">WorldView-3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6.5221</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Maxar WorldView-3 Datasheet 2017; Kruse &amp; Perry 2013 Remote Sens. 5(6)</w:t>
            </w:r>
          </w:p>
        </w:tc>
      </w:tr>
      <w:tr>
        <w:tc>
          <w:tcPr>
            <w:tcW w:w="0" w:type="auto"/>
          </w:tcPr>
          <w:p>
            <w:pPr>
              <w:spacing w:line="240" w:lineRule="auto" w:before="0" w:after="0"/>
              <w:pStyle w:val="Compact"/>
            </w:pPr>
            <w:r>
              <w:rPr>
                <w:sz w:val="20"/>
                <w:szCs w:val="20"/>
              </w:rPr>
              <w:t xml:space="preserve">GeoEye-1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6.5511</w:t>
            </w:r>
          </w:p>
        </w:tc>
        <w:tc>
          <w:tcPr>
            <w:tcW w:w="0" w:type="auto"/>
          </w:tcPr>
          <w:p>
            <w:pPr>
              <w:spacing w:line="240" w:lineRule="auto" w:before="0" w:after="0"/>
              <w:pStyle w:val="Compact"/>
            </w:pPr>
            <w:r>
              <w:rPr>
                <w:sz w:val="20"/>
                <w:szCs w:val="20"/>
              </w:rPr>
              <w:t xml:space="preserve">-0.3011</w:t>
            </w:r>
          </w:p>
        </w:tc>
        <w:tc>
          <w:tcPr>
            <w:tcW w:w="0" w:type="auto"/>
          </w:tcPr>
          <w:p>
            <w:pPr>
              <w:spacing w:line="240" w:lineRule="auto" w:before="0" w:after="0"/>
              <w:pStyle w:val="Compact"/>
            </w:pPr>
            <w:r>
              <w:rPr>
                <w:sz w:val="20"/>
                <w:szCs w:val="20"/>
              </w:rPr>
              <w:t xml:space="preserve">GeoEye-1 Imagery Product Guide 2009; Dial et al. 2003 PE&amp;RS 69(5)</w:t>
            </w:r>
          </w:p>
        </w:tc>
      </w:tr>
      <w:tr>
        <w:tc>
          <w:tcPr>
            <w:tcW w:w="0" w:type="auto"/>
          </w:tcPr>
          <w:p>
            <w:pPr>
              <w:spacing w:line="240" w:lineRule="auto" w:before="0" w:after="0"/>
              <w:pStyle w:val="Compact"/>
            </w:pPr>
            <w:r>
              <w:rPr>
                <w:sz w:val="20"/>
                <w:szCs w:val="20"/>
              </w:rPr>
              <w:t xml:space="preserve">QuickBird</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-1.1394</w:t>
            </w:r>
          </w:p>
        </w:tc>
        <w:tc>
          <w:tcPr>
            <w:tcW w:w="0" w:type="auto"/>
          </w:tcPr>
          <w:p>
            <w:pPr>
              <w:spacing w:line="240" w:lineRule="auto" w:before="0" w:after="0"/>
              <w:pStyle w:val="Compact"/>
            </w:pPr>
            <w:r>
              <w:rPr>
                <w:sz w:val="20"/>
                <w:szCs w:val="20"/>
              </w:rPr>
              <w:t xml:space="preserve">DigitalGlobe QuickBird Imagery Products v5 2007; Toutin 2004 PE&amp;RS 70(5)</w:t>
            </w:r>
          </w:p>
        </w:tc>
      </w:tr>
      <w:tr>
        <w:tc>
          <w:tcPr>
            <w:tcW w:w="0" w:type="auto"/>
          </w:tcPr>
          <w:p>
            <w:pPr>
              <w:spacing w:line="240" w:lineRule="auto" w:before="0" w:after="0"/>
              <w:pStyle w:val="Compact"/>
            </w:pPr>
            <w:r>
              <w:rPr>
                <w:sz w:val="20"/>
                <w:szCs w:val="20"/>
              </w:rPr>
              <w:t xml:space="preserve">IKONOS</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Space Imaging IKONOS Product Guide v1.5 2006; Dial 2000 ISPRS XXXIII</w:t>
            </w:r>
          </w:p>
        </w:tc>
      </w:tr>
      <w:tr>
        <w:tc>
          <w:tcPr>
            <w:tcW w:w="0" w:type="auto"/>
          </w:tcPr>
          <w:p>
            <w:pPr>
              <w:spacing w:line="240" w:lineRule="auto" w:before="0" w:after="0"/>
              <w:pStyle w:val="Compact"/>
            </w:pPr>
            <w:r>
              <w:rPr>
                <w:sz w:val="20"/>
                <w:szCs w:val="20"/>
              </w:rPr>
              <w:t xml:space="preserve">RapidEye-A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-2.5257</w:t>
            </w:r>
          </w:p>
        </w:tc>
        <w:tc>
          <w:tcPr>
            <w:tcW w:w="0" w:type="auto"/>
          </w:tcPr>
          <w:p>
            <w:pPr>
              <w:spacing w:line="240" w:lineRule="auto" w:before="0" w:after="0"/>
              <w:pStyle w:val="Compact"/>
            </w:pPr>
            <w:r>
              <w:rPr>
                <w:sz w:val="20"/>
                <w:szCs w:val="20"/>
              </w:rPr>
              <w:t xml:space="preserve">BlackBridge RapidEye Satellite Imagery Product Specifications v6.1 2015</w:t>
            </w:r>
          </w:p>
        </w:tc>
      </w:tr>
      <w:tr>
        <w:tc>
          <w:tcPr>
            <w:tcW w:w="0" w:type="auto"/>
          </w:tcPr>
          <w:p>
            <w:pPr>
              <w:spacing w:line="240" w:lineRule="auto" w:before="0" w:after="0"/>
              <w:pStyle w:val="Compact"/>
            </w:pPr>
            <w:r>
              <w:rPr>
                <w:sz w:val="20"/>
                <w:szCs w:val="20"/>
              </w:rPr>
              <w:t xml:space="preserve">PlanetScope-Dove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7.824</w:t>
            </w:r>
          </w:p>
        </w:tc>
        <w:tc>
          <w:tcPr>
            <w:tcW w:w="0" w:type="auto"/>
          </w:tcPr>
          <w:p>
            <w:pPr>
              <w:spacing w:line="240" w:lineRule="auto" w:before="0" w:after="0"/>
              <w:pStyle w:val="Compact"/>
            </w:pPr>
            <w:r>
              <w:rPr>
                <w:sz w:val="20"/>
                <w:szCs w:val="20"/>
              </w:rPr>
              <w:t xml:space="preserve">-1.5141</w:t>
            </w:r>
          </w:p>
        </w:tc>
        <w:tc>
          <w:tcPr>
            <w:tcW w:w="0" w:type="auto"/>
          </w:tcPr>
          <w:p>
            <w:pPr>
              <w:spacing w:line="240" w:lineRule="auto" w:before="0" w:after="0"/>
              <w:pStyle w:val="Compact"/>
            </w:pPr>
            <w:r>
              <w:rPr>
                <w:sz w:val="20"/>
                <w:szCs w:val="20"/>
              </w:rPr>
              <w:t xml:space="preserve">Planet Labs PBC Imagery Specification 2022; Houborg &amp; McCabe 2018 RSE 209</w:t>
            </w:r>
          </w:p>
        </w:tc>
      </w:tr>
      <w:tr>
        <w:tc>
          <w:tcPr>
            <w:tcW w:w="0" w:type="auto"/>
          </w:tcPr>
          <w:p>
            <w:pPr>
              <w:spacing w:line="240" w:lineRule="auto" w:before="0" w:after="0"/>
              <w:pStyle w:val="Compact"/>
            </w:pPr>
            <w:r>
              <w:rPr>
                <w:sz w:val="20"/>
                <w:szCs w:val="20"/>
              </w:rPr>
              <w:t xml:space="preserve">SkySat-1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Planet SkySat Imagery Product Spec 2020; Murthy et al. 2014 SPIE 9241</w:t>
            </w:r>
          </w:p>
        </w:tc>
      </w:tr>
      <w:tr>
        <w:tc>
          <w:tcPr>
            <w:tcW w:w="0" w:type="auto"/>
          </w:tcPr>
          <w:p>
            <w:pPr>
              <w:spacing w:line="240" w:lineRule="auto" w:before="0" w:after="0"/>
              <w:pStyle w:val="Compact"/>
            </w:pPr>
            <w:r>
              <w:rPr>
                <w:sz w:val="20"/>
                <w:szCs w:val="20"/>
              </w:rPr>
              <w:t xml:space="preserve">SPOT-6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6.3969</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Airbus SPOT 6 and 7 Imagery User Guide 2019; Astrium SPOT-6 product brief 2012</w:t>
            </w:r>
          </w:p>
        </w:tc>
      </w:tr>
      <w:tr>
        <w:tc>
          <w:tcPr>
            <w:tcW w:w="0" w:type="auto"/>
          </w:tcPr>
          <w:p>
            <w:pPr>
              <w:spacing w:line="240" w:lineRule="auto" w:before="0" w:after="0"/>
              <w:pStyle w:val="Compact"/>
            </w:pPr>
            <w:r>
              <w:rPr>
                <w:sz w:val="20"/>
                <w:szCs w:val="20"/>
              </w:rPr>
              <w:t xml:space="preserve">SPOT-7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6.3969</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Airbus SPOT 6 and 7 Imagery User Guide 2019</w:t>
            </w:r>
          </w:p>
        </w:tc>
      </w:tr>
      <w:tr>
        <w:tc>
          <w:tcPr>
            <w:tcW w:w="0" w:type="auto"/>
          </w:tcPr>
          <w:p>
            <w:pPr>
              <w:spacing w:line="240" w:lineRule="auto" w:before="0" w:after="0"/>
              <w:pStyle w:val="Compact"/>
            </w:pPr>
            <w:r>
              <w:rPr>
                <w:sz w:val="20"/>
                <w:szCs w:val="20"/>
              </w:rPr>
              <w:t xml:space="preserve">Pleiades-1A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6.1092</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Airbus Pleiades Imagery User Guide 2012; Gleyzes et al. 2012 ISPRS Annals I-7</w:t>
            </w:r>
          </w:p>
        </w:tc>
      </w:tr>
      <w:tr>
        <w:tc>
          <w:tcPr>
            <w:tcW w:w="0" w:type="auto"/>
          </w:tcPr>
          <w:p>
            <w:pPr>
              <w:spacing w:line="240" w:lineRule="auto" w:before="0" w:after="0"/>
              <w:pStyle w:val="Compact"/>
            </w:pPr>
            <w:r>
              <w:rPr>
                <w:sz w:val="20"/>
                <w:szCs w:val="20"/>
              </w:rPr>
              <w:t xml:space="preserve">Pleiades-1B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6.1092</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Airbus Pleiades Imagery User Guide 2012</w:t>
            </w:r>
          </w:p>
        </w:tc>
      </w:tr>
      <w:tr>
        <w:tc>
          <w:tcPr>
            <w:tcW w:w="0" w:type="auto"/>
          </w:tcPr>
          <w:p>
            <w:pPr>
              <w:spacing w:line="240" w:lineRule="auto" w:before="0" w:after="0"/>
              <w:pStyle w:val="Compact"/>
            </w:pPr>
            <w:r>
              <w:rPr>
                <w:sz w:val="20"/>
                <w:szCs w:val="20"/>
              </w:rPr>
              <w:t xml:space="preserve">Sentinel-2A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7.3778</w:t>
            </w:r>
          </w:p>
        </w:tc>
        <w:tc>
          <w:tcPr>
            <w:tcW w:w="0" w:type="auto"/>
          </w:tcPr>
          <w:p>
            <w:pPr>
              <w:spacing w:line="240" w:lineRule="auto" w:before="0" w:after="0"/>
              <w:pStyle w:val="Compact"/>
            </w:pPr>
            <w:r>
              <w:rPr>
                <w:sz w:val="20"/>
                <w:szCs w:val="20"/>
              </w:rPr>
              <w:t xml:space="preserve">-0.6539</w:t>
            </w:r>
          </w:p>
        </w:tc>
        <w:tc>
          <w:tcPr>
            <w:tcW w:w="0" w:type="auto"/>
          </w:tcPr>
          <w:p>
            <w:pPr>
              <w:spacing w:line="240" w:lineRule="auto" w:before="0" w:after="0"/>
              <w:pStyle w:val="Compact"/>
            </w:pPr>
            <w:r>
              <w:rPr>
                <w:sz w:val="20"/>
                <w:szCs w:val="20"/>
              </w:rPr>
              <w:t xml:space="preserve">ESA Sentinel-2 User Handbook 2015; Drusch et al. 2012 RSE 120</w:t>
            </w:r>
          </w:p>
        </w:tc>
      </w:tr>
      <w:tr>
        <w:tc>
          <w:tcPr>
            <w:tcW w:w="0" w:type="auto"/>
          </w:tcPr>
          <w:p>
            <w:pPr>
              <w:spacing w:line="240" w:lineRule="auto" w:before="0" w:after="0"/>
              <w:pStyle w:val="Compact"/>
            </w:pPr>
            <w:r>
              <w:rPr>
                <w:sz w:val="20"/>
                <w:szCs w:val="20"/>
              </w:rPr>
              <w:t xml:space="preserve">Sentinel-2B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7.3778</w:t>
            </w:r>
          </w:p>
        </w:tc>
        <w:tc>
          <w:tcPr>
            <w:tcW w:w="0" w:type="auto"/>
          </w:tcPr>
          <w:p>
            <w:pPr>
              <w:spacing w:line="240" w:lineRule="auto" w:before="0" w:after="0"/>
              <w:pStyle w:val="Compact"/>
            </w:pPr>
            <w:r>
              <w:rPr>
                <w:sz w:val="20"/>
                <w:szCs w:val="20"/>
              </w:rPr>
              <w:t xml:space="preserve">-0.6539</w:t>
            </w:r>
          </w:p>
        </w:tc>
        <w:tc>
          <w:tcPr>
            <w:tcW w:w="0" w:type="auto"/>
          </w:tcPr>
          <w:p>
            <w:pPr>
              <w:spacing w:line="240" w:lineRule="auto" w:before="0" w:after="0"/>
              <w:pStyle w:val="Compact"/>
            </w:pPr>
            <w:r>
              <w:rPr>
                <w:sz w:val="20"/>
                <w:szCs w:val="20"/>
              </w:rPr>
              <w:t xml:space="preserve">ESA Sentinel-2 User Handbook 2015</w:t>
            </w:r>
          </w:p>
        </w:tc>
      </w:tr>
      <w:tr>
        <w:tc>
          <w:tcPr>
            <w:tcW w:w="0" w:type="auto"/>
          </w:tcPr>
          <w:p>
            <w:pPr>
              <w:spacing w:line="240" w:lineRule="auto" w:before="0" w:after="0"/>
              <w:pStyle w:val="Compact"/>
            </w:pPr>
            <w:r>
              <w:rPr>
                <w:sz w:val="20"/>
                <w:szCs w:val="20"/>
              </w:rPr>
              <w:t xml:space="preserve">Sentinel-1A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-0.6539</w:t>
            </w:r>
          </w:p>
        </w:tc>
        <w:tc>
          <w:tcPr>
            <w:tcW w:w="0" w:type="auto"/>
          </w:tcPr>
          <w:p>
            <w:pPr>
              <w:spacing w:line="240" w:lineRule="auto" w:before="0" w:after="0"/>
              <w:pStyle w:val="Compact"/>
            </w:pPr>
            <w:r>
              <w:rPr>
                <w:sz w:val="20"/>
                <w:szCs w:val="20"/>
              </w:rPr>
              <w:t xml:space="preserve">ESA Sentinel-1 User Handbook 2013; Torres et al. 2012 RSE 120</w:t>
            </w:r>
          </w:p>
        </w:tc>
      </w:tr>
      <w:tr>
        <w:tc>
          <w:tcPr>
            <w:tcW w:w="0" w:type="auto"/>
          </w:tcPr>
          <w:p>
            <w:pPr>
              <w:spacing w:line="240" w:lineRule="auto" w:before="0" w:after="0"/>
              <w:pStyle w:val="Compact"/>
            </w:pPr>
            <w:r>
              <w:rPr>
                <w:sz w:val="20"/>
                <w:szCs w:val="20"/>
              </w:rPr>
              <w:t xml:space="preserve">TerraSAR-X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Airbus TerraSAR-X Product Guide 2014; Werninghaus &amp; Buckreuss 2010 IEEE TGRS 48(2)</w:t>
            </w:r>
          </w:p>
        </w:tc>
      </w:tr>
      <w:tr>
        <w:tc>
          <w:tcPr>
            <w:tcW w:w="0" w:type="auto"/>
          </w:tcPr>
          <w:p>
            <w:pPr>
              <w:spacing w:line="240" w:lineRule="auto" w:before="0" w:after="0"/>
              <w:pStyle w:val="Compact"/>
            </w:pPr>
            <w:r>
              <w:rPr>
                <w:sz w:val="20"/>
                <w:szCs w:val="20"/>
              </w:rPr>
              <w:t xml:space="preserve">COSMO-SkyMed-1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375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5.9269</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Italian Space Agency COSMO-SkyMed Mission Description 2007; Caltagirone et al. 2007 IEEE Geosci. Remote Sens. Symp.</w:t>
            </w:r>
          </w:p>
        </w:tc>
      </w:tr>
      <w:tr>
        <w:tc>
          <w:tcPr>
            <w:tcW w:w="0" w:type="auto"/>
          </w:tcPr>
          <w:p>
            <w:pPr>
              <w:spacing w:line="240" w:lineRule="auto" w:before="0" w:after="0"/>
              <w:pStyle w:val="Compact"/>
            </w:pPr>
            <w:r>
              <w:rPr>
                <w:sz w:val="20"/>
                <w:szCs w:val="20"/>
              </w:rPr>
              <w:t xml:space="preserve">RADARSAT-2</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0.105</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-2.2538</w:t>
            </w:r>
          </w:p>
        </w:tc>
        <w:tc>
          <w:tcPr>
            <w:tcW w:w="0" w:type="auto"/>
          </w:tcPr>
          <w:p>
            <w:pPr>
              <w:spacing w:line="240" w:lineRule="auto" w:before="0" w:after="0"/>
              <w:pStyle w:val="Compact"/>
            </w:pPr>
            <w:r>
              <w:rPr>
                <w:sz w:val="20"/>
                <w:szCs w:val="20"/>
              </w:rPr>
              <w:t xml:space="preserve">MDA RADARSAT-2 Product Description 2018; Morena et al. 2004 Canadian J. Remote Sensing 30(3)</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5.8999</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Markus et al. 2017 RSE 190; NASA ICESat-2 Mission Handbook 2018</w:t>
            </w:r>
          </w:p>
        </w:tc>
      </w:tr>
      <w:tr>
        <w:tc>
          <w:tcPr>
            <w:tcW w:w="0" w:type="auto"/>
          </w:tcPr>
          <w:p>
            <w:pPr>
              <w:spacing w:line="240" w:lineRule="auto" w:before="0" w:after="0"/>
              <w:pStyle w:val="Compact"/>
            </w:pPr>
            <w:r>
              <w:rPr>
                <w:sz w:val="20"/>
                <w:szCs w:val="20"/>
              </w:rPr>
              <w:t xml:space="preserve">GOES-16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0.075</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7.2724</w:t>
            </w:r>
          </w:p>
        </w:tc>
        <w:tc>
          <w:tcPr>
            <w:tcW w:w="0" w:type="auto"/>
          </w:tcPr>
          <w:p>
            <w:pPr>
              <w:spacing w:line="240" w:lineRule="auto" w:before="0" w:after="0"/>
              <w:pStyle w:val="Compact"/>
            </w:pPr>
            <w:r>
              <w:rPr>
                <w:sz w:val="20"/>
                <w:szCs w:val="20"/>
              </w:rPr>
              <w:t xml:space="preserve">-2.5903</w:t>
            </w:r>
          </w:p>
        </w:tc>
        <w:tc>
          <w:tcPr>
            <w:tcW w:w="0" w:type="auto"/>
          </w:tcPr>
          <w:p>
            <w:pPr>
              <w:spacing w:line="240" w:lineRule="auto" w:before="0" w:after="0"/>
              <w:pStyle w:val="Compact"/>
            </w:pPr>
            <w:r>
              <w:rPr>
                <w:sz w:val="20"/>
                <w:szCs w:val="20"/>
              </w:rPr>
              <w:t xml:space="preserve">Schmit et al. 2017 BAMS 98(4); NOAA GOES-R Series Data Book 2019</w:t>
            </w:r>
          </w:p>
        </w:tc>
      </w:tr>
      <w:tr>
        <w:tc>
          <w:tcPr>
            <w:tcW w:w="0" w:type="auto"/>
          </w:tcPr>
          <w:p>
            <w:pPr>
              <w:spacing w:line="240" w:lineRule="auto" w:before="0" w:after="0"/>
              <w:pStyle w:val="Compact"/>
            </w:pPr>
            <w:r>
              <w:rPr>
                <w:sz w:val="20"/>
                <w:szCs w:val="20"/>
              </w:rPr>
              <w:t xml:space="preserve">Aqua-MODIS</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5.663</w:t>
            </w:r>
          </w:p>
        </w:tc>
        <w:tc>
          <w:tcPr>
            <w:tcW w:w="0" w:type="auto"/>
          </w:tcPr>
          <w:p>
            <w:pPr>
              <w:spacing w:line="240" w:lineRule="auto" w:before="0" w:after="0"/>
              <w:pStyle w:val="Compact"/>
            </w:pPr>
            <w:r>
              <w:rPr>
                <w:sz w:val="20"/>
                <w:szCs w:val="20"/>
              </w:rPr>
              <w:t xml:space="preserve">-4.5099</w:t>
            </w:r>
          </w:p>
        </w:tc>
        <w:tc>
          <w:tcPr>
            <w:tcW w:w="0" w:type="auto"/>
          </w:tcPr>
          <w:p>
            <w:pPr>
              <w:spacing w:line="240" w:lineRule="auto" w:before="0" w:after="0"/>
              <w:pStyle w:val="Compact"/>
            </w:pPr>
            <w:r>
              <w:rPr>
                <w:sz w:val="20"/>
                <w:szCs w:val="20"/>
              </w:rPr>
              <w:t xml:space="preserve">Salomonson et al. 1989 IEEE TGRS 27(2); NASA Aqua Mission Press Kit 2002</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6.6201</w:t>
            </w:r>
          </w:p>
        </w:tc>
        <w:tc>
          <w:tcPr>
            <w:tcW w:w="0" w:type="auto"/>
          </w:tcPr>
          <w:p>
            <w:pPr>
              <w:spacing w:line="240" w:lineRule="auto" w:before="0" w:after="0"/>
              <w:pStyle w:val="Compact"/>
            </w:pPr>
            <w:r>
              <w:rPr>
                <w:sz w:val="20"/>
                <w:szCs w:val="20"/>
              </w:rPr>
              <w:t xml:space="preserve">-0.478</w:t>
            </w:r>
          </w:p>
        </w:tc>
        <w:tc>
          <w:tcPr>
            <w:tcW w:w="0" w:type="auto"/>
          </w:tcPr>
          <w:p>
            <w:pPr>
              <w:spacing w:line="240" w:lineRule="auto" w:before="0" w:after="0"/>
              <w:pStyle w:val="Compact"/>
            </w:pPr>
            <w:r>
              <w:rPr>
                <w:sz w:val="20"/>
                <w:szCs w:val="20"/>
              </w:rPr>
              <w:t xml:space="preserve">Morrow et al. 2019 Frontiers Mar. Sci. 6; NASA-CNES SWOT Mission Handbook 2022</w:t>
            </w:r>
          </w:p>
        </w:tc>
      </w:tr>
      <w:tr>
        <w:tc>
          <w:tcPr>
            <w:tcW w:w="0" w:type="auto"/>
          </w:tcPr>
          <w:p>
            <w:pPr>
              <w:spacing w:line="240" w:lineRule="auto" w:before="0" w:after="0"/>
              <w:pStyle w:val="Compact"/>
            </w:pPr>
            <w:r>
              <w:rPr>
                <w:sz w:val="20"/>
                <w:szCs w:val="20"/>
              </w:rPr>
              <w:t xml:space="preserve">Pleiades-Neo-3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Airbus Pleiades Neo Imagery User Guide 2021</w:t>
            </w:r>
          </w:p>
        </w:tc>
      </w:tr>
      <w:tr>
        <w:tc>
          <w:tcPr>
            <w:tcW w:w="0" w:type="auto"/>
          </w:tcPr>
          <w:p>
            <w:pPr>
              <w:spacing w:line="240" w:lineRule="auto" w:before="0" w:after="0"/>
              <w:pStyle w:val="Compact"/>
            </w:pPr>
            <w:r>
              <w:rPr>
                <w:sz w:val="20"/>
                <w:szCs w:val="20"/>
              </w:rPr>
              <w:t xml:space="preserve">Pleiades-Neo-4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Airbus Pleiades Neo Imagery User Guide 2021</w:t>
            </w:r>
          </w:p>
        </w:tc>
      </w:tr>
      <w:tr>
        <w:tc>
          <w:tcPr>
            <w:tcW w:w="0" w:type="auto"/>
          </w:tcPr>
          <w:p>
            <w:pPr>
              <w:spacing w:line="240" w:lineRule="auto" w:before="0" w:after="0"/>
              <w:pStyle w:val="Compact"/>
            </w:pPr>
            <w:r>
              <w:rPr>
                <w:sz w:val="20"/>
                <w:szCs w:val="20"/>
              </w:rPr>
              <w:t xml:space="preserve">KOMPSAT-3A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510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6.2344</w:t>
            </w:r>
          </w:p>
        </w:tc>
        <w:tc>
          <w:tcPr>
            <w:tcW w:w="0" w:type="auto"/>
          </w:tcPr>
          <w:p>
            <w:pPr>
              <w:spacing w:line="240" w:lineRule="auto" w:before="0" w:after="0"/>
              <w:pStyle w:val="Compact"/>
            </w:pPr>
            <w:r>
              <w:rPr>
                <w:sz w:val="20"/>
                <w:szCs w:val="20"/>
              </w:rPr>
              <w:t xml:space="preserve">-0.4463</w:t>
            </w:r>
          </w:p>
        </w:tc>
        <w:tc>
          <w:tcPr>
            <w:tcW w:w="0" w:type="auto"/>
          </w:tcPr>
          <w:p>
            <w:pPr>
              <w:spacing w:line="240" w:lineRule="auto" w:before="0" w:after="0"/>
              <w:pStyle w:val="Compact"/>
            </w:pPr>
            <w:r>
              <w:rPr>
                <w:sz w:val="20"/>
                <w:szCs w:val="20"/>
              </w:rPr>
              <w:t xml:space="preserve">KARI KOMPSAT-3A Image Data Manual 2016; Lee et al. 2017 KSAS J. 45(5)</w:t>
            </w:r>
          </w:p>
        </w:tc>
      </w:tr>
      <w:tr>
        <w:tc>
          <w:tcPr>
            <w:tcW w:w="0" w:type="auto"/>
          </w:tcPr>
          <w:p>
            <w:pPr>
              <w:spacing w:line="240" w:lineRule="auto" w:before="0" w:after="0"/>
              <w:pStyle w:val="Compact"/>
            </w:pPr>
            <w:r>
              <w:rPr>
                <w:sz w:val="20"/>
                <w:szCs w:val="20"/>
              </w:rPr>
              <w:t xml:space="preserve">ALOS-2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JAXA ALOS-2/PALSAR-2 Product Format Description 2014; Kankaku et al. 2013 IEEE Geosci. Remote Sens. Symp.</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log_images_per_day</w:t>
            </w:r>
          </w:p>
        </w:tc>
        <w:tc>
          <w:tcPr>
            <w:tcW w:w="0" w:type="auto"/>
          </w:tcPr>
          <w:p>
            <w:pPr>
              <w:spacing w:line="240" w:lineRule="auto" w:before="0" w:after="0"/>
              <w:pStyle w:val="Compact"/>
            </w:pPr>
            <w:r>
              <w:rPr>
                <w:sz w:val="20"/>
                <w:szCs w:val="20"/>
              </w:rPr>
              <w:t xml:space="preserve">Natural log of nominal daily image acquisitions per spacecraft</w:t>
            </w:r>
          </w:p>
        </w:tc>
        <w:tc>
          <w:tcPr>
            <w:tcW w:w="0" w:type="auto"/>
          </w:tcPr>
          <w:p>
            <w:pPr>
              <w:spacing w:line="240" w:lineRule="auto" w:before="0" w:after="0"/>
              <w:pStyle w:val="Compact"/>
            </w:pPr>
            <w:r>
              <w:rPr>
                <w:sz w:val="20"/>
                <w:szCs w:val="20"/>
              </w:rPr>
              <w:t xml:space="preserve">Mission user guides and product specifications cited in data.csv</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1-4 scale of onboard tasking autonomy (1 fixed schedule, 2 ground-uplinked re-task, 3 onboard re-task within plan, 4 onboard adaptive targeting / event response)</w:t>
            </w:r>
          </w:p>
        </w:tc>
        <w:tc>
          <w:tcPr>
            <w:tcW w:w="0" w:type="auto"/>
          </w:tcPr>
          <w:p>
            <w:pPr>
              <w:spacing w:line="240" w:lineRule="auto" w:before="0" w:after="0"/>
              <w:pStyle w:val="Compact"/>
            </w:pPr>
            <w:r>
              <w:rPr>
                <w:sz w:val="20"/>
                <w:szCs w:val="20"/>
              </w:rPr>
              <w:t xml:space="preserve">Adapted from Chien et al. 2005 EO-1 ASE framework and ESA OPS-SAT autonomy taxonomy</w:t>
            </w:r>
          </w:p>
        </w:tc>
      </w:tr>
      <w:tr>
        <w:tc>
          <w:tcPr>
            <w:tcW w:w="0" w:type="auto"/>
          </w:tcPr>
          <w:p>
            <w:pPr>
              <w:spacing w:line="240" w:lineRule="auto" w:before="0" w:after="0"/>
              <w:pStyle w:val="Compact"/>
            </w:pPr>
            <w:r>
              <w:rPr>
                <w:sz w:val="20"/>
                <w:szCs w:val="20"/>
              </w:rPr>
              <w:t xml:space="preserve">agility_deg_s</w:t>
            </w:r>
          </w:p>
        </w:tc>
        <w:tc>
          <w:tcPr>
            <w:tcW w:w="0" w:type="auto"/>
          </w:tcPr>
          <w:p>
            <w:pPr>
              <w:spacing w:line="240" w:lineRule="auto" w:before="0" w:after="0"/>
              <w:pStyle w:val="Compact"/>
            </w:pPr>
            <w:r>
              <w:rPr>
                <w:sz w:val="20"/>
                <w:szCs w:val="20"/>
              </w:rPr>
              <w:t xml:space="preserve">Maximum body-pointing slew rate in degrees per second</w:t>
            </w:r>
          </w:p>
        </w:tc>
        <w:tc>
          <w:tcPr>
            <w:tcW w:w="0" w:type="auto"/>
          </w:tcPr>
          <w:p>
            <w:pPr>
              <w:spacing w:line="240" w:lineRule="auto" w:before="0" w:after="0"/>
              <w:pStyle w:val="Compact"/>
            </w:pPr>
            <w:r>
              <w:rPr>
                <w:sz w:val="20"/>
                <w:szCs w:val="20"/>
              </w:rPr>
              <w:t xml:space="preserve">Vendor datasheets cited in data.csv</w:t>
            </w:r>
          </w:p>
        </w:tc>
      </w:tr>
      <w:tr>
        <w:tc>
          <w:tcPr>
            <w:tcW w:w="0" w:type="auto"/>
          </w:tcPr>
          <w:p>
            <w:pPr>
              <w:spacing w:line="240" w:lineRule="auto" w:before="0" w:after="0"/>
              <w:pStyle w:val="Compact"/>
            </w:pPr>
            <w:r>
              <w:rPr>
                <w:sz w:val="20"/>
                <w:szCs w:val="20"/>
              </w:rPr>
              <w:t xml:space="preserve">log_downlink_gbps</w:t>
            </w:r>
          </w:p>
        </w:tc>
        <w:tc>
          <w:tcPr>
            <w:tcW w:w="0" w:type="auto"/>
          </w:tcPr>
          <w:p>
            <w:pPr>
              <w:spacing w:line="240" w:lineRule="auto" w:before="0" w:after="0"/>
              <w:pStyle w:val="Compact"/>
            </w:pPr>
            <w:r>
              <w:rPr>
                <w:sz w:val="20"/>
                <w:szCs w:val="20"/>
              </w:rPr>
              <w:t xml:space="preserve">Natural log of nominal X-band/Ka-band downlink rate in Gbps</w:t>
            </w:r>
          </w:p>
        </w:tc>
        <w:tc>
          <w:tcPr>
            <w:tcW w:w="0" w:type="auto"/>
          </w:tcPr>
          <w:p>
            <w:pPr>
              <w:spacing w:line="240" w:lineRule="auto" w:before="0" w:after="0"/>
              <w:pStyle w:val="Compact"/>
            </w:pPr>
            <w:r>
              <w:rPr>
                <w:sz w:val="20"/>
                <w:szCs w:val="20"/>
              </w:rPr>
              <w:t xml:space="preserve">Vendor datasheets and mission handbooks</w:t>
            </w:r>
          </w:p>
        </w:tc>
      </w:tr>
      <w:tr>
        <w:tc>
          <w:tcPr>
            <w:tcW w:w="0" w:type="auto"/>
          </w:tcPr>
          <w:p>
            <w:pPr>
              <w:spacing w:line="240" w:lineRule="auto" w:before="0" w:after="0"/>
              <w:pStyle w:val="Compact"/>
            </w:pPr>
            <w:r>
              <w:rPr>
                <w:sz w:val="20"/>
                <w:szCs w:val="20"/>
              </w:rPr>
              <w:t xml:space="preserve">year_ioc</w:t>
            </w:r>
          </w:p>
        </w:tc>
        <w:tc>
          <w:tcPr>
            <w:tcW w:w="0" w:type="auto"/>
          </w:tcPr>
          <w:p>
            <w:pPr>
              <w:spacing w:line="240" w:lineRule="auto" w:before="0" w:after="0"/>
              <w:pStyle w:val="Compact"/>
            </w:pPr>
            <w:r>
              <w:rPr>
                <w:sz w:val="20"/>
                <w:szCs w:val="20"/>
              </w:rPr>
              <w:t xml:space="preserve">Year of initial operational capability</w:t>
            </w:r>
          </w:p>
        </w:tc>
        <w:tc>
          <w:tcPr>
            <w:tcW w:w="0" w:type="auto"/>
          </w:tcPr>
          <w:p>
            <w:pPr>
              <w:spacing w:line="240" w:lineRule="auto" w:before="0" w:after="0"/>
              <w:pStyle w:val="Compact"/>
            </w:pPr>
            <w:r>
              <w:rPr>
                <w:sz w:val="20"/>
                <w:szCs w:val="20"/>
              </w:rPr>
              <w:t xml:space="preserve">Mission press kits and NTRS records</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-71.2807</w:t>
            </w:r>
          </w:p>
        </w:tc>
        <w:tc>
          <w:tcPr>
            <w:tcW w:w="0" w:type="auto"/>
          </w:tcPr>
          <w:p>
            <w:pPr>
              <w:spacing w:line="240" w:lineRule="auto" w:before="0" w:after="0"/>
              <w:pStyle w:val="Compact"/>
            </w:pPr>
            <w:r>
              <w:rPr>
                <w:sz w:val="20"/>
                <w:szCs w:val="20"/>
              </w:rPr>
              <w:t xml:space="preserve">42.1652</w:t>
            </w:r>
          </w:p>
        </w:tc>
        <w:tc>
          <w:tcPr>
            <w:tcW w:w="0" w:type="auto"/>
          </w:tcPr>
          <w:p>
            <w:pPr>
              <w:spacing w:line="240" w:lineRule="auto" w:before="0" w:after="0"/>
              <w:pStyle w:val="Compact"/>
            </w:pPr>
            <w:r>
              <w:rPr>
                <w:sz w:val="20"/>
                <w:szCs w:val="20"/>
              </w:rPr>
              <w:t xml:space="preserve">-1.6905</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[-153.923, 11.3616]</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0.1668</w:t>
            </w:r>
          </w:p>
        </w:tc>
        <w:tc>
          <w:tcPr>
            <w:tcW w:w="0" w:type="auto"/>
          </w:tcPr>
          <w:p>
            <w:pPr>
              <w:spacing w:line="240" w:lineRule="auto" w:before="0" w:after="0"/>
              <w:pStyle w:val="Compact"/>
            </w:pPr>
            <w:r>
              <w:rPr>
                <w:sz w:val="20"/>
                <w:szCs w:val="20"/>
              </w:rPr>
              <w:t xml:space="preserve">-1.0514</w:t>
            </w:r>
          </w:p>
        </w:tc>
        <w:tc>
          <w:tcPr>
            <w:tcW w:w="0" w:type="auto"/>
          </w:tcPr>
          <w:p>
            <w:pPr>
              <w:spacing w:line="240" w:lineRule="auto" w:before="0" w:after="0"/>
              <w:pStyle w:val="Compact"/>
            </w:pPr>
            <w:r>
              <w:rPr>
                <w:sz w:val="20"/>
                <w:szCs w:val="20"/>
              </w:rPr>
              <w:t xml:space="preserve">0.2931</w:t>
            </w:r>
          </w:p>
        </w:tc>
        <w:tc>
          <w:tcPr>
            <w:tcW w:w="0" w:type="auto"/>
          </w:tcPr>
          <w:p>
            <w:pPr>
              <w:spacing w:line="240" w:lineRule="auto" w:before="0" w:after="0"/>
              <w:pStyle w:val="Compact"/>
            </w:pPr>
            <w:r>
              <w:rPr>
                <w:sz w:val="20"/>
                <w:szCs w:val="20"/>
              </w:rPr>
              <w:t xml:space="preserve">[-0.5022, 0.1515]</w:t>
            </w:r>
          </w:p>
        </w:tc>
      </w:tr>
      <w:tr>
        <w:tc>
          <w:tcPr>
            <w:tcW w:w="0" w:type="auto"/>
          </w:tcPr>
          <w:p>
            <w:pPr>
              <w:spacing w:line="240" w:lineRule="auto" w:before="0" w:after="0"/>
              <w:pStyle w:val="Compact"/>
            </w:pPr>
            <w:r>
              <w:rPr>
                <w:sz w:val="20"/>
                <w:szCs w:val="20"/>
              </w:rPr>
              <w:t xml:space="preserve">agility_deg_s</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0.1265</w:t>
            </w:r>
          </w:p>
        </w:tc>
        <w:tc>
          <w:tcPr>
            <w:tcW w:w="0" w:type="auto"/>
          </w:tcPr>
          <w:p>
            <w:pPr>
              <w:spacing w:line="240" w:lineRule="auto" w:before="0" w:after="0"/>
              <w:pStyle w:val="Compact"/>
            </w:pPr>
            <w:r>
              <w:rPr>
                <w:sz w:val="20"/>
                <w:szCs w:val="20"/>
              </w:rPr>
              <w:t xml:space="preserve">-0.4778</w:t>
            </w:r>
          </w:p>
        </w:tc>
        <w:tc>
          <w:tcPr>
            <w:tcW w:w="0" w:type="auto"/>
          </w:tcPr>
          <w:p>
            <w:pPr>
              <w:spacing w:line="240" w:lineRule="auto" w:before="0" w:after="0"/>
              <w:pStyle w:val="Compact"/>
            </w:pPr>
            <w:r>
              <w:rPr>
                <w:sz w:val="20"/>
                <w:szCs w:val="20"/>
              </w:rPr>
              <w:t xml:space="preserve">0.6328</w:t>
            </w:r>
          </w:p>
        </w:tc>
        <w:tc>
          <w:tcPr>
            <w:tcW w:w="0" w:type="auto"/>
          </w:tcPr>
          <w:p>
            <w:pPr>
              <w:spacing w:line="240" w:lineRule="auto" w:before="0" w:after="0"/>
              <w:pStyle w:val="Compact"/>
            </w:pPr>
            <w:r>
              <w:rPr>
                <w:sz w:val="20"/>
                <w:szCs w:val="20"/>
              </w:rPr>
              <w:t xml:space="preserve">[-0.3083, 0.1875]</w:t>
            </w:r>
          </w:p>
        </w:tc>
      </w:tr>
      <w:tr>
        <w:tc>
          <w:tcPr>
            <w:tcW w:w="0" w:type="auto"/>
          </w:tcPr>
          <w:p>
            <w:pPr>
              <w:spacing w:line="240" w:lineRule="auto" w:before="0" w:after="0"/>
              <w:pStyle w:val="Compact"/>
            </w:pPr>
            <w:r>
              <w:rPr>
                <w:sz w:val="20"/>
                <w:szCs w:val="20"/>
              </w:rPr>
              <w:t xml:space="preserve">log_downlink_gbps</w:t>
            </w:r>
          </w:p>
        </w:tc>
        <w:tc>
          <w:tcPr>
            <w:tcW w:w="0" w:type="auto"/>
          </w:tcPr>
          <w:p>
            <w:pPr>
              <w:spacing w:line="240" w:lineRule="auto" w:before="0" w:after="0"/>
              <w:pStyle w:val="Compact"/>
            </w:pPr>
            <w:r>
              <w:rPr>
                <w:sz w:val="20"/>
                <w:szCs w:val="20"/>
              </w:rPr>
              <w:t xml:space="preserve">0.1841</w:t>
            </w:r>
          </w:p>
        </w:tc>
        <w:tc>
          <w:tcPr>
            <w:tcW w:w="0" w:type="auto"/>
          </w:tcPr>
          <w:p>
            <w:pPr>
              <w:spacing w:line="240" w:lineRule="auto" w:before="0" w:after="0"/>
              <w:pStyle w:val="Compact"/>
            </w:pPr>
            <w:r>
              <w:rPr>
                <w:sz w:val="20"/>
                <w:szCs w:val="20"/>
              </w:rPr>
              <w:t xml:space="preserve">0.1701</w:t>
            </w:r>
          </w:p>
        </w:tc>
        <w:tc>
          <w:tcPr>
            <w:tcW w:w="0" w:type="auto"/>
          </w:tcPr>
          <w:p>
            <w:pPr>
              <w:spacing w:line="240" w:lineRule="auto" w:before="0" w:after="0"/>
              <w:pStyle w:val="Compact"/>
            </w:pPr>
            <w:r>
              <w:rPr>
                <w:sz w:val="20"/>
                <w:szCs w:val="20"/>
              </w:rPr>
              <w:t xml:space="preserve">1.082</w:t>
            </w:r>
          </w:p>
        </w:tc>
        <w:tc>
          <w:tcPr>
            <w:tcW w:w="0" w:type="auto"/>
          </w:tcPr>
          <w:p>
            <w:pPr>
              <w:spacing w:line="240" w:lineRule="auto" w:before="0" w:after="0"/>
              <w:pStyle w:val="Compact"/>
            </w:pPr>
            <w:r>
              <w:rPr>
                <w:sz w:val="20"/>
                <w:szCs w:val="20"/>
              </w:rPr>
              <w:t xml:space="preserve">0.2792</w:t>
            </w:r>
          </w:p>
        </w:tc>
        <w:tc>
          <w:tcPr>
            <w:tcW w:w="0" w:type="auto"/>
          </w:tcPr>
          <w:p>
            <w:pPr>
              <w:spacing w:line="240" w:lineRule="auto" w:before="0" w:after="0"/>
              <w:pStyle w:val="Compact"/>
            </w:pPr>
            <w:r>
              <w:rPr>
                <w:sz w:val="20"/>
                <w:szCs w:val="20"/>
              </w:rPr>
              <w:t xml:space="preserve">[-0.1494, 0.5175]</w:t>
            </w:r>
          </w:p>
        </w:tc>
      </w:tr>
      <w:tr>
        <w:tc>
          <w:tcPr>
            <w:tcW w:w="0" w:type="auto"/>
          </w:tcPr>
          <w:p>
            <w:pPr>
              <w:spacing w:line="240" w:lineRule="auto" w:before="0" w:after="0"/>
              <w:pStyle w:val="Compact"/>
            </w:pPr>
            <w:r>
              <w:rPr>
                <w:sz w:val="20"/>
                <w:szCs w:val="20"/>
              </w:rPr>
              <w:t xml:space="preserve">year_ioc</w:t>
            </w:r>
          </w:p>
        </w:tc>
        <w:tc>
          <w:tcPr>
            <w:tcW w:w="0" w:type="auto"/>
          </w:tcPr>
          <w:p>
            <w:pPr>
              <w:spacing w:line="240" w:lineRule="auto" w:before="0" w:after="0"/>
              <w:pStyle w:val="Compact"/>
            </w:pPr>
            <w:r>
              <w:rPr>
                <w:sz w:val="20"/>
                <w:szCs w:val="20"/>
              </w:rPr>
              <w:t xml:space="preserve">0.039</w:t>
            </w:r>
          </w:p>
        </w:tc>
        <w:tc>
          <w:tcPr>
            <w:tcW w:w="0" w:type="auto"/>
          </w:tcPr>
          <w:p>
            <w:pPr>
              <w:spacing w:line="240" w:lineRule="auto" w:before="0" w:after="0"/>
              <w:pStyle w:val="Compact"/>
            </w:pPr>
            <w:r>
              <w:rPr>
                <w:sz w:val="20"/>
                <w:szCs w:val="20"/>
              </w:rPr>
              <w:t xml:space="preserve">0.0209</w:t>
            </w:r>
          </w:p>
        </w:tc>
        <w:tc>
          <w:tcPr>
            <w:tcW w:w="0" w:type="auto"/>
          </w:tcPr>
          <w:p>
            <w:pPr>
              <w:spacing w:line="240" w:lineRule="auto" w:before="0" w:after="0"/>
              <w:pStyle w:val="Compact"/>
            </w:pPr>
            <w:r>
              <w:rPr>
                <w:sz w:val="20"/>
                <w:szCs w:val="20"/>
              </w:rPr>
              <w:t xml:space="preserve">1.8645</w:t>
            </w:r>
          </w:p>
        </w:tc>
        <w:tc>
          <w:tcPr>
            <w:tcW w:w="0" w:type="auto"/>
          </w:tcPr>
          <w:p>
            <w:pPr>
              <w:spacing w:line="240" w:lineRule="auto" w:before="0" w:after="0"/>
              <w:pStyle w:val="Compact"/>
            </w:pPr>
            <w:r>
              <w:rPr>
                <w:sz w:val="20"/>
                <w:szCs w:val="20"/>
              </w:rPr>
              <w:t xml:space="preserve">0.0623</w:t>
            </w:r>
          </w:p>
        </w:tc>
        <w:tc>
          <w:tcPr>
            <w:tcW w:w="0" w:type="auto"/>
          </w:tcPr>
          <w:p>
            <w:pPr>
              <w:spacing w:line="240" w:lineRule="auto" w:before="0" w:after="0"/>
              <w:pStyle w:val="Compact"/>
            </w:pPr>
            <w:r>
              <w:rPr>
                <w:sz w:val="20"/>
                <w:szCs w:val="20"/>
              </w:rPr>
              <w:t xml:space="preserve">[-0.002, 0.08]</w:t>
            </w:r>
          </w:p>
        </w:tc>
      </w:tr>
    </w:tbl>
    <w:p>
      <w:pPr>
        <w:pStyle w:val="BodyText"/>
      </w:pPr>
      <w:r>
        <w:t xml:space="preserve">Fit: N = 32 R2 = 0.3213 R2_adj = 0.2208 F = 3.4081 F_p = 0.0222</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2026-06-26T16:46:34Z</dcterms:created>
  <dcterms:modified xsi:type="dcterms:W3CDTF">2026-06-26T16:46:34Z</dcterms:modified>
</cp:coreProperties>
</file>

<file path=docProps/custom.xml><?xml version="1.0" encoding="utf-8"?>
<Properties xmlns="http://schemas.openxmlformats.org/officeDocument/2006/custom-properties" xmlns:vt="http://schemas.openxmlformats.org/officeDocument/2006/docPropsVTypes"/>
</file>