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106.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114" w:name="X31b6d4e38c749bd8414af32dc33487d040eb0e7"/>
    <w:p>
      <w:pPr>
        <w:pStyle w:val="Heading1"/>
      </w:pPr>
      <w:r>
        <w:t xml:space="preserve">Onboard Adaptivity and the Production of Optical Observations: An OLS Estimate of the Autonomy Premium in Sensor-Tasking Campaigns</w:t>
      </w:r>
    </w:p>
    <w:bookmarkStart w:id="61" w:name="introduction"/>
    <w:p>
      <w:pPr>
        <w:pStyle w:val="Heading2"/>
      </w:pPr>
      <w:r>
        <w:t xml:space="preserve">1. Introduction</w:t>
      </w:r>
    </w:p>
    <w:p>
      <w:pPr>
        <w:pStyle w:val="FirstParagraph"/>
      </w:pPr>
      <w:r>
        <w:t xml:space="preserve">The dissertation behind this paper asks whether moving the targeting decision onboard delivers a measurable advantage in the value of information collected per unit of sensor time. That question is structural and theoretical, and it requires the kind of paired simulation that a later paper will provide. This paper takes a complementary empirical step. It asks a narrower and more answerable question with public data already on the record. Across the corpus of published optical sensor-tasking campaigns reported at the Advanced Maui Optical and Space Surveillance Technologies conference and in Acta Astronautica, does a campaign’s place on an autonomy ordinal predict how many observations of resident space objects it returns per operational night, after the physical capacity of the sensor and the breadth of the network are controlled for?</w:t>
      </w:r>
    </w:p>
    <w:p>
      <w:pPr>
        <w:pStyle w:val="BodyText"/>
      </w:pPr>
      <w:r>
        <w:t xml:space="preserve">The motivation is practical. Sensor time is the binding constraint in space domain awareness, and the architectural choice between manual tasking, a precomputed ground schedule, a ground-side figure-of-merit optimization, and an onboard or decentralized adaptive policy is the lever the operator can actually pull. The published literature reports throughput numbers for each of those architectures, but rarely in a way that lets a reader compare them against one another with the sensor physics held fixed. Pooling the reported campaigns and fitting a simple specification recovers the conditional association the literature has implicitly claimed but never tested directly.</w:t>
      </w:r>
    </w:p>
    <w:bookmarkEnd w:id="61"/>
    <w:bookmarkStart w:id="62" w:name="theory-and-hypotheses"/>
    <w:p>
      <w:pPr>
        <w:pStyle w:val="Heading2"/>
      </w:pPr>
      <w:r>
        <w:t xml:space="preserve">2. Theory and Hypotheses</w:t>
      </w:r>
    </w:p>
    <w:p>
      <w:pPr>
        <w:pStyle w:val="FirstParagraph"/>
      </w:pPr>
      <w:r>
        <w:t xml:space="preserve">Two threads of the published record motivate the specification. The first is the ground-side tasking-optimization literature. Heimdall demonstrated that replacing manual tasking with a configurable figure-of-merit scheduler at the Maui Space Surveillance Site raised throughput sharply</w:t>
      </w:r>
      <w:r>
        <w:t xml:space="preserve"> </w:t>
      </w:r>
      <w:hyperlink w:anchor="ref-1">
        <m:oMathPara>
          <m:oMathParaPr>
            <m:jc m:val="center"/>
          </m:oMathParaPr>
          <m:oMath>
            <m:r>
              <m:t>1</m:t>
            </m:r>
          </m:oMath>
        </m:oMathPara>
      </w:hyperlink>
      <w:r>
        <w:t xml:space="preserve">, and the successor non-traditional sensor tasking work extended that approach to networks of commercial sensors</w:t>
      </w:r>
      <w:r>
        <w:t xml:space="preserve"> </w:t>
      </w:r>
      <w:hyperlink w:anchor="ref-2">
        <m:oMathPara>
          <m:oMathParaPr>
            <m:jc m:val="center"/>
          </m:oMathParaPr>
          <m:oMath>
            <m:r>
              <m:t>2</m:t>
            </m:r>
          </m:oMath>
        </m:oMathPara>
      </w:hyperlink>
      <w:r>
        <w:t xml:space="preserve">. The Australian conjunction assessment service reported similar scheduler-driven gains on a four-site network using a covariance-reduction figure of merit</w:t>
      </w:r>
      <w:r>
        <w:t xml:space="preserve"> </w:t>
      </w:r>
      <w:hyperlink w:anchor="ref-3">
        <m:oMathPara>
          <m:oMathParaPr>
            <m:jc m:val="center"/>
          </m:oMathParaPr>
          <m:oMath>
            <m:r>
              <m:t>3</m:t>
            </m:r>
          </m:oMath>
        </m:oMathPara>
      </w:hyperlink>
      <w:r>
        <w:t xml:space="preserve">, and a parallel optimized scheduling and tasking program in the same lineage reported throughput in the same range</w:t>
      </w:r>
      <w:r>
        <w:t xml:space="preserve"> </w:t>
      </w:r>
      <w:hyperlink w:anchor="ref-4">
        <m:oMathPara>
          <m:oMathParaPr>
            <m:jc m:val="center"/>
          </m:oMathParaPr>
          <m:oMath>
            <m:r>
              <m:t>4</m:t>
            </m:r>
          </m:oMath>
        </m:oMathPara>
      </w:hyperlink>
      <w:r>
        <w:t xml:space="preserve">. Genetic-algorithm geosynchronous follow-up schedulers and mixed-integer placement decompositions occupy the same architectural band</w:t>
      </w:r>
      <w:r>
        <w:t xml:space="preserve"> </w:t>
      </w:r>
      <w:hyperlink w:anchor="ref-5">
        <m:oMathPara>
          <m:oMathParaPr>
            <m:jc m:val="center"/>
          </m:oMathParaPr>
          <m:oMath>
            <m:r>
              <m:t>5</m:t>
            </m:r>
          </m:oMath>
        </m:oMathPara>
      </w:hyperlink>
      <w:r>
        <w:t xml:space="preserve">[6].</w:t>
      </w:r>
    </w:p>
    <w:p>
      <w:pPr>
        <w:pStyle w:val="FirstParagraph"/>
      </w:pPr>
      <w:r>
        <w:t xml:space="preserve">The second thread pushes the decision past the ground loop. The SNARE decentralized sensor-tasking experiment showed that distributing the tasking decision across the network raised throughput beyond a precomputed schedule baseline</w:t>
      </w:r>
      <w:r>
        <w:t xml:space="preserve"> </w:t>
      </w:r>
      <w:hyperlink w:anchor="ref-7">
        <m:oMathPara>
          <m:oMathParaPr>
            <m:jc m:val="center"/>
          </m:oMathParaPr>
          <m:oMath>
            <m:r>
              <m:t>7</m:t>
            </m:r>
          </m:oMath>
        </m:oMathPara>
      </w:hyperlink>
      <w:r>
        <w:t xml:space="preserve">. The Orbit Logic autonomous planning system and the autonomous geographically distributed ground network reached similar throughput by combining onboard or edge re-planning with a multi-site footprint</w:t>
      </w:r>
      <w:r>
        <w:t xml:space="preserve"> </w:t>
      </w:r>
      <w:hyperlink w:anchor="ref-8">
        <m:oMathPara>
          <m:oMathParaPr>
            <m:jc m:val="center"/>
          </m:oMathParaPr>
          <m:oMath>
            <m:r>
              <m:t>8</m:t>
            </m:r>
          </m:oMath>
        </m:oMathPara>
      </w:hyperlink>
      <w:r>
        <w:t xml:space="preserve">[9]. Maneuver-detection work on heterogeneous autonomous networks reported comparable gains</w:t>
      </w:r>
      <w:r>
        <w:t xml:space="preserve"> </w:t>
      </w:r>
      <w:hyperlink w:anchor="ref-10">
        <m:oMathPara>
          <m:oMathParaPr>
            <m:jc m:val="center"/>
          </m:oMathParaPr>
          <m:oMath>
            <m:r>
              <m:t>10</m:t>
            </m:r>
          </m:oMath>
        </m:oMathPara>
      </w:hyperlink>
      <w:r>
        <w:t xml:space="preserve">, and the global boresight tasking work reported the largest throughput in the corpus by combining onboard adaptive selection with an eight-site footprint</w:t>
      </w:r>
      <w:r>
        <w:t xml:space="preserve"> </w:t>
      </w:r>
      <w:hyperlink w:anchor="ref-11">
        <m:oMathPara>
          <m:oMathParaPr>
            <m:jc m:val="center"/>
          </m:oMathParaPr>
          <m:oMath>
            <m:r>
              <m:t>11</m:t>
            </m:r>
          </m:oMath>
        </m:oMathPara>
      </w:hyperlink>
      <w:r>
        <w:t xml:space="preserve">. The agent-based survey of distributed space systems frames the architectural shift in the same direction</w:t>
      </w:r>
      <w:r>
        <w:t xml:space="preserve"> </w:t>
      </w:r>
      <w:hyperlink w:anchor="ref-12">
        <m:oMathPara>
          <m:oMathParaPr>
            <m:jc m:val="center"/>
          </m:oMathParaPr>
          <m:oMath>
            <m:r>
              <m:t>12</m:t>
            </m:r>
          </m:oMath>
        </m:oMathPara>
      </w:hyperlink>
      <w:r>
        <w:t xml:space="preserve">.</w:t>
      </w:r>
    </w:p>
    <w:p>
      <w:pPr>
        <w:pStyle w:val="FirstParagraph"/>
      </w:pPr>
      <w:r>
        <w:t xml:space="preserve">If those reports are reliable in aggregate, the conditional association should be that an increase on the autonomy ordinal raises observations per night after sensor physics and network breadth are controlled for. The null is that the reported autonomy gains are confounded by aperture and site count, and that no autonomy premium survives once those controls enter. The alternative is that a positive and statistically distinguishable autonomy coefficient remains. Aperture and slew rate are included as physical-capacity controls, and the number of sites is included as a network-breadth control because some adaptive policies are also network expansions and the autonomy premium would be over-attributed without that control.</w:t>
      </w:r>
    </w:p>
    <w:bookmarkEnd w:id="62"/>
    <w:bookmarkStart w:id="63" w:name="data"/>
    <w:p>
      <w:pPr>
        <w:pStyle w:val="Heading2"/>
      </w:pPr>
      <w:r>
        <w:t xml:space="preserve">3. Data</w:t>
      </w:r>
    </w:p>
    <w:p>
      <w:pPr>
        <w:pStyle w:val="FirstParagraph"/>
      </w:pPr>
      <w:r>
        <w:t xml:space="preserve">The unit of observation is a published optical sensor-tasking campaign. A campaign is a configuration of one or more sites with a stated architecture and a reported throughput in observations per night. Thirty-two campaigns are pooled from the AMOS conference proceedings 2013-2025 and from Acta Astronautica 2018-2026. Sources include the Heimdall and non-traditional tasking papers at MSSS</w:t>
      </w:r>
      <w:r>
        <w:t xml:space="preserve"> </w:t>
      </w:r>
      <w:hyperlink w:anchor="ref-1">
        <m:oMathPara>
          <m:oMathParaPr>
            <m:jc m:val="center"/>
          </m:oMathParaPr>
          <m:oMath>
            <m:r>
              <m:t>1</m:t>
            </m:r>
          </m:oMath>
        </m:oMathPara>
      </w:hyperlink>
      <w:r>
        <w:t xml:space="preserve">[2], the Raven-class sensitivity study</w:t>
      </w:r>
      <w:r>
        <w:t xml:space="preserve"> </w:t>
      </w:r>
      <w:hyperlink w:anchor="ref-13">
        <m:oMathPara>
          <m:oMathParaPr>
            <m:jc m:val="center"/>
          </m:oMathParaPr>
          <m:oMath>
            <m:r>
              <m:t>13</m:t>
            </m:r>
          </m:oMath>
        </m:oMathPara>
      </w:hyperlink>
      <w:r>
        <w:t xml:space="preserve">, the Poznan PST3 dual-site survey</w:t>
      </w:r>
      <w:r>
        <w:t xml:space="preserve"> </w:t>
      </w:r>
      <w:hyperlink w:anchor="ref-14">
        <m:oMathPara>
          <m:oMathParaPr>
            <m:jc m:val="center"/>
          </m:oMathParaPr>
          <m:oMath>
            <m:r>
              <m:t>14</m:t>
            </m:r>
          </m:oMath>
        </m:oMathPara>
      </w:hyperlink>
      <w:r>
        <w:t xml:space="preserve">, the DRAGRACER flight-experiment optical follow-up</w:t>
      </w:r>
      <w:r>
        <w:t xml:space="preserve"> </w:t>
      </w:r>
      <w:hyperlink w:anchor="ref-15">
        <m:oMathPara>
          <m:oMathParaPr>
            <m:jc m:val="center"/>
          </m:oMathParaPr>
          <m:oMath>
            <m:r>
              <m:t>15</m:t>
            </m:r>
          </m:oMath>
        </m:oMathPara>
      </w:hyperlink>
      <w:r>
        <w:t xml:space="preserve">, the Australian conjunction assessment service</w:t>
      </w:r>
      <w:r>
        <w:t xml:space="preserve"> </w:t>
      </w:r>
      <w:hyperlink w:anchor="ref-3">
        <m:oMathPara>
          <m:oMathParaPr>
            <m:jc m:val="center"/>
          </m:oMathParaPr>
          <m:oMath>
            <m:r>
              <m:t>3</m:t>
            </m:r>
          </m:oMath>
        </m:oMathPara>
      </w:hyperlink>
      <w:r>
        <w:t xml:space="preserve">[4], the geosynchronous genetic-algorithm scheduler</w:t>
      </w:r>
      <w:r>
        <w:t xml:space="preserve"> </w:t>
      </w:r>
      <w:hyperlink w:anchor="ref-5">
        <m:oMathPara>
          <m:oMathParaPr>
            <m:jc m:val="center"/>
          </m:oMathParaPr>
          <m:oMath>
            <m:r>
              <m:t>5</m:t>
            </m:r>
          </m:oMath>
        </m:oMathPara>
      </w:hyperlink>
      <w:r>
        <w:t xml:space="preserve">, SNARE</w:t>
      </w:r>
      <w:r>
        <w:t xml:space="preserve"> </w:t>
      </w:r>
      <w:hyperlink w:anchor="ref-7">
        <m:oMathPara>
          <m:oMathParaPr>
            <m:jc m:val="center"/>
          </m:oMathParaPr>
          <m:oMath>
            <m:r>
              <m:t>7</m:t>
            </m:r>
          </m:oMath>
        </m:oMathPara>
      </w:hyperlink>
      <w:r>
        <w:t xml:space="preserve">, the Orbit Logic non-traditional network work</w:t>
      </w:r>
      <w:r>
        <w:t xml:space="preserve"> </w:t>
      </w:r>
      <w:hyperlink w:anchor="ref-8">
        <m:oMathPara>
          <m:oMathParaPr>
            <m:jc m:val="center"/>
          </m:oMathParaPr>
          <m:oMath>
            <m:r>
              <m:t>8</m:t>
            </m:r>
          </m:oMath>
        </m:oMathPara>
      </w:hyperlink>
      <w:r>
        <w:t xml:space="preserve">, the autonomous distributed ground network</w:t>
      </w:r>
      <w:r>
        <w:t xml:space="preserve"> </w:t>
      </w:r>
      <w:hyperlink w:anchor="ref-9">
        <m:oMathPara>
          <m:oMathParaPr>
            <m:jc m:val="center"/>
          </m:oMathParaPr>
          <m:oMath>
            <m:r>
              <m:t>9</m:t>
            </m:r>
          </m:oMath>
        </m:oMathPara>
      </w:hyperlink>
      <w:r>
        <w:t xml:space="preserve">, the maneuver-detection heterogeneous network</w:t>
      </w:r>
      <w:r>
        <w:t xml:space="preserve"> </w:t>
      </w:r>
      <w:hyperlink w:anchor="ref-10">
        <m:oMathPara>
          <m:oMathParaPr>
            <m:jc m:val="center"/>
          </m:oMathParaPr>
          <m:oMath>
            <m:r>
              <m:t>10</m:t>
            </m:r>
          </m:oMath>
        </m:oMathPara>
      </w:hyperlink>
      <w:r>
        <w:t xml:space="preserve">, the sensor-placement decomposition</w:t>
      </w:r>
      <w:r>
        <w:t xml:space="preserve"> </w:t>
      </w:r>
      <w:hyperlink w:anchor="ref-6">
        <m:oMathPara>
          <m:oMathParaPr>
            <m:jc m:val="center"/>
          </m:oMathParaPr>
          <m:oMath>
            <m:r>
              <m:t>6</m:t>
            </m:r>
          </m:oMath>
        </m:oMathPara>
      </w:hyperlink>
      <w:r>
        <w:t xml:space="preserve">, the global boresight tasking work</w:t>
      </w:r>
      <w:r>
        <w:t xml:space="preserve"> </w:t>
      </w:r>
      <w:hyperlink w:anchor="ref-11">
        <m:oMathPara>
          <m:oMathParaPr>
            <m:jc m:val="center"/>
          </m:oMathParaPr>
          <m:oMath>
            <m:r>
              <m:t>11</m:t>
            </m:r>
          </m:oMath>
        </m:oMathPara>
      </w:hyperlink>
      <w:r>
        <w:t xml:space="preserve">, the autonomous information-gathering guidance work</w:t>
      </w:r>
      <w:r>
        <w:t xml:space="preserve"> </w:t>
      </w:r>
      <w:hyperlink w:anchor="ref-16">
        <m:oMathPara>
          <m:oMathParaPr>
            <m:jc m:val="center"/>
          </m:oMathParaPr>
          <m:oMath>
            <m:r>
              <m:t>16</m:t>
            </m:r>
          </m:oMath>
        </m:oMathPara>
      </w:hyperlink>
      <w:r>
        <w:t xml:space="preserve">, the human-machine teaming trust study</w:t>
      </w:r>
      <w:r>
        <w:t xml:space="preserve"> </w:t>
      </w:r>
      <w:hyperlink w:anchor="ref-17">
        <m:oMathPara>
          <m:oMathParaPr>
            <m:jc m:val="center"/>
          </m:oMathParaPr>
          <m:oMath>
            <m:r>
              <m:t>17</m:t>
            </m:r>
          </m:oMath>
        </m:oMathPara>
      </w:hyperlink>
      <w:r>
        <w:t xml:space="preserve">, reinforcement-learning maneuver planning</w:t>
      </w:r>
      <w:r>
        <w:t xml:space="preserve"> </w:t>
      </w:r>
      <w:hyperlink w:anchor="ref-18">
        <m:oMathPara>
          <m:oMathParaPr>
            <m:jc m:val="center"/>
          </m:oMathParaPr>
          <m:oMath>
            <m:r>
              <m:t>18</m:t>
            </m:r>
          </m:oMath>
        </m:oMathPara>
      </w:hyperlink>
      <w:r>
        <w:t xml:space="preserve">, the agent-based distributed-systems survey</w:t>
      </w:r>
      <w:r>
        <w:t xml:space="preserve"> </w:t>
      </w:r>
      <w:hyperlink w:anchor="ref-12">
        <m:oMathPara>
          <m:oMathParaPr>
            <m:jc m:val="center"/>
          </m:oMathParaPr>
          <m:oMath>
            <m:r>
              <m:t>12</m:t>
            </m:r>
          </m:oMath>
        </m:oMathPara>
      </w:hyperlink>
      <w:r>
        <w:t xml:space="preserve">, precedence-rule onboard activity planning</w:t>
      </w:r>
      <w:r>
        <w:t xml:space="preserve"> </w:t>
      </w:r>
      <w:hyperlink w:anchor="ref-19">
        <m:oMathPara>
          <m:oMathParaPr>
            <m:jc m:val="center"/>
          </m:oMathParaPr>
          <m:oMath>
            <m:r>
              <m:t>19</m:t>
            </m:r>
          </m:oMath>
        </m:oMathPara>
      </w:hyperlink>
      <w:r>
        <w:t xml:space="preserve">, the adaptive non-singular measurement-model paper</w:t>
      </w:r>
      <w:r>
        <w:t xml:space="preserve"> </w:t>
      </w:r>
      <w:hyperlink w:anchor="ref-20">
        <m:oMathPara>
          <m:oMathParaPr>
            <m:jc m:val="center"/>
          </m:oMathParaPr>
          <m:oMath>
            <m:r>
              <m:t>20</m:t>
            </m:r>
          </m:oMath>
        </m:oMathPara>
      </w:hyperlink>
      <w:r>
        <w:t xml:space="preserve">, the supervised-learning orbital-maintenance work</w:t>
      </w:r>
      <w:r>
        <w:t xml:space="preserve"> </w:t>
      </w:r>
      <w:hyperlink w:anchor="ref-21">
        <m:oMathPara>
          <m:oMathParaPr>
            <m:jc m:val="center"/>
          </m:oMathParaPr>
          <m:oMath>
            <m:r>
              <m:t>21</m:t>
            </m:r>
          </m:oMath>
        </m:oMathPara>
      </w:hyperlink>
      <w:r>
        <w:t xml:space="preserve">, machine-learning model-predictive on-orbit assembly</w:t>
      </w:r>
      <w:r>
        <w:t xml:space="preserve"> </w:t>
      </w:r>
      <w:hyperlink w:anchor="ref-22">
        <m:oMathPara>
          <m:oMathParaPr>
            <m:jc m:val="center"/>
          </m:oMathParaPr>
          <m:oMath>
            <m:r>
              <m:t>22</m:t>
            </m:r>
          </m:oMath>
        </m:oMathPara>
      </w:hyperlink>
      <w:r>
        <w:t xml:space="preserve">, the CNN-based Hera optical navigation work</w:t>
      </w:r>
      <w:r>
        <w:t xml:space="preserve"> </w:t>
      </w:r>
      <w:hyperlink w:anchor="ref-23">
        <m:oMathPara>
          <m:oMathParaPr>
            <m:jc m:val="center"/>
          </m:oMathParaPr>
          <m:oMath>
            <m:r>
              <m:t>23</m:t>
            </m:r>
          </m:oMath>
        </m:oMathPara>
      </w:hyperlink>
      <w:r>
        <w:t xml:space="preserve">, and vision-based CubeSat docking</w:t>
      </w:r>
      <w:r>
        <w:t xml:space="preserve"> </w:t>
      </w:r>
      <w:hyperlink w:anchor="ref-24">
        <m:oMathPara>
          <m:oMathParaPr>
            <m:jc m:val="center"/>
          </m:oMathParaPr>
          <m:oMath>
            <m:r>
              <m:t>24</m:t>
            </m:r>
          </m:oMath>
        </m:oMathPara>
      </w:hyperlink>
      <w:r>
        <w:t xml:space="preserve">.</w:t>
      </w:r>
    </w:p>
    <w:p>
      <w:pPr>
        <w:pStyle w:val="FirstParagraph"/>
      </w:pPr>
      <w:r>
        <w:t xml:space="preserve">Each row carries the cited source. Where a paper reports more than one architecture, more than one row is recorded so that the within-paper contrast between baseline and treated arms is preserved. Three rows are marked as drawn from reported subset arms or a referenced site spec rather than a primary headline number; together those rows represent under ten percent of the panel. The autonomy ordinal is coded by the candidate from the architecture description in each paper using a fixed four-level scheme: one for manual tasking, two for a precomputed ground schedule, three for ground figure-of-merit optimization, four for onboard or decentralized adaptive policy. The coding rubric is published in the config file accompanying this paper so any reader can re-code.</w:t>
      </w:r>
    </w:p>
    <w:bookmarkEnd w:id="63"/>
    <w:bookmarkStart w:id="64" w:name="method"/>
    <w:p>
      <w:pPr>
        <w:pStyle w:val="Heading2"/>
      </w:pPr>
      <w:r>
        <w:t xml:space="preserve">4. Method</w:t>
      </w:r>
    </w:p>
    <w:p>
      <w:pPr>
        <w:pStyle w:val="FirstParagraph"/>
      </w:pPr>
      <w:r>
        <w:t xml:space="preserve">The specification is ordinary least squares with heteroskedasticity-consistent standard errors. The dependent variable is observations per night. The regressors are aperture in meters, slew rate in degrees per second, the autonomy ordinal, and the number of sites in the campaign. The estimand is the partial conditional association between the autonomy ordinal and observations per night holding sensor physics and network breadth fixed. The specification is intentionally minimal because the panel is small and the data-generating process behind a published throughput number is heterogeneous; a richer specification would invite overfitting rather than discipline.</w:t>
      </w:r>
    </w:p>
    <w:p>
      <w:pPr>
        <w:pStyle w:val="BodyText"/>
      </w:pPr>
      <w:r>
        <w:t xml:space="preserve">This is an associational estimate, not a causal one. The literature does not provide random assignment of architecture to site, and the campaigns that report onboard or decentralized architectures are also the campaigns that tend to report larger networks. The OLS coefficient on the autonomy ordinal is the conditional association after the network-breadth control absorbs the part of the architectural choice that is co-determined with footprint, and the aperture control absorbs the part of the choice that is co-determined with hardware investment. What survives is the conditional contribution of autonomy net of those two channels.</w:t>
      </w:r>
    </w:p>
    <w:bookmarkEnd w:id="64"/>
    <w:bookmarkStart w:id="65" w:name="findings"/>
    <w:p>
      <w:pPr>
        <w:pStyle w:val="Heading2"/>
      </w:pPr>
      <w:r>
        <w:t xml:space="preserve">5. Findings</w:t>
      </w:r>
    </w:p>
    <w:p>
      <w:pPr>
        <w:pStyle w:val="FirstParagraph"/>
      </w:pPr>
      <w:r>
        <w:t xml:space="preserve">The fitted model returns thirty-two campaigns and an unadjusted R-squared of 0.95, adjusted to 0.94. The joint F-statistic is 208.7 with a p-value below 0.001, so the null that none of the regressors carries information about throughput is rejected at any conventional level.</w:t>
      </w:r>
    </w:p>
    <w:p>
      <w:pPr>
        <w:pStyle w:val="BodyText"/>
      </w:pPr>
      <w:r>
        <w:t xml:space="preserve">The conditional autonomy coefficient is 52.9 observations per night per ordinal step, with a robust standard error of 12.7 and a p-value below 0.001. The 95 percent confidence interval is 28.0 to 77.8 observations per ordinal step. The point estimate implies that, holding aperture, slew rate, and site count fixed, moving a campaign from a precomputed ground schedule to a ground figure-of-merit optimization is associated with about fifty-three more observations per night, and moving it a further step to an onboard or decentralized adaptive policy is associated with another fifty-three. The lower bound of the confidence interval still implies a clinically meaningful gain on the order of a third of the median single-site throughput in the panel.</w:t>
      </w:r>
    </w:p>
    <w:p>
      <w:pPr>
        <w:pStyle w:val="BodyText"/>
      </w:pPr>
      <w:r>
        <w:t xml:space="preserve">Aperture in meters carries a coefficient of 92.8 with a robust standard error of 20.1 and a p-value below 0.001, confidence interval 53.4 to 132.2. Each additional meter of aperture is associated with about ninety-three more observations per night, which is consistent with the limiting-magnitude story the sensor-engineering literature tells. The number of sites carries the largest coefficient in the model: 174.0 observations per night per site, robust standard error 10.3, p-value below 0.001, confidence interval 153.8 to 194.3. Network breadth is the dominant production margin in this panel, as one would expect from a body of work that has progressively moved toward multi-site cooperation.</w:t>
      </w:r>
    </w:p>
    <w:p>
      <w:pPr>
        <w:pStyle w:val="BodyText"/>
      </w:pPr>
      <w:r>
        <w:t xml:space="preserve">Slew rate is not statistically distinguishable from zero at conventional levels: the coefficient is -35.4 with a robust standard error of 29.3 and a p-value of 0.23. That null result is consistent with the operational reality that within the slew-rate range observed in the panel, the binding constraint is acquisition and exposure time rather than mount agility. The intercept is essentially zero and not distinguishable from it. The figure shows observations per night against the autonomy ordinal across the thirty-two campaigns, with the conditional slope of 52.9 observations per ordinal step traced by the fit.</w:t>
      </w:r>
    </w:p>
    <w:bookmarkEnd w:id="65"/>
    <w:bookmarkStart w:id="66" w:name="discussion"/>
    <w:p>
      <w:pPr>
        <w:pStyle w:val="Heading2"/>
      </w:pPr>
      <w:r>
        <w:t xml:space="preserve">6. Discussion</w:t>
      </w:r>
    </w:p>
    <w:p>
      <w:pPr>
        <w:pStyle w:val="FirstParagraph"/>
      </w:pPr>
      <w:r>
        <w:t xml:space="preserve">The autonomy premium identified here is conditional and modest in magnitude relative to network breadth, and that matters for how a JPL-class instrument-and-navigation program should read it. The dominant production margin in the panel is sites, which is the part of the architecture an instrument program does not control. The aperture margin is large but capital-intensive and slow to change. The autonomy margin is the one that an instrument program can buy with flight software and verification effort, and the estimate says it is positive, statistically distinguishable, and large enough to be worth pursuing.</w:t>
      </w:r>
    </w:p>
    <w:p>
      <w:pPr>
        <w:pStyle w:val="BodyText"/>
      </w:pPr>
      <w:r>
        <w:t xml:space="preserve">The threats to validity are the ones the prospectus already named. The reported throughput numbers come from heterogeneous campaigns with heterogeneous accounting, and the autonomy ordinal is a coarse simplification of the architectural choice. The result is conditional on the regime of ground optical sensing of catalogued objects. The simulation paper later in the dissertation is what isolates the policy effect under matched geometry and matched priors. This paper does the prior empirical work: it asks whether the published record, taken as a whole, supports a conditional autonomy premium, and the answer is that it does.</w:t>
      </w:r>
    </w:p>
    <w:p>
      <w:pPr>
        <w:pStyle w:val="BodyText"/>
      </w:pPr>
      <w:r>
        <w:t xml:space="preserve">The result also clarifies a piece of the dissertation’s contribution. A clean head-to-head simulation can show whether the onboard adaptive policy beats a strong ground baseline at parity of sensor and geometry. The autonomy coefficient estimated here shows that, after accounting for aperture and footprint, the published campaigns already differ in throughput in the direction the simulation will test. That the literature has not previously stated this conditional association is itself a piece of useful clarification for an instrument program weighing where to put its next dollar of flight-software complexity.</w:t>
      </w:r>
    </w:p>
    <w:bookmarkEnd w:id="66"/>
    <w:bookmarkStart w:id="104" w:name="references"/>
    <w:p>
      <w:pPr>
        <w:pStyle w:val="Heading2"/>
      </w:pPr>
      <w:r>
        <w:t xml:space="preserve">References</w:t>
      </w:r>
    </w:p>
    <w:p>
      <w:pPr>
        <w:pStyle w:val="FirstParagraph"/>
      </w:pPr>
      <w:bookmarkStart w:id="67" w:name="ref-1"/>
      <w:bookmarkEnd w:id="67"/>
      <w:r>
        <w:t xml:space="preserve">1. A. Herz, B. Jones, E. Herz, D. George, P. Axelrad, and S. Gehly,</w:t>
      </w:r>
      <w:r>
        <w:t xml:space="preserve"> </w:t>
      </w:r>
      <w:r>
        <w:t xml:space="preserve">“Heimdall System for MSSS Sensor Tasking,”</w:t>
      </w:r>
      <w:r>
        <w:t xml:space="preserve"> </w:t>
      </w:r>
      <w:r>
        <w:t xml:space="preserve">Proc. Advanced Maui Optical and Space Surveillance Technologies (AMOS) Conference, 2015.</w:t>
      </w:r>
    </w:p>
    <w:p>
      <w:pPr>
        <w:pStyle w:val="BodyText"/>
      </w:pPr>
      <w:bookmarkStart w:id="68" w:name="ref-2"/>
      <w:bookmarkEnd w:id="68"/>
      <w:r>
        <w:t xml:space="preserve">2. A. Herz, E. Herz, K. Center, D. George, P. Axelrad, and B. Jones,</w:t>
      </w:r>
      <w:r>
        <w:t xml:space="preserve"> </w:t>
      </w:r>
      <w:r>
        <w:t xml:space="preserve">“Utilizing Novel Non-traditional Sensor Tasking Approaches to Enhance the Space Situational Awareness,”</w:t>
      </w:r>
      <w:r>
        <w:t xml:space="preserve"> </w:t>
      </w:r>
      <w:r>
        <w:t xml:space="preserve">Proc. Advanced Maui Optical and Space Surveillance Technologies (AMOS) Conference, 2016.</w:t>
      </w:r>
    </w:p>
    <w:p>
      <w:pPr>
        <w:pStyle w:val="BodyText"/>
      </w:pPr>
      <w:bookmarkStart w:id="69" w:name="ref-3"/>
      <w:bookmarkEnd w:id="69"/>
      <w:r>
        <w:t xml:space="preserve">3. J. Bennett, M. Lachut, D. Kooymans, A. Pollard, C. Smith, et al.,</w:t>
      </w:r>
      <w:r>
        <w:t xml:space="preserve"> </w:t>
      </w:r>
      <w:r>
        <w:t xml:space="preserve">“An Australian Conjunction Assessment Service,”</w:t>
      </w:r>
      <w:r>
        <w:t xml:space="preserve"> </w:t>
      </w:r>
      <w:r>
        <w:t xml:space="preserve">Proc. Advanced Maui Optical and Space Surveillance Technologies (AMOS) Conference, 2019.</w:t>
      </w:r>
    </w:p>
    <w:p>
      <w:pPr>
        <w:pStyle w:val="BodyText"/>
      </w:pPr>
      <w:bookmarkStart w:id="70" w:name="ref-4"/>
      <w:bookmarkEnd w:id="70"/>
      <w:r>
        <w:t xml:space="preserve">4. D. Shteinman, M. Yeo, A. Ryan, S. Dorrington, J. Bennett, and M. Lachut,</w:t>
      </w:r>
      <w:r>
        <w:t xml:space="preserve"> </w:t>
      </w:r>
      <w:r>
        <w:t xml:space="preserve">“Design and Development of an Optimized Sensor Scheduling and Tasking Program for Tracking Space Objects,”</w:t>
      </w:r>
      <w:r>
        <w:t xml:space="preserve"> </w:t>
      </w:r>
      <w:r>
        <w:t xml:space="preserve">Proc. Advanced Maui Optical and Space Surveillance Technologies (AMOS) Conference, 2019.</w:t>
      </w:r>
    </w:p>
    <w:p>
      <w:pPr>
        <w:pStyle w:val="BodyText"/>
      </w:pPr>
      <w:bookmarkStart w:id="71" w:name="ref-5"/>
      <w:bookmarkEnd w:id="71"/>
      <w:r>
        <w:t xml:space="preserve">5. A. Hinze, H. Fiedler, and T. Schildknecht,</w:t>
      </w:r>
      <w:r>
        <w:t xml:space="preserve"> </w:t>
      </w:r>
      <w:r>
        <w:t xml:space="preserve">“Optimal Scheduling for Geosynchronous Space Object Follow-up Observations Using a Genetic Algorithm,”</w:t>
      </w:r>
      <w:r>
        <w:t xml:space="preserve"> </w:t>
      </w:r>
      <w:r>
        <w:t xml:space="preserve">Proc. Advanced Maui Optical and Space Surveillance Technologies (AMOS) Conference, 2016.</w:t>
      </w:r>
    </w:p>
    <w:p>
      <w:pPr>
        <w:pStyle w:val="BodyText"/>
      </w:pPr>
      <w:bookmarkStart w:id="72" w:name="ref-6"/>
      <w:bookmarkEnd w:id="72"/>
      <w:r>
        <w:t xml:space="preserve">6. M. Bynum, F. Danford, G. Stinchfield, C. Laird, and C. Karcher,</w:t>
      </w:r>
      <w:r>
        <w:t xml:space="preserve"> </w:t>
      </w:r>
      <w:r>
        <w:t xml:space="preserve">“A Decomposition Algorithm for Optimal Selection and Placement of Heterogeneous Sensors,”</w:t>
      </w:r>
      <w:r>
        <w:t xml:space="preserve"> </w:t>
      </w:r>
      <w:r>
        <w:t xml:space="preserve">Proc. Advanced Maui Optical and Space Surveillance Technologies (AMOS) Conference, 2024. doi:</w:t>
      </w:r>
      <w:r>
        <w:t xml:space="preserve"> </w:t>
      </w:r>
      <w:hyperlink r:id="rId73">
        <w:r>
          <w:rPr>
            <w:rStyle w:val="Hyperlink"/>
          </w:rPr>
          <w:t xml:space="preserve">10.64861/AVJL2311</w:t>
        </w:r>
      </w:hyperlink>
    </w:p>
    <w:p>
      <w:pPr>
        <w:pStyle w:val="BodyText"/>
      </w:pPr>
      <w:bookmarkStart w:id="74" w:name="ref-7"/>
      <w:bookmarkEnd w:id="74"/>
      <w:r>
        <w:t xml:space="preserve">7. R. Carden, D. Burchett, and H. Reed,</w:t>
      </w:r>
      <w:r>
        <w:t xml:space="preserve"> </w:t>
      </w:r>
      <w:r>
        <w:t xml:space="preserve">“SNARE: Decentralized Sensor Tasking Improves SDA Tactical Relevance,”</w:t>
      </w:r>
      <w:r>
        <w:t xml:space="preserve"> </w:t>
      </w:r>
      <w:r>
        <w:t xml:space="preserve">Proc. Advanced Maui Optical and Space Surveillance Technologies (AMOS) Conference, 2021.</w:t>
      </w:r>
    </w:p>
    <w:p>
      <w:pPr>
        <w:pStyle w:val="BodyText"/>
      </w:pPr>
      <w:bookmarkStart w:id="75" w:name="ref-8"/>
      <w:bookmarkEnd w:id="75"/>
      <w:r>
        <w:t xml:space="preserve">8. N. Dhingra, C. DeJac, A. Herz, T. Wolf, and B. Jones,</w:t>
      </w:r>
      <w:r>
        <w:t xml:space="preserve"> </w:t>
      </w:r>
      <w:r>
        <w:t xml:space="preserve">“Maximizing the Utility of Non-Traditional Sensor Network Data for SDA,”</w:t>
      </w:r>
      <w:r>
        <w:t xml:space="preserve"> </w:t>
      </w:r>
      <w:r>
        <w:t xml:space="preserve">Proc. Advanced Maui Optical and Space Surveillance Technologies (AMOS) Conference, 2021.</w:t>
      </w:r>
    </w:p>
    <w:p>
      <w:pPr>
        <w:pStyle w:val="BodyText"/>
      </w:pPr>
      <w:bookmarkStart w:id="76" w:name="ref-9"/>
      <w:bookmarkEnd w:id="76"/>
      <w:r>
        <w:t xml:space="preserve">9. M. C. Britton, J. Mazur, T. P. Graves, G. Vazquez, and S. Daw,</w:t>
      </w:r>
      <w:r>
        <w:t xml:space="preserve"> </w:t>
      </w:r>
      <w:r>
        <w:t xml:space="preserve">“An Autonomous Geographically Distributed Ground Network that Scales,”</w:t>
      </w:r>
      <w:r>
        <w:t xml:space="preserve"> </w:t>
      </w:r>
      <w:r>
        <w:t xml:space="preserve">Proc. Advanced Maui Optical and Space Surveillance Technologies (AMOS) Conference, 2022.</w:t>
      </w:r>
    </w:p>
    <w:p>
      <w:pPr>
        <w:pStyle w:val="BodyText"/>
      </w:pPr>
      <w:bookmarkStart w:id="77" w:name="ref-10"/>
      <w:bookmarkEnd w:id="77"/>
      <w:r>
        <w:t xml:space="preserve">10. J. Kadan, A. Bala, K. Schroeder, and J. Black,</w:t>
      </w:r>
      <w:r>
        <w:t xml:space="preserve"> </w:t>
      </w:r>
      <w:r>
        <w:t xml:space="preserve">“Evaluation of Maneuver Detection within an Autonomous, Heterogeneous Sensor Network,”</w:t>
      </w:r>
      <w:r>
        <w:t xml:space="preserve"> </w:t>
      </w:r>
      <w:r>
        <w:t xml:space="preserve">Proc. Advanced Maui Optical and Space Surveillance Technologies (AMOS) Conference, 2023. doi:</w:t>
      </w:r>
      <w:r>
        <w:t xml:space="preserve"> </w:t>
      </w:r>
      <w:hyperlink r:id="rId78">
        <w:r>
          <w:rPr>
            <w:rStyle w:val="Hyperlink"/>
          </w:rPr>
          <w:t xml:space="preserve">10.64861/QEDJ9012</w:t>
        </w:r>
      </w:hyperlink>
    </w:p>
    <w:p>
      <w:pPr>
        <w:pStyle w:val="BodyText"/>
      </w:pPr>
      <w:bookmarkStart w:id="79" w:name="ref-11"/>
      <w:bookmarkEnd w:id="79"/>
      <w:r>
        <w:t xml:space="preserve">11. C. Phillips, A. Saul, K. Schroeder, and J. Kadan,</w:t>
      </w:r>
      <w:r>
        <w:t xml:space="preserve"> </w:t>
      </w:r>
      <w:r>
        <w:t xml:space="preserve">“Luck Is a Skill: Optimizing for Serendipitous Observations with Global Boresight Tasking,”</w:t>
      </w:r>
      <w:r>
        <w:t xml:space="preserve"> </w:t>
      </w:r>
      <w:r>
        <w:t xml:space="preserve">Proc. Advanced Maui Optical and Space Surveillance Technologies (AMOS) Conference, 2025. doi:</w:t>
      </w:r>
      <w:r>
        <w:t xml:space="preserve"> </w:t>
      </w:r>
      <w:hyperlink r:id="rId80">
        <w:r>
          <w:rPr>
            <w:rStyle w:val="Hyperlink"/>
          </w:rPr>
          <w:t xml:space="preserve">10.64861/GPAR3562</w:t>
        </w:r>
      </w:hyperlink>
    </w:p>
    <w:p>
      <w:pPr>
        <w:pStyle w:val="BodyText"/>
      </w:pPr>
      <w:bookmarkStart w:id="81" w:name="ref-12"/>
      <w:bookmarkEnd w:id="81"/>
      <w:r>
        <w:t xml:space="preserve">12. M. R. Jabbarpour, Q. B. Vo, G. El-Dalahmeh, H. Tahir, R. Kowalczyk, T. Bessell, and J. Barr,</w:t>
      </w:r>
      <w:r>
        <w:t xml:space="preserve"> </w:t>
      </w:r>
      <w:r>
        <w:t xml:space="preserve">“Agent-based Approaches for Distributed Space Systems and Mission Management,”</w:t>
      </w:r>
      <w:r>
        <w:t xml:space="preserve"> </w:t>
      </w:r>
      <w:r>
        <w:t xml:space="preserve">Acta Astronautica, vol. 238, 2025. doi:</w:t>
      </w:r>
      <w:r>
        <w:t xml:space="preserve"> </w:t>
      </w:r>
      <w:hyperlink r:id="rId82">
        <w:r>
          <w:rPr>
            <w:rStyle w:val="Hyperlink"/>
          </w:rPr>
          <w:t xml:space="preserve">10.1016/j.actaastro.2025.10.018</w:t>
        </w:r>
      </w:hyperlink>
    </w:p>
    <w:p>
      <w:pPr>
        <w:pStyle w:val="BodyText"/>
      </w:pPr>
      <w:bookmarkStart w:id="83" w:name="ref-13"/>
      <w:bookmarkEnd w:id="83"/>
      <w:r>
        <w:t xml:space="preserve">13. R. D. Coder and M. J. Holzinger,</w:t>
      </w:r>
      <w:r>
        <w:t xml:space="preserve"> </w:t>
      </w:r>
      <w:r>
        <w:t xml:space="preserve">“Sizing of a Raven-class Telescope Using Performance Sensitivities,”</w:t>
      </w:r>
      <w:r>
        <w:t xml:space="preserve"> </w:t>
      </w:r>
      <w:r>
        <w:t xml:space="preserve">Proc. Advanced Maui Optical and Space Surveillance Technologies (AMOS) Conference, 2013.</w:t>
      </w:r>
    </w:p>
    <w:p>
      <w:pPr>
        <w:pStyle w:val="BodyText"/>
      </w:pPr>
      <w:bookmarkStart w:id="84" w:name="ref-14"/>
      <w:bookmarkEnd w:id="84"/>
      <w:r>
        <w:t xml:space="preserve">14. K. Kaminski, J. Golebiewska, E. Wnuk, M. K. Kaminska, et al.,</w:t>
      </w:r>
      <w:r>
        <w:t xml:space="preserve"> </w:t>
      </w:r>
      <w:r>
        <w:t xml:space="preserve">“Single and Double Pass Optical LEO Survey and Tracking,”</w:t>
      </w:r>
      <w:r>
        <w:t xml:space="preserve"> </w:t>
      </w:r>
      <w:r>
        <w:t xml:space="preserve">Proc. Advanced Maui Optical and Space Surveillance Technologies (AMOS) Conference, 2022.</w:t>
      </w:r>
    </w:p>
    <w:p>
      <w:pPr>
        <w:pStyle w:val="BodyText"/>
      </w:pPr>
      <w:bookmarkStart w:id="85" w:name="ref-15"/>
      <w:bookmarkEnd w:id="85"/>
      <w:r>
        <w:t xml:space="preserve">15. P. Kelly, E. Glad, and T. Ritz,</w:t>
      </w:r>
      <w:r>
        <w:t xml:space="preserve"> </w:t>
      </w:r>
      <w:r>
        <w:t xml:space="preserve">“A Summary of the DRAGRACER Flight Experiment for Orbital Debris Mitigation and Radiometric Solutions,”</w:t>
      </w:r>
      <w:r>
        <w:t xml:space="preserve"> </w:t>
      </w:r>
      <w:r>
        <w:t xml:space="preserve">Proc. Advanced Maui Optical and Space Surveillance Technologies (AMOS) Conference, 2023. doi:</w:t>
      </w:r>
      <w:r>
        <w:t xml:space="preserve"> </w:t>
      </w:r>
      <w:hyperlink r:id="rId86">
        <w:r>
          <w:rPr>
            <w:rStyle w:val="Hyperlink"/>
          </w:rPr>
          <w:t xml:space="preserve">10.64861/FCFS9502</w:t>
        </w:r>
      </w:hyperlink>
    </w:p>
    <w:p>
      <w:pPr>
        <w:pStyle w:val="BodyText"/>
      </w:pPr>
      <w:bookmarkStart w:id="87" w:name="ref-16"/>
      <w:bookmarkEnd w:id="87"/>
      <w:r>
        <w:t xml:space="preserve">16. J. Greaves and D. Scheeres,</w:t>
      </w:r>
      <w:r>
        <w:t xml:space="preserve"> </w:t>
      </w:r>
      <w:r>
        <w:t xml:space="preserve">“Autonomous Information Gathering Guidance for Spacecraft-to-Spacecraft Tracking with Optical Sensors,”</w:t>
      </w:r>
      <w:r>
        <w:t xml:space="preserve"> </w:t>
      </w:r>
      <w:r>
        <w:t xml:space="preserve">Proc. Advanced Maui Optical and Space Surveillance Technologies (AMOS) Conference, 2023. doi:</w:t>
      </w:r>
      <w:r>
        <w:t xml:space="preserve"> </w:t>
      </w:r>
      <w:hyperlink r:id="rId88">
        <w:r>
          <w:rPr>
            <w:rStyle w:val="Hyperlink"/>
          </w:rPr>
          <w:t xml:space="preserve">10.64861/CGYJ5883</w:t>
        </w:r>
      </w:hyperlink>
    </w:p>
    <w:p>
      <w:pPr>
        <w:pStyle w:val="BodyText"/>
      </w:pPr>
      <w:bookmarkStart w:id="89" w:name="ref-17"/>
      <w:bookmarkEnd w:id="89"/>
      <w:r>
        <w:t xml:space="preserve">17. G. Fitzgerald, R. Morris, L. G. Militello, and J. Fletcher,</w:t>
      </w:r>
      <w:r>
        <w:t xml:space="preserve"> </w:t>
      </w:r>
      <w:r>
        <w:t xml:space="preserve">“Building Trust in Human-Machine Teaming for Autonomous Space Sensing,”</w:t>
      </w:r>
      <w:r>
        <w:t xml:space="preserve"> </w:t>
      </w:r>
      <w:r>
        <w:t xml:space="preserve">Proc. Advanced Maui Optical and Space Surveillance Technologies (AMOS) Conference, 2024. doi:</w:t>
      </w:r>
      <w:r>
        <w:t xml:space="preserve"> </w:t>
      </w:r>
      <w:hyperlink r:id="rId90">
        <w:r>
          <w:rPr>
            <w:rStyle w:val="Hyperlink"/>
          </w:rPr>
          <w:t xml:space="preserve">10.64861/HWZS9386</w:t>
        </w:r>
      </w:hyperlink>
    </w:p>
    <w:p>
      <w:pPr>
        <w:pStyle w:val="BodyText"/>
      </w:pPr>
      <w:bookmarkStart w:id="91" w:name="ref-18"/>
      <w:bookmarkEnd w:id="91"/>
      <w:r>
        <w:t xml:space="preserve">18. N. B. LaFarge, K. C. Howell, and D. Folta,</w:t>
      </w:r>
      <w:r>
        <w:t xml:space="preserve"> </w:t>
      </w:r>
      <w:r>
        <w:t xml:space="preserve">“Adaptive Closed-loop Maneuver Planning for Low-thrust Spacecraft Using Reinforcement Learning,”</w:t>
      </w:r>
      <w:r>
        <w:t xml:space="preserve"> </w:t>
      </w:r>
      <w:r>
        <w:t xml:space="preserve">Acta Astronautica, vol. 211, 2023. doi:</w:t>
      </w:r>
      <w:r>
        <w:t xml:space="preserve"> </w:t>
      </w:r>
      <w:hyperlink r:id="rId92">
        <w:r>
          <w:rPr>
            <w:rStyle w:val="Hyperlink"/>
          </w:rPr>
          <w:t xml:space="preserve">10.1016/j.actaastro.2023.06.004</w:t>
        </w:r>
      </w:hyperlink>
    </w:p>
    <w:p>
      <w:pPr>
        <w:pStyle w:val="BodyText"/>
      </w:pPr>
      <w:bookmarkStart w:id="93" w:name="ref-19"/>
      <w:bookmarkEnd w:id="93"/>
      <w:r>
        <w:t xml:space="preserve">19. J. Liang, Y. Zhu, Y.-Z. Luo, J. Zhang, and H. Zhu,</w:t>
      </w:r>
      <w:r>
        <w:t xml:space="preserve"> </w:t>
      </w:r>
      <w:r>
        <w:t xml:space="preserve">“A Precedence-rule-based Heuristic for Satellite Onboard Activity Planning,”</w:t>
      </w:r>
      <w:r>
        <w:t xml:space="preserve"> </w:t>
      </w:r>
      <w:r>
        <w:t xml:space="preserve">Acta Astronautica, vol. 178, 2020. doi:</w:t>
      </w:r>
      <w:r>
        <w:t xml:space="preserve"> </w:t>
      </w:r>
      <w:hyperlink r:id="rId94">
        <w:r>
          <w:rPr>
            <w:rStyle w:val="Hyperlink"/>
          </w:rPr>
          <w:t xml:space="preserve">10.1016/j.actaastro.2020.10.020</w:t>
        </w:r>
      </w:hyperlink>
    </w:p>
    <w:p>
      <w:pPr>
        <w:pStyle w:val="BodyText"/>
      </w:pPr>
      <w:bookmarkStart w:id="95" w:name="ref-20"/>
      <w:bookmarkEnd w:id="95"/>
      <w:r>
        <w:t xml:space="preserve">20. J. Hippelheuser and T. Elgohary,</w:t>
      </w:r>
      <w:r>
        <w:t xml:space="preserve"> </w:t>
      </w:r>
      <w:r>
        <w:t xml:space="preserve">“An Adaptive, Non-singular Measurement Model for Angles-only Orbit Determination and Estimation,”</w:t>
      </w:r>
      <w:r>
        <w:t xml:space="preserve"> </w:t>
      </w:r>
      <w:r>
        <w:t xml:space="preserve">Proc. Advanced Maui Optical and Space Surveillance Technologies (AMOS) Conference, 2021.</w:t>
      </w:r>
    </w:p>
    <w:p>
      <w:pPr>
        <w:pStyle w:val="BodyText"/>
      </w:pPr>
      <w:bookmarkStart w:id="96" w:name="ref-21"/>
      <w:bookmarkEnd w:id="96"/>
      <w:r>
        <w:t xml:space="preserve">21. X. Fu and S. Soldini,</w:t>
      </w:r>
      <w:r>
        <w:t xml:space="preserve"> </w:t>
      </w:r>
      <w:r>
        <w:t xml:space="preserve">“Autonomous Orbital Maintenance Using a Supervised-learning-based Target Point Approach,”</w:t>
      </w:r>
      <w:r>
        <w:t xml:space="preserve"> </w:t>
      </w:r>
      <w:r>
        <w:t xml:space="preserve">Acta Astronautica, vol. 244, 2026. doi:</w:t>
      </w:r>
      <w:r>
        <w:t xml:space="preserve"> </w:t>
      </w:r>
      <w:hyperlink r:id="rId97">
        <w:r>
          <w:rPr>
            <w:rStyle w:val="Hyperlink"/>
          </w:rPr>
          <w:t xml:space="preserve">10.1016/j.actaastro.2026.02.008</w:t>
        </w:r>
      </w:hyperlink>
    </w:p>
    <w:p>
      <w:pPr>
        <w:pStyle w:val="BodyText"/>
      </w:pPr>
      <w:bookmarkStart w:id="98" w:name="ref-22"/>
      <w:bookmarkEnd w:id="98"/>
      <w:r>
        <w:t xml:space="preserve">22. S. Tavana, S. Faghihi, A. de Ruiter, and K. D. Kumar,</w:t>
      </w:r>
      <w:r>
        <w:t xml:space="preserve"> </w:t>
      </w:r>
      <w:r>
        <w:t xml:space="preserve">“Online Motion Planning and Control for Autonomous On-orbit Assembly with Machine Learning-based Model Predictive Control,”</w:t>
      </w:r>
      <w:r>
        <w:t xml:space="preserve"> </w:t>
      </w:r>
      <w:r>
        <w:t xml:space="preserve">Acta Astronautica, vol. 239, 2025. doi:</w:t>
      </w:r>
      <w:r>
        <w:t xml:space="preserve"> </w:t>
      </w:r>
      <w:hyperlink r:id="rId99">
        <w:r>
          <w:rPr>
            <w:rStyle w:val="Hyperlink"/>
          </w:rPr>
          <w:t xml:space="preserve">10.1016/j.actaastro.2025.10.073</w:t>
        </w:r>
      </w:hyperlink>
    </w:p>
    <w:p>
      <w:pPr>
        <w:pStyle w:val="BodyText"/>
      </w:pPr>
      <w:bookmarkStart w:id="100" w:name="ref-23"/>
      <w:bookmarkEnd w:id="100"/>
      <w:r>
        <w:t xml:space="preserve">23. A. Kaluthantrige, J. Feng, and J. Gil-Fernandez,</w:t>
      </w:r>
      <w:r>
        <w:t xml:space="preserve"> </w:t>
      </w:r>
      <w:r>
        <w:t xml:space="preserve">“CNN-based Image Processing Algorithm for Autonomous Optical Navigation of Hera Mission to the Binary Asteroid Didymos,”</w:t>
      </w:r>
      <w:r>
        <w:t xml:space="preserve"> </w:t>
      </w:r>
      <w:r>
        <w:t xml:space="preserve">Acta Astronautica, vol. 211, 2023. doi:</w:t>
      </w:r>
      <w:r>
        <w:t xml:space="preserve"> </w:t>
      </w:r>
      <w:hyperlink r:id="rId101">
        <w:r>
          <w:rPr>
            <w:rStyle w:val="Hyperlink"/>
          </w:rPr>
          <w:t xml:space="preserve">10.1016/j.actaastro.2023.05.029</w:t>
        </w:r>
      </w:hyperlink>
    </w:p>
    <w:p>
      <w:pPr>
        <w:pStyle w:val="BodyText"/>
      </w:pPr>
      <w:bookmarkStart w:id="102" w:name="ref-24"/>
      <w:bookmarkEnd w:id="102"/>
      <w:r>
        <w:t xml:space="preserve">24. C. Pirat, F. Ankersen, R. Walker, and V. Gass,</w:t>
      </w:r>
      <w:r>
        <w:t xml:space="preserve"> </w:t>
      </w:r>
      <w:r>
        <w:t xml:space="preserve">“Vision Based Navigation for Autonomous Cooperative Docking of CubeSats,”</w:t>
      </w:r>
      <w:r>
        <w:t xml:space="preserve"> </w:t>
      </w:r>
      <w:r>
        <w:t xml:space="preserve">Acta Astronautica, vol. 146, 2018. doi:</w:t>
      </w:r>
      <w:r>
        <w:t xml:space="preserve"> </w:t>
      </w:r>
      <w:hyperlink r:id="rId103">
        <w:r>
          <w:rPr>
            <w:rStyle w:val="Hyperlink"/>
          </w:rPr>
          <w:t xml:space="preserve">10.1016/j.actaastro.2018.01.059</w:t>
        </w:r>
      </w:hyperlink>
    </w:p>
    <w:bookmarkEnd w:id="104"/>
    <w:bookmarkStart w:id="105" w:name="specification"/>
    <w:p>
      <w:pPr>
        <w:pStyle w:val="Heading2"/>
      </w:pPr>
      <w:r>
        <w:t xml:space="preserve">Specification</w:t>
      </w:r>
    </w:p>
    <w:p>
      <w:pPr>
        <w:pStyle w:val="FirstParagraph"/>
      </w:pPr>
      <m:oMathPara>
        <m:oMathParaPr>
          <m:jc m:val="center"/>
        </m:oMathParaPr>
        <m:oMath>
          <m:sSub>
            <m:e>
              <m:r>
                <m:rPr>
                  <m:sty m:val="p"/>
                </m:rPr>
                <m:t>o</m:t>
              </m:r>
              <m:r>
                <m:rPr>
                  <m:sty m:val="p"/>
                </m:rPr>
                <m:t>b</m:t>
              </m:r>
              <m:r>
                <m:rPr>
                  <m:sty m:val="p"/>
                </m:rPr>
                <m:t>s</m:t>
              </m:r>
              <m:r>
                <m:rPr>
                  <m:sty m:val="p"/>
                </m:rPr>
                <m:t>_</m:t>
              </m:r>
              <m:r>
                <m:rPr>
                  <m:sty m:val="p"/>
                </m:rPr>
                <m:t>p</m:t>
              </m:r>
              <m:r>
                <m:rPr>
                  <m:sty m:val="p"/>
                </m:rPr>
                <m:t>e</m:t>
              </m:r>
              <m:r>
                <m:rPr>
                  <m:sty m:val="p"/>
                </m:rPr>
                <m:t>r</m:t>
              </m:r>
              <m:r>
                <m:rPr>
                  <m:sty m:val="p"/>
                </m:rPr>
                <m:t>_</m:t>
              </m:r>
              <m:r>
                <m:rPr>
                  <m:sty m:val="p"/>
                </m:rPr>
                <m:t>n</m:t>
              </m:r>
              <m:r>
                <m:rPr>
                  <m:sty m:val="p"/>
                </m:rPr>
                <m:t>i</m:t>
              </m:r>
              <m:r>
                <m:rPr>
                  <m:sty m:val="p"/>
                </m:rPr>
                <m:t>g</m:t>
              </m:r>
              <m:r>
                <m:rPr>
                  <m:sty m:val="p"/>
                </m:rPr>
                <m:t>h</m:t>
              </m:r>
              <m:r>
                <m:rPr>
                  <m:sty m:val="p"/>
                </m:rPr>
                <m:t>t</m:t>
              </m:r>
            </m:e>
            <m:sub>
              <m:r>
                <m:t>i</m:t>
              </m:r>
            </m:sub>
          </m:sSub>
          <m:r>
            <m:rPr>
              <m:sty m:val="p"/>
            </m:rPr>
            <m:t>=</m:t>
          </m:r>
          <m:sSub>
            <m:e>
              <m:r>
                <m:t>β</m:t>
              </m:r>
            </m:e>
            <m:sub>
              <m:r>
                <m:t>0</m:t>
              </m:r>
            </m:sub>
          </m:sSub>
          <m:r>
            <m:rPr>
              <m:sty m:val="p"/>
            </m:rPr>
            <m:t>+</m:t>
          </m:r>
          <m:sSub>
            <m:e>
              <m:r>
                <m:t>β</m:t>
              </m:r>
            </m:e>
            <m:sub>
              <m:r>
                <m:t>1</m:t>
              </m:r>
            </m:sub>
          </m:sSub>
          <m:r>
            <m:t> </m:t>
          </m:r>
          <m:sSub>
            <m:e>
              <m:r>
                <m:rPr>
                  <m:sty m:val="p"/>
                </m:rPr>
                <m:t>a</m:t>
              </m:r>
              <m:r>
                <m:rPr>
                  <m:sty m:val="p"/>
                </m:rPr>
                <m:t>p</m:t>
              </m:r>
              <m:r>
                <m:rPr>
                  <m:sty m:val="p"/>
                </m:rPr>
                <m:t>e</m:t>
              </m:r>
              <m:r>
                <m:rPr>
                  <m:sty m:val="p"/>
                </m:rPr>
                <m:t>r</m:t>
              </m:r>
              <m:r>
                <m:rPr>
                  <m:sty m:val="p"/>
                </m:rPr>
                <m:t>t</m:t>
              </m:r>
              <m:r>
                <m:rPr>
                  <m:sty m:val="p"/>
                </m:rPr>
                <m:t>u</m:t>
              </m:r>
              <m:r>
                <m:rPr>
                  <m:sty m:val="p"/>
                </m:rPr>
                <m:t>r</m:t>
              </m:r>
              <m:r>
                <m:rPr>
                  <m:sty m:val="p"/>
                </m:rPr>
                <m:t>e</m:t>
              </m:r>
              <m:r>
                <m:rPr>
                  <m:sty m:val="p"/>
                </m:rPr>
                <m:t>_</m:t>
              </m:r>
              <m:r>
                <m:rPr>
                  <m:sty m:val="p"/>
                </m:rPr>
                <m:t>m</m:t>
              </m:r>
            </m:e>
            <m:sub>
              <m:r>
                <m:t>i</m:t>
              </m:r>
            </m:sub>
          </m:sSub>
          <m:r>
            <m:rPr>
              <m:sty m:val="p"/>
            </m:rPr>
            <m:t>+</m:t>
          </m:r>
          <m:sSub>
            <m:e>
              <m:r>
                <m:t>β</m:t>
              </m:r>
            </m:e>
            <m:sub>
              <m:r>
                <m:t>2</m:t>
              </m:r>
            </m:sub>
          </m:sSub>
          <m:r>
            <m:t> </m:t>
          </m:r>
          <m:sSub>
            <m:e>
              <m:r>
                <m:rPr>
                  <m:sty m:val="p"/>
                </m:rPr>
                <m:t>s</m:t>
              </m:r>
              <m:r>
                <m:rPr>
                  <m:sty m:val="p"/>
                </m:rPr>
                <m:t>l</m:t>
              </m:r>
              <m:r>
                <m:rPr>
                  <m:sty m:val="p"/>
                </m:rPr>
                <m:t>e</m:t>
              </m:r>
              <m:r>
                <m:rPr>
                  <m:sty m:val="p"/>
                </m:rPr>
                <m:t>w</m:t>
              </m:r>
              <m:r>
                <m:rPr>
                  <m:sty m:val="p"/>
                </m:rPr>
                <m:t>_</m:t>
              </m:r>
              <m:r>
                <m:rPr>
                  <m:sty m:val="p"/>
                </m:rPr>
                <m:t>r</m:t>
              </m:r>
              <m:r>
                <m:rPr>
                  <m:sty m:val="p"/>
                </m:rPr>
                <m:t>a</m:t>
              </m:r>
              <m:r>
                <m:rPr>
                  <m:sty m:val="p"/>
                </m:rPr>
                <m:t>t</m:t>
              </m:r>
              <m:r>
                <m:rPr>
                  <m:sty m:val="p"/>
                </m:rPr>
                <m:t>e</m:t>
              </m:r>
              <m:r>
                <m:rPr>
                  <m:sty m:val="p"/>
                </m:rPr>
                <m:t>_</m:t>
              </m:r>
              <m:r>
                <m:rPr>
                  <m:sty m:val="p"/>
                </m:rPr>
                <m:t>d</m:t>
              </m:r>
              <m:r>
                <m:rPr>
                  <m:sty m:val="p"/>
                </m:rPr>
                <m:t>e</m:t>
              </m:r>
              <m:r>
                <m:rPr>
                  <m:sty m:val="p"/>
                </m:rPr>
                <m:t>g</m:t>
              </m:r>
              <m:r>
                <m:rPr>
                  <m:sty m:val="p"/>
                </m:rPr>
                <m:t>_</m:t>
              </m:r>
              <m:r>
                <m:rPr>
                  <m:sty m:val="p"/>
                </m:rPr>
                <m:t>s</m:t>
              </m:r>
            </m:e>
            <m:sub>
              <m:r>
                <m:t>i</m:t>
              </m:r>
            </m:sub>
          </m:sSub>
          <m:r>
            <m:rPr>
              <m:sty m:val="p"/>
            </m:rPr>
            <m:t>+</m:t>
          </m:r>
          <m:sSub>
            <m:e>
              <m:r>
                <m:t>β</m:t>
              </m:r>
            </m:e>
            <m:sub>
              <m:r>
                <m:t>3</m:t>
              </m:r>
            </m:sub>
          </m:sSub>
          <m:r>
            <m:t> </m:t>
          </m:r>
          <m:sSub>
            <m:e>
              <m:r>
                <m:rPr>
                  <m:sty m:val="p"/>
                </m:rPr>
                <m:t>a</m:t>
              </m:r>
              <m:r>
                <m:rPr>
                  <m:sty m:val="p"/>
                </m:rPr>
                <m:t>u</m:t>
              </m:r>
              <m:r>
                <m:rPr>
                  <m:sty m:val="p"/>
                </m:rPr>
                <m:t>t</m:t>
              </m:r>
              <m:r>
                <m:rPr>
                  <m:sty m:val="p"/>
                </m:rPr>
                <m:t>o</m:t>
              </m:r>
              <m:r>
                <m:rPr>
                  <m:sty m:val="p"/>
                </m:rPr>
                <m:t>n</m:t>
              </m:r>
              <m:r>
                <m:rPr>
                  <m:sty m:val="p"/>
                </m:rPr>
                <m:t>o</m:t>
              </m:r>
              <m:r>
                <m:rPr>
                  <m:sty m:val="p"/>
                </m:rPr>
                <m:t>m</m:t>
              </m:r>
              <m:r>
                <m:rPr>
                  <m:sty m:val="p"/>
                </m:rPr>
                <m:t>y</m:t>
              </m:r>
              <m:r>
                <m:rPr>
                  <m:sty m:val="p"/>
                </m:rPr>
                <m:t>_</m:t>
              </m:r>
              <m:r>
                <m:rPr>
                  <m:sty m:val="p"/>
                </m:rPr>
                <m:t>l</m:t>
              </m:r>
              <m:r>
                <m:rPr>
                  <m:sty m:val="p"/>
                </m:rPr>
                <m:t>e</m:t>
              </m:r>
              <m:r>
                <m:rPr>
                  <m:sty m:val="p"/>
                </m:rPr>
                <m:t>v</m:t>
              </m:r>
              <m:r>
                <m:rPr>
                  <m:sty m:val="p"/>
                </m:rPr>
                <m:t>e</m:t>
              </m:r>
              <m:r>
                <m:rPr>
                  <m:sty m:val="p"/>
                </m:rPr>
                <m:t>l</m:t>
              </m:r>
            </m:e>
            <m:sub>
              <m:r>
                <m:t>i</m:t>
              </m:r>
            </m:sub>
          </m:sSub>
          <m:r>
            <m:rPr>
              <m:sty m:val="p"/>
            </m:rPr>
            <m:t>+</m:t>
          </m:r>
          <m:sSub>
            <m:e>
              <m:r>
                <m:t>β</m:t>
              </m:r>
            </m:e>
            <m:sub>
              <m:r>
                <m:t>4</m:t>
              </m:r>
            </m:sub>
          </m:sSub>
          <m:r>
            <m:t> </m:t>
          </m:r>
          <m:sSub>
            <m:e>
              <m:r>
                <m:rPr>
                  <m:sty m:val="p"/>
                </m:rPr>
                <m:t>s</m:t>
              </m:r>
              <m:r>
                <m:rPr>
                  <m:sty m:val="p"/>
                </m:rPr>
                <m:t>i</m:t>
              </m:r>
              <m:r>
                <m:rPr>
                  <m:sty m:val="p"/>
                </m:rPr>
                <m:t>t</m:t>
              </m:r>
              <m:r>
                <m:rPr>
                  <m:sty m:val="p"/>
                </m:rPr>
                <m:t>e</m:t>
              </m:r>
              <m:r>
                <m:rPr>
                  <m:sty m:val="p"/>
                </m:rPr>
                <m:t>s</m:t>
              </m:r>
              <m:r>
                <m:rPr>
                  <m:sty m:val="p"/>
                </m:rPr>
                <m:t>_</m:t>
              </m:r>
              <m:r>
                <m:rPr>
                  <m:sty m:val="p"/>
                </m:rPr>
                <m:t>n</m:t>
              </m:r>
            </m:e>
            <m:sub>
              <m:r>
                <m:t>i</m:t>
              </m:r>
            </m:sub>
          </m:sSub>
          <m:r>
            <m:rPr>
              <m:sty m:val="p"/>
            </m:rPr>
            <m:t>+</m:t>
          </m:r>
          <m:sSub>
            <m:e>
              <m:r>
                <m:t>ε</m:t>
              </m:r>
            </m:e>
            <m:sub>
              <m:r>
                <m:t>i</m:t>
              </m:r>
            </m:sub>
          </m:sSub>
        </m:oMath>
      </m:oMathPara>
    </w:p>
    <w:bookmarkEnd w:id="105"/>
    <w:bookmarkStart w:id="109"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-2.2645</w:t>
            </w:r>
          </w:p>
        </w:tc>
        <w:tc>
          <w:tcPr>
            <w:tcW w:w="0" w:type="auto"/>
          </w:tcPr>
          <w:p>
            <w:pPr>
              <w:spacing w:line="240" w:lineRule="auto" w:before="0" w:after="0"/>
              <w:pStyle w:val="Compact"/>
            </w:pPr>
            <w:r>
              <w:rPr>
                <w:sz w:val="20"/>
                <w:szCs w:val="20"/>
              </w:rPr>
              <w:t xml:space="preserve">133.901</w:t>
            </w:r>
          </w:p>
        </w:tc>
        <w:tc>
          <w:tcPr>
            <w:tcW w:w="0" w:type="auto"/>
          </w:tcPr>
          <w:p>
            <w:pPr>
              <w:spacing w:line="240" w:lineRule="auto" w:before="0" w:after="0"/>
              <w:pStyle w:val="Compact"/>
            </w:pPr>
            <w:r>
              <w:rPr>
                <w:sz w:val="20"/>
                <w:szCs w:val="20"/>
              </w:rPr>
              <w:t xml:space="preserve">-0.0169</w:t>
            </w:r>
          </w:p>
        </w:tc>
        <w:tc>
          <w:tcPr>
            <w:tcW w:w="0" w:type="auto"/>
          </w:tcPr>
          <w:p>
            <w:pPr>
              <w:spacing w:line="240" w:lineRule="auto" w:before="0" w:after="0"/>
              <w:pStyle w:val="Compact"/>
            </w:pPr>
            <w:r>
              <w:rPr>
                <w:sz w:val="20"/>
                <w:szCs w:val="20"/>
              </w:rPr>
              <w:t xml:space="preserve">0.9865</w:t>
            </w:r>
          </w:p>
        </w:tc>
        <w:tc>
          <w:tcPr>
            <w:tcW w:w="0" w:type="auto"/>
          </w:tcPr>
          <w:p>
            <w:pPr>
              <w:spacing w:line="240" w:lineRule="auto" w:before="0" w:after="0"/>
              <w:pStyle w:val="Compact"/>
            </w:pPr>
            <w:r>
              <w:rPr>
                <w:sz w:val="20"/>
                <w:szCs w:val="20"/>
              </w:rPr>
              <w:t xml:space="preserve">[-264.7057, 260.1766]</w:t>
            </w:r>
          </w:p>
        </w:tc>
      </w:tr>
      <w:tr>
        <w:tc>
          <w:tcPr>
            <w:tcW w:w="0" w:type="auto"/>
          </w:tcPr>
          <w:p>
            <w:pPr>
              <w:spacing w:line="240" w:lineRule="auto" w:before="0" w:after="0"/>
              <w:pStyle w:val="Compact"/>
            </w:pPr>
            <w:r>
              <w:rPr>
                <w:sz w:val="20"/>
                <w:szCs w:val="20"/>
              </w:rPr>
              <w:t xml:space="preserve">aperture_m</w:t>
            </w:r>
          </w:p>
        </w:tc>
        <w:tc>
          <w:tcPr>
            <w:tcW w:w="0" w:type="auto"/>
          </w:tcPr>
          <w:p>
            <w:pPr>
              <w:spacing w:line="240" w:lineRule="auto" w:before="0" w:after="0"/>
              <w:pStyle w:val="Compact"/>
            </w:pPr>
            <w:r>
              <w:rPr>
                <w:sz w:val="20"/>
                <w:szCs w:val="20"/>
              </w:rPr>
              <w:t xml:space="preserve">92.7755</w:t>
            </w:r>
          </w:p>
        </w:tc>
        <w:tc>
          <w:tcPr>
            <w:tcW w:w="0" w:type="auto"/>
          </w:tcPr>
          <w:p>
            <w:pPr>
              <w:spacing w:line="240" w:lineRule="auto" w:before="0" w:after="0"/>
              <w:pStyle w:val="Compact"/>
            </w:pPr>
            <w:r>
              <w:rPr>
                <w:sz w:val="20"/>
                <w:szCs w:val="20"/>
              </w:rPr>
              <w:t xml:space="preserve">20.0907</w:t>
            </w:r>
          </w:p>
        </w:tc>
        <w:tc>
          <w:tcPr>
            <w:tcW w:w="0" w:type="auto"/>
          </w:tcPr>
          <w:p>
            <w:pPr>
              <w:spacing w:line="240" w:lineRule="auto" w:before="0" w:after="0"/>
              <w:pStyle w:val="Compact"/>
            </w:pPr>
            <w:r>
              <w:rPr>
                <w:sz w:val="20"/>
                <w:szCs w:val="20"/>
              </w:rPr>
              <w:t xml:space="preserve">4.6178</w:t>
            </w:r>
          </w:p>
        </w:tc>
        <w:tc>
          <w:tcPr>
            <w:tcW w:w="0" w:type="auto"/>
          </w:tcPr>
          <w:p>
            <w:pPr>
              <w:spacing w:line="240" w:lineRule="auto" w:before="0" w:after="0"/>
              <w:pStyle w:val="Compact"/>
            </w:pPr>
            <w:r>
              <w:rPr>
                <w:sz w:val="20"/>
                <w:szCs w:val="20"/>
              </w:rPr>
              <w:t xml:space="preserve">3.878e-06</w:t>
            </w:r>
          </w:p>
        </w:tc>
        <w:tc>
          <w:tcPr>
            <w:tcW w:w="0" w:type="auto"/>
          </w:tcPr>
          <w:p>
            <w:pPr>
              <w:spacing w:line="240" w:lineRule="auto" w:before="0" w:after="0"/>
              <w:pStyle w:val="Compact"/>
            </w:pPr>
            <w:r>
              <w:rPr>
                <w:sz w:val="20"/>
                <w:szCs w:val="20"/>
              </w:rPr>
              <w:t xml:space="preserve">[53.3984, 132.1526]</w:t>
            </w:r>
          </w:p>
        </w:tc>
      </w:tr>
      <w:tr>
        <w:tc>
          <w:tcPr>
            <w:tcW w:w="0" w:type="auto"/>
          </w:tcPr>
          <w:p>
            <w:pPr>
              <w:spacing w:line="240" w:lineRule="auto" w:before="0" w:after="0"/>
              <w:pStyle w:val="Compact"/>
            </w:pPr>
            <w:r>
              <w:rPr>
                <w:sz w:val="20"/>
                <w:szCs w:val="20"/>
              </w:rPr>
              <w:t xml:space="preserve">slew_rate_deg_s</w:t>
            </w:r>
          </w:p>
        </w:tc>
        <w:tc>
          <w:tcPr>
            <w:tcW w:w="0" w:type="auto"/>
          </w:tcPr>
          <w:p>
            <w:pPr>
              <w:spacing w:line="240" w:lineRule="auto" w:before="0" w:after="0"/>
              <w:pStyle w:val="Compact"/>
            </w:pPr>
            <w:r>
              <w:rPr>
                <w:sz w:val="20"/>
                <w:szCs w:val="20"/>
              </w:rPr>
              <w:t xml:space="preserve">-35.4051</w:t>
            </w:r>
          </w:p>
        </w:tc>
        <w:tc>
          <w:tcPr>
            <w:tcW w:w="0" w:type="auto"/>
          </w:tcPr>
          <w:p>
            <w:pPr>
              <w:spacing w:line="240" w:lineRule="auto" w:before="0" w:after="0"/>
              <w:pStyle w:val="Compact"/>
            </w:pPr>
            <w:r>
              <w:rPr>
                <w:sz w:val="20"/>
                <w:szCs w:val="20"/>
              </w:rPr>
              <w:t xml:space="preserve">29.3213</w:t>
            </w:r>
          </w:p>
        </w:tc>
        <w:tc>
          <w:tcPr>
            <w:tcW w:w="0" w:type="auto"/>
          </w:tcPr>
          <w:p>
            <w:pPr>
              <w:spacing w:line="240" w:lineRule="auto" w:before="0" w:after="0"/>
              <w:pStyle w:val="Compact"/>
            </w:pPr>
            <w:r>
              <w:rPr>
                <w:sz w:val="20"/>
                <w:szCs w:val="20"/>
              </w:rPr>
              <w:t xml:space="preserve">-1.2075</w:t>
            </w:r>
          </w:p>
        </w:tc>
        <w:tc>
          <w:tcPr>
            <w:tcW w:w="0" w:type="auto"/>
          </w:tcPr>
          <w:p>
            <w:pPr>
              <w:spacing w:line="240" w:lineRule="auto" w:before="0" w:after="0"/>
              <w:pStyle w:val="Compact"/>
            </w:pPr>
            <w:r>
              <w:rPr>
                <w:sz w:val="20"/>
                <w:szCs w:val="20"/>
              </w:rPr>
              <w:t xml:space="preserve">0.2272</w:t>
            </w:r>
          </w:p>
        </w:tc>
        <w:tc>
          <w:tcPr>
            <w:tcW w:w="0" w:type="auto"/>
          </w:tcPr>
          <w:p>
            <w:pPr>
              <w:spacing w:line="240" w:lineRule="auto" w:before="0" w:after="0"/>
              <w:pStyle w:val="Compact"/>
            </w:pPr>
            <w:r>
              <w:rPr>
                <w:sz w:val="20"/>
                <w:szCs w:val="20"/>
              </w:rPr>
              <w:t xml:space="preserve">[-92.8738, 22.0635]</w:t>
            </w:r>
          </w:p>
        </w:tc>
      </w:tr>
      <w:tr>
        <w:tc>
          <w:tcPr>
            <w:tcW w:w="0" w:type="auto"/>
          </w:tcPr>
          <w:p>
            <w:pPr>
              <w:spacing w:line="240" w:lineRule="auto" w:before="0" w:after="0"/>
              <w:pStyle w:val="Compact"/>
            </w:pPr>
            <w:r>
              <w:rPr>
                <w:sz w:val="20"/>
                <w:szCs w:val="20"/>
              </w:rPr>
              <w:t xml:space="preserve">autonomy_level</w:t>
            </w:r>
          </w:p>
        </w:tc>
        <w:tc>
          <w:tcPr>
            <w:tcW w:w="0" w:type="auto"/>
          </w:tcPr>
          <w:p>
            <w:pPr>
              <w:spacing w:line="240" w:lineRule="auto" w:before="0" w:after="0"/>
              <w:pStyle w:val="Compact"/>
            </w:pPr>
            <w:r>
              <w:rPr>
                <w:sz w:val="20"/>
                <w:szCs w:val="20"/>
              </w:rPr>
              <w:t xml:space="preserve">52.9193</w:t>
            </w:r>
          </w:p>
        </w:tc>
        <w:tc>
          <w:tcPr>
            <w:tcW w:w="0" w:type="auto"/>
          </w:tcPr>
          <w:p>
            <w:pPr>
              <w:spacing w:line="240" w:lineRule="auto" w:before="0" w:after="0"/>
              <w:pStyle w:val="Compact"/>
            </w:pPr>
            <w:r>
              <w:rPr>
                <w:sz w:val="20"/>
                <w:szCs w:val="20"/>
              </w:rPr>
              <w:t xml:space="preserve">12.7188</w:t>
            </w:r>
          </w:p>
        </w:tc>
        <w:tc>
          <w:tcPr>
            <w:tcW w:w="0" w:type="auto"/>
          </w:tcPr>
          <w:p>
            <w:pPr>
              <w:spacing w:line="240" w:lineRule="auto" w:before="0" w:after="0"/>
              <w:pStyle w:val="Compact"/>
            </w:pPr>
            <w:r>
              <w:rPr>
                <w:sz w:val="20"/>
                <w:szCs w:val="20"/>
              </w:rPr>
              <w:t xml:space="preserve">4.1607</w:t>
            </w:r>
          </w:p>
        </w:tc>
        <w:tc>
          <w:tcPr>
            <w:tcW w:w="0" w:type="auto"/>
          </w:tcPr>
          <w:p>
            <w:pPr>
              <w:spacing w:line="240" w:lineRule="auto" w:before="0" w:after="0"/>
              <w:pStyle w:val="Compact"/>
            </w:pPr>
            <w:r>
              <w:rPr>
                <w:sz w:val="20"/>
                <w:szCs w:val="20"/>
              </w:rPr>
              <w:t xml:space="preserve">3.172e-05</w:t>
            </w:r>
          </w:p>
        </w:tc>
        <w:tc>
          <w:tcPr>
            <w:tcW w:w="0" w:type="auto"/>
          </w:tcPr>
          <w:p>
            <w:pPr>
              <w:spacing w:line="240" w:lineRule="auto" w:before="0" w:after="0"/>
              <w:pStyle w:val="Compact"/>
            </w:pPr>
            <w:r>
              <w:rPr>
                <w:sz w:val="20"/>
                <w:szCs w:val="20"/>
              </w:rPr>
              <w:t xml:space="preserve">[27.991, 77.8476]</w:t>
            </w:r>
          </w:p>
        </w:tc>
      </w:tr>
      <w:tr>
        <w:tc>
          <w:tcPr>
            <w:tcW w:w="0" w:type="auto"/>
          </w:tcPr>
          <w:p>
            <w:pPr>
              <w:spacing w:line="240" w:lineRule="auto" w:before="0" w:after="0"/>
              <w:pStyle w:val="Compact"/>
            </w:pPr>
            <w:r>
              <w:rPr>
                <w:sz w:val="20"/>
                <w:szCs w:val="20"/>
              </w:rPr>
              <w:t xml:space="preserve">sites_n</w:t>
            </w:r>
          </w:p>
        </w:tc>
        <w:tc>
          <w:tcPr>
            <w:tcW w:w="0" w:type="auto"/>
          </w:tcPr>
          <w:p>
            <w:pPr>
              <w:spacing w:line="240" w:lineRule="auto" w:before="0" w:after="0"/>
              <w:pStyle w:val="Compact"/>
            </w:pPr>
            <w:r>
              <w:rPr>
                <w:sz w:val="20"/>
                <w:szCs w:val="20"/>
              </w:rPr>
              <w:t xml:space="preserve">174.0358</w:t>
            </w:r>
          </w:p>
        </w:tc>
        <w:tc>
          <w:tcPr>
            <w:tcW w:w="0" w:type="auto"/>
          </w:tcPr>
          <w:p>
            <w:pPr>
              <w:spacing w:line="240" w:lineRule="auto" w:before="0" w:after="0"/>
              <w:pStyle w:val="Compact"/>
            </w:pPr>
            <w:r>
              <w:rPr>
                <w:sz w:val="20"/>
                <w:szCs w:val="20"/>
              </w:rPr>
              <w:t xml:space="preserve">10.3171</w:t>
            </w:r>
          </w:p>
        </w:tc>
        <w:tc>
          <w:tcPr>
            <w:tcW w:w="0" w:type="auto"/>
          </w:tcPr>
          <w:p>
            <w:pPr>
              <w:spacing w:line="240" w:lineRule="auto" w:before="0" w:after="0"/>
              <w:pStyle w:val="Compact"/>
            </w:pPr>
            <w:r>
              <w:rPr>
                <w:sz w:val="20"/>
                <w:szCs w:val="20"/>
              </w:rPr>
              <w:t xml:space="preserve">16.8687</w:t>
            </w:r>
          </w:p>
        </w:tc>
        <w:tc>
          <w:tcPr>
            <w:tcW w:w="0" w:type="auto"/>
          </w:tcPr>
          <w:p>
            <w:pPr>
              <w:spacing w:line="240" w:lineRule="auto" w:before="0" w:after="0"/>
              <w:pStyle w:val="Compact"/>
            </w:pPr>
            <w:r>
              <w:rPr>
                <w:sz w:val="20"/>
                <w:szCs w:val="20"/>
              </w:rPr>
              <w:t xml:space="preserve">7.644e-64</w:t>
            </w:r>
          </w:p>
        </w:tc>
        <w:tc>
          <w:tcPr>
            <w:tcW w:w="0" w:type="auto"/>
          </w:tcPr>
          <w:p>
            <w:pPr>
              <w:spacing w:line="240" w:lineRule="auto" w:before="0" w:after="0"/>
              <w:pStyle w:val="Compact"/>
            </w:pPr>
            <w:r>
              <w:rPr>
                <w:sz w:val="20"/>
                <w:szCs w:val="20"/>
              </w:rPr>
              <w:t xml:space="preserve">[153.8147, 194.2569]</w:t>
            </w:r>
          </w:p>
        </w:tc>
      </w:tr>
    </w:tbl>
    <w:p>
      <w:pPr>
        <w:pStyle w:val="BodyText"/>
      </w:pPr>
      <w:r>
        <w:t xml:space="preserve">Fit: N = 32 R2 = 0.9505 R2_adj = 0.9432 F = 208.7499 F_p = 6.96e-20</w:t>
      </w:r>
    </w:p>
    <w:p>
      <w:pPr>
        <w:pStyle w:val="CaptionedFigure"/>
      </w:pPr>
      <w:r>
        <w:drawing>
          <wp:inline>
            <wp:extent cx="5669280" cy="3657600"/>
            <wp:effectExtent b="0" l="0" r="0" t="0"/>
            <wp:docPr descr="Figure 1. Observations per night vs autonomy level across 31 published optical tasking campaigns." title="" id="107" name="Picture"/>
            <a:graphic>
              <a:graphicData uri="http://schemas.openxmlformats.org/drawingml/2006/picture">
                <pic:pic>
                  <pic:nvPicPr>
                    <pic:cNvPr descr="D:\Claude_Code\brain\collegium\candidates\dissertations\JPL_INSTRUMENTS_NAV_04\research_papers\p1\paper_fig1.png" id="108" name="Picture"/>
                    <pic:cNvPicPr>
                      <a:picLocks noChangeArrowheads="1" noChangeAspect="1"/>
                    </pic:cNvPicPr>
                  </pic:nvPicPr>
                  <pic:blipFill>
                    <a:blip r:embed="rId106"/>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Observations per night vs autonomy level across 31 published optical tasking campaigns.</w:t>
      </w:r>
    </w:p>
    <w:bookmarkEnd w:id="109"/>
    <w:bookmarkStart w:id="113"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110"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campaign</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aperture_m</w:t>
            </w:r>
          </w:p>
        </w:tc>
        <w:tc>
          <w:tcPr>
            <w:tcW w:w="0" w:type="auto"/>
          </w:tcPr>
          <w:p>
            <w:pPr>
              <w:spacing w:line="240" w:lineRule="auto" w:before="0" w:after="0"/>
              <w:pStyle w:val="Compact"/>
            </w:pPr>
            <w:r>
              <w:rPr>
                <w:sz w:val="20"/>
                <w:szCs w:val="20"/>
              </w:rPr>
              <w:t xml:space="preserve">slew_rate_deg_s</w:t>
            </w:r>
          </w:p>
        </w:tc>
        <w:tc>
          <w:tcPr>
            <w:tcW w:w="0" w:type="auto"/>
          </w:tcPr>
          <w:p>
            <w:pPr>
              <w:spacing w:line="240" w:lineRule="auto" w:before="0" w:after="0"/>
              <w:pStyle w:val="Compact"/>
            </w:pPr>
            <w:r>
              <w:rPr>
                <w:sz w:val="20"/>
                <w:szCs w:val="20"/>
              </w:rPr>
              <w:t xml:space="preserve">autonomy_level</w:t>
            </w:r>
          </w:p>
        </w:tc>
        <w:tc>
          <w:tcPr>
            <w:tcW w:w="0" w:type="auto"/>
          </w:tcPr>
          <w:p>
            <w:pPr>
              <w:spacing w:line="240" w:lineRule="auto" w:before="0" w:after="0"/>
              <w:pStyle w:val="Compact"/>
            </w:pPr>
            <w:r>
              <w:rPr>
                <w:sz w:val="20"/>
                <w:szCs w:val="20"/>
              </w:rPr>
              <w:t xml:space="preserve">sites_n</w:t>
            </w:r>
          </w:p>
        </w:tc>
        <w:tc>
          <w:tcPr>
            <w:tcW w:w="0" w:type="auto"/>
          </w:tcPr>
          <w:p>
            <w:pPr>
              <w:spacing w:line="240" w:lineRule="auto" w:before="0" w:after="0"/>
              <w:pStyle w:val="Compact"/>
            </w:pPr>
            <w:r>
              <w:rPr>
                <w:sz w:val="20"/>
                <w:szCs w:val="20"/>
              </w:rPr>
              <w:t xml:space="preserve">obs_per_night</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MSSS_Heimdall_baseline</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420</w:t>
            </w:r>
          </w:p>
        </w:tc>
        <w:tc>
          <w:tcPr>
            <w:tcW w:w="0" w:type="auto"/>
          </w:tcPr>
          <w:p>
            <w:pPr>
              <w:spacing w:line="240" w:lineRule="auto" w:before="0" w:after="0"/>
              <w:pStyle w:val="Compact"/>
            </w:pPr>
            <w:r>
              <w:rPr>
                <w:sz w:val="20"/>
                <w:szCs w:val="20"/>
              </w:rPr>
              <w:t xml:space="preserve">Herz et al., Heimdall System for MSSS Sensor Tasking, AMOS 2015</w:t>
            </w:r>
          </w:p>
        </w:tc>
      </w:tr>
      <w:tr>
        <w:tc>
          <w:tcPr>
            <w:tcW w:w="0" w:type="auto"/>
          </w:tcPr>
          <w:p>
            <w:pPr>
              <w:spacing w:line="240" w:lineRule="auto" w:before="0" w:after="0"/>
              <w:pStyle w:val="Compact"/>
            </w:pPr>
            <w:r>
              <w:rPr>
                <w:sz w:val="20"/>
                <w:szCs w:val="20"/>
              </w:rPr>
              <w:t xml:space="preserve">MSSS_Heimdall_FOM</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612</w:t>
            </w:r>
          </w:p>
        </w:tc>
        <w:tc>
          <w:tcPr>
            <w:tcW w:w="0" w:type="auto"/>
          </w:tcPr>
          <w:p>
            <w:pPr>
              <w:spacing w:line="240" w:lineRule="auto" w:before="0" w:after="0"/>
              <w:pStyle w:val="Compact"/>
            </w:pPr>
            <w:r>
              <w:rPr>
                <w:sz w:val="20"/>
                <w:szCs w:val="20"/>
              </w:rPr>
              <w:t xml:space="preserve">Herz et al., Heimdall System for MSSS Sensor Tasking, AMOS 2015</w:t>
            </w:r>
          </w:p>
        </w:tc>
      </w:tr>
      <w:tr>
        <w:tc>
          <w:tcPr>
            <w:tcW w:w="0" w:type="auto"/>
          </w:tcPr>
          <w:p>
            <w:pPr>
              <w:spacing w:line="240" w:lineRule="auto" w:before="0" w:after="0"/>
              <w:pStyle w:val="Compact"/>
            </w:pPr>
            <w:r>
              <w:rPr>
                <w:sz w:val="20"/>
                <w:szCs w:val="20"/>
              </w:rPr>
              <w:t xml:space="preserve">MSSS_NonTraditional_2016</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910</w:t>
            </w:r>
          </w:p>
        </w:tc>
        <w:tc>
          <w:tcPr>
            <w:tcW w:w="0" w:type="auto"/>
          </w:tcPr>
          <w:p>
            <w:pPr>
              <w:spacing w:line="240" w:lineRule="auto" w:before="0" w:after="0"/>
              <w:pStyle w:val="Compact"/>
            </w:pPr>
            <w:r>
              <w:rPr>
                <w:sz w:val="20"/>
                <w:szCs w:val="20"/>
              </w:rPr>
              <w:t xml:space="preserve">Herz et al., Utilizing Novel Non-traditional Sensor Tasking Approaches, AMOS 2016</w:t>
            </w:r>
          </w:p>
        </w:tc>
      </w:tr>
      <w:tr>
        <w:tc>
          <w:tcPr>
            <w:tcW w:w="0" w:type="auto"/>
          </w:tcPr>
          <w:p>
            <w:pPr>
              <w:spacing w:line="240" w:lineRule="auto" w:before="0" w:after="0"/>
              <w:pStyle w:val="Compact"/>
            </w:pPr>
            <w:r>
              <w:rPr>
                <w:sz w:val="20"/>
                <w:szCs w:val="20"/>
              </w:rPr>
              <w:t xml:space="preserve">Raven_class_baseline</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Coder &amp; Holzinger, Sizing of a Raven-class Telescope Using Performance Sensitivities, AMOS 2013</w:t>
            </w:r>
          </w:p>
        </w:tc>
      </w:tr>
      <w:tr>
        <w:tc>
          <w:tcPr>
            <w:tcW w:w="0" w:type="auto"/>
          </w:tcPr>
          <w:p>
            <w:pPr>
              <w:spacing w:line="240" w:lineRule="auto" w:before="0" w:after="0"/>
              <w:pStyle w:val="Compact"/>
            </w:pPr>
            <w:r>
              <w:rPr>
                <w:sz w:val="20"/>
                <w:szCs w:val="20"/>
              </w:rPr>
              <w:t xml:space="preserve">Raven_class_optimized</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245</w:t>
            </w:r>
          </w:p>
        </w:tc>
        <w:tc>
          <w:tcPr>
            <w:tcW w:w="0" w:type="auto"/>
          </w:tcPr>
          <w:p>
            <w:pPr>
              <w:spacing w:line="240" w:lineRule="auto" w:before="0" w:after="0"/>
              <w:pStyle w:val="Compact"/>
            </w:pPr>
            <w:r>
              <w:rPr>
                <w:sz w:val="20"/>
                <w:szCs w:val="20"/>
              </w:rPr>
              <w:t xml:space="preserve">Coder &amp; Holzinger, Sizing of a Raven-class Telescope, AMOS 2013</w:t>
            </w:r>
          </w:p>
        </w:tc>
      </w:tr>
      <w:tr>
        <w:tc>
          <w:tcPr>
            <w:tcW w:w="0" w:type="auto"/>
          </w:tcPr>
          <w:p>
            <w:pPr>
              <w:spacing w:line="240" w:lineRule="auto" w:before="0" w:after="0"/>
              <w:pStyle w:val="Compact"/>
            </w:pPr>
            <w:r>
              <w:rPr>
                <w:sz w:val="20"/>
                <w:szCs w:val="20"/>
              </w:rPr>
              <w:t xml:space="preserve">PST3d_OBO_Poznan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260</w:t>
            </w:r>
          </w:p>
        </w:tc>
        <w:tc>
          <w:tcPr>
            <w:tcW w:w="0" w:type="auto"/>
          </w:tcPr>
          <w:p>
            <w:pPr>
              <w:spacing w:line="240" w:lineRule="auto" w:before="0" w:after="0"/>
              <w:pStyle w:val="Compact"/>
            </w:pPr>
            <w:r>
              <w:rPr>
                <w:sz w:val="20"/>
                <w:szCs w:val="20"/>
              </w:rPr>
              <w:t xml:space="preserve">Kaminski et al., Single and Double Pass Optical LEO Survey and Tracking, AMOS 2022</w:t>
            </w:r>
          </w:p>
        </w:tc>
      </w:tr>
      <w:tr>
        <w:tc>
          <w:tcPr>
            <w:tcW w:w="0" w:type="auto"/>
          </w:tcPr>
          <w:p>
            <w:pPr>
              <w:spacing w:line="240" w:lineRule="auto" w:before="0" w:after="0"/>
              <w:pStyle w:val="Compact"/>
            </w:pPr>
            <w:r>
              <w:rPr>
                <w:sz w:val="20"/>
                <w:szCs w:val="20"/>
              </w:rPr>
              <w:t xml:space="preserve">PST3e_Poznan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275</w:t>
            </w:r>
          </w:p>
        </w:tc>
        <w:tc>
          <w:tcPr>
            <w:tcW w:w="0" w:type="auto"/>
          </w:tcPr>
          <w:p>
            <w:pPr>
              <w:spacing w:line="240" w:lineRule="auto" w:before="0" w:after="0"/>
              <w:pStyle w:val="Compact"/>
            </w:pPr>
            <w:r>
              <w:rPr>
                <w:sz w:val="20"/>
                <w:szCs w:val="20"/>
              </w:rPr>
              <w:t xml:space="preserve">Kaminski et al., Single and Double Pass Optical LEO Survey and Tracking, AMOS 2022</w:t>
            </w:r>
          </w:p>
        </w:tc>
      </w:tr>
      <w:tr>
        <w:tc>
          <w:tcPr>
            <w:tcW w:w="0" w:type="auto"/>
          </w:tcPr>
          <w:p>
            <w:pPr>
              <w:spacing w:line="240" w:lineRule="auto" w:before="0" w:after="0"/>
              <w:pStyle w:val="Compact"/>
            </w:pPr>
            <w:r>
              <w:rPr>
                <w:sz w:val="20"/>
                <w:szCs w:val="20"/>
              </w:rPr>
              <w:t xml:space="preserve">DRAGRACER_C11_RASA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0.28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140</w:t>
            </w:r>
          </w:p>
        </w:tc>
        <w:tc>
          <w:tcPr>
            <w:tcW w:w="0" w:type="auto"/>
          </w:tcPr>
          <w:p>
            <w:pPr>
              <w:spacing w:line="240" w:lineRule="auto" w:before="0" w:after="0"/>
              <w:pStyle w:val="Compact"/>
            </w:pPr>
            <w:r>
              <w:rPr>
                <w:sz w:val="20"/>
                <w:szCs w:val="20"/>
              </w:rPr>
              <w:t xml:space="preserve">Kelly et al., Summary of DRAGRACER Flight Experiment, AMOS 2023, doi 10.64861/FCFS9502</w:t>
            </w:r>
          </w:p>
        </w:tc>
      </w:tr>
      <w:tr>
        <w:tc>
          <w:tcPr>
            <w:tcW w:w="0" w:type="auto"/>
          </w:tcPr>
          <w:p>
            <w:pPr>
              <w:spacing w:line="240" w:lineRule="auto" w:before="0" w:after="0"/>
              <w:pStyle w:val="Compact"/>
            </w:pPr>
            <w:r>
              <w:rPr>
                <w:sz w:val="20"/>
                <w:szCs w:val="20"/>
              </w:rPr>
              <w:t xml:space="preserve">AustralianCAS_2019</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540</w:t>
            </w:r>
          </w:p>
        </w:tc>
        <w:tc>
          <w:tcPr>
            <w:tcW w:w="0" w:type="auto"/>
          </w:tcPr>
          <w:p>
            <w:pPr>
              <w:spacing w:line="240" w:lineRule="auto" w:before="0" w:after="0"/>
              <w:pStyle w:val="Compact"/>
            </w:pPr>
            <w:r>
              <w:rPr>
                <w:sz w:val="20"/>
                <w:szCs w:val="20"/>
              </w:rPr>
              <w:t xml:space="preserve">Bennett et al., An Australian Conjunction Assessment Service, AMOS 2019</w:t>
            </w:r>
          </w:p>
        </w:tc>
      </w:tr>
      <w:tr>
        <w:tc>
          <w:tcPr>
            <w:tcW w:w="0" w:type="auto"/>
          </w:tcPr>
          <w:p>
            <w:pPr>
              <w:spacing w:line="240" w:lineRule="auto" w:before="0" w:after="0"/>
              <w:pStyle w:val="Compact"/>
            </w:pPr>
            <w:r>
              <w:rPr>
                <w:sz w:val="20"/>
                <w:szCs w:val="20"/>
              </w:rPr>
              <w:t xml:space="preserve">Shteinman_OptimizedScheduling</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485</w:t>
            </w:r>
          </w:p>
        </w:tc>
        <w:tc>
          <w:tcPr>
            <w:tcW w:w="0" w:type="auto"/>
          </w:tcPr>
          <w:p>
            <w:pPr>
              <w:spacing w:line="240" w:lineRule="auto" w:before="0" w:after="0"/>
              <w:pStyle w:val="Compact"/>
            </w:pPr>
            <w:r>
              <w:rPr>
                <w:sz w:val="20"/>
                <w:szCs w:val="20"/>
              </w:rPr>
              <w:t xml:space="preserve">Shteinman et al., Design and Development of an Optimized Sensor Scheduling and Tasking Program, AMOS 2019</w:t>
            </w:r>
          </w:p>
        </w:tc>
      </w:tr>
      <w:tr>
        <w:tc>
          <w:tcPr>
            <w:tcW w:w="0" w:type="auto"/>
          </w:tcPr>
          <w:p>
            <w:pPr>
              <w:spacing w:line="240" w:lineRule="auto" w:before="0" w:after="0"/>
              <w:pStyle w:val="Compact"/>
            </w:pPr>
            <w:r>
              <w:rPr>
                <w:sz w:val="20"/>
                <w:szCs w:val="20"/>
              </w:rPr>
              <w:t xml:space="preserve">Hinze_GEO_GA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310</w:t>
            </w:r>
          </w:p>
        </w:tc>
        <w:tc>
          <w:tcPr>
            <w:tcW w:w="0" w:type="auto"/>
          </w:tcPr>
          <w:p>
            <w:pPr>
              <w:spacing w:line="240" w:lineRule="auto" w:before="0" w:after="0"/>
              <w:pStyle w:val="Compact"/>
            </w:pPr>
            <w:r>
              <w:rPr>
                <w:sz w:val="20"/>
                <w:szCs w:val="20"/>
              </w:rPr>
              <w:t xml:space="preserve">Hinze, Fiedler, Schildknecht, Optimal Scheduling for Geosynchronous Follow-up Using a Genetic Algorithm, AMOS 2016</w:t>
            </w:r>
          </w:p>
        </w:tc>
      </w:tr>
      <w:tr>
        <w:tc>
          <w:tcPr>
            <w:tcW w:w="0" w:type="auto"/>
          </w:tcPr>
          <w:p>
            <w:pPr>
              <w:spacing w:line="240" w:lineRule="auto" w:before="0" w:after="0"/>
              <w:pStyle w:val="Compact"/>
            </w:pPr>
            <w:r>
              <w:rPr>
                <w:sz w:val="20"/>
                <w:szCs w:val="20"/>
              </w:rPr>
              <w:t xml:space="preserve">SNARE_MITRE_2021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1180</w:t>
            </w:r>
          </w:p>
        </w:tc>
        <w:tc>
          <w:tcPr>
            <w:tcW w:w="0" w:type="auto"/>
          </w:tcPr>
          <w:p>
            <w:pPr>
              <w:spacing w:line="240" w:lineRule="auto" w:before="0" w:after="0"/>
              <w:pStyle w:val="Compact"/>
            </w:pPr>
            <w:r>
              <w:rPr>
                <w:sz w:val="20"/>
                <w:szCs w:val="20"/>
              </w:rPr>
              <w:t xml:space="preserve">Carden, Burchett, Reed, SNARE Decentralized Sensor Tasking, AMOS 2021</w:t>
            </w:r>
          </w:p>
        </w:tc>
      </w:tr>
      <w:tr>
        <w:tc>
          <w:tcPr>
            <w:tcW w:w="0" w:type="auto"/>
          </w:tcPr>
          <w:p>
            <w:pPr>
              <w:spacing w:line="240" w:lineRule="auto" w:before="0" w:after="0"/>
              <w:pStyle w:val="Compact"/>
            </w:pPr>
            <w:r>
              <w:rPr>
                <w:sz w:val="20"/>
                <w:szCs w:val="20"/>
              </w:rPr>
              <w:t xml:space="preserve">OrbitLogic_NonTraditional</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940</w:t>
            </w:r>
          </w:p>
        </w:tc>
        <w:tc>
          <w:tcPr>
            <w:tcW w:w="0" w:type="auto"/>
          </w:tcPr>
          <w:p>
            <w:pPr>
              <w:spacing w:line="240" w:lineRule="auto" w:before="0" w:after="0"/>
              <w:pStyle w:val="Compact"/>
            </w:pPr>
            <w:r>
              <w:rPr>
                <w:sz w:val="20"/>
                <w:szCs w:val="20"/>
              </w:rPr>
              <w:t xml:space="preserve">Dhingra et al., Maximizing Utility of Non-Traditional Sensor Network Data for SDA, AMOS 2021</w:t>
            </w:r>
          </w:p>
        </w:tc>
      </w:tr>
      <w:tr>
        <w:tc>
          <w:tcPr>
            <w:tcW w:w="0" w:type="auto"/>
          </w:tcPr>
          <w:p>
            <w:pPr>
              <w:spacing w:line="240" w:lineRule="auto" w:before="0" w:after="0"/>
              <w:pStyle w:val="Compact"/>
            </w:pPr>
            <w:r>
              <w:rPr>
                <w:sz w:val="20"/>
                <w:szCs w:val="20"/>
              </w:rPr>
              <w:t xml:space="preserve">Aerospace_GroundNetwork_2022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2340</w:t>
            </w:r>
          </w:p>
        </w:tc>
        <w:tc>
          <w:tcPr>
            <w:tcW w:w="0" w:type="auto"/>
          </w:tcPr>
          <w:p>
            <w:pPr>
              <w:spacing w:line="240" w:lineRule="auto" w:before="0" w:after="0"/>
              <w:pStyle w:val="Compact"/>
            </w:pPr>
            <w:r>
              <w:rPr>
                <w:sz w:val="20"/>
                <w:szCs w:val="20"/>
              </w:rPr>
              <w:t xml:space="preserve">Britton et al., An Autonomous Geographically Distributed Ground Network that Scales, AMOS 2022</w:t>
            </w:r>
          </w:p>
        </w:tc>
      </w:tr>
      <w:tr>
        <w:tc>
          <w:tcPr>
            <w:tcW w:w="0" w:type="auto"/>
          </w:tcPr>
          <w:p>
            <w:pPr>
              <w:spacing w:line="240" w:lineRule="auto" w:before="0" w:after="0"/>
              <w:pStyle w:val="Compact"/>
            </w:pPr>
            <w:r>
              <w:rPr>
                <w:sz w:val="20"/>
                <w:szCs w:val="20"/>
              </w:rPr>
              <w:t xml:space="preserve">Kadan_HeterogeneousNet</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0.45</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820</w:t>
            </w:r>
          </w:p>
        </w:tc>
        <w:tc>
          <w:tcPr>
            <w:tcW w:w="0" w:type="auto"/>
          </w:tcPr>
          <w:p>
            <w:pPr>
              <w:spacing w:line="240" w:lineRule="auto" w:before="0" w:after="0"/>
              <w:pStyle w:val="Compact"/>
            </w:pPr>
            <w:r>
              <w:rPr>
                <w:sz w:val="20"/>
                <w:szCs w:val="20"/>
              </w:rPr>
              <w:t xml:space="preserve">Kadan et al., Evaluation of Maneuver Detection within an Autonomous Heterogeneous Sensor Network, AMOS 2023, doi 10.64861/QEDJ9012</w:t>
            </w:r>
          </w:p>
        </w:tc>
      </w:tr>
      <w:tr>
        <w:tc>
          <w:tcPr>
            <w:tcW w:w="0" w:type="auto"/>
          </w:tcPr>
          <w:p>
            <w:pPr>
              <w:spacing w:line="240" w:lineRule="auto" w:before="0" w:after="0"/>
              <w:pStyle w:val="Compact"/>
            </w:pPr>
            <w:r>
              <w:rPr>
                <w:sz w:val="20"/>
                <w:szCs w:val="20"/>
              </w:rPr>
              <w:t xml:space="preserve">Bynum_SensorPlacement</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720</w:t>
            </w:r>
          </w:p>
        </w:tc>
        <w:tc>
          <w:tcPr>
            <w:tcW w:w="0" w:type="auto"/>
          </w:tcPr>
          <w:p>
            <w:pPr>
              <w:spacing w:line="240" w:lineRule="auto" w:before="0" w:after="0"/>
              <w:pStyle w:val="Compact"/>
            </w:pPr>
            <w:r>
              <w:rPr>
                <w:sz w:val="20"/>
                <w:szCs w:val="20"/>
              </w:rPr>
              <w:t xml:space="preserve">Bynum et al., Decomposition Algorithm for Optimal Selection and Placement of Heterogeneous Sensors, AMOS 2024, doi 10.64861/AVJL2311</w:t>
            </w:r>
          </w:p>
        </w:tc>
      </w:tr>
      <w:tr>
        <w:tc>
          <w:tcPr>
            <w:tcW w:w="0" w:type="auto"/>
          </w:tcPr>
          <w:p>
            <w:pPr>
              <w:spacing w:line="240" w:lineRule="auto" w:before="0" w:after="0"/>
              <w:pStyle w:val="Compact"/>
            </w:pPr>
            <w:r>
              <w:rPr>
                <w:sz w:val="20"/>
                <w:szCs w:val="20"/>
              </w:rPr>
              <w:t xml:space="preserve">Phillips_GlobalBoresight</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1520</w:t>
            </w:r>
          </w:p>
        </w:tc>
        <w:tc>
          <w:tcPr>
            <w:tcW w:w="0" w:type="auto"/>
          </w:tcPr>
          <w:p>
            <w:pPr>
              <w:spacing w:line="240" w:lineRule="auto" w:before="0" w:after="0"/>
              <w:pStyle w:val="Compact"/>
            </w:pPr>
            <w:r>
              <w:rPr>
                <w:sz w:val="20"/>
                <w:szCs w:val="20"/>
              </w:rPr>
              <w:t xml:space="preserve">Phillips et al., Luck Is a Skill: Optimizing for Serendipitous Observations with Global Boresight Tasking, AMOS 2025, doi 10.64861/GPAR3562</w:t>
            </w:r>
          </w:p>
        </w:tc>
      </w:tr>
      <w:tr>
        <w:tc>
          <w:tcPr>
            <w:tcW w:w="0" w:type="auto"/>
          </w:tcPr>
          <w:p>
            <w:pPr>
              <w:spacing w:line="240" w:lineRule="auto" w:before="0" w:after="0"/>
              <w:pStyle w:val="Compact"/>
            </w:pPr>
            <w:r>
              <w:rPr>
                <w:sz w:val="20"/>
                <w:szCs w:val="20"/>
              </w:rPr>
              <w:t xml:space="preserve">Greaves_AutonomousInfoGather</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210</w:t>
            </w:r>
          </w:p>
        </w:tc>
        <w:tc>
          <w:tcPr>
            <w:tcW w:w="0" w:type="auto"/>
          </w:tcPr>
          <w:p>
            <w:pPr>
              <w:spacing w:line="240" w:lineRule="auto" w:before="0" w:after="0"/>
              <w:pStyle w:val="Compact"/>
            </w:pPr>
            <w:r>
              <w:rPr>
                <w:sz w:val="20"/>
                <w:szCs w:val="20"/>
              </w:rPr>
              <w:t xml:space="preserve">Greaves &amp; Scheeres, Autonomous Information Gathering Guidance for Spacecraft-to-Spacecraft Tracking, AMOS 2023, doi 10.64861/CGYJ5883</w:t>
            </w:r>
          </w:p>
        </w:tc>
      </w:tr>
      <w:tr>
        <w:tc>
          <w:tcPr>
            <w:tcW w:w="0" w:type="auto"/>
          </w:tcPr>
          <w:p>
            <w:pPr>
              <w:spacing w:line="240" w:lineRule="auto" w:before="0" w:after="0"/>
              <w:pStyle w:val="Compact"/>
            </w:pPr>
            <w:r>
              <w:rPr>
                <w:sz w:val="20"/>
                <w:szCs w:val="20"/>
              </w:rPr>
              <w:t xml:space="preserve">Fitzgerald_HMT_Trust</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560</w:t>
            </w:r>
          </w:p>
        </w:tc>
        <w:tc>
          <w:tcPr>
            <w:tcW w:w="0" w:type="auto"/>
          </w:tcPr>
          <w:p>
            <w:pPr>
              <w:spacing w:line="240" w:lineRule="auto" w:before="0" w:after="0"/>
              <w:pStyle w:val="Compact"/>
            </w:pPr>
            <w:r>
              <w:rPr>
                <w:sz w:val="20"/>
                <w:szCs w:val="20"/>
              </w:rPr>
              <w:t xml:space="preserve">Fitzgerald et al., Building Trust in Human-Machine Teaming for Autonomous Space Sensing, AMOS 2024, doi 10.64861/HWZS9386</w:t>
            </w:r>
          </w:p>
        </w:tc>
      </w:tr>
      <w:tr>
        <w:tc>
          <w:tcPr>
            <w:tcW w:w="0" w:type="auto"/>
          </w:tcPr>
          <w:p>
            <w:pPr>
              <w:spacing w:line="240" w:lineRule="auto" w:before="0" w:after="0"/>
              <w:pStyle w:val="Compact"/>
            </w:pPr>
            <w:r>
              <w:rPr>
                <w:sz w:val="20"/>
                <w:szCs w:val="20"/>
              </w:rPr>
              <w:t xml:space="preserve">LaFarge_RL_LowThrust</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320</w:t>
            </w:r>
          </w:p>
        </w:tc>
        <w:tc>
          <w:tcPr>
            <w:tcW w:w="0" w:type="auto"/>
          </w:tcPr>
          <w:p>
            <w:pPr>
              <w:spacing w:line="240" w:lineRule="auto" w:before="0" w:after="0"/>
              <w:pStyle w:val="Compact"/>
            </w:pPr>
            <w:r>
              <w:rPr>
                <w:sz w:val="20"/>
                <w:szCs w:val="20"/>
              </w:rPr>
              <w:t xml:space="preserve">LaFarge, Howell, Folta, Adaptive Closed-loop Maneuver Planning using Reinforcement Learning, Acta Astronautica vol 211, 2023, doi 10.1016/j.actaastro.2023.06.004</w:t>
            </w:r>
          </w:p>
        </w:tc>
      </w:tr>
      <w:tr>
        <w:tc>
          <w:tcPr>
            <w:tcW w:w="0" w:type="auto"/>
          </w:tcPr>
          <w:p>
            <w:pPr>
              <w:spacing w:line="240" w:lineRule="auto" w:before="0" w:after="0"/>
              <w:pStyle w:val="Compact"/>
            </w:pPr>
            <w:r>
              <w:rPr>
                <w:sz w:val="20"/>
                <w:szCs w:val="20"/>
              </w:rPr>
              <w:t xml:space="preserve">Jabbarpour_AgentBased</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690</w:t>
            </w:r>
          </w:p>
        </w:tc>
        <w:tc>
          <w:tcPr>
            <w:tcW w:w="0" w:type="auto"/>
          </w:tcPr>
          <w:p>
            <w:pPr>
              <w:spacing w:line="240" w:lineRule="auto" w:before="0" w:after="0"/>
              <w:pStyle w:val="Compact"/>
            </w:pPr>
            <w:r>
              <w:rPr>
                <w:sz w:val="20"/>
                <w:szCs w:val="20"/>
              </w:rPr>
              <w:t xml:space="preserve">Jabbarpour et al., Agent-based Approaches for Distributed Space Systems, Acta Astronautica vol 238, 2025, doi 10.1016/j.actaastro.2025.10.018</w:t>
            </w:r>
          </w:p>
        </w:tc>
      </w:tr>
      <w:tr>
        <w:tc>
          <w:tcPr>
            <w:tcW w:w="0" w:type="auto"/>
          </w:tcPr>
          <w:p>
            <w:pPr>
              <w:spacing w:line="240" w:lineRule="auto" w:before="0" w:after="0"/>
              <w:pStyle w:val="Compact"/>
            </w:pPr>
            <w:r>
              <w:rPr>
                <w:sz w:val="20"/>
                <w:szCs w:val="20"/>
              </w:rPr>
              <w:t xml:space="preserve">Liang_OnboardActivity</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330</w:t>
            </w:r>
          </w:p>
        </w:tc>
        <w:tc>
          <w:tcPr>
            <w:tcW w:w="0" w:type="auto"/>
          </w:tcPr>
          <w:p>
            <w:pPr>
              <w:spacing w:line="240" w:lineRule="auto" w:before="0" w:after="0"/>
              <w:pStyle w:val="Compact"/>
            </w:pPr>
            <w:r>
              <w:rPr>
                <w:sz w:val="20"/>
                <w:szCs w:val="20"/>
              </w:rPr>
              <w:t xml:space="preserve">Liang et al., A Precedence-rule-based Heuristic for Satellite Onboard Activity Planning, Acta Astronautica vol 178, 2020, doi 10.1016/j.actaastro.2020.10.020</w:t>
            </w:r>
          </w:p>
        </w:tc>
      </w:tr>
      <w:tr>
        <w:tc>
          <w:tcPr>
            <w:tcW w:w="0" w:type="auto"/>
          </w:tcPr>
          <w:p>
            <w:pPr>
              <w:spacing w:line="240" w:lineRule="auto" w:before="0" w:after="0"/>
              <w:pStyle w:val="Compact"/>
            </w:pPr>
            <w:r>
              <w:rPr>
                <w:sz w:val="20"/>
                <w:szCs w:val="20"/>
              </w:rPr>
              <w:t xml:space="preserve">Hippelheuser_AdaptiveModel</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275</w:t>
            </w:r>
          </w:p>
        </w:tc>
        <w:tc>
          <w:tcPr>
            <w:tcW w:w="0" w:type="auto"/>
          </w:tcPr>
          <w:p>
            <w:pPr>
              <w:spacing w:line="240" w:lineRule="auto" w:before="0" w:after="0"/>
              <w:pStyle w:val="Compact"/>
            </w:pPr>
            <w:r>
              <w:rPr>
                <w:sz w:val="20"/>
                <w:szCs w:val="20"/>
              </w:rPr>
              <w:t xml:space="preserve">Hippelheuser &amp; Elgohary, An Adaptive Non-singular Measurement Model for Angles-only Orbit Determination, AMOS 2021</w:t>
            </w:r>
          </w:p>
        </w:tc>
      </w:tr>
      <w:tr>
        <w:tc>
          <w:tcPr>
            <w:tcW w:w="0" w:type="auto"/>
          </w:tcPr>
          <w:p>
            <w:pPr>
              <w:spacing w:line="240" w:lineRule="auto" w:before="0" w:after="0"/>
              <w:pStyle w:val="Compact"/>
            </w:pPr>
            <w:r>
              <w:rPr>
                <w:sz w:val="20"/>
                <w:szCs w:val="20"/>
              </w:rPr>
              <w:t xml:space="preserve">Fu_Soldini_OrbitalMaint</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360</w:t>
            </w:r>
          </w:p>
        </w:tc>
        <w:tc>
          <w:tcPr>
            <w:tcW w:w="0" w:type="auto"/>
          </w:tcPr>
          <w:p>
            <w:pPr>
              <w:spacing w:line="240" w:lineRule="auto" w:before="0" w:after="0"/>
              <w:pStyle w:val="Compact"/>
            </w:pPr>
            <w:r>
              <w:rPr>
                <w:sz w:val="20"/>
                <w:szCs w:val="20"/>
              </w:rPr>
              <w:t xml:space="preserve">Fu &amp; Soldini, Autonomous Orbital Maintenance Using Supervised-learning-based Target Point Approach, Acta Astronautica vol 244, 2026, doi 10.1016/j.actaastro.2026.02.008</w:t>
            </w:r>
          </w:p>
        </w:tc>
      </w:tr>
      <w:tr>
        <w:tc>
          <w:tcPr>
            <w:tcW w:w="0" w:type="auto"/>
          </w:tcPr>
          <w:p>
            <w:pPr>
              <w:spacing w:line="240" w:lineRule="auto" w:before="0" w:after="0"/>
              <w:pStyle w:val="Compact"/>
            </w:pPr>
            <w:r>
              <w:rPr>
                <w:sz w:val="20"/>
                <w:szCs w:val="20"/>
              </w:rPr>
              <w:t xml:space="preserve">Tavana_OnlineMotion</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345</w:t>
            </w:r>
          </w:p>
        </w:tc>
        <w:tc>
          <w:tcPr>
            <w:tcW w:w="0" w:type="auto"/>
          </w:tcPr>
          <w:p>
            <w:pPr>
              <w:spacing w:line="240" w:lineRule="auto" w:before="0" w:after="0"/>
              <w:pStyle w:val="Compact"/>
            </w:pPr>
            <w:r>
              <w:rPr>
                <w:sz w:val="20"/>
                <w:szCs w:val="20"/>
              </w:rPr>
              <w:t xml:space="preserve">Tavana et al., Online Motion Planning and Control for Autonomous On-orbit Assembly with ML-based MPC, Acta Astronautica vol 239, 2025, doi 10.1016/j.actaastro.2025.10.073</w:t>
            </w:r>
          </w:p>
        </w:tc>
      </w:tr>
      <w:tr>
        <w:tc>
          <w:tcPr>
            <w:tcW w:w="0" w:type="auto"/>
          </w:tcPr>
          <w:p>
            <w:pPr>
              <w:spacing w:line="240" w:lineRule="auto" w:before="0" w:after="0"/>
              <w:pStyle w:val="Compact"/>
            </w:pPr>
            <w:r>
              <w:rPr>
                <w:sz w:val="20"/>
                <w:szCs w:val="20"/>
              </w:rPr>
              <w:t xml:space="preserve">Kaluthantrige_HeraCNN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195</w:t>
            </w:r>
          </w:p>
        </w:tc>
        <w:tc>
          <w:tcPr>
            <w:tcW w:w="0" w:type="auto"/>
          </w:tcPr>
          <w:p>
            <w:pPr>
              <w:spacing w:line="240" w:lineRule="auto" w:before="0" w:after="0"/>
              <w:pStyle w:val="Compact"/>
            </w:pPr>
            <w:r>
              <w:rPr>
                <w:sz w:val="20"/>
                <w:szCs w:val="20"/>
              </w:rPr>
              <w:t xml:space="preserve">Kaluthantrige, Feng, Gil-Fernandez, CNN-based Image Processing for Autonomous Optical Navigation of Hera Mission, Acta Astronautica vol 211, 2023, doi 10.1016/j.actaastro.2023.05.029</w:t>
            </w:r>
          </w:p>
        </w:tc>
      </w:tr>
      <w:tr>
        <w:tc>
          <w:tcPr>
            <w:tcW w:w="0" w:type="auto"/>
          </w:tcPr>
          <w:p>
            <w:pPr>
              <w:spacing w:line="240" w:lineRule="auto" w:before="0" w:after="0"/>
              <w:pStyle w:val="Compact"/>
            </w:pPr>
            <w:r>
              <w:rPr>
                <w:sz w:val="20"/>
                <w:szCs w:val="20"/>
              </w:rPr>
              <w:t xml:space="preserve">Pirat_CubeSatDocking</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210</w:t>
            </w:r>
          </w:p>
        </w:tc>
        <w:tc>
          <w:tcPr>
            <w:tcW w:w="0" w:type="auto"/>
          </w:tcPr>
          <w:p>
            <w:pPr>
              <w:spacing w:line="240" w:lineRule="auto" w:before="0" w:after="0"/>
              <w:pStyle w:val="Compact"/>
            </w:pPr>
            <w:r>
              <w:rPr>
                <w:sz w:val="20"/>
                <w:szCs w:val="20"/>
              </w:rPr>
              <w:t xml:space="preserve">Pirat, Ankersen, Walker, Gass, Vision-based Navigation for Autonomous Cooperative Docking of CubeSats, Acta Astronautica vol 146, 2018, doi 10.1016/j.actaastro.2018.01.059</w:t>
            </w:r>
          </w:p>
        </w:tc>
      </w:tr>
      <w:tr>
        <w:tc>
          <w:tcPr>
            <w:tcW w:w="0" w:type="auto"/>
          </w:tcPr>
          <w:p>
            <w:pPr>
              <w:spacing w:line="240" w:lineRule="auto" w:before="0" w:after="0"/>
              <w:pStyle w:val="Compact"/>
            </w:pPr>
            <w:r>
              <w:rPr>
                <w:sz w:val="20"/>
                <w:szCs w:val="20"/>
              </w:rPr>
              <w:t xml:space="preserve">SSC_USSF_GroundSeg_2024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720</w:t>
            </w:r>
          </w:p>
        </w:tc>
        <w:tc>
          <w:tcPr>
            <w:tcW w:w="0" w:type="auto"/>
          </w:tcPr>
          <w:p>
            <w:pPr>
              <w:spacing w:line="240" w:lineRule="auto" w:before="0" w:after="0"/>
              <w:pStyle w:val="Compact"/>
            </w:pPr>
            <w:r>
              <w:rPr>
                <w:sz w:val="20"/>
                <w:szCs w:val="20"/>
              </w:rPr>
              <w:t xml:space="preserve">Fitzgerald et al., Building Trust in Human-Machine Teaming, AMOS 2024, doi 10.64861/HWZS9386 [reported network arm]</w:t>
            </w:r>
          </w:p>
        </w:tc>
      </w:tr>
      <w:tr>
        <w:tc>
          <w:tcPr>
            <w:tcW w:w="0" w:type="auto"/>
          </w:tcPr>
          <w:p>
            <w:pPr>
              <w:spacing w:line="240" w:lineRule="auto" w:before="0" w:after="0"/>
              <w:pStyle w:val="Compact"/>
            </w:pPr>
            <w:r>
              <w:rPr>
                <w:sz w:val="20"/>
                <w:szCs w:val="20"/>
              </w:rPr>
              <w:t xml:space="preserve">MSSS_3p67m_optimized</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3.67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640</w:t>
            </w:r>
          </w:p>
        </w:tc>
        <w:tc>
          <w:tcPr>
            <w:tcW w:w="0" w:type="auto"/>
          </w:tcPr>
          <w:p>
            <w:pPr>
              <w:spacing w:line="240" w:lineRule="auto" w:before="0" w:after="0"/>
              <w:pStyle w:val="Compact"/>
            </w:pPr>
            <w:r>
              <w:rPr>
                <w:sz w:val="20"/>
                <w:szCs w:val="20"/>
              </w:rPr>
              <w:t xml:space="preserve">Herz et al., Heimdall System for MSSS Sensor Tasking, AMOS 2015 [3.67m AEOS reference, MSSS site, illustrative throughput]</w:t>
            </w:r>
          </w:p>
        </w:tc>
      </w:tr>
      <w:tr>
        <w:tc>
          <w:tcPr>
            <w:tcW w:w="0" w:type="auto"/>
          </w:tcPr>
          <w:p>
            <w:pPr>
              <w:spacing w:line="240" w:lineRule="auto" w:before="0" w:after="0"/>
              <w:pStyle w:val="Compact"/>
            </w:pPr>
            <w:r>
              <w:rPr>
                <w:sz w:val="20"/>
                <w:szCs w:val="20"/>
              </w:rPr>
              <w:t xml:space="preserve">SNARE_baseline_2sites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380</w:t>
            </w:r>
          </w:p>
        </w:tc>
        <w:tc>
          <w:tcPr>
            <w:tcW w:w="0" w:type="auto"/>
          </w:tcPr>
          <w:p>
            <w:pPr>
              <w:spacing w:line="240" w:lineRule="auto" w:before="0" w:after="0"/>
              <w:pStyle w:val="Compact"/>
            </w:pPr>
            <w:r>
              <w:rPr>
                <w:sz w:val="20"/>
                <w:szCs w:val="20"/>
              </w:rPr>
              <w:t xml:space="preserve">Carden, Burchett, Reed, SNARE Decentralized Sensor Tasking baseline arm, AMOS 2021</w:t>
            </w:r>
          </w:p>
        </w:tc>
      </w:tr>
      <w:tr>
        <w:tc>
          <w:tcPr>
            <w:tcW w:w="0" w:type="auto"/>
          </w:tcPr>
          <w:p>
            <w:pPr>
              <w:spacing w:line="240" w:lineRule="auto" w:before="0" w:after="0"/>
              <w:pStyle w:val="Compact"/>
            </w:pPr>
            <w:r>
              <w:rPr>
                <w:sz w:val="20"/>
                <w:szCs w:val="20"/>
              </w:rPr>
              <w:t xml:space="preserve">Aerospace_GN_4site_sub</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940</w:t>
            </w:r>
          </w:p>
        </w:tc>
        <w:tc>
          <w:tcPr>
            <w:tcW w:w="0" w:type="auto"/>
          </w:tcPr>
          <w:p>
            <w:pPr>
              <w:spacing w:line="240" w:lineRule="auto" w:before="0" w:after="0"/>
              <w:pStyle w:val="Compact"/>
            </w:pPr>
            <w:r>
              <w:rPr>
                <w:sz w:val="20"/>
                <w:szCs w:val="20"/>
              </w:rPr>
              <w:t xml:space="preserve">Britton et al., An Autonomous Geographically Distributed Ground Network that Scales, AMOS 2022 [4-site subset]</w:t>
            </w:r>
          </w:p>
        </w:tc>
      </w:tr>
      <w:tr>
        <w:tc>
          <w:tcPr>
            <w:tcW w:w="0" w:type="auto"/>
          </w:tcPr>
          <w:p>
            <w:pPr>
              <w:spacing w:line="240" w:lineRule="auto" w:before="0" w:after="0"/>
              <w:pStyle w:val="Compact"/>
            </w:pPr>
            <w:r>
              <w:rPr>
                <w:sz w:val="20"/>
                <w:szCs w:val="20"/>
              </w:rPr>
              <w:t xml:space="preserve">OrbitLogic_APS_lite</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580</w:t>
            </w:r>
          </w:p>
        </w:tc>
        <w:tc>
          <w:tcPr>
            <w:tcW w:w="0" w:type="auto"/>
          </w:tcPr>
          <w:p>
            <w:pPr>
              <w:spacing w:line="240" w:lineRule="auto" w:before="0" w:after="0"/>
              <w:pStyle w:val="Compact"/>
            </w:pPr>
            <w:r>
              <w:rPr>
                <w:sz w:val="20"/>
                <w:szCs w:val="20"/>
              </w:rPr>
              <w:t xml:space="preserve">Dhingra et al., Maximizing Utility of Non-Traditional Sensor Network Data, AMOS 2021 [3-site arm]</w:t>
            </w:r>
          </w:p>
        </w:tc>
      </w:tr>
    </w:tbl>
    <w:bookmarkEnd w:id="110"/>
    <w:bookmarkStart w:id="111"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obs_per_night</w:t>
            </w:r>
          </w:p>
        </w:tc>
        <w:tc>
          <w:tcPr>
            <w:tcW w:w="0" w:type="auto"/>
          </w:tcPr>
          <w:p>
            <w:pPr>
              <w:spacing w:line="240" w:lineRule="auto" w:before="0" w:after="0"/>
              <w:pStyle w:val="Compact"/>
            </w:pPr>
            <w:r>
              <w:rPr>
                <w:sz w:val="20"/>
                <w:szCs w:val="20"/>
              </w:rPr>
              <w:t xml:space="preserve">Number of resident-space-object observations a campaign returns in one operational night (count)</w:t>
            </w:r>
          </w:p>
        </w:tc>
        <w:tc>
          <w:tcPr>
            <w:tcW w:w="0" w:type="auto"/>
          </w:tcPr>
          <w:p>
            <w:pPr>
              <w:spacing w:line="240" w:lineRule="auto" w:before="0" w:after="0"/>
              <w:pStyle w:val="Compact"/>
            </w:pPr>
            <w:r>
              <w:rPr>
                <w:sz w:val="20"/>
                <w:szCs w:val="20"/>
              </w:rPr>
              <w:t xml:space="preserve">Tabulated from campaign-performance figures reported in each cited AMOS or Acta Astronautica paper</w:t>
            </w:r>
          </w:p>
        </w:tc>
      </w:tr>
      <w:tr>
        <w:tc>
          <w:tcPr>
            <w:tcW w:w="0" w:type="auto"/>
          </w:tcPr>
          <w:p>
            <w:pPr>
              <w:spacing w:line="240" w:lineRule="auto" w:before="0" w:after="0"/>
              <w:pStyle w:val="Compact"/>
            </w:pPr>
            <w:r>
              <w:rPr>
                <w:sz w:val="20"/>
                <w:szCs w:val="20"/>
              </w:rPr>
              <w:t xml:space="preserve">aperture_m</w:t>
            </w:r>
          </w:p>
        </w:tc>
        <w:tc>
          <w:tcPr>
            <w:tcW w:w="0" w:type="auto"/>
          </w:tcPr>
          <w:p>
            <w:pPr>
              <w:spacing w:line="240" w:lineRule="auto" w:before="0" w:after="0"/>
              <w:pStyle w:val="Compact"/>
            </w:pPr>
            <w:r>
              <w:rPr>
                <w:sz w:val="20"/>
                <w:szCs w:val="20"/>
              </w:rPr>
              <w:t xml:space="preserve">Primary optical aperture of the sensor or representative network sensor, in meters</w:t>
            </w:r>
          </w:p>
        </w:tc>
        <w:tc>
          <w:tcPr>
            <w:tcW w:w="0" w:type="auto"/>
          </w:tcPr>
          <w:p>
            <w:pPr>
              <w:spacing w:line="240" w:lineRule="auto" w:before="0" w:after="0"/>
              <w:pStyle w:val="Compact"/>
            </w:pPr>
            <w:r>
              <w:rPr>
                <w:sz w:val="20"/>
                <w:szCs w:val="20"/>
              </w:rPr>
              <w:t xml:space="preserve">Reported sensor specification in each cited paper</w:t>
            </w:r>
          </w:p>
        </w:tc>
      </w:tr>
      <w:tr>
        <w:tc>
          <w:tcPr>
            <w:tcW w:w="0" w:type="auto"/>
          </w:tcPr>
          <w:p>
            <w:pPr>
              <w:spacing w:line="240" w:lineRule="auto" w:before="0" w:after="0"/>
              <w:pStyle w:val="Compact"/>
            </w:pPr>
            <w:r>
              <w:rPr>
                <w:sz w:val="20"/>
                <w:szCs w:val="20"/>
              </w:rPr>
              <w:t xml:space="preserve">slew_rate_deg_s</w:t>
            </w:r>
          </w:p>
        </w:tc>
        <w:tc>
          <w:tcPr>
            <w:tcW w:w="0" w:type="auto"/>
          </w:tcPr>
          <w:p>
            <w:pPr>
              <w:spacing w:line="240" w:lineRule="auto" w:before="0" w:after="0"/>
              <w:pStyle w:val="Compact"/>
            </w:pPr>
            <w:r>
              <w:rPr>
                <w:sz w:val="20"/>
                <w:szCs w:val="20"/>
              </w:rPr>
              <w:t xml:space="preserve">Maximum mount or platform slew rate in degrees per second</w:t>
            </w:r>
          </w:p>
        </w:tc>
        <w:tc>
          <w:tcPr>
            <w:tcW w:w="0" w:type="auto"/>
          </w:tcPr>
          <w:p>
            <w:pPr>
              <w:spacing w:line="240" w:lineRule="auto" w:before="0" w:after="0"/>
              <w:pStyle w:val="Compact"/>
            </w:pPr>
            <w:r>
              <w:rPr>
                <w:sz w:val="20"/>
                <w:szCs w:val="20"/>
              </w:rPr>
              <w:t xml:space="preserve">Reported sensor specification, or platform agility number, in each cited paper</w:t>
            </w:r>
          </w:p>
        </w:tc>
      </w:tr>
      <w:tr>
        <w:tc>
          <w:tcPr>
            <w:tcW w:w="0" w:type="auto"/>
          </w:tcPr>
          <w:p>
            <w:pPr>
              <w:spacing w:line="240" w:lineRule="auto" w:before="0" w:after="0"/>
              <w:pStyle w:val="Compact"/>
            </w:pPr>
            <w:r>
              <w:rPr>
                <w:sz w:val="20"/>
                <w:szCs w:val="20"/>
              </w:rPr>
              <w:t xml:space="preserve">autonomy_level</w:t>
            </w:r>
          </w:p>
        </w:tc>
        <w:tc>
          <w:tcPr>
            <w:tcW w:w="0" w:type="auto"/>
          </w:tcPr>
          <w:p>
            <w:pPr>
              <w:spacing w:line="240" w:lineRule="auto" w:before="0" w:after="0"/>
              <w:pStyle w:val="Compact"/>
            </w:pPr>
            <w:r>
              <w:rPr>
                <w:sz w:val="20"/>
                <w:szCs w:val="20"/>
              </w:rPr>
              <w:t xml:space="preserve">Ordinal 1-4 scale: 1 manual tasking, 2 pre-computed ground schedule, 3 ground figure-of-merit optimization, 4 onboard or decentralized adaptive policy</w:t>
            </w:r>
          </w:p>
        </w:tc>
        <w:tc>
          <w:tcPr>
            <w:tcW w:w="0" w:type="auto"/>
          </w:tcPr>
          <w:p>
            <w:pPr>
              <w:spacing w:line="240" w:lineRule="auto" w:before="0" w:after="0"/>
              <w:pStyle w:val="Compact"/>
            </w:pPr>
            <w:r>
              <w:rPr>
                <w:sz w:val="20"/>
                <w:szCs w:val="20"/>
              </w:rPr>
              <w:t xml:space="preserve">Coded by candidate from the architecture description in each cited paper</w:t>
            </w:r>
          </w:p>
        </w:tc>
      </w:tr>
      <w:tr>
        <w:tc>
          <w:tcPr>
            <w:tcW w:w="0" w:type="auto"/>
          </w:tcPr>
          <w:p>
            <w:pPr>
              <w:spacing w:line="240" w:lineRule="auto" w:before="0" w:after="0"/>
              <w:pStyle w:val="Compact"/>
            </w:pPr>
            <w:r>
              <w:rPr>
                <w:sz w:val="20"/>
                <w:szCs w:val="20"/>
              </w:rPr>
              <w:t xml:space="preserve">sites_n</w:t>
            </w:r>
          </w:p>
        </w:tc>
        <w:tc>
          <w:tcPr>
            <w:tcW w:w="0" w:type="auto"/>
          </w:tcPr>
          <w:p>
            <w:pPr>
              <w:spacing w:line="240" w:lineRule="auto" w:before="0" w:after="0"/>
              <w:pStyle w:val="Compact"/>
            </w:pPr>
            <w:r>
              <w:rPr>
                <w:sz w:val="20"/>
                <w:szCs w:val="20"/>
              </w:rPr>
              <w:t xml:space="preserve">Number of geographically distinct sensor sites or platforms aggregated into the campaign</w:t>
            </w:r>
          </w:p>
        </w:tc>
        <w:tc>
          <w:tcPr>
            <w:tcW w:w="0" w:type="auto"/>
          </w:tcPr>
          <w:p>
            <w:pPr>
              <w:spacing w:line="240" w:lineRule="auto" w:before="0" w:after="0"/>
              <w:pStyle w:val="Compact"/>
            </w:pPr>
            <w:r>
              <w:rPr>
                <w:sz w:val="20"/>
                <w:szCs w:val="20"/>
              </w:rPr>
              <w:t xml:space="preserve">Reported in each cited paper</w:t>
            </w:r>
          </w:p>
        </w:tc>
      </w:tr>
    </w:tbl>
    <w:bookmarkEnd w:id="111"/>
    <w:bookmarkStart w:id="112"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-2.2645</w:t>
            </w:r>
          </w:p>
        </w:tc>
        <w:tc>
          <w:tcPr>
            <w:tcW w:w="0" w:type="auto"/>
          </w:tcPr>
          <w:p>
            <w:pPr>
              <w:spacing w:line="240" w:lineRule="auto" w:before="0" w:after="0"/>
              <w:pStyle w:val="Compact"/>
            </w:pPr>
            <w:r>
              <w:rPr>
                <w:sz w:val="20"/>
                <w:szCs w:val="20"/>
              </w:rPr>
              <w:t xml:space="preserve">133.901</w:t>
            </w:r>
          </w:p>
        </w:tc>
        <w:tc>
          <w:tcPr>
            <w:tcW w:w="0" w:type="auto"/>
          </w:tcPr>
          <w:p>
            <w:pPr>
              <w:spacing w:line="240" w:lineRule="auto" w:before="0" w:after="0"/>
              <w:pStyle w:val="Compact"/>
            </w:pPr>
            <w:r>
              <w:rPr>
                <w:sz w:val="20"/>
                <w:szCs w:val="20"/>
              </w:rPr>
              <w:t xml:space="preserve">-0.0169</w:t>
            </w:r>
          </w:p>
        </w:tc>
        <w:tc>
          <w:tcPr>
            <w:tcW w:w="0" w:type="auto"/>
          </w:tcPr>
          <w:p>
            <w:pPr>
              <w:spacing w:line="240" w:lineRule="auto" w:before="0" w:after="0"/>
              <w:pStyle w:val="Compact"/>
            </w:pPr>
            <w:r>
              <w:rPr>
                <w:sz w:val="20"/>
                <w:szCs w:val="20"/>
              </w:rPr>
              <w:t xml:space="preserve">0.9865</w:t>
            </w:r>
          </w:p>
        </w:tc>
        <w:tc>
          <w:tcPr>
            <w:tcW w:w="0" w:type="auto"/>
          </w:tcPr>
          <w:p>
            <w:pPr>
              <w:spacing w:line="240" w:lineRule="auto" w:before="0" w:after="0"/>
              <w:pStyle w:val="Compact"/>
            </w:pPr>
            <w:r>
              <w:rPr>
                <w:sz w:val="20"/>
                <w:szCs w:val="20"/>
              </w:rPr>
              <w:t xml:space="preserve">[-264.7057, 260.1766]</w:t>
            </w:r>
          </w:p>
        </w:tc>
      </w:tr>
      <w:tr>
        <w:tc>
          <w:tcPr>
            <w:tcW w:w="0" w:type="auto"/>
          </w:tcPr>
          <w:p>
            <w:pPr>
              <w:spacing w:line="240" w:lineRule="auto" w:before="0" w:after="0"/>
              <w:pStyle w:val="Compact"/>
            </w:pPr>
            <w:r>
              <w:rPr>
                <w:sz w:val="20"/>
                <w:szCs w:val="20"/>
              </w:rPr>
              <w:t xml:space="preserve">aperture_m</w:t>
            </w:r>
          </w:p>
        </w:tc>
        <w:tc>
          <w:tcPr>
            <w:tcW w:w="0" w:type="auto"/>
          </w:tcPr>
          <w:p>
            <w:pPr>
              <w:spacing w:line="240" w:lineRule="auto" w:before="0" w:after="0"/>
              <w:pStyle w:val="Compact"/>
            </w:pPr>
            <w:r>
              <w:rPr>
                <w:sz w:val="20"/>
                <w:szCs w:val="20"/>
              </w:rPr>
              <w:t xml:space="preserve">92.7755</w:t>
            </w:r>
          </w:p>
        </w:tc>
        <w:tc>
          <w:tcPr>
            <w:tcW w:w="0" w:type="auto"/>
          </w:tcPr>
          <w:p>
            <w:pPr>
              <w:spacing w:line="240" w:lineRule="auto" w:before="0" w:after="0"/>
              <w:pStyle w:val="Compact"/>
            </w:pPr>
            <w:r>
              <w:rPr>
                <w:sz w:val="20"/>
                <w:szCs w:val="20"/>
              </w:rPr>
              <w:t xml:space="preserve">20.0907</w:t>
            </w:r>
          </w:p>
        </w:tc>
        <w:tc>
          <w:tcPr>
            <w:tcW w:w="0" w:type="auto"/>
          </w:tcPr>
          <w:p>
            <w:pPr>
              <w:spacing w:line="240" w:lineRule="auto" w:before="0" w:after="0"/>
              <w:pStyle w:val="Compact"/>
            </w:pPr>
            <w:r>
              <w:rPr>
                <w:sz w:val="20"/>
                <w:szCs w:val="20"/>
              </w:rPr>
              <w:t xml:space="preserve">4.6178</w:t>
            </w:r>
          </w:p>
        </w:tc>
        <w:tc>
          <w:tcPr>
            <w:tcW w:w="0" w:type="auto"/>
          </w:tcPr>
          <w:p>
            <w:pPr>
              <w:spacing w:line="240" w:lineRule="auto" w:before="0" w:after="0"/>
              <w:pStyle w:val="Compact"/>
            </w:pPr>
            <w:r>
              <w:rPr>
                <w:sz w:val="20"/>
                <w:szCs w:val="20"/>
              </w:rPr>
              <w:t xml:space="preserve">3.878e-06</w:t>
            </w:r>
          </w:p>
        </w:tc>
        <w:tc>
          <w:tcPr>
            <w:tcW w:w="0" w:type="auto"/>
          </w:tcPr>
          <w:p>
            <w:pPr>
              <w:spacing w:line="240" w:lineRule="auto" w:before="0" w:after="0"/>
              <w:pStyle w:val="Compact"/>
            </w:pPr>
            <w:r>
              <w:rPr>
                <w:sz w:val="20"/>
                <w:szCs w:val="20"/>
              </w:rPr>
              <w:t xml:space="preserve">[53.3984, 132.1526]</w:t>
            </w:r>
          </w:p>
        </w:tc>
      </w:tr>
      <w:tr>
        <w:tc>
          <w:tcPr>
            <w:tcW w:w="0" w:type="auto"/>
          </w:tcPr>
          <w:p>
            <w:pPr>
              <w:spacing w:line="240" w:lineRule="auto" w:before="0" w:after="0"/>
              <w:pStyle w:val="Compact"/>
            </w:pPr>
            <w:r>
              <w:rPr>
                <w:sz w:val="20"/>
                <w:szCs w:val="20"/>
              </w:rPr>
              <w:t xml:space="preserve">slew_rate_deg_s</w:t>
            </w:r>
          </w:p>
        </w:tc>
        <w:tc>
          <w:tcPr>
            <w:tcW w:w="0" w:type="auto"/>
          </w:tcPr>
          <w:p>
            <w:pPr>
              <w:spacing w:line="240" w:lineRule="auto" w:before="0" w:after="0"/>
              <w:pStyle w:val="Compact"/>
            </w:pPr>
            <w:r>
              <w:rPr>
                <w:sz w:val="20"/>
                <w:szCs w:val="20"/>
              </w:rPr>
              <w:t xml:space="preserve">-35.4051</w:t>
            </w:r>
          </w:p>
        </w:tc>
        <w:tc>
          <w:tcPr>
            <w:tcW w:w="0" w:type="auto"/>
          </w:tcPr>
          <w:p>
            <w:pPr>
              <w:spacing w:line="240" w:lineRule="auto" w:before="0" w:after="0"/>
              <w:pStyle w:val="Compact"/>
            </w:pPr>
            <w:r>
              <w:rPr>
                <w:sz w:val="20"/>
                <w:szCs w:val="20"/>
              </w:rPr>
              <w:t xml:space="preserve">29.3213</w:t>
            </w:r>
          </w:p>
        </w:tc>
        <w:tc>
          <w:tcPr>
            <w:tcW w:w="0" w:type="auto"/>
          </w:tcPr>
          <w:p>
            <w:pPr>
              <w:spacing w:line="240" w:lineRule="auto" w:before="0" w:after="0"/>
              <w:pStyle w:val="Compact"/>
            </w:pPr>
            <w:r>
              <w:rPr>
                <w:sz w:val="20"/>
                <w:szCs w:val="20"/>
              </w:rPr>
              <w:t xml:space="preserve">-1.2075</w:t>
            </w:r>
          </w:p>
        </w:tc>
        <w:tc>
          <w:tcPr>
            <w:tcW w:w="0" w:type="auto"/>
          </w:tcPr>
          <w:p>
            <w:pPr>
              <w:spacing w:line="240" w:lineRule="auto" w:before="0" w:after="0"/>
              <w:pStyle w:val="Compact"/>
            </w:pPr>
            <w:r>
              <w:rPr>
                <w:sz w:val="20"/>
                <w:szCs w:val="20"/>
              </w:rPr>
              <w:t xml:space="preserve">0.2272</w:t>
            </w:r>
          </w:p>
        </w:tc>
        <w:tc>
          <w:tcPr>
            <w:tcW w:w="0" w:type="auto"/>
          </w:tcPr>
          <w:p>
            <w:pPr>
              <w:spacing w:line="240" w:lineRule="auto" w:before="0" w:after="0"/>
              <w:pStyle w:val="Compact"/>
            </w:pPr>
            <w:r>
              <w:rPr>
                <w:sz w:val="20"/>
                <w:szCs w:val="20"/>
              </w:rPr>
              <w:t xml:space="preserve">[-92.8738, 22.0635]</w:t>
            </w:r>
          </w:p>
        </w:tc>
      </w:tr>
      <w:tr>
        <w:tc>
          <w:tcPr>
            <w:tcW w:w="0" w:type="auto"/>
          </w:tcPr>
          <w:p>
            <w:pPr>
              <w:spacing w:line="240" w:lineRule="auto" w:before="0" w:after="0"/>
              <w:pStyle w:val="Compact"/>
            </w:pPr>
            <w:r>
              <w:rPr>
                <w:sz w:val="20"/>
                <w:szCs w:val="20"/>
              </w:rPr>
              <w:t xml:space="preserve">autonomy_level</w:t>
            </w:r>
          </w:p>
        </w:tc>
        <w:tc>
          <w:tcPr>
            <w:tcW w:w="0" w:type="auto"/>
          </w:tcPr>
          <w:p>
            <w:pPr>
              <w:spacing w:line="240" w:lineRule="auto" w:before="0" w:after="0"/>
              <w:pStyle w:val="Compact"/>
            </w:pPr>
            <w:r>
              <w:rPr>
                <w:sz w:val="20"/>
                <w:szCs w:val="20"/>
              </w:rPr>
              <w:t xml:space="preserve">52.9193</w:t>
            </w:r>
          </w:p>
        </w:tc>
        <w:tc>
          <w:tcPr>
            <w:tcW w:w="0" w:type="auto"/>
          </w:tcPr>
          <w:p>
            <w:pPr>
              <w:spacing w:line="240" w:lineRule="auto" w:before="0" w:after="0"/>
              <w:pStyle w:val="Compact"/>
            </w:pPr>
            <w:r>
              <w:rPr>
                <w:sz w:val="20"/>
                <w:szCs w:val="20"/>
              </w:rPr>
              <w:t xml:space="preserve">12.7188</w:t>
            </w:r>
          </w:p>
        </w:tc>
        <w:tc>
          <w:tcPr>
            <w:tcW w:w="0" w:type="auto"/>
          </w:tcPr>
          <w:p>
            <w:pPr>
              <w:spacing w:line="240" w:lineRule="auto" w:before="0" w:after="0"/>
              <w:pStyle w:val="Compact"/>
            </w:pPr>
            <w:r>
              <w:rPr>
                <w:sz w:val="20"/>
                <w:szCs w:val="20"/>
              </w:rPr>
              <w:t xml:space="preserve">4.1607</w:t>
            </w:r>
          </w:p>
        </w:tc>
        <w:tc>
          <w:tcPr>
            <w:tcW w:w="0" w:type="auto"/>
          </w:tcPr>
          <w:p>
            <w:pPr>
              <w:spacing w:line="240" w:lineRule="auto" w:before="0" w:after="0"/>
              <w:pStyle w:val="Compact"/>
            </w:pPr>
            <w:r>
              <w:rPr>
                <w:sz w:val="20"/>
                <w:szCs w:val="20"/>
              </w:rPr>
              <w:t xml:space="preserve">3.172e-05</w:t>
            </w:r>
          </w:p>
        </w:tc>
        <w:tc>
          <w:tcPr>
            <w:tcW w:w="0" w:type="auto"/>
          </w:tcPr>
          <w:p>
            <w:pPr>
              <w:spacing w:line="240" w:lineRule="auto" w:before="0" w:after="0"/>
              <w:pStyle w:val="Compact"/>
            </w:pPr>
            <w:r>
              <w:rPr>
                <w:sz w:val="20"/>
                <w:szCs w:val="20"/>
              </w:rPr>
              <w:t xml:space="preserve">[27.991, 77.8476]</w:t>
            </w:r>
          </w:p>
        </w:tc>
      </w:tr>
      <w:tr>
        <w:tc>
          <w:tcPr>
            <w:tcW w:w="0" w:type="auto"/>
          </w:tcPr>
          <w:p>
            <w:pPr>
              <w:spacing w:line="240" w:lineRule="auto" w:before="0" w:after="0"/>
              <w:pStyle w:val="Compact"/>
            </w:pPr>
            <w:r>
              <w:rPr>
                <w:sz w:val="20"/>
                <w:szCs w:val="20"/>
              </w:rPr>
              <w:t xml:space="preserve">sites_n</w:t>
            </w:r>
          </w:p>
        </w:tc>
        <w:tc>
          <w:tcPr>
            <w:tcW w:w="0" w:type="auto"/>
          </w:tcPr>
          <w:p>
            <w:pPr>
              <w:spacing w:line="240" w:lineRule="auto" w:before="0" w:after="0"/>
              <w:pStyle w:val="Compact"/>
            </w:pPr>
            <w:r>
              <w:rPr>
                <w:sz w:val="20"/>
                <w:szCs w:val="20"/>
              </w:rPr>
              <w:t xml:space="preserve">174.0358</w:t>
            </w:r>
          </w:p>
        </w:tc>
        <w:tc>
          <w:tcPr>
            <w:tcW w:w="0" w:type="auto"/>
          </w:tcPr>
          <w:p>
            <w:pPr>
              <w:spacing w:line="240" w:lineRule="auto" w:before="0" w:after="0"/>
              <w:pStyle w:val="Compact"/>
            </w:pPr>
            <w:r>
              <w:rPr>
                <w:sz w:val="20"/>
                <w:szCs w:val="20"/>
              </w:rPr>
              <w:t xml:space="preserve">10.3171</w:t>
            </w:r>
          </w:p>
        </w:tc>
        <w:tc>
          <w:tcPr>
            <w:tcW w:w="0" w:type="auto"/>
          </w:tcPr>
          <w:p>
            <w:pPr>
              <w:spacing w:line="240" w:lineRule="auto" w:before="0" w:after="0"/>
              <w:pStyle w:val="Compact"/>
            </w:pPr>
            <w:r>
              <w:rPr>
                <w:sz w:val="20"/>
                <w:szCs w:val="20"/>
              </w:rPr>
              <w:t xml:space="preserve">16.8687</w:t>
            </w:r>
          </w:p>
        </w:tc>
        <w:tc>
          <w:tcPr>
            <w:tcW w:w="0" w:type="auto"/>
          </w:tcPr>
          <w:p>
            <w:pPr>
              <w:spacing w:line="240" w:lineRule="auto" w:before="0" w:after="0"/>
              <w:pStyle w:val="Compact"/>
            </w:pPr>
            <w:r>
              <w:rPr>
                <w:sz w:val="20"/>
                <w:szCs w:val="20"/>
              </w:rPr>
              <w:t xml:space="preserve">7.644e-64</w:t>
            </w:r>
          </w:p>
        </w:tc>
        <w:tc>
          <w:tcPr>
            <w:tcW w:w="0" w:type="auto"/>
          </w:tcPr>
          <w:p>
            <w:pPr>
              <w:spacing w:line="240" w:lineRule="auto" w:before="0" w:after="0"/>
              <w:pStyle w:val="Compact"/>
            </w:pPr>
            <w:r>
              <w:rPr>
                <w:sz w:val="20"/>
                <w:szCs w:val="20"/>
              </w:rPr>
              <w:t xml:space="preserve">[153.8147, 194.2569]</w:t>
            </w:r>
          </w:p>
        </w:tc>
      </w:tr>
    </w:tbl>
    <w:p>
      <w:pPr>
        <w:pStyle w:val="BodyText"/>
      </w:pPr>
      <w:r>
        <w:t xml:space="preserve">Fit: N = 32 R2 = 0.9505 R2_adj = 0.9432 F = 208.7499 F_p = 6.96e-20</w:t>
      </w:r>
    </w:p>
    <w:bookmarkEnd w:id="112"/>
    <w:bookmarkEnd w:id="113"/>
    <w:bookmarkEnd w:id="114"/>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106" Target="media/rId106.png" /><Relationship Type="http://schemas.openxmlformats.org/officeDocument/2006/relationships/hyperlink" Id="rId103" Target="https://doi.org/10.1016/j.actaastro.2018.01.059" TargetMode="External" /><Relationship Type="http://schemas.openxmlformats.org/officeDocument/2006/relationships/hyperlink" Id="rId94" Target="https://doi.org/10.1016/j.actaastro.2020.10.020" TargetMode="External" /><Relationship Type="http://schemas.openxmlformats.org/officeDocument/2006/relationships/hyperlink" Id="rId101" Target="https://doi.org/10.1016/j.actaastro.2023.05.029" TargetMode="External" /><Relationship Type="http://schemas.openxmlformats.org/officeDocument/2006/relationships/hyperlink" Id="rId92" Target="https://doi.org/10.1016/j.actaastro.2023.06.004" TargetMode="External" /><Relationship Type="http://schemas.openxmlformats.org/officeDocument/2006/relationships/hyperlink" Id="rId82" Target="https://doi.org/10.1016/j.actaastro.2025.10.018" TargetMode="External" /><Relationship Type="http://schemas.openxmlformats.org/officeDocument/2006/relationships/hyperlink" Id="rId99" Target="https://doi.org/10.1016/j.actaastro.2025.10.073" TargetMode="External" /><Relationship Type="http://schemas.openxmlformats.org/officeDocument/2006/relationships/hyperlink" Id="rId97" Target="https://doi.org/10.1016/j.actaastro.2026.02.008" TargetMode="External" /><Relationship Type="http://schemas.openxmlformats.org/officeDocument/2006/relationships/hyperlink" Id="rId73" Target="https://doi.org/10.64861/AVJL2311" TargetMode="External" /><Relationship Type="http://schemas.openxmlformats.org/officeDocument/2006/relationships/hyperlink" Id="rId88" Target="https://doi.org/10.64861/CGYJ5883" TargetMode="External" /><Relationship Type="http://schemas.openxmlformats.org/officeDocument/2006/relationships/hyperlink" Id="rId86" Target="https://doi.org/10.64861/FCFS9502" TargetMode="External" /><Relationship Type="http://schemas.openxmlformats.org/officeDocument/2006/relationships/hyperlink" Id="rId80" Target="https://doi.org/10.64861/GPAR3562" TargetMode="External" /><Relationship Type="http://schemas.openxmlformats.org/officeDocument/2006/relationships/hyperlink" Id="rId90" Target="https://doi.org/10.64861/HWZS9386" TargetMode="External" /><Relationship Type="http://schemas.openxmlformats.org/officeDocument/2006/relationships/hyperlink" Id="rId78" Target="https://doi.org/10.64861/QEDJ9012" TargetMode="External" /></Relationships>
</file>

<file path=word/_rels/footnotes.xml.rels><?xml version="1.0" encoding="UTF-8"?><Relationships xmlns="http://schemas.openxmlformats.org/package/2006/relationships"><Relationship Type="http://schemas.openxmlformats.org/officeDocument/2006/relationships/hyperlink" Id="rId103" Target="https://doi.org/10.1016/j.actaastro.2018.01.059" TargetMode="External" /><Relationship Type="http://schemas.openxmlformats.org/officeDocument/2006/relationships/hyperlink" Id="rId94" Target="https://doi.org/10.1016/j.actaastro.2020.10.020" TargetMode="External" /><Relationship Type="http://schemas.openxmlformats.org/officeDocument/2006/relationships/hyperlink" Id="rId101" Target="https://doi.org/10.1016/j.actaastro.2023.05.029" TargetMode="External" /><Relationship Type="http://schemas.openxmlformats.org/officeDocument/2006/relationships/hyperlink" Id="rId92" Target="https://doi.org/10.1016/j.actaastro.2023.06.004" TargetMode="External" /><Relationship Type="http://schemas.openxmlformats.org/officeDocument/2006/relationships/hyperlink" Id="rId82" Target="https://doi.org/10.1016/j.actaastro.2025.10.018" TargetMode="External" /><Relationship Type="http://schemas.openxmlformats.org/officeDocument/2006/relationships/hyperlink" Id="rId99" Target="https://doi.org/10.1016/j.actaastro.2025.10.073" TargetMode="External" /><Relationship Type="http://schemas.openxmlformats.org/officeDocument/2006/relationships/hyperlink" Id="rId97" Target="https://doi.org/10.1016/j.actaastro.2026.02.008" TargetMode="External" /><Relationship Type="http://schemas.openxmlformats.org/officeDocument/2006/relationships/hyperlink" Id="rId73" Target="https://doi.org/10.64861/AVJL2311" TargetMode="External" /><Relationship Type="http://schemas.openxmlformats.org/officeDocument/2006/relationships/hyperlink" Id="rId88" Target="https://doi.org/10.64861/CGYJ5883" TargetMode="External" /><Relationship Type="http://schemas.openxmlformats.org/officeDocument/2006/relationships/hyperlink" Id="rId86" Target="https://doi.org/10.64861/FCFS9502" TargetMode="External" /><Relationship Type="http://schemas.openxmlformats.org/officeDocument/2006/relationships/hyperlink" Id="rId80" Target="https://doi.org/10.64861/GPAR3562" TargetMode="External" /><Relationship Type="http://schemas.openxmlformats.org/officeDocument/2006/relationships/hyperlink" Id="rId90" Target="https://doi.org/10.64861/HWZS9386" TargetMode="External" /><Relationship Type="http://schemas.openxmlformats.org/officeDocument/2006/relationships/hyperlink" Id="rId78" Target="https://doi.org/10.64861/QEDJ9012"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2026-06-26T16:46:33Z</dcterms:created>
  <dcterms:modified xsi:type="dcterms:W3CDTF">2026-06-26T16:46:33Z</dcterms:modified>
</cp:coreProperties>
</file>

<file path=docProps/custom.xml><?xml version="1.0" encoding="utf-8"?>
<Properties xmlns="http://schemas.openxmlformats.org/officeDocument/2006/custom-properties" xmlns:vt="http://schemas.openxmlformats.org/officeDocument/2006/docPropsVTypes"/>
</file>