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VALUE OF INFORMATION IN OBSERVATION PLANNING: DOES ADAPTIVE ONBOARD TARGETING BEAT GROUND-SCHEDULED TASKING?</w:t>
      </w:r>
    </w:p>
    <w:p>
      <w:pPr>
        <w:jc w:val="center"/>
      </w:pPr>
    </w:p>
    <w:p>
      <w:pPr>
        <w:jc w:val="center"/>
      </w:pPr>
      <w:r>
        <w:rPr>
          <w:rFonts w:ascii="Times New Roman" w:hAnsi="Times New Roman"/>
          <w:sz w:val="24"/>
        </w:rPr>
        <w:t>by</w:t>
      </w:r>
    </w:p>
    <w:p>
      <w:pPr>
        <w:jc w:val="center"/>
      </w:pPr>
      <w:r>
        <w:rPr>
          <w:rFonts w:ascii="Times New Roman" w:hAnsi="Times New Roman"/>
          <w:b/>
          <w:sz w:val="28"/>
        </w:rPr>
        <w:t>Esme Donnelly</w:t>
      </w:r>
    </w:p>
    <w:p>
      <w:pPr>
        <w:jc w:val="center"/>
      </w:pPr>
      <w:r>
        <w:rPr>
          <w:rFonts w:ascii="Times New Roman" w:hAnsi="Times New Roman"/>
          <w:sz w:val="24"/>
        </w:rPr>
        <w:t>1B-INS-083</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Xcc87f8cc58145b0ff2f4d63f1ef458f6283435c"/>
    <w:p>
      <w:pPr>
        <w:pStyle w:val="Heading2"/>
        <w:spacing w:line="480" w:lineRule="auto"/>
      </w:pPr>
      <w:r>
        <w:t xml:space="preserve">1.1 The Problem and Why It Matters to NASA and JPL</w:t>
      </w:r>
    </w:p>
    <w:p>
      <w:pPr>
        <w:pStyle w:val="FirstParagraph"/>
        <w:spacing w:line="480" w:lineRule="auto"/>
      </w:pPr>
      <w:r>
        <w:t xml:space="preserve">Sensor time is the binding constraint in space domain awareness, in planetary navigation, and in the conduct of robotic science. A ground-based optical site can observe only a small fraction of the catalog of resident space objects on any given night, an orbiting Earth observer can fit only so many acquisitions into a single pass, and a deep-space instrument can dwell on only one target at a time. Every architecture in this regime ultimately reduces to a tasking problem: given a finite budget of seconds and a heterogeneous population of candidate targets, what is the rule that selects the next look, The rule that an operator chooses governs how much the operator learns per unit of expended sensor time, and learning per second is the currency in which the mission either pays back the capital that built it or fails to.</w:t>
      </w:r>
    </w:p>
    <w:p>
      <w:pPr>
        <w:pStyle w:val="BodyText"/>
        <w:spacing w:line="480" w:lineRule="auto"/>
        <w:ind w:firstLine="720"/>
      </w:pPr>
      <w:r>
        <w:t xml:space="preserve">Two architectural philosophies divide the field. The dominant one, inherited from a generation of ground-loop operations, computes an optimized schedule before the pass and uplinks it for execution. Heimdall and its successor tasking work at the Maui Space Surveillance Site demonstrated that a configurable figure-of-merit scheduler raises throughput sharply over manual tasking</w:t>
      </w:r>
      <w:r>
        <w:t xml:space="preserve"> </w:t>
      </w:r>
      <w:hyperlink w:anchor="ref-5">
        <w:r>
          <w:rPr>
            <w:rStyle w:val="Hyperlink"/>
          </w:rPr>
          <w:t xml:space="preserve">[5]</w:t>
        </w:r>
      </w:hyperlink>
      <w:r>
        <w:t xml:space="preserve">[7]. The Australian conjunction assessment service, the Shteinman et al. optimized scheduling and tasking program, the Hinze et al. genetic-algorithm scheduler for geosynchronous follow-up, and the Bynum et al. sensor-placement decomposition occupy the same architectural band: solve a well-posed combinatorial problem on the ground, then execute the solution</w:t>
      </w:r>
      <w:r>
        <w:t xml:space="preserve"> </w:t>
      </w:r>
      <w:hyperlink w:anchor="ref-2">
        <w:r>
          <w:rPr>
            <w:rStyle w:val="Hyperlink"/>
          </w:rPr>
          <w:t xml:space="preserve">[2]</w:t>
        </w:r>
      </w:hyperlink>
      <w:r>
        <w:t xml:space="preserve">[3][4][6]. The competing philosophy moves the targeting decision onboard or to the network edge. The Orbit Logic autonomous planning system, the SNARE decentralized tasking experiment, the autonomous geographically distributed ground network, the global boresight tasking work, and reinforcement-learning maneuver planners all push some portion of the decision past the ground loop, on the premise that an executing agent that observes realized state can spend its next second more profitably than a precomputed schedule that does not</w:t>
      </w:r>
      <w:r>
        <w:t xml:space="preserve"> </w:t>
      </w:r>
      <w:hyperlink w:anchor="ref-1">
        <w:r>
          <w:rPr>
            <w:rStyle w:val="Hyperlink"/>
          </w:rPr>
          <w:t xml:space="preserve">[1]</w:t>
        </w:r>
      </w:hyperlink>
      <w:r>
        <w:t xml:space="preserve">[8][12][14][16][43]. The Earth-observation autonomy lineage descends from the Autonomous Sciencecraft Experiment on EO-1, which showed that an onboard agent could re-task an orbiting instrument in response to detected events and compress the latency between detection and acquisition by orders of magnitude relative to the ground-loop baseline</w:t>
      </w:r>
      <w:r>
        <w:t xml:space="preserve"> </w:t>
      </w:r>
      <w:hyperlink w:anchor="ref-27">
        <w:r>
          <w:rPr>
            <w:rStyle w:val="Hyperlink"/>
          </w:rPr>
          <w:t xml:space="preserve">[27]</w:t>
        </w:r>
      </w:hyperlink>
      <w:r>
        <w:t xml:space="preserve">.</w:t>
      </w:r>
    </w:p>
    <w:p>
      <w:pPr>
        <w:pStyle w:val="BodyText"/>
        <w:spacing w:line="480" w:lineRule="auto"/>
        <w:ind w:firstLine="720"/>
      </w:pPr>
      <w:r>
        <w:t xml:space="preserve">The practical stakes for the National Aeronautics and Space Administration, and for the Jet Propulsion Laboratory in particular, are not abstract. JPL builds and operates instruments whose round-trip light-time, downlink budget, and operations-cost profile make ground re-planning slow at the inner planets and infeasible at the outer ones. The Hera optical navigation pipeline at the Didymos binary, the SpEye inspection CubeSat, vision-based cooperative docking, and supervised-learning autonomous orbital maintenance are all instrument-and-navigation use cases in which the decision about what to look at next cannot wait for a ground turnaround</w:t>
      </w:r>
      <w:r>
        <w:t xml:space="preserve"> </w:t>
      </w:r>
      <w:hyperlink w:anchor="ref-25">
        <w:r>
          <w:rPr>
            <w:rStyle w:val="Hyperlink"/>
          </w:rPr>
          <w:t xml:space="preserve">[25]</w:t>
        </w:r>
      </w:hyperlink>
      <w:r>
        <w:t xml:space="preserve">[26][46][47]. NASA Ames’ Starling formation, with its onboard space situational awareness payload, sharpens the same point for low-Earth orbit: the value of the data depends on how the formation chooses to spend its sensor seconds in flight, not on what a ground operator decided hours earlier</w:t>
      </w:r>
      <w:r>
        <w:t xml:space="preserve"> </w:t>
      </w:r>
      <w:hyperlink w:anchor="ref-35">
        <w:r>
          <w:rPr>
            <w:rStyle w:val="Hyperlink"/>
          </w:rPr>
          <w:t xml:space="preserve">[35]</w:t>
        </w:r>
      </w:hyperlink>
      <w:r>
        <w:t xml:space="preserve">. Reinforcement-learning approaches to space-to-space surveillance scheduling, adaptive sensor tasking for non-cooperative cislunar tracking, and orbit-design work for distributed-deep-learning SSA swarms have each argued that the next generation of JPL-class instruments will pay for itself only if it can re-plan inside its own observation window</w:t>
      </w:r>
      <w:r>
        <w:t xml:space="preserve"> </w:t>
      </w:r>
      <w:hyperlink w:anchor="ref-36">
        <w:r>
          <w:rPr>
            <w:rStyle w:val="Hyperlink"/>
          </w:rPr>
          <w:t xml:space="preserve">[36]</w:t>
        </w:r>
      </w:hyperlink>
      <w:r>
        <w:t xml:space="preserve">[39][42].</w:t>
      </w:r>
    </w:p>
    <w:p>
      <w:pPr>
        <w:pStyle w:val="BodyText"/>
        <w:spacing w:line="480" w:lineRule="auto"/>
        <w:ind w:firstLine="720"/>
      </w:pPr>
      <w:r>
        <w:t xml:space="preserve">The argument for moving the decision onboard is intuitively powerful. A ground schedule is computed against predicted target states; the sensor learns the actual states as it collects; an onboard policy can spend the next look where realized uncertainty is highest rather than where the pre-pass prediction said it would be. Yet the same intuition has been pressed into service for two decades without a clean accounting of whether the gain is large, small, or zero relative to a well-engineered ground baseline. The complexity an onboard adaptive policy imposes on flight software, on verification and validation, on operations training, and on anomaly response is non-trivial; the agent-based survey of distributed space systems is candid about the cost side of the ledger</w:t>
      </w:r>
      <w:r>
        <w:t xml:space="preserve"> </w:t>
      </w:r>
      <w:hyperlink w:anchor="ref-1">
        <w:r>
          <w:rPr>
            <w:rStyle w:val="Hyperlink"/>
          </w:rPr>
          <w:t xml:space="preserve">[1]</w:t>
        </w:r>
      </w:hyperlink>
      <w:r>
        <w:t xml:space="preserve">[45]. If onboard adaptivity buys a meaningful gain in information per second, that gain justifies the complexity. If it does not, the same engineering effort is better deployed on better ground optimization, more aperture, more sites, or more downlink. The decision is being made today on intuition rather than on measurement, and that gap between intuition and measurement is what this dissertation is for.</w:t>
      </w:r>
    </w:p>
    <w:p>
      <w:pPr>
        <w:pStyle w:val="BodyText"/>
        <w:spacing w:line="480" w:lineRule="auto"/>
        <w:ind w:firstLine="720"/>
      </w:pPr>
      <w:r>
        <w:t xml:space="preserve">The value-of-information framing is not parochial to space engineering. The broader economics literature on data treats sequentially observed information as a stream whose value is the marginal forecast improvement it produces, and that framing organizes how rational decision-makers should pay for it</w:t>
      </w:r>
      <w:r>
        <w:t xml:space="preserve"> </w:t>
      </w:r>
      <w:hyperlink w:anchor="ref-10">
        <w:r>
          <w:rPr>
            <w:rStyle w:val="Hyperlink"/>
          </w:rPr>
          <w:t xml:space="preserve">[10]</w:t>
        </w:r>
      </w:hyperlink>
      <w:r>
        <w:t xml:space="preserve">[33][34]. Bringing the framing into a sensor-tasking experiment imposes a discipline that the engineering literature has not yet imposed on itself: information gain has to be defined ex ante, measured on a common metric, and compared on identical target sets under identical sensor physics. The contribution of this dissertation is to do exactly that, and to do it in a register that the JPL instruments-and-navigation community can act on.</w:t>
      </w:r>
    </w:p>
    <w:bookmarkEnd w:id="61"/>
    <w:bookmarkStart w:id="62" w:name="Xfb88ffc49ee5343136593b06b1ccea157d2ec8a"/>
    <w:p>
      <w:pPr>
        <w:pStyle w:val="Heading2"/>
        <w:spacing w:line="480" w:lineRule="auto"/>
      </w:pPr>
      <w:r>
        <w:t xml:space="preserve">1.2 The Gap Between the Domain Literature and the Method Literature</w:t>
      </w:r>
    </w:p>
    <w:p>
      <w:pPr>
        <w:pStyle w:val="FirstParagraph"/>
        <w:spacing w:line="480" w:lineRule="auto"/>
      </w:pPr>
      <w:r>
        <w:t xml:space="preserve">The space-sensing literature is mature on both sides of the architectural divide, but the two sides have rarely been brought into contact with one another on terms that support inference. Three observations make the gap concrete.</w:t>
      </w:r>
    </w:p>
    <w:p>
      <w:pPr>
        <w:pStyle w:val="BodyText"/>
        <w:spacing w:line="480" w:lineRule="auto"/>
        <w:ind w:firstLine="720"/>
      </w:pPr>
      <w:r>
        <w:t xml:space="preserve">The first observation concerns the ground-scheduling literature. The Heimdall family of papers, the Australian conjunction assessment service, and the optimized scheduling and tasking program all report large gains over manual tasking, but they report those gains against manual tasking or against weaker scheduler variants, not against an onboard adaptive policy that has been instantiated, parameterized, and run on the same target set</w:t>
      </w:r>
      <w:r>
        <w:t xml:space="preserve"> </w:t>
      </w:r>
      <w:hyperlink w:anchor="ref-2">
        <w:r>
          <w:rPr>
            <w:rStyle w:val="Hyperlink"/>
          </w:rPr>
          <w:t xml:space="preserve">[2]</w:t>
        </w:r>
      </w:hyperlink>
      <w:r>
        <w:t xml:space="preserve">[3][5][7]. The decomposition algorithm for heterogeneous sensor placement is a structural advance, but it is silent on what happens after the sensors are placed and the schedule begins to execute against realized rather than predicted target states</w:t>
      </w:r>
      <w:r>
        <w:t xml:space="preserve"> </w:t>
      </w:r>
      <w:hyperlink w:anchor="ref-6">
        <w:r>
          <w:rPr>
            <w:rStyle w:val="Hyperlink"/>
          </w:rPr>
          <w:t xml:space="preserve">[6]</w:t>
        </w:r>
      </w:hyperlink>
      <w:r>
        <w:t xml:space="preserve">. The genetic-algorithm scheduler for geosynchronous follow-up is internally consistent and well-validated, but its baseline is a generic alternative scheduler, not an adaptive policy that consumes the schedule’s own measurements</w:t>
      </w:r>
      <w:r>
        <w:t xml:space="preserve"> </w:t>
      </w:r>
      <w:hyperlink w:anchor="ref-4">
        <w:r>
          <w:rPr>
            <w:rStyle w:val="Hyperlink"/>
          </w:rPr>
          <w:t xml:space="preserve">[4]</w:t>
        </w:r>
      </w:hyperlink>
      <w:r>
        <w:t xml:space="preserve">. The aggregate result is that the ground-scheduling literature has not asked, and therefore has not answered, whether its own products outperform an onboard alternative.</w:t>
      </w:r>
    </w:p>
    <w:p>
      <w:pPr>
        <w:pStyle w:val="BodyText"/>
        <w:spacing w:line="480" w:lineRule="auto"/>
        <w:ind w:firstLine="720"/>
      </w:pPr>
      <w:r>
        <w:t xml:space="preserve">The second observation concerns the onboard-autonomy literature. The Orbit Logic autonomous planning system, the SNARE decentralized tasking experiment, the autonomous geographically distributed ground network, and the global boresight tasking work demonstrate feasibility, robustness, and qualitative throughput advantages</w:t>
      </w:r>
      <w:r>
        <w:t xml:space="preserve"> </w:t>
      </w:r>
      <w:hyperlink w:anchor="ref-1">
        <w:r>
          <w:rPr>
            <w:rStyle w:val="Hyperlink"/>
          </w:rPr>
          <w:t xml:space="preserve">[1]</w:t>
        </w:r>
      </w:hyperlink>
      <w:r>
        <w:t xml:space="preserve">[12][14][16]. Reinforcement-learning maneuver planners and supervised-learning orbital-maintenance approaches demonstrate that learned policies can be made to behave well in closed loop</w:t>
      </w:r>
      <w:r>
        <w:t xml:space="preserve"> </w:t>
      </w:r>
      <w:hyperlink w:anchor="ref-8">
        <w:r>
          <w:rPr>
            <w:rStyle w:val="Hyperlink"/>
          </w:rPr>
          <w:t xml:space="preserve">[8]</w:t>
        </w:r>
      </w:hyperlink>
      <w:r>
        <w:t xml:space="preserve">[43][46]. Precedence-rule heuristics for satellite onboard activity planning show that an onboard scheduler can be tractable and explainable</w:t>
      </w:r>
      <w:r>
        <w:t xml:space="preserve"> </w:t>
      </w:r>
      <w:hyperlink w:anchor="ref-9">
        <w:r>
          <w:rPr>
            <w:rStyle w:val="Hyperlink"/>
          </w:rPr>
          <w:t xml:space="preserve">[9]</w:t>
        </w:r>
      </w:hyperlink>
      <w:r>
        <w:t xml:space="preserve">[50]. The CNN-based optical-navigation work for the Hera mission, the SpEye inspection CubeSat, vision-based docking, and on-orbit assembly with machine-learning model predictive control demonstrate that perception and decision can be co-located on the spacecraft at the scale and power budget current flight processors permit</w:t>
      </w:r>
      <w:r>
        <w:t xml:space="preserve"> </w:t>
      </w:r>
      <w:hyperlink w:anchor="ref-25">
        <w:r>
          <w:rPr>
            <w:rStyle w:val="Hyperlink"/>
          </w:rPr>
          <w:t xml:space="preserve">[25]</w:t>
        </w:r>
      </w:hyperlink>
      <w:r>
        <w:t xml:space="preserve">[26][24][47]. What this body of work has not produced is a controlled, apples-to-apples comparison against a strong ground baseline scored by the same value-of-information metric on the same target population.</w:t>
      </w:r>
    </w:p>
    <w:p>
      <w:pPr>
        <w:pStyle w:val="BodyText"/>
        <w:spacing w:line="480" w:lineRule="auto"/>
        <w:ind w:firstLine="720"/>
      </w:pPr>
      <w:r>
        <w:t xml:space="preserve">The third observation concerns the econometric method literature and the value-of-information framing that organizes it. Economics-of-data work treats information as a sequentially observed input whose value lies in its forecasting content, and it has developed a precise vocabulary for asking how much that information is worth</w:t>
      </w:r>
      <w:r>
        <w:t xml:space="preserve"> </w:t>
      </w:r>
      <w:hyperlink w:anchor="ref-10">
        <w:r>
          <w:rPr>
            <w:rStyle w:val="Hyperlink"/>
          </w:rPr>
          <w:t xml:space="preserve">[10]</w:t>
        </w:r>
      </w:hyperlink>
      <w:r>
        <w:t xml:space="preserve">[33][34]. The pre-registered hypothesis test, the paired experimental design that purges between-unit nuisance variance, the partial conditional association estimated by ordinary least squares with heteroskedasticity-consistent standard errors, and the threats-to-validity audit that any credible empirical paper now expects are standard equipment in that literature. They are not standard equipment in the sensor-tasking literature. The two empirical papers that precede this introduction in the present dissertation imported precisely those instruments. The first paper pooled thirty-two published optical sensor-tasking campaigns into a panel, regressed observations per night on aperture, slew rate, an autonomy ordinal, and the number of sites, and recovered a conditional autonomy coefficient of 52.9 observations per night per ordinal step, robust standard error 12.7, with a confidence interval bounded well above zero and a network-breadth coefficient that dominated the production margin</w:t>
      </w:r>
      <w:r>
        <w:t xml:space="preserve"> </w:t>
      </w:r>
      <w:hyperlink w:anchor="ref-5">
        <w:r>
          <w:rPr>
            <w:rStyle w:val="Hyperlink"/>
          </w:rPr>
          <w:t xml:space="preserve">[5]</w:t>
        </w:r>
      </w:hyperlink>
      <w:r>
        <w:t xml:space="preserve">[7][2][12][14][16]. The second paper assembled a thirty-two-mission Earth-observing cross-section, regressed log daily image yield on autonomy level, agility, log downlink, and year of initial operational capability, and recovered an unstable autonomy coefficient that did not clear conventional significance once vintage was held fixed</w:t>
      </w:r>
      <w:r>
        <w:t xml:space="preserve"> </w:t>
      </w:r>
      <w:hyperlink w:anchor="ref-27">
        <w:r>
          <w:rPr>
            <w:rStyle w:val="Hyperlink"/>
          </w:rPr>
          <w:t xml:space="preserve">[27]</w:t>
        </w:r>
      </w:hyperlink>
      <w:r>
        <w:t xml:space="preserve">[29][30][31][32]. The two results disagree on the visibility of the autonomy premium in published data, and the disagreement is itself diagnostic: the conditional association exists in the SDA tasking literature once aperture and footprint are absorbed, and it is washed out in the Earth-observation cross-section by a small sample, a coarse ordinal, and high internal correlation across regressors. Both papers also flag that observational data on heterogeneous campaigns cannot identify the policy effect, because mission designers select autonomy levels jointly with the rest of the platform bundle.</w:t>
      </w:r>
    </w:p>
    <w:p>
      <w:pPr>
        <w:pStyle w:val="BodyText"/>
        <w:spacing w:line="480" w:lineRule="auto"/>
        <w:ind w:firstLine="720"/>
      </w:pPr>
      <w:r>
        <w:t xml:space="preserve">What is missing, then, is the experiment that the observational record does not permit. The domain literature has the engineering substance and the method literature has the inferential discipline. The contribution this dissertation makes is to bring them together in a single, pre-registered, paired simulation experiment that holds the sensor model and the target geometry fixed, varies only the tasking policy, and reports the marginal value of onboard adaptivity in a common information-gain currency. The chapters that follow execute that program.</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is one number, measured cleanly. Let (g_O) denote mean information gain per sensor-second under an adaptive onboard greedy-value-of-information tasking policy and (g_G) the same quantity under a ground-computed optimized schedule, where both arms are evaluated on the same target population, the same sensor model, the same tasking horizon, and the same per-night realizations of weather and visibility. The estimand is (</w:t>
      </w:r>
      <w:r>
        <w:t xml:space="preserve">= g_O - g_G). The pre-registered hypotheses are:</w:t>
      </w:r>
    </w:p>
    <w:p>
      <w:pPr>
        <w:pStyle w:val="BodyText"/>
        <w:spacing w:line="480" w:lineRule="auto"/>
        <w:ind w:firstLine="720"/>
      </w:pPr>
      <w:r>
        <w:rPr>
          <w:b/>
          <w:bCs/>
        </w:rPr>
        <w:t xml:space="preserve">H0 (null).</w:t>
      </w:r>
      <w:r>
        <w:t xml:space="preserve"> </w:t>
      </w:r>
      <w:r>
        <w:t xml:space="preserve">Holding revisit geometry, sensor model, and execution latency fixed, (</w:t>
      </w:r>
      <w:r>
        <w:t xml:space="preserve">).</w:t>
      </w:r>
    </w:p>
    <w:p>
      <w:pPr>
        <w:pStyle w:val="BodyText"/>
        <w:spacing w:line="480" w:lineRule="auto"/>
        <w:ind w:firstLine="720"/>
      </w:pPr>
      <w:r>
        <w:rPr>
          <w:b/>
          <w:bCs/>
        </w:rPr>
        <w:t xml:space="preserve">H1 (alternative).</w:t>
      </w:r>
      <w:r>
        <w:t xml:space="preserve"> </w:t>
      </w:r>
      <w:r>
        <w:t xml:space="preserve">(</w:t>
      </w:r>
      <w:r>
        <w:t xml:space="preserve">&gt; 0) at the pre-registered significance level.</w:t>
      </w:r>
    </w:p>
    <w:p>
      <w:pPr>
        <w:pStyle w:val="BodyText"/>
        <w:spacing w:line="480" w:lineRule="auto"/>
        <w:ind w:firstLine="720"/>
      </w:pPr>
      <w:r>
        <w:t xml:space="preserve">The hypothesis is falsifiable in both directions, and that bidirectional falsifiability is the analytic core of the contribution. If onboard adaptivity is the free lunch its advocates assume, H0 is rejected and the effect size quantifies the premium that a JPL instrument program can claim against the flight-software complexity it pays for. If ground optimization captures most of the available information because catalogued target dynamics are well predicted between looks, H0 is retained and the onboard complexity is shown to be unjustified for the modeled regime, which is itself an actionable result for an instrument program weighing where to put its next dollar. The information-gain metric follows the covariance-reduction construction used by the published ground schedulers, scaled by target priority, so both arms are scored by the same value-of-information definition</w:t>
      </w:r>
      <w:r>
        <w:t xml:space="preserve"> </w:t>
      </w:r>
      <w:hyperlink w:anchor="ref-2">
        <w:r>
          <w:rPr>
            <w:rStyle w:val="Hyperlink"/>
          </w:rPr>
          <w:t xml:space="preserve">[2]</w:t>
        </w:r>
      </w:hyperlink>
      <w:r>
        <w:t xml:space="preserve">[3]. The ground arm solves the schedule before the night using a figure-of-merit optimization in the Heimdall lineage</w:t>
      </w:r>
      <w:r>
        <w:t xml:space="preserve"> </w:t>
      </w:r>
      <w:hyperlink w:anchor="ref-5">
        <w:r>
          <w:rPr>
            <w:rStyle w:val="Hyperlink"/>
          </w:rPr>
          <w:t xml:space="preserve">[5]</w:t>
        </w:r>
      </w:hyperlink>
      <w:r>
        <w:t xml:space="preserve">[7]. The onboard arm executes a greedy-VOI policy that, after each observation, updates target covariances and selects the next look that maximizes expected information gain given realized states. Identification rests on paired matching within night, which removes between-night variance from target geometry and observability and isolates the policy effect.</w:t>
      </w:r>
    </w:p>
    <w:p>
      <w:pPr>
        <w:pStyle w:val="BodyText"/>
        <w:spacing w:line="480" w:lineRule="auto"/>
        <w:ind w:firstLine="720"/>
      </w:pPr>
      <w:r>
        <w:t xml:space="preserve">The empirical content of the contribution is intentionally narrow. It is not a claim about every regime in which onboard adaptivity might matter; the cislunar tracking and deep-space inspection regimes in which JPL operates have longer light-time delays, sparser priors, and different cost structures than the ground-optical regime in which the experiment is run</w:t>
      </w:r>
      <w:r>
        <w:t xml:space="preserve"> </w:t>
      </w:r>
      <w:hyperlink w:anchor="ref-25">
        <w:r>
          <w:rPr>
            <w:rStyle w:val="Hyperlink"/>
          </w:rPr>
          <w:t xml:space="preserve">[25]</w:t>
        </w:r>
      </w:hyperlink>
      <w:r>
        <w:t xml:space="preserve">[36][39][47]. It is not a claim about the engineering trade-space surrounding the policy choice; the verification, validation, and operations-cost side of the ledger is the subject of a separate body of work, including the human-machine teaming literature on trust in autonomous space sensing</w:t>
      </w:r>
      <w:r>
        <w:t xml:space="preserve"> </w:t>
      </w:r>
      <w:hyperlink w:anchor="ref-21">
        <w:r>
          <w:rPr>
            <w:rStyle w:val="Hyperlink"/>
          </w:rPr>
          <w:t xml:space="preserve">[21]</w:t>
        </w:r>
      </w:hyperlink>
      <w:r>
        <w:t xml:space="preserve">. It is a claim about a single, well-defined estimand on a well-defined target population under a well-defined sensor model. The discipline of restricting the claim to that estimand is what makes the result credible enough to be acted on.</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is organized as follows.</w:t>
      </w:r>
    </w:p>
    <w:p>
      <w:pPr>
        <w:pStyle w:val="BodyText"/>
        <w:spacing w:line="480" w:lineRule="auto"/>
        <w:ind w:firstLine="720"/>
      </w:pPr>
      <w:r>
        <w:t xml:space="preserve">Chapter 2 reviews the two bodies of literature that the dissertation joins. The first half surveys the ground-side tasking and figure-of-merit optimization lineage, including Heimdall and its descendants, the Australian conjunction assessment service, the genetic-algorithm geosynchronous scheduler, and the sensor-placement decomposition</w:t>
      </w:r>
      <w:r>
        <w:t xml:space="preserve"> </w:t>
      </w:r>
      <w:hyperlink w:anchor="ref-2">
        <w:r>
          <w:rPr>
            <w:rStyle w:val="Hyperlink"/>
          </w:rPr>
          <w:t xml:space="preserve">[2]</w:t>
        </w:r>
      </w:hyperlink>
      <w:r>
        <w:t xml:space="preserve">[3][4][5][6][7]. The second half surveys the onboard and decentralized adaptive lineage, including the EO-1 Autonomous Sciencecraft Experiment, Orbit Logic’s autonomous planning system, SNARE, the autonomous geographically distributed ground network, global boresight tasking, reinforcement-learning maneuver planners, precedence-rule onboard schedulers, and the agent-based survey of distributed space systems</w:t>
      </w:r>
      <w:r>
        <w:t xml:space="preserve"> </w:t>
      </w:r>
      <w:hyperlink w:anchor="ref-1">
        <w:r>
          <w:rPr>
            <w:rStyle w:val="Hyperlink"/>
          </w:rPr>
          <w:t xml:space="preserve">[1]</w:t>
        </w:r>
      </w:hyperlink>
      <w:r>
        <w:t xml:space="preserve">[8][12][14][16][27][43][45][50]. The chapter closes by articulating the value-of-information framing the dissertation will use to compare the two lineages and by mapping that framing to the econometric method literature</w:t>
      </w:r>
      <w:r>
        <w:t xml:space="preserve"> </w:t>
      </w:r>
      <w:hyperlink w:anchor="ref-10">
        <w:r>
          <w:rPr>
            <w:rStyle w:val="Hyperlink"/>
          </w:rPr>
          <w:t xml:space="preserve">[10]</w:t>
        </w:r>
      </w:hyperlink>
      <w:r>
        <w:t xml:space="preserve">[33][34].</w:t>
      </w:r>
    </w:p>
    <w:p>
      <w:pPr>
        <w:pStyle w:val="BodyText"/>
        <w:spacing w:line="480" w:lineRule="auto"/>
        <w:ind w:firstLine="720"/>
      </w:pPr>
      <w:r>
        <w:t xml:space="preserve">Chapter 3 presents the empirical pre-work that precedes the simulation experiment. It reports the thirty-two-campaign optical-tasking panel regression that recovers the conditional autonomy coefficient in the SDA literature once aperture, slew rate, and the number of sites are held fixed. It then reports the thirty-two-mission Earth-observing cross-section in which the same autonomy ordinal washes out once vintage is held fixed. The chapter is candid about why the two results disagree, and it uses that disagreement to motivate the matched simulation that follows.</w:t>
      </w:r>
    </w:p>
    <w:p>
      <w:pPr>
        <w:pStyle w:val="BodyText"/>
        <w:spacing w:line="480" w:lineRule="auto"/>
        <w:ind w:firstLine="720"/>
      </w:pPr>
      <w:r>
        <w:t xml:space="preserve">Chapter 4 specifies the simulation experiment in full. It defines the target population, drawn from the public catalog of resident space objects distributed through Space-Track.org, and the sensor model, drawn from the documented site parameters in the published AMOS scheduling literature</w:t>
      </w:r>
      <w:r>
        <w:t xml:space="preserve"> </w:t>
      </w:r>
      <w:hyperlink w:anchor="ref-3">
        <w:r>
          <w:rPr>
            <w:rStyle w:val="Hyperlink"/>
          </w:rPr>
          <w:t xml:space="preserve">[3]</w:t>
        </w:r>
      </w:hyperlink>
      <w:r>
        <w:t xml:space="preserve">[5][37]. It specifies the ground arm and the onboard arm, the pairing structure, the information-gain metric, the power analysis that fixes the number of simulated nights before any outcome is examined, and the pre-registered primary and secondary analyses.</w:t>
      </w:r>
    </w:p>
    <w:p>
      <w:pPr>
        <w:pStyle w:val="BodyText"/>
        <w:spacing w:line="480" w:lineRule="auto"/>
        <w:ind w:firstLine="720"/>
      </w:pPr>
      <w:r>
        <w:t xml:space="preserve">Chapter 5 reports the results of the simulation experiment. It estimates (</w:t>
      </w:r>
      <w:r>
        <w:t xml:space="preserve">) with a paired test on per-night differences, reports the effect size with confidence intervals, and reports a mixed-effects specification with night as a random effect to absorb residual heterogeneity. The chapter reports the primary information-gain outcome and the secondary custody-loss outcome side by side, and it reports sensitivity to ground-arm solver quality, to covariance-seeding assumptions, and to revisit cadence, so the boundary of the finding is explicit.</w:t>
      </w:r>
    </w:p>
    <w:p>
      <w:pPr>
        <w:pStyle w:val="BodyText"/>
        <w:spacing w:line="480" w:lineRule="auto"/>
        <w:ind w:firstLine="720"/>
      </w:pPr>
      <w:r>
        <w:t xml:space="preserve">Chapter 6 discusses what the result implies for JPL-class instrument and navigation programs. If (</w:t>
      </w:r>
      <w:r>
        <w:t xml:space="preserve">) is large, the chapter discusses the verification, validation, and operations-cost implications of moving the targeting decision onboard, and it points to the cislunar, deep-space, and inspection regimes in which the case for onboard adaptivity is strongest</w:t>
      </w:r>
      <w:r>
        <w:t xml:space="preserve"> </w:t>
      </w:r>
      <w:hyperlink w:anchor="ref-25">
        <w:r>
          <w:rPr>
            <w:rStyle w:val="Hyperlink"/>
          </w:rPr>
          <w:t xml:space="preserve">[25]</w:t>
        </w:r>
      </w:hyperlink>
      <w:r>
        <w:t xml:space="preserve">[26][36][39][41][47]. If (</w:t>
      </w:r>
      <w:r>
        <w:t xml:space="preserve">) is small or null, the chapter discusses where the marginal dollar of instrument-program investment is better placed, including additional aperture, additional sites, better ground optimization, and the network-breadth margin that the panel regression identified as the dominant production channel.</w:t>
      </w:r>
    </w:p>
    <w:p>
      <w:pPr>
        <w:pStyle w:val="BodyText"/>
        <w:spacing w:line="480" w:lineRule="auto"/>
        <w:ind w:firstLine="720"/>
      </w:pPr>
      <w:r>
        <w:t xml:space="preserve">Chapter 7 concludes. It summarizes the contribution as a single falsifiable number measured cleanly, it states the boundary of the finding, and it identifies the natural extensions that the present design does not permit. Those extensions include the long-light-time regimes in which round-trip ground re-planning is infeasible, the human-machine teaming regimes in which operator trust mediates whether an onboard policy is allowed to act, and the sustainability and governance regimes in which the value of an observation is set partly outside the engineering envelope</w:t>
      </w:r>
      <w:r>
        <w:t xml:space="preserve"> </w:t>
      </w:r>
      <w:hyperlink w:anchor="ref-10">
        <w:r>
          <w:rPr>
            <w:rStyle w:val="Hyperlink"/>
          </w:rPr>
          <w:t xml:space="preserve">[10]</w:t>
        </w:r>
      </w:hyperlink>
      <w:r>
        <w:t xml:space="preserve">[21][34][44]. The dissertation closes with the explicit acknowledgment that the modeled regime is one slice of the operational reality NASA and JPL face, and that the value of a clean measurement in one slice is that it gives the next slice a starting point that the present literature does not provide.</w:t>
      </w:r>
    </w:p>
    <w:bookmarkEnd w:id="64"/>
    <w:bookmarkEnd w:id="65"/>
    <w:bookmarkStart w:id="72" w:name="chapter-2.-literature-review"/>
    <w:p>
      <w:pPr>
        <w:pStyle w:val="Heading1"/>
        <w:spacing w:line="480" w:lineRule="auto"/>
      </w:pPr>
      <w:r>
        <w:t xml:space="preserve">Chapter 2. Literature Review</w:t>
      </w:r>
    </w:p>
    <w:bookmarkStart w:id="66" w:name="Xa6656d5f42abb1e7861384f0c23c2a8422c2683"/>
    <w:p>
      <w:pPr>
        <w:pStyle w:val="Heading2"/>
        <w:spacing w:line="480" w:lineRule="auto"/>
      </w:pPr>
      <w:r>
        <w:t xml:space="preserve">2.1 Orientation: Two Mature Literatures That Have Not Met</w:t>
      </w:r>
    </w:p>
    <w:p>
      <w:pPr>
        <w:pStyle w:val="FirstParagraph"/>
        <w:spacing w:line="480" w:lineRule="auto"/>
      </w:pPr>
      <w:r>
        <w:t xml:space="preserve">The question this dissertation poses, whether adaptive onboard targeting yields more value of information per unit of sensor time than ground-scheduled tasking, sits at an intersection that has been crossed in practice but rarely in print. Two scholarly communities have built mature bodies of work that address parts of the question without ever joining them. The first community is the domain technical literature on sensor tasking, observation scheduling, and onboard autonomy for space-based and ground-based instruments. The second community is the cliometric and econometric methodology literature on conditional estimation, value-of-information modeling, and the identification of treatment effects from observational data. Each is internally coherent. Neither has produced the comparative measurement that an instrument program needs to decide whether to invest in onboard adaptivity.</w:t>
      </w:r>
    </w:p>
    <w:p>
      <w:pPr>
        <w:pStyle w:val="BodyText"/>
        <w:spacing w:line="480" w:lineRule="auto"/>
        <w:ind w:firstLine="720"/>
      </w:pPr>
      <w:r>
        <w:t xml:space="preserve">This chapter reviews both literatures, treats them on their own terms, and then synthesizes the unjoined territory between them. Section 2.2 reconstructs the technical lineage of ground-side tasking optimization, from figure-of-merit scoring through information-gain scheduling and mixed-integer placement decomposition. Section 2.3 follows the parallel arc of onboard and decentralized adaptive policies, from the Autonomous Sciencecraft Experiment through agent-based mission management and reinforcement-learning maneuver planning. Section 2.4 turns to the methodology literature, surveying conditional regression on heterogeneous observational panels, the operationalization of value of information in the economics-of-data tradition, and the identification strategies that underwrite causal claims from non-experimental data. Section 2.5 synthesizes the gap that the dissertation will fill and connects the empirical findings already reported in the two contributing papers to the simulation work the rest of the dissertation will pursue.</w:t>
      </w:r>
    </w:p>
    <w:bookmarkEnd w:id="66"/>
    <w:bookmarkStart w:id="67" w:name="X4c350814be0692ce81573a1ceda5f90dfdd4713"/>
    <w:p>
      <w:pPr>
        <w:pStyle w:val="Heading2"/>
        <w:spacing w:line="480" w:lineRule="auto"/>
      </w:pPr>
      <w:r>
        <w:t xml:space="preserve">2.2 The Domain Literature, Part One: Ground-Side Tasking Optimization</w:t>
      </w:r>
    </w:p>
    <w:p>
      <w:pPr>
        <w:pStyle w:val="FirstParagraph"/>
        <w:spacing w:line="480" w:lineRule="auto"/>
      </w:pPr>
      <w:r>
        <w:t xml:space="preserve">The ground-loop tradition in sensor tasking treats the assignment of observation opportunities to instrument time as a constrained optimization problem solved before the pass. The canonical reference in the optical space-surveillance lineage is the Heimdall system delivered for the Maui Space Surveillance Site, which replaced manual tasking with a configurable figure-of-merit scheduler and reported sharp throughput gains over the human baseline</w:t>
      </w:r>
      <w:r>
        <w:t xml:space="preserve"> </w:t>
      </w:r>
      <w:hyperlink w:anchor="ref-5">
        <w:r>
          <w:rPr>
            <w:rStyle w:val="Hyperlink"/>
          </w:rPr>
          <w:t xml:space="preserve">[5]</w:t>
        </w:r>
      </w:hyperlink>
      <w:r>
        <w:t xml:space="preserve">. Heimdall established the architectural template that subsequent papers extended: a target catalog, a sensor model with slew, settle, and exposure parameters, a figure of merit that scores candidate observations, and a solver that returns a schedule for the pass.</w:t>
      </w:r>
    </w:p>
    <w:p>
      <w:pPr>
        <w:pStyle w:val="BodyText"/>
        <w:spacing w:line="480" w:lineRule="auto"/>
        <w:ind w:firstLine="720"/>
      </w:pPr>
      <w:r>
        <w:t xml:space="preserve">The Heimdall successor work extended the same architectural template to networks of non-traditional commercial sensors, holding the figure-of-merit philosophy constant while widening the population of instruments the schedule can address</w:t>
      </w:r>
      <w:r>
        <w:t xml:space="preserve"> </w:t>
      </w:r>
      <w:hyperlink w:anchor="ref-7">
        <w:r>
          <w:rPr>
            <w:rStyle w:val="Hyperlink"/>
          </w:rPr>
          <w:t xml:space="preserve">[7]</w:t>
        </w:r>
      </w:hyperlink>
      <w:r>
        <w:t xml:space="preserve">. The Australian conjunction assessment service applied a closely related design to a four-site optical network for a different mission objective, computing observation utility from predicted covariance reduction and accumulating information gain across a multi-night campaign</w:t>
      </w:r>
      <w:r>
        <w:t xml:space="preserve"> </w:t>
      </w:r>
      <w:hyperlink w:anchor="ref-3">
        <w:r>
          <w:rPr>
            <w:rStyle w:val="Hyperlink"/>
          </w:rPr>
          <w:t xml:space="preserve">[3]</w:t>
        </w:r>
      </w:hyperlink>
      <w:r>
        <w:t xml:space="preserve">. The optimized scheduling and tasking program that emerged from the same Australian program reported throughput in the same architectural band, again from a precomputed schedule against a published figure of merit</w:t>
      </w:r>
      <w:r>
        <w:t xml:space="preserve"> </w:t>
      </w:r>
      <w:hyperlink w:anchor="ref-2">
        <w:r>
          <w:rPr>
            <w:rStyle w:val="Hyperlink"/>
          </w:rPr>
          <w:t xml:space="preserve">[2]</w:t>
        </w:r>
      </w:hyperlink>
      <w:r>
        <w:t xml:space="preserve">.</w:t>
      </w:r>
    </w:p>
    <w:p>
      <w:pPr>
        <w:pStyle w:val="BodyText"/>
        <w:spacing w:line="480" w:lineRule="auto"/>
        <w:ind w:firstLine="720"/>
      </w:pPr>
      <w:r>
        <w:t xml:space="preserve">Two further lines of work occupy the same band. The genetic-algorithm scheduler for geosynchronous follow-up observations frames the problem as a combinatorial search over candidate sequences, scored by a coverage-and-revisit objective and solved offline before execution</w:t>
      </w:r>
      <w:r>
        <w:t xml:space="preserve"> </w:t>
      </w:r>
      <w:hyperlink w:anchor="ref-4">
        <w:r>
          <w:rPr>
            <w:rStyle w:val="Hyperlink"/>
          </w:rPr>
          <w:t xml:space="preserve">[4]</w:t>
        </w:r>
      </w:hyperlink>
      <w:r>
        <w:t xml:space="preserve">. The mixed-integer decomposition for heterogeneous sensor selection and placement extends the architecture in a different direction, treating not only the schedule but the network composition itself as a precomputed optimization output, with the schedule as one stage in a larger decomposition</w:t>
      </w:r>
      <w:r>
        <w:t xml:space="preserve"> </w:t>
      </w:r>
      <w:hyperlink w:anchor="ref-6">
        <w:r>
          <w:rPr>
            <w:rStyle w:val="Hyperlink"/>
          </w:rPr>
          <w:t xml:space="preserve">[6]</w:t>
        </w:r>
      </w:hyperlink>
      <w:r>
        <w:t xml:space="preserve">. The Raven-class sensitivity study sits upstream of these papers, treating the sensor hardware as the variable to optimize against a fixed tasking strategy</w:t>
      </w:r>
      <w:r>
        <w:t xml:space="preserve"> </w:t>
      </w:r>
      <w:hyperlink w:anchor="ref-17">
        <w:r>
          <w:rPr>
            <w:rStyle w:val="Hyperlink"/>
          </w:rPr>
          <w:t xml:space="preserve">[17]</w:t>
        </w:r>
      </w:hyperlink>
      <w:r>
        <w:t xml:space="preserve">, and the Poznan dual-pass survey work</w:t>
      </w:r>
      <w:r>
        <w:t xml:space="preserve"> </w:t>
      </w:r>
      <w:hyperlink w:anchor="ref-18">
        <w:r>
          <w:rPr>
            <w:rStyle w:val="Hyperlink"/>
          </w:rPr>
          <w:t xml:space="preserve">[18]</w:t>
        </w:r>
      </w:hyperlink>
      <w:r>
        <w:t xml:space="preserve"> </w:t>
      </w:r>
      <w:r>
        <w:t xml:space="preserve">and the DRAGRACER flight-experiment follow-up</w:t>
      </w:r>
      <w:r>
        <w:t xml:space="preserve"> </w:t>
      </w:r>
      <w:hyperlink w:anchor="ref-19">
        <w:r>
          <w:rPr>
            <w:rStyle w:val="Hyperlink"/>
          </w:rPr>
          <w:t xml:space="preserve">[19]</w:t>
        </w:r>
      </w:hyperlink>
      <w:r>
        <w:t xml:space="preserve"> </w:t>
      </w:r>
      <w:r>
        <w:t xml:space="preserve">populate the same architectural family with operational reports from sites that execute precomputed plans.</w:t>
      </w:r>
    </w:p>
    <w:p>
      <w:pPr>
        <w:pStyle w:val="BodyText"/>
        <w:spacing w:line="480" w:lineRule="auto"/>
        <w:ind w:firstLine="720"/>
      </w:pPr>
      <w:r>
        <w:t xml:space="preserve">A separate but adjacent line within the ground-side tradition treats the figure of merit itself as the locus of research. The angles-only orbit determination work on adaptive non-singular measurement models improves the estimator that converts an observation into a posterior, which feeds back into any covariance-reducing figure of merit</w:t>
      </w:r>
      <w:r>
        <w:t xml:space="preserve"> </w:t>
      </w:r>
      <w:hyperlink w:anchor="ref-22">
        <w:r>
          <w:rPr>
            <w:rStyle w:val="Hyperlink"/>
          </w:rPr>
          <w:t xml:space="preserve">[22]</w:t>
        </w:r>
      </w:hyperlink>
      <w:r>
        <w:t xml:space="preserve">. The ultrafast wide-field telescope work on debris detection</w:t>
      </w:r>
      <w:r>
        <w:t xml:space="preserve"> </w:t>
      </w:r>
      <w:hyperlink w:anchor="ref-37">
        <w:r>
          <w:rPr>
            <w:rStyle w:val="Hyperlink"/>
          </w:rPr>
          <w:t xml:space="preserve">[37]</w:t>
        </w:r>
      </w:hyperlink>
      <w:r>
        <w:t xml:space="preserve"> </w:t>
      </w:r>
      <w:r>
        <w:t xml:space="preserve">and the opportunistic-sensor calibration work</w:t>
      </w:r>
      <w:r>
        <w:t xml:space="preserve"> </w:t>
      </w:r>
      <w:hyperlink w:anchor="ref-41">
        <w:r>
          <w:rPr>
            <w:rStyle w:val="Hyperlink"/>
          </w:rPr>
          <w:t xml:space="preserve">[41]</w:t>
        </w:r>
      </w:hyperlink>
      <w:r>
        <w:t xml:space="preserve"> </w:t>
      </w:r>
      <w:r>
        <w:t xml:space="preserve">enrich the upstream sensor side, again without disturbing the ground-scheduled architecture. The global-coordination work on advancing concepts for SSA frames the policy and governance environment in which these schedulers operate</w:t>
      </w:r>
      <w:r>
        <w:t xml:space="preserve"> </w:t>
      </w:r>
      <w:hyperlink w:anchor="ref-38">
        <w:r>
          <w:rPr>
            <w:rStyle w:val="Hyperlink"/>
          </w:rPr>
          <w:t xml:space="preserve">[38]</w:t>
        </w:r>
      </w:hyperlink>
      <w:r>
        <w:t xml:space="preserve">.</w:t>
      </w:r>
    </w:p>
    <w:p>
      <w:pPr>
        <w:pStyle w:val="BodyText"/>
        <w:spacing w:line="480" w:lineRule="auto"/>
        <w:ind w:firstLine="720"/>
      </w:pPr>
      <w:r>
        <w:t xml:space="preserve">One structural assumption binds this entire family together: the targeting decision can be made well from pre-pass information. The catalog is propagated forward, the sensor model is treated as deterministic up to known noise, the figure of merit is scored on predicted states, and the solver returns the assignment that maximizes expected utility under those predictions. The literature is internally rigorous, but the structural assumption rarely receives direct empirical examination. The schedulers are typically benchmarked against weaker schedulers or against manual tasking</w:t>
      </w:r>
      <w:r>
        <w:t xml:space="preserve"> </w:t>
      </w:r>
      <w:hyperlink w:anchor="ref-5">
        <w:r>
          <w:rPr>
            <w:rStyle w:val="Hyperlink"/>
          </w:rPr>
          <w:t xml:space="preserve">[5]</w:t>
        </w:r>
      </w:hyperlink>
      <w:r>
        <w:t xml:space="preserve">, not against policies that revise the schedule using information returned mid-pass. The Heimdall family establishes that figure-of-merit optimization dominates manual tasking on the order of a large gain in throughput; it does not, in published form, establish the marginal value of moving the decision off the ground loop.</w:t>
      </w:r>
    </w:p>
    <w:p>
      <w:pPr>
        <w:pStyle w:val="BodyText"/>
        <w:spacing w:line="480" w:lineRule="auto"/>
        <w:ind w:firstLine="720"/>
      </w:pPr>
      <w:r>
        <w:t xml:space="preserve">A second feature of this literature deserves attention because the dissertation’s methodology hinges on it. The figure-of-merit construction in the conjunction-assessment lineage operationalizes value of information as the expected covariance reduction weighted by target priority [2, 3]. That construction is the link between the ground-side literature and the methodology literature reviewed in Section 2.4. The same operationalization can score a precomputed schedule and an adaptive policy on the same currency, which is the structural reason a paired comparison is meaningful at all. Without this VOI operationalization the two architectures would not be commensurable.</w:t>
      </w:r>
    </w:p>
    <w:bookmarkEnd w:id="67"/>
    <w:bookmarkStart w:id="68" w:name="Xe68bbda9ab1acbcce8802ed0ccaa4d1a3f0d3ff"/>
    <w:p>
      <w:pPr>
        <w:pStyle w:val="Heading2"/>
        <w:spacing w:line="480" w:lineRule="auto"/>
      </w:pPr>
      <w:r>
        <w:t xml:space="preserve">2.3 The Domain Literature, Part Two: Onboard and Decentralized Adaptivity</w:t>
      </w:r>
    </w:p>
    <w:p>
      <w:pPr>
        <w:pStyle w:val="FirstParagraph"/>
        <w:spacing w:line="480" w:lineRule="auto"/>
      </w:pPr>
      <w:r>
        <w:t xml:space="preserve">The onboard tradition begins in the Earth-observation literature with the Autonomous Sciencecraft Experiment on EO-1, which demonstrated that an onboard agent could ingest detected events, re-task the instrument, and acquire follow-up imagery without a ground loop, reducing detection-to-acquisition latency by orders of magnitude</w:t>
      </w:r>
      <w:r>
        <w:t xml:space="preserve"> </w:t>
      </w:r>
      <w:hyperlink w:anchor="ref-27">
        <w:r>
          <w:rPr>
            <w:rStyle w:val="Hyperlink"/>
          </w:rPr>
          <w:t xml:space="preserve">[27]</w:t>
        </w:r>
      </w:hyperlink>
      <w:r>
        <w:t xml:space="preserve">. The ASE result is the foundational empirical demonstration that onboard re-tasking is feasible and that it materially shortens response time. Two decades of subsequent work have extended that demonstration in two complementary directions: scaling onboard adaptivity to larger and more distributed sensor networks, and pushing the adaptive logic from rule-based agents into learning-based controllers.</w:t>
      </w:r>
    </w:p>
    <w:p>
      <w:pPr>
        <w:pStyle w:val="BodyText"/>
        <w:spacing w:line="480" w:lineRule="auto"/>
        <w:ind w:firstLine="720"/>
      </w:pPr>
      <w:r>
        <w:t xml:space="preserve">In the space-domain-awareness literature, the SNARE experiment showed that decentralizing the tasking decision across a network of optical sensors, rather than computing a precomputed schedule centrally, raised effective throughput by exploiting realized rather than predicted conditions across the network</w:t>
      </w:r>
      <w:r>
        <w:t xml:space="preserve"> </w:t>
      </w:r>
      <w:hyperlink w:anchor="ref-12">
        <w:r>
          <w:rPr>
            <w:rStyle w:val="Hyperlink"/>
          </w:rPr>
          <w:t xml:space="preserve">[12]</w:t>
        </w:r>
      </w:hyperlink>
      <w:r>
        <w:t xml:space="preserve">. The Orbit Logic Autonomous Planning System occupies a similar architectural position in the autonomous-network family [1, 13], and the autonomous geographically distributed ground network reported that combining edge re-planning with a multi-site footprint scaled throughput in the same direction</w:t>
      </w:r>
      <w:r>
        <w:t xml:space="preserve"> </w:t>
      </w:r>
      <w:hyperlink w:anchor="ref-14">
        <w:r>
          <w:rPr>
            <w:rStyle w:val="Hyperlink"/>
          </w:rPr>
          <w:t xml:space="preserve">[14]</w:t>
        </w:r>
      </w:hyperlink>
      <w:r>
        <w:t xml:space="preserve">. The maneuver-detection work on heterogeneous autonomous sensor networks reported comparable gains in the operationally important specialization of detecting unscheduled object behavior</w:t>
      </w:r>
      <w:r>
        <w:t xml:space="preserve"> </w:t>
      </w:r>
      <w:hyperlink w:anchor="ref-15">
        <w:r>
          <w:rPr>
            <w:rStyle w:val="Hyperlink"/>
          </w:rPr>
          <w:t xml:space="preserve">[15]</w:t>
        </w:r>
      </w:hyperlink>
      <w:r>
        <w:t xml:space="preserve">, and the global boresight tasking work reported the largest reported throughput in the contemporary AMOS panel by combining onboard adaptive selection with an eight-site footprint</w:t>
      </w:r>
      <w:r>
        <w:t xml:space="preserve"> </w:t>
      </w:r>
      <w:hyperlink w:anchor="ref-16">
        <w:r>
          <w:rPr>
            <w:rStyle w:val="Hyperlink"/>
          </w:rPr>
          <w:t xml:space="preserve">[16]</w:t>
        </w:r>
      </w:hyperlink>
      <w:r>
        <w:t xml:space="preserve">. The autonomous information-gathering guidance work for spacecraft-to-spacecraft optical tracking</w:t>
      </w:r>
      <w:r>
        <w:t xml:space="preserve"> </w:t>
      </w:r>
      <w:hyperlink w:anchor="ref-20">
        <w:r>
          <w:rPr>
            <w:rStyle w:val="Hyperlink"/>
          </w:rPr>
          <w:t xml:space="preserve">[20]</w:t>
        </w:r>
      </w:hyperlink>
      <w:r>
        <w:t xml:space="preserve"> </w:t>
      </w:r>
      <w:r>
        <w:t xml:space="preserve">and the adaptive sensor tasking strategies for non-cooperative cislunar objects</w:t>
      </w:r>
      <w:r>
        <w:t xml:space="preserve"> </w:t>
      </w:r>
      <w:hyperlink w:anchor="ref-39">
        <w:r>
          <w:rPr>
            <w:rStyle w:val="Hyperlink"/>
          </w:rPr>
          <w:t xml:space="preserve">[39]</w:t>
        </w:r>
      </w:hyperlink>
      <w:r>
        <w:t xml:space="preserve"> </w:t>
      </w:r>
      <w:r>
        <w:t xml:space="preserve">extend the same logic into platform-borne and cislunar regimes.</w:t>
      </w:r>
    </w:p>
    <w:p>
      <w:pPr>
        <w:pStyle w:val="BodyText"/>
        <w:spacing w:line="480" w:lineRule="auto"/>
        <w:ind w:firstLine="720"/>
      </w:pPr>
      <w:r>
        <w:t xml:space="preserve">The learning-based extension is now substantial. Reinforcement-learning maneuver planning for low-thrust spacecraft has been demonstrated as a closed-loop adaptive controller that adjusts to unanticipated dynamics without ground replanning [8, 43]. Reinforcement-learning sensor scheduling for space-to-space surveillance has been applied directly to resident space object imaging</w:t>
      </w:r>
      <w:r>
        <w:t xml:space="preserve"> </w:t>
      </w:r>
      <w:hyperlink w:anchor="ref-36">
        <w:r>
          <w:rPr>
            <w:rStyle w:val="Hyperlink"/>
          </w:rPr>
          <w:t xml:space="preserve">[36]</w:t>
        </w:r>
      </w:hyperlink>
      <w:r>
        <w:t xml:space="preserve">. Supervised-learning approaches to autonomous orbital maintenance frame the problem as a target-point regression rather than a scheduling search [23, 46]. The on-orbit assembly work on online motion planning with machine-learning-based model predictive control extends adaptive guidance to a contact-rich domain</w:t>
      </w:r>
      <w:r>
        <w:t xml:space="preserve"> </w:t>
      </w:r>
      <w:hyperlink w:anchor="ref-24">
        <w:r>
          <w:rPr>
            <w:rStyle w:val="Hyperlink"/>
          </w:rPr>
          <w:t xml:space="preserve">[24]</w:t>
        </w:r>
      </w:hyperlink>
      <w:r>
        <w:t xml:space="preserve">. The CNN-based optical navigation work for the Hera mission to Didymos shows the same logic applied to autonomous instrument pointing for deep-space rendezvous</w:t>
      </w:r>
      <w:r>
        <w:t xml:space="preserve"> </w:t>
      </w:r>
      <w:hyperlink w:anchor="ref-25">
        <w:r>
          <w:rPr>
            <w:rStyle w:val="Hyperlink"/>
          </w:rPr>
          <w:t xml:space="preserve">[25]</w:t>
        </w:r>
      </w:hyperlink>
      <w:r>
        <w:t xml:space="preserve">, and the vision-based CubeSat docking work shows it applied to terminal-phase navigation</w:t>
      </w:r>
      <w:r>
        <w:t xml:space="preserve"> </w:t>
      </w:r>
      <w:hyperlink w:anchor="ref-26">
        <w:r>
          <w:rPr>
            <w:rStyle w:val="Hyperlink"/>
          </w:rPr>
          <w:t xml:space="preserve">[26]</w:t>
        </w:r>
      </w:hyperlink>
      <w:r>
        <w:t xml:space="preserve">. The SpEye inspection CubeSat work reports the integrated mission analysis and guidance for an autonomous inspection platform</w:t>
      </w:r>
      <w:r>
        <w:t xml:space="preserve"> </w:t>
      </w:r>
      <w:hyperlink w:anchor="ref-47">
        <w:r>
          <w:rPr>
            <w:rStyle w:val="Hyperlink"/>
          </w:rPr>
          <w:t xml:space="preserve">[47]</w:t>
        </w:r>
      </w:hyperlink>
      <w:r>
        <w:t xml:space="preserve">.</w:t>
      </w:r>
    </w:p>
    <w:p>
      <w:pPr>
        <w:pStyle w:val="BodyText"/>
        <w:spacing w:line="480" w:lineRule="auto"/>
        <w:ind w:firstLine="720"/>
      </w:pPr>
      <w:r>
        <w:t xml:space="preserve">A third strand within the onboard tradition concerns the architecture-level question that the dissertation eventually addresses. The agent-based survey of distributed space systems and mission management catalogues the methodological landscape and reports that adaptive multi-agent architectures are now the dominant published direction in the design space [1, 45]. The complementary agent-based survey on methodologies and applications situates the same architectural shift in the broader Earth-observation context</w:t>
      </w:r>
      <w:r>
        <w:t xml:space="preserve"> </w:t>
      </w:r>
      <w:hyperlink w:anchor="ref-28">
        <w:r>
          <w:rPr>
            <w:rStyle w:val="Hyperlink"/>
          </w:rPr>
          <w:t xml:space="preserve">[28]</w:t>
        </w:r>
      </w:hyperlink>
      <w:r>
        <w:t xml:space="preserve">. The Starling mission report frames the SSA implications of a distributed autonomous platform now in flight</w:t>
      </w:r>
      <w:r>
        <w:t xml:space="preserve"> </w:t>
      </w:r>
      <w:hyperlink w:anchor="ref-35">
        <w:r>
          <w:rPr>
            <w:rStyle w:val="Hyperlink"/>
          </w:rPr>
          <w:t xml:space="preserve">[35]</w:t>
        </w:r>
      </w:hyperlink>
      <w:r>
        <w:t xml:space="preserve">. The precedence-rule heuristic for satellite onboard activity planning provides a discrete-event template for how onboard re-planning is operationalized in flight software [9, 50]. The hybrid fault and anomaly detection work shows how onboard adaptivity extends from tasking into fault management</w:t>
      </w:r>
      <w:r>
        <w:t xml:space="preserve"> </w:t>
      </w:r>
      <w:hyperlink w:anchor="ref-40">
        <w:r>
          <w:rPr>
            <w:rStyle w:val="Hyperlink"/>
          </w:rPr>
          <w:t xml:space="preserve">[40]</w:t>
        </w:r>
      </w:hyperlink>
      <w:r>
        <w:t xml:space="preserve">. The space-based SSA swarm work with distributed deep learning at the edge frames the long-run architectural endpoint in which the onboard decision is itself made by a learned model running at the network edge</w:t>
      </w:r>
      <w:r>
        <w:t xml:space="preserve"> </w:t>
      </w:r>
      <w:hyperlink w:anchor="ref-42">
        <w:r>
          <w:rPr>
            <w:rStyle w:val="Hyperlink"/>
          </w:rPr>
          <w:t xml:space="preserve">[42]</w:t>
        </w:r>
      </w:hyperlink>
      <w:r>
        <w:t xml:space="preserve">. The multiple-model adaptive intercept work on incomplete-information games offers the game-theoretic counterpart in which adaptivity is forced by adversarial uncertainty</w:t>
      </w:r>
      <w:r>
        <w:t xml:space="preserve"> </w:t>
      </w:r>
      <w:hyperlink w:anchor="ref-49">
        <w:r>
          <w:rPr>
            <w:rStyle w:val="Hyperlink"/>
          </w:rPr>
          <w:t xml:space="preserve">[49]</w:t>
        </w:r>
      </w:hyperlink>
      <w:r>
        <w:t xml:space="preserve">.</w:t>
      </w:r>
    </w:p>
    <w:p>
      <w:pPr>
        <w:pStyle w:val="BodyText"/>
        <w:spacing w:line="480" w:lineRule="auto"/>
        <w:ind w:firstLine="720"/>
      </w:pPr>
      <w:r>
        <w:t xml:space="preserve">Two themes recur across the onboard literature. First, the empirical case is built on demonstrations of feasibility and on operational reports of latency or throughput, not on controlled comparisons against strong ground baselines. The ASE paper compares onboard re-tasking against the ground loop on detection-to-acquisition latency</w:t>
      </w:r>
      <w:r>
        <w:t xml:space="preserve"> </w:t>
      </w:r>
      <w:hyperlink w:anchor="ref-27">
        <w:r>
          <w:rPr>
            <w:rStyle w:val="Hyperlink"/>
          </w:rPr>
          <w:t xml:space="preserve">[27]</w:t>
        </w:r>
      </w:hyperlink>
      <w:r>
        <w:t xml:space="preserve">, which is a different currency than the figure-of-merit value that the ground-side scheduling literature optimizes. The SNARE</w:t>
      </w:r>
      <w:r>
        <w:t xml:space="preserve"> </w:t>
      </w:r>
      <w:hyperlink w:anchor="ref-12">
        <w:r>
          <w:rPr>
            <w:rStyle w:val="Hyperlink"/>
          </w:rPr>
          <w:t xml:space="preserve">[12]</w:t>
        </w:r>
      </w:hyperlink>
      <w:r>
        <w:t xml:space="preserve"> </w:t>
      </w:r>
      <w:r>
        <w:t xml:space="preserve">and global boresight</w:t>
      </w:r>
      <w:r>
        <w:t xml:space="preserve"> </w:t>
      </w:r>
      <w:hyperlink w:anchor="ref-16">
        <w:r>
          <w:rPr>
            <w:rStyle w:val="Hyperlink"/>
          </w:rPr>
          <w:t xml:space="preserve">[16]</w:t>
        </w:r>
      </w:hyperlink>
      <w:r>
        <w:t xml:space="preserve"> </w:t>
      </w:r>
      <w:r>
        <w:t xml:space="preserve">reports document throughput gains against precomputed baselines but rarely under conditions of matched sensor geometry, matched priors, and matched solver quality. Second, the human-machine teaming literature flags an operational constraint that the technical literature underplays: onboard adaptivity must be trusted by the operator before it is deployed at scale</w:t>
      </w:r>
      <w:r>
        <w:t xml:space="preserve"> </w:t>
      </w:r>
      <w:hyperlink w:anchor="ref-21">
        <w:r>
          <w:rPr>
            <w:rStyle w:val="Hyperlink"/>
          </w:rPr>
          <w:t xml:space="preserve">[21]</w:t>
        </w:r>
      </w:hyperlink>
      <w:r>
        <w:t xml:space="preserve">. Trust building is itself a function of demonstrated parity or superiority on a transparent metric, which is the contribution the dissertation aims to make.</w:t>
      </w:r>
    </w:p>
    <w:p>
      <w:pPr>
        <w:pStyle w:val="BodyText"/>
        <w:spacing w:line="480" w:lineRule="auto"/>
        <w:ind w:firstLine="720"/>
      </w:pPr>
      <w:r>
        <w:t xml:space="preserve">The onboard literature, taken together, has established that onboard adaptivity is feasible, that decentralized and learning-based variants scale, and that operational platforms increasingly embed it. What it has not established, in published form, is the conditional value of the onboard decision relative to a strong ground-optimized baseline scored on the same VOI currency on the same target set. That comparison is the empirical work the dissertation undertakes, and it sits in a gap that the technical literature has approached from both sides without closing.</w:t>
      </w:r>
    </w:p>
    <w:bookmarkEnd w:id="68"/>
    <w:bookmarkStart w:id="69" w:name="Xfd31977f58a61df799e1a38e69ec1afcd29e651"/>
    <w:p>
      <w:pPr>
        <w:pStyle w:val="Heading2"/>
        <w:spacing w:line="480" w:lineRule="auto"/>
      </w:pPr>
      <w:r>
        <w:t xml:space="preserve">2.4 The Methodology Literature: Conditional Estimation, Value of Information, and Identification from Observational Data</w:t>
      </w:r>
    </w:p>
    <w:p>
      <w:pPr>
        <w:pStyle w:val="FirstParagraph"/>
        <w:spacing w:line="480" w:lineRule="auto"/>
      </w:pPr>
      <w:r>
        <w:t xml:space="preserve">The cliometric and econometric methodology literature relevant to the dissertation is organized around three problems. The first is how to recover a conditional association from heterogeneous observational data when the regressor of interest is correlated with other production inputs. The second is how to operationalize the value of information so that the measure stays comparable across architectures. The third is how to make a credible causal claim from a non-experimental panel when randomization is not available.</w:t>
      </w:r>
    </w:p>
    <w:p>
      <w:pPr>
        <w:pStyle w:val="BodyText"/>
        <w:spacing w:line="480" w:lineRule="auto"/>
        <w:ind w:firstLine="720"/>
      </w:pPr>
      <w:r>
        <w:t xml:space="preserve">On the first problem, the contemporary practice in the small-panel cross-section literature is robust ordinary least squares with heteroskedasticity-consistent standard errors as a transparent first-cut estimator, in which the coefficient of interest is read as a partial conditional association with controls absorbing co-determined inputs. The two contributing papers in this dissertation apply that practice directly. Paper one pools thirty-two published optical sensor-tasking campaigns and fits robust OLS of observations per night on an autonomy ordinal, aperture, slew rate, and the number of sites, with the autonomy ordinal carrying a conditional coefficient of 52.9 observations per ordinal step at robust standard error 12.7 [based on the panel assembled from 1, 2, 3, 4, 5, 6, 7, 8, 9, 12, 13, 14, 15, 16, 17, 18, 19, 20, 21, 22, 23, 24, 25, 26]. Paper two pools thirty-two Earth-observing missions and fits robust OLS of log daily image acquisitions on the autonomy ordinal, agility, log downlink, and year of initial operational capability, with the autonomy coefficient returning to a precision-zero region [27, 28, 29, 30, 31, 32]. The two estimates disagree in sign and significance, which is the productive disagreement that motivates the next section.</w:t>
      </w:r>
    </w:p>
    <w:p>
      <w:pPr>
        <w:pStyle w:val="BodyText"/>
        <w:spacing w:line="480" w:lineRule="auto"/>
        <w:ind w:firstLine="720"/>
      </w:pPr>
      <w:r>
        <w:t xml:space="preserve">The methodological literature on conditional estimation in heterogeneous panels emphasizes that the validity of an OLS coefficient as a partial association depends on whether the controls absorb the channels through which the regressor of interest is co-determined with other inputs. In paper one, the network-breadth control absorbs the part of the architectural choice that is co-determined with footprint, because the adaptive architectures in the AMOS panel are also disproportionately the multi-site architectures. The aperture control absorbs the part co-determined with hardware investment. What survives is the conditional contribution of autonomy net of those two channels, and that conditional contribution is positive and statistically distinguishable. In paper two, downlink and vintage are the analogous controls, and the autonomy coefficient does not survive. The methodological reading is not that one paper is right and the other wrong, but that the conditional association is regime-dependent and that the regimes have different binding constraints.</w:t>
      </w:r>
    </w:p>
    <w:p>
      <w:pPr>
        <w:pStyle w:val="BodyText"/>
        <w:spacing w:line="480" w:lineRule="auto"/>
        <w:ind w:firstLine="720"/>
      </w:pPr>
      <w:r>
        <w:t xml:space="preserve">On the second problem, the operationalization of value of information, the methodology literature draws from the economics-of-data tradition. Value of information in that tradition is the difference between the expected utility of a decision made with versus without an additional observation, marginalized over the prior distribution of the unobserved state. The space-economy literature has imported the construct under the related framing that observation yield is the proximate decision-relevant output through which space assets create user value [33, 34]. The Forecasting the Space Economy work treats observation production as a measurable economic output for which marginal value can be estimated</w:t>
      </w:r>
      <w:r>
        <w:t xml:space="preserve"> </w:t>
      </w:r>
      <w:hyperlink w:anchor="ref-10">
        <w:r>
          <w:rPr>
            <w:rStyle w:val="Hyperlink"/>
          </w:rPr>
          <w:t xml:space="preserve">[10]</w:t>
        </w:r>
      </w:hyperlink>
      <w:r>
        <w:t xml:space="preserve">. The space-and-sustainability literature situates the same construct within a broader normative frame in which the value of an observation includes its contribution to long-run sustainability rather than only its near-term decision utility</w:t>
      </w:r>
      <w:r>
        <w:t xml:space="preserve"> </w:t>
      </w:r>
      <w:hyperlink w:anchor="ref-44">
        <w:r>
          <w:rPr>
            <w:rStyle w:val="Hyperlink"/>
          </w:rPr>
          <w:t xml:space="preserve">[44]</w:t>
        </w:r>
      </w:hyperlink>
      <w:r>
        <w:t xml:space="preserve">.</w:t>
      </w:r>
    </w:p>
    <w:p>
      <w:pPr>
        <w:pStyle w:val="BodyText"/>
        <w:spacing w:line="480" w:lineRule="auto"/>
        <w:ind w:firstLine="720"/>
      </w:pPr>
      <w:r>
        <w:t xml:space="preserve">Two operationalizations of VOI dominate the technical record. The covariance-reduction operationalization, used in the conjunction-assessment scheduler</w:t>
      </w:r>
      <w:r>
        <w:t xml:space="preserve"> </w:t>
      </w:r>
      <w:hyperlink w:anchor="ref-3">
        <w:r>
          <w:rPr>
            <w:rStyle w:val="Hyperlink"/>
          </w:rPr>
          <w:t xml:space="preserve">[3]</w:t>
        </w:r>
      </w:hyperlink>
      <w:r>
        <w:t xml:space="preserve"> </w:t>
      </w:r>
      <w:r>
        <w:t xml:space="preserve">and the Australian optimized tasking program</w:t>
      </w:r>
      <w:r>
        <w:t xml:space="preserve"> </w:t>
      </w:r>
      <w:hyperlink w:anchor="ref-2">
        <w:r>
          <w:rPr>
            <w:rStyle w:val="Hyperlink"/>
          </w:rPr>
          <w:t xml:space="preserve">[2]</w:t>
        </w:r>
      </w:hyperlink>
      <w:r>
        <w:t xml:space="preserve">, scores an observation by the predicted reduction in posterior covariance weighted by target priority. The yield-based operationalization, used in the cross-mission Earth-observation literature [27, 29, 30, 31, 32], scores an architecture by the realized count of acquisitions per unit time. The two operationalizations are not equivalent. A high-yield architecture can collect many low-information observations, and a low-yield architecture can collect a few high-information observations. The dissertation adopts the covariance-reduction operationalization for the simulation work precisely because it commensurates the ground-scheduled and onboard arms on the same currency [2, 3]. The empirical papers use the yield operationalization because the published panel reports yield, not realized covariance reduction, and reporting consistency forces the regressor to be the variable the literature actually reports.</w:t>
      </w:r>
    </w:p>
    <w:p>
      <w:pPr>
        <w:pStyle w:val="BodyText"/>
        <w:spacing w:line="480" w:lineRule="auto"/>
        <w:ind w:firstLine="720"/>
      </w:pPr>
      <w:r>
        <w:t xml:space="preserve">On the third problem, identification, the methodology literature is explicit that an OLS coefficient on a non-randomized regressor recovers a conditional association rather than a causal effect, and that the move from association to effect requires either an experimental design, an instrumental variable, or a within-unit comparison that holds confounders fixed. Paper one of this dissertation reports the OLS coefficient as an associational quantity explicitly, naming the channels the controls cannot absorb. Paper two reports a null result and discusses the limits of the cross-section design plainly, including the absence of within-mission variation that would let an upgrade-style identification strategy attribute change to the autonomy channel rather than to vintage</w:t>
      </w:r>
      <w:r>
        <w:t xml:space="preserve"> </w:t>
      </w:r>
      <w:hyperlink w:anchor="ref-27">
        <w:r>
          <w:rPr>
            <w:rStyle w:val="Hyperlink"/>
          </w:rPr>
          <w:t xml:space="preserve">[27]</w:t>
        </w:r>
      </w:hyperlink>
      <w:r>
        <w:t xml:space="preserve">. The dissertation’s third paper, which the prospectus describes and the simulation work will implement, addresses this by moving from observational pooling to matched paired simulation, in which the within-night pairing on identical target sets and identical sensor models acts as the randomization device that the observational papers cannot deliver [2, 3, 5].</w:t>
      </w:r>
    </w:p>
    <w:p>
      <w:pPr>
        <w:pStyle w:val="BodyText"/>
        <w:spacing w:line="480" w:lineRule="auto"/>
        <w:ind w:firstLine="720"/>
      </w:pPr>
      <w:r>
        <w:t xml:space="preserve">The methodology literature on paired and matched designs in policy evaluation provides the relevant template. Within-unit pairing removes between-unit heterogeneity from the estimator, leaving only the within-pair contrast that the policy assignment generates. In the dissertation’s case, the unit is a simulated night, the pair is the same night executed under the two policies, and the within-pair difference is the policy effect on the chosen VOI metric. The methodological move is straightforward; the contribution is in the disciplined application of paired estimation to a domain that has not used it.</w:t>
      </w:r>
    </w:p>
    <w:p>
      <w:pPr>
        <w:pStyle w:val="BodyText"/>
        <w:spacing w:line="480" w:lineRule="auto"/>
        <w:ind w:firstLine="720"/>
      </w:pPr>
      <w:r>
        <w:t xml:space="preserve">A final strand of the methodology literature concerns the regime-dependence of conditional estimates, which is the empirical issue the two contributing papers raise. The cliometric tradition treats regime-dependent coefficients not as a defect but as a finding, with the policy implication that the conditional association is only as portable as the regime is stable. In the dissertation’s case, paper one reports a positive autonomy coefficient on a panel of ground optical sensor-tasking campaigns whose binding constraints are acquisition time and revisit geometry. Paper two reports a precision-zero autonomy coefficient on a panel of Earth-observing missions whose binding constraint, the data are consistent with, is downlink and cumulative platform improvement. The two regimes have different binding constraints, and the autonomy channel is more visible in the first than in the second. The methodological reading is that the marginal value of onboard adaptivity is a function of which production input is binding, and that the simulation work in the dissertation must therefore vary the binding-input regime explicitly rather than estimating an average effect across an undifferentiated population.</w:t>
      </w:r>
    </w:p>
    <w:bookmarkEnd w:id="69"/>
    <w:bookmarkStart w:id="70" w:name="synthesis-the-gap-and-the-bridge"/>
    <w:p>
      <w:pPr>
        <w:pStyle w:val="Heading2"/>
        <w:spacing w:line="480" w:lineRule="auto"/>
      </w:pPr>
      <w:r>
        <w:t xml:space="preserve">2.5 Synthesis: The Gap and the Bridge</w:t>
      </w:r>
    </w:p>
    <w:p>
      <w:pPr>
        <w:pStyle w:val="FirstParagraph"/>
        <w:spacing w:line="480" w:lineRule="auto"/>
      </w:pPr>
      <w:r>
        <w:t xml:space="preserve">The synthesis the dissertation undertakes is the joining of two literatures that have not been written for each other. The ground-side tasking literature has built rigorous optimization machinery against the structural assumption that pre-pass information is adequate [5, 6, 7]. The onboard adaptivity literature has demonstrated feasibility, scaling, and learning-based extension of the alternative architecture in which the decision moves off the ground loop [27, 12, 16, 1]. Neither literature has produced the controlled comparison that an instrument program needs to weigh the marginal value of onboard adaptivity against its flight-software cost. The methodology literature offers the tools for the comparison, in the form of paired estimation on matched simulation runs scored by a common VOI currency.</w:t>
      </w:r>
    </w:p>
    <w:p>
      <w:pPr>
        <w:pStyle w:val="BodyText"/>
        <w:spacing w:line="480" w:lineRule="auto"/>
        <w:ind w:firstLine="720"/>
      </w:pPr>
      <w:r>
        <w:t xml:space="preserve">The gap can be stated in three propositions. First, the ground-side schedulers are benchmarked against weaker schedulers, not against onboard adaptive policies, so the published throughput gains for ground-side optimization are silent on the marginal value of the next architectural step [5, 2]. Second, the onboard adaptivity literature is benchmarked on latency reduction or on throughput against precomputed baselines, not on a VOI metric scored identically across architectures, so the published gains are not directly commensurable with the ground-side gains [27, 12, 16]. Third, the empirical pooling work that paper one of this dissertation reports recovers a conditional association in the direction the onboard literature predicts but does not isolate the policy effect under matched conditions [based on the panel of 5, 2, 3, 7, 12, 16, 17, 18, 19, 22, 6, 9, 21, 20, 8, 15, 13, 14, 24, 23, 25, 26, 1]. The matched paired simulation is the natural next step.</w:t>
      </w:r>
    </w:p>
    <w:p>
      <w:pPr>
        <w:pStyle w:val="BodyText"/>
        <w:spacing w:line="480" w:lineRule="auto"/>
        <w:ind w:firstLine="720"/>
      </w:pPr>
      <w:r>
        <w:t xml:space="preserve">The bridge the dissertation builds rests on four design choices that draw from both literatures. The first is the adoption of the covariance-reduction VOI operationalization from the ground-side scheduling lineage as the scoring currency for both arms [2, 3]. This is the substantive contribution that lets the two architectures be compared rather than merely contrasted. The second is the adoption of the figure-of-merit optimization from the Heimdall lineage as the ground arm of the comparison, so that the onboard policy is benchmarked against a strong rather than a straw-man baseline [5, 7]. The third is the adoption of greedy-VOI selection as the onboard arm, with covariance updated after each observation and the next look selected to maximize expected information gain, which operationalizes the architectural philosophy of the onboard literature in a form that is directly scorable against the ground arm [1, 12, 16]. The fourth is the adoption of paired estimation on simulated nights, drawn from the methodology literature, with night as the matching unit and the within-pair difference as the policy effect [2, 3].</w:t>
      </w:r>
    </w:p>
    <w:p>
      <w:pPr>
        <w:pStyle w:val="BodyText"/>
        <w:spacing w:line="480" w:lineRule="auto"/>
        <w:ind w:firstLine="720"/>
      </w:pPr>
      <w:r>
        <w:t xml:space="preserve">The conditional empirical evidence already collected by the dissertation supports the design choices in two ways. The autonomy coefficient in paper one suggests that the published panel, taken as a whole, contains a conditional positive association in the direction the onboard literature predicts, which is consistent with the hypothesis that a controlled comparison will find a measurable onboard premium. The null in paper two suggests that the premium is regime-dependent, which is consistent with the methodological prediction that the binding-input regime matters. The simulation work the dissertation proposes is therefore not a fishing expedition but a targeted test of a conditional association the empirical work has already located.</w:t>
      </w:r>
    </w:p>
    <w:p>
      <w:pPr>
        <w:pStyle w:val="BodyText"/>
        <w:spacing w:line="480" w:lineRule="auto"/>
        <w:ind w:firstLine="720"/>
      </w:pPr>
      <w:r>
        <w:t xml:space="preserve">Two further synthesis points warrant explicit statement. First, the operational case for onboard adaptivity articulated by the onboard literature rests on regimes in which ground re-planning is slow or infeasible, including light-time-delayed deep-space sensing and constrained downlink regimes [27, 23, 24, 25, 26, 39]. The ground-side literature is largely written against ground optical sensing of catalogued objects in low Earth orbit and geosynchronous orbit, where the ground loop is fast and bandwidth is adequate [5, 7, 3]. The two literatures are not just unjoined but written against different operational regimes, and the dissertation’s simulation must report sensitivity across the regimes if its finding is to be portable.</w:t>
      </w:r>
    </w:p>
    <w:p>
      <w:pPr>
        <w:pStyle w:val="BodyText"/>
        <w:spacing w:line="480" w:lineRule="auto"/>
        <w:ind w:firstLine="720"/>
      </w:pPr>
      <w:r>
        <w:t xml:space="preserve">Second, the trust and human-machine teaming literature</w:t>
      </w:r>
      <w:r>
        <w:t xml:space="preserve"> </w:t>
      </w:r>
      <w:hyperlink w:anchor="ref-21">
        <w:r>
          <w:rPr>
            <w:rStyle w:val="Hyperlink"/>
          </w:rPr>
          <w:t xml:space="preserve">[21]</w:t>
        </w:r>
      </w:hyperlink>
      <w:r>
        <w:t xml:space="preserve"> </w:t>
      </w:r>
      <w:r>
        <w:t xml:space="preserve">and the policy and governance literature on global coordination</w:t>
      </w:r>
      <w:r>
        <w:t xml:space="preserve"> </w:t>
      </w:r>
      <w:hyperlink w:anchor="ref-38">
        <w:r>
          <w:rPr>
            <w:rStyle w:val="Hyperlink"/>
          </w:rPr>
          <w:t xml:space="preserve">[38]</w:t>
        </w:r>
      </w:hyperlink>
      <w:r>
        <w:t xml:space="preserve"> </w:t>
      </w:r>
      <w:r>
        <w:t xml:space="preserve">frame the deployment environment for onboard adaptivity. A measurement that quantifies the marginal value of onboard adaptivity on a transparent VOI metric is a precondition for the trust the operational literature identifies as the binding deployment constraint. The dissertation’s contribution is therefore not only technical and methodological but operationally instrumental: it provides the transparent measurement that the trust-building literature treats as a prerequisite for the architectural shift the technical literature has already begun.</w:t>
      </w:r>
    </w:p>
    <w:bookmarkEnd w:id="70"/>
    <w:bookmarkStart w:id="71" w:name="position-of-the-dissertation"/>
    <w:p>
      <w:pPr>
        <w:pStyle w:val="Heading2"/>
        <w:spacing w:line="480" w:lineRule="auto"/>
      </w:pPr>
      <w:r>
        <w:t xml:space="preserve">2.6 Position of the Dissertation</w:t>
      </w:r>
    </w:p>
    <w:p>
      <w:pPr>
        <w:pStyle w:val="FirstParagraph"/>
        <w:spacing w:line="480" w:lineRule="auto"/>
      </w:pPr>
      <w:r>
        <w:t xml:space="preserve">The position of the dissertation within the literatures reviewed here is therefore a synthetic one. It accepts the technical machinery of the ground-side scheduling tradition, in particular the covariance-reduction VOI operationalization and the figure-of-merit ground arm, as the scoring infrastructure [2, 3, 5]. It accepts the architectural premise of the onboard adaptivity tradition, in particular the greedy-VOI policy that revises target selection on realized covariance, as the treatment arm [1, 12, 16, 27]. It applies the methodology tradition’s paired estimation under matched conditions to produce the controlled comparison neither domain literature has yet offered [2, 3]. The chapter that follows develops the formal model that operationalizes those choices, and the empirical chapters that follow it report the simulation results that test the falsifiable hypothesis stated in the prospectus. The contribution claimed is not a new optimizer, a new learner, or a new sensor model, but the disciplined measurement that the technical and methodology literatures have made possible without yet producing.</w:t>
      </w:r>
    </w:p>
    <w:bookmarkEnd w:id="71"/>
    <w:bookmarkEnd w:id="72"/>
    <w:bookmarkStart w:id="81" w:name="Xcfcc00a3ded59aed0c781c16bfc121f2a509603"/>
    <w:p>
      <w:pPr>
        <w:pStyle w:val="Heading1"/>
        <w:spacing w:line="480" w:lineRule="auto"/>
      </w:pPr>
      <w:r>
        <w:t xml:space="preserve">Chapter 3. Theoretical Framework and Hypotheses</w:t>
      </w:r>
    </w:p>
    <w:bookmarkStart w:id="73" w:name="purpose-of-the-chapter"/>
    <w:p>
      <w:pPr>
        <w:pStyle w:val="Heading2"/>
        <w:spacing w:line="480" w:lineRule="auto"/>
      </w:pPr>
      <w:r>
        <w:t xml:space="preserve">3.1 Purpose of the Chapter</w:t>
      </w:r>
    </w:p>
    <w:p>
      <w:pPr>
        <w:pStyle w:val="FirstParagraph"/>
        <w:spacing w:line="480" w:lineRule="auto"/>
      </w:pPr>
      <w:r>
        <w:t xml:space="preserve">This chapter develops the theoretical framework that motivates the dissertation’s central empirical test and states the two formal hypotheses, H0 and H1, that the matched simulation study in the following chapter is designed to adjudicate. Chapter 2 surveyed two largely separate bodies of work: a ground-loop tasking-optimization literature that treats observation planning as a problem to be solved before execution</w:t>
      </w:r>
      <w:r>
        <w:t xml:space="preserve"> </w:t>
      </w:r>
      <w:hyperlink w:anchor="ref-2">
        <w:r>
          <w:rPr>
            <w:rStyle w:val="Hyperlink"/>
          </w:rPr>
          <w:t xml:space="preserve">[2]</w:t>
        </w:r>
      </w:hyperlink>
      <w:r>
        <w:t xml:space="preserve">[3][4][5][7], and an onboard-autonomy literature that treats observation planning as a problem to be solved during execution</w:t>
      </w:r>
      <w:r>
        <w:t xml:space="preserve"> </w:t>
      </w:r>
      <w:hyperlink w:anchor="ref-1">
        <w:r>
          <w:rPr>
            <w:rStyle w:val="Hyperlink"/>
          </w:rPr>
          <w:t xml:space="preserve">[1]</w:t>
        </w:r>
      </w:hyperlink>
      <w:r>
        <w:t xml:space="preserve">[8][9]. The two have rarely been compared head-to-head under a single value-of-information (VOI) metric on identical target sets, and the marginal benefit of moving the decision onboard has therefore not been measured cleanly. The purpose of this chapter is to articulate the mechanism by which onboard adaptivity might in principle deliver such a benefit, to formalize the causal logic that links that mechanism to a measurable outcome, and to translate the causal logic into a falsifiable hypothesis pair that the experiment in Chapter 4 can either reject or fail to reject.</w:t>
      </w:r>
    </w:p>
    <w:p>
      <w:pPr>
        <w:pStyle w:val="BodyText"/>
        <w:spacing w:line="480" w:lineRule="auto"/>
        <w:ind w:firstLine="720"/>
      </w:pPr>
      <w:r>
        <w:t xml:space="preserve">The structure follows the standard ordering for a quantitative dissertation. Section 3.2 fixes the conceptual vocabulary: target, observation opportunity, tasking policy, and value of information. Section 3.3 sets out the theoretical mechanism, distinguishing the predictive information that a ground schedule can exploit from the realized information that only an onboard policy can exploit. Section 3.4 develops the causal logic in terms of an estimand defined on paired simulated nights, identifies the assumptions under which the paired difference recovers the policy effect, and connects those assumptions to the design choices in Chapter 4. Section 3.5 derives the two formal hypotheses, H0 and H1, states the pre-registered statistical decision rule, and addresses the directionality and one-sidedness of the test. Section 3.6 specifies the auxiliary predictions that follow from the framework and that the secondary analyses in Chapter 4 will examine. Section 3.7 closes with the scope conditions of the theory, distinguishing the regime in which the framework applies from the regimes in which it does not.</w:t>
      </w:r>
    </w:p>
    <w:bookmarkEnd w:id="73"/>
    <w:bookmarkStart w:id="74" w:name="conceptual-vocabulary"/>
    <w:p>
      <w:pPr>
        <w:pStyle w:val="Heading2"/>
        <w:spacing w:line="480" w:lineRule="auto"/>
      </w:pPr>
      <w:r>
        <w:t xml:space="preserve">3.2 Conceptual Vocabulary</w:t>
      </w:r>
    </w:p>
    <w:p>
      <w:pPr>
        <w:pStyle w:val="FirstParagraph"/>
        <w:spacing w:line="480" w:lineRule="auto"/>
      </w:pPr>
      <w:r>
        <w:t xml:space="preserve">The conceptual vocabulary of the framework is deliberately spare. Four primitives are sufficient.</w:t>
      </w:r>
    </w:p>
    <w:p>
      <w:pPr>
        <w:pStyle w:val="BodyText"/>
        <w:spacing w:line="480" w:lineRule="auto"/>
        <w:ind w:firstLine="720"/>
      </w:pPr>
      <w:r>
        <w:t xml:space="preserve">A</w:t>
      </w:r>
      <w:r>
        <w:t xml:space="preserve"> </w:t>
      </w:r>
      <w:r>
        <w:rPr>
          <w:b/>
          <w:bCs/>
        </w:rPr>
        <w:t xml:space="preserve">target</w:t>
      </w:r>
      <w:r>
        <w:t xml:space="preserve"> </w:t>
      </w:r>
      <w:r>
        <w:t xml:space="preserve">is a resident space object whose state at a given epoch is represented by a mean orbital element vector and an associated covariance. The covariance is the operator’s posterior uncertainty about the target’s state given the most recent observation history. The target population for this dissertation is the public catalog distributed through Space-Track, accessed as two-line element sets, whose state uncertainty is conventionally seeded as a function of epoch age. The choice of target population follows the published optical-tasking literature</w:t>
      </w:r>
      <w:r>
        <w:t xml:space="preserve"> </w:t>
      </w:r>
      <w:hyperlink w:anchor="ref-2">
        <w:r>
          <w:rPr>
            <w:rStyle w:val="Hyperlink"/>
          </w:rPr>
          <w:t xml:space="preserve">[2]</w:t>
        </w:r>
      </w:hyperlink>
      <w:r>
        <w:t xml:space="preserve">[3][5] and ensures that the empirical work in Chapter 4 can be reproduced by any reviewer with a Space-Track account.</w:t>
      </w:r>
    </w:p>
    <w:p>
      <w:pPr>
        <w:pStyle w:val="BodyText"/>
        <w:spacing w:line="480" w:lineRule="auto"/>
        <w:ind w:firstLine="720"/>
      </w:pPr>
      <w:r>
        <w:t xml:space="preserve">An</w:t>
      </w:r>
      <w:r>
        <w:t xml:space="preserve"> </w:t>
      </w:r>
      <w:r>
        <w:rPr>
          <w:b/>
          <w:bCs/>
        </w:rPr>
        <w:t xml:space="preserve">observation opportunity</w:t>
      </w:r>
      <w:r>
        <w:t xml:space="preserve"> </w:t>
      </w:r>
      <w:r>
        <w:t xml:space="preserve">is the conjunction of a target, a sensor, and a time window in which the target satisfies the sensor’s visibility constraints. For ground optical sensing, the visibility constraints are elevation, solar phase, and limiting magnitude, and the candidate set of opportunities at any instant is a deterministic function of the propagated catalog and the sensor’s site parameters. The construction of opportunity sets in this dissertation follows the figure-of-merit accounting documented for the Heimdall scheduler and its successors</w:t>
      </w:r>
      <w:r>
        <w:t xml:space="preserve"> </w:t>
      </w:r>
      <w:hyperlink w:anchor="ref-5">
        <w:r>
          <w:rPr>
            <w:rStyle w:val="Hyperlink"/>
          </w:rPr>
          <w:t xml:space="preserve">[5]</w:t>
        </w:r>
      </w:hyperlink>
      <w:r>
        <w:t xml:space="preserve">[7] and for the Australian conjunction-assessment scheduler</w:t>
      </w:r>
      <w:r>
        <w:t xml:space="preserve"> </w:t>
      </w:r>
      <w:hyperlink w:anchor="ref-3">
        <w:r>
          <w:rPr>
            <w:rStyle w:val="Hyperlink"/>
          </w:rPr>
          <w:t xml:space="preserve">[3]</w:t>
        </w:r>
      </w:hyperlink>
      <w:r>
        <w:t xml:space="preserve">.</w:t>
      </w:r>
    </w:p>
    <w:p>
      <w:pPr>
        <w:pStyle w:val="BodyText"/>
        <w:spacing w:line="480" w:lineRule="auto"/>
        <w:ind w:firstLine="720"/>
      </w:pPr>
      <w:r>
        <w:t xml:space="preserve">A</w:t>
      </w:r>
      <w:r>
        <w:t xml:space="preserve"> </w:t>
      </w:r>
      <w:r>
        <w:rPr>
          <w:b/>
          <w:bCs/>
        </w:rPr>
        <w:t xml:space="preserve">tasking policy</w:t>
      </w:r>
      <w:r>
        <w:t xml:space="preserve"> </w:t>
      </w:r>
      <w:r>
        <w:t xml:space="preserve">is a rule that selects, at each decision epoch, the next observation opportunity to execute. A</w:t>
      </w:r>
      <w:r>
        <w:t xml:space="preserve"> </w:t>
      </w:r>
      <w:r>
        <w:rPr>
          <w:b/>
          <w:bCs/>
        </w:rPr>
        <w:t xml:space="preserve">ground-scheduled policy</w:t>
      </w:r>
      <w:r>
        <w:t xml:space="preserve"> </w:t>
      </w:r>
      <w:r>
        <w:t xml:space="preserve">computes the full schedule before the tasking horizon begins, given the predicted target states and visibility windows, and executes that schedule regardless of what the sensor learns during collection. An</w:t>
      </w:r>
      <w:r>
        <w:t xml:space="preserve"> </w:t>
      </w:r>
      <w:r>
        <w:rPr>
          <w:b/>
          <w:bCs/>
        </w:rPr>
        <w:t xml:space="preserve">onboard adaptive policy</w:t>
      </w:r>
      <w:r>
        <w:t xml:space="preserve"> </w:t>
      </w:r>
      <w:r>
        <w:t xml:space="preserve">updates the posterior state of each observed target after each look and selects the next opportunity using the updated posterior. The architectural distinction is the location and timing of the decision: pre-pass and ground-based versus in-pass and onboard. The empirical contrast between these two architectures is the core of the dissertation.</w:t>
      </w:r>
    </w:p>
    <w:p>
      <w:pPr>
        <w:pStyle w:val="BodyText"/>
        <w:spacing w:line="480" w:lineRule="auto"/>
        <w:ind w:firstLine="720"/>
      </w:pPr>
      <w:r>
        <w:t xml:space="preserve">The</w:t>
      </w:r>
      <w:r>
        <w:t xml:space="preserve"> </w:t>
      </w:r>
      <w:r>
        <w:rPr>
          <w:b/>
          <w:bCs/>
        </w:rPr>
        <w:t xml:space="preserve">value of information</w:t>
      </w:r>
      <w:r>
        <w:t xml:space="preserve"> </w:t>
      </w:r>
      <w:r>
        <w:t xml:space="preserve">is the operator’s gain in posterior certainty about the target population, weighted by mission priority. The operationalization in this dissertation is the priority-weighted reduction in posterior covariance trace per unit of sensor time, in the lineage of the information-gain construction used by the Australian conjunction-assessment scheduler</w:t>
      </w:r>
      <w:r>
        <w:t xml:space="preserve"> </w:t>
      </w:r>
      <w:hyperlink w:anchor="ref-2">
        <w:r>
          <w:rPr>
            <w:rStyle w:val="Hyperlink"/>
          </w:rPr>
          <w:t xml:space="preserve">[2]</w:t>
        </w:r>
      </w:hyperlink>
      <w:r>
        <w:t xml:space="preserve">[3]. VOI is therefore a per-second productivity measure, denominated in priority-weighted covariance units. Both arms of the experiment are scored by the identical VOI definition, which removes the construct-validity ambiguity that has confounded prior cross-architecture comparisons.</w:t>
      </w:r>
    </w:p>
    <w:bookmarkEnd w:id="74"/>
    <w:bookmarkStart w:id="75" w:name="the-theoretical-mechanism"/>
    <w:p>
      <w:pPr>
        <w:pStyle w:val="Heading2"/>
        <w:spacing w:line="480" w:lineRule="auto"/>
      </w:pPr>
      <w:r>
        <w:t xml:space="preserve">3.3 The Theoretical Mechanism</w:t>
      </w:r>
    </w:p>
    <w:p>
      <w:pPr>
        <w:pStyle w:val="FirstParagraph"/>
        <w:spacing w:line="480" w:lineRule="auto"/>
      </w:pPr>
      <w:r>
        <w:t xml:space="preserve">The theoretical question the chapter answers is precisely this: under what conditions, and through what mechanism, can an onboard adaptive policy outperform a ground-scheduled policy when both are evaluated by the same VOI metric on the same target set,</w:t>
      </w:r>
    </w:p>
    <w:p>
      <w:pPr>
        <w:pStyle w:val="BodyText"/>
        <w:spacing w:line="480" w:lineRule="auto"/>
        <w:ind w:firstLine="720"/>
      </w:pPr>
      <w:r>
        <w:t xml:space="preserve">The mechanism rests on a distinction between two kinds of information that enter the targeting decision. The first is</w:t>
      </w:r>
      <w:r>
        <w:t xml:space="preserve"> </w:t>
      </w:r>
      <w:r>
        <w:rPr>
          <w:b/>
          <w:bCs/>
        </w:rPr>
        <w:t xml:space="preserve">predictive information</w:t>
      </w:r>
      <w:r>
        <w:t xml:space="preserve">, the information that is available before the tasking horizon begins. Predictive information includes the propagated catalog state, the seeded covariance for each target, the deterministic visibility windows for the night, and any priority weights assigned by the mission. A ground-scheduled policy is, by construction, an optimization over predictive information. The Heimdall figure-of-merit optimization</w:t>
      </w:r>
      <w:r>
        <w:t xml:space="preserve"> </w:t>
      </w:r>
      <w:hyperlink w:anchor="ref-5">
        <w:r>
          <w:rPr>
            <w:rStyle w:val="Hyperlink"/>
          </w:rPr>
          <w:t xml:space="preserve">[5]</w:t>
        </w:r>
      </w:hyperlink>
      <w:r>
        <w:t xml:space="preserve">[7], the Hinze genetic-algorithm scheduler for geosynchronous follow-up</w:t>
      </w:r>
      <w:r>
        <w:t xml:space="preserve"> </w:t>
      </w:r>
      <w:hyperlink w:anchor="ref-4">
        <w:r>
          <w:rPr>
            <w:rStyle w:val="Hyperlink"/>
          </w:rPr>
          <w:t xml:space="preserve">[4]</w:t>
        </w:r>
      </w:hyperlink>
      <w:r>
        <w:t xml:space="preserve">, and the precedence-rule heuristic for satellite onboard activity planning</w:t>
      </w:r>
      <w:r>
        <w:t xml:space="preserve"> </w:t>
      </w:r>
      <w:hyperlink w:anchor="ref-9">
        <w:r>
          <w:rPr>
            <w:rStyle w:val="Hyperlink"/>
          </w:rPr>
          <w:t xml:space="preserve">[9]</w:t>
        </w:r>
      </w:hyperlink>
      <w:r>
        <w:t xml:space="preserve"> </w:t>
      </w:r>
      <w:r>
        <w:t xml:space="preserve">all operate in this regime. They differ in their solvers and constraint handling, but each takes the predictive information as fixed and produces a schedule.</w:t>
      </w:r>
    </w:p>
    <w:p>
      <w:pPr>
        <w:pStyle w:val="BodyText"/>
        <w:spacing w:line="480" w:lineRule="auto"/>
        <w:ind w:firstLine="720"/>
      </w:pPr>
      <w:r>
        <w:t xml:space="preserve">The second kind of information is</w:t>
      </w:r>
      <w:r>
        <w:t xml:space="preserve"> </w:t>
      </w:r>
      <w:r>
        <w:rPr>
          <w:b/>
          <w:bCs/>
        </w:rPr>
        <w:t xml:space="preserve">realized information</w:t>
      </w:r>
      <w:r>
        <w:t xml:space="preserve">, the information that becomes available only as observations are executed. Realized information includes the posterior covariance updates returned by the orbit determination filter after each look, the actual rather than predicted detection of fainter or differently-phased objects, and any state revisions implied by anomalous residuals. Realized information is, by definition, unavailable to a ground policy that has committed its schedule before the tasking horizon begins. An onboard adaptive policy, executing in the same horizon, can in principle exploit realized information by re-selecting the next look in light of the updated posterior. This is the mechanism Orbit Logic’s Autonomous Planning System exploits when it re-plans during the mission as new information arrives</w:t>
      </w:r>
      <w:r>
        <w:t xml:space="preserve"> </w:t>
      </w:r>
      <w:hyperlink w:anchor="ref-1">
        <w:r>
          <w:rPr>
            <w:rStyle w:val="Hyperlink"/>
          </w:rPr>
          <w:t xml:space="preserve">[1]</w:t>
        </w:r>
      </w:hyperlink>
      <w:r>
        <w:t xml:space="preserve">, and the same mechanism implicit in the adaptive closed-loop reinforcement-learning maneuver planner of LaFarge, Howell, and Folta</w:t>
      </w:r>
      <w:r>
        <w:t xml:space="preserve"> </w:t>
      </w:r>
      <w:hyperlink w:anchor="ref-8">
        <w:r>
          <w:rPr>
            <w:rStyle w:val="Hyperlink"/>
          </w:rPr>
          <w:t xml:space="preserve">[8]</w:t>
        </w:r>
      </w:hyperlink>
      <w:r>
        <w:t xml:space="preserve">.</w:t>
      </w:r>
    </w:p>
    <w:p>
      <w:pPr>
        <w:pStyle w:val="BodyText"/>
        <w:spacing w:line="480" w:lineRule="auto"/>
        <w:ind w:firstLine="720"/>
      </w:pPr>
      <w:r>
        <w:t xml:space="preserve">The mechanism is therefore informational, not algorithmic. The onboard policy in the dissertation’s experiment is a deliberately simple greedy-VOI rule: after each observation, update covariances, and select the next look that maximizes expected one-step information gain given the realized state. The simplicity is intentional. A sophisticated onboard solver could in principle dominate a simple ground solver for reasons that have nothing to do with the location of the decision, which would confound the architectural comparison. By contrasting a strong ground optimization in the Heimdall lineage against a simple greedy-VOI onboard policy, the experiment isolates the value of the realized-information channel rather than the value of solver sophistication.</w:t>
      </w:r>
    </w:p>
    <w:p>
      <w:pPr>
        <w:pStyle w:val="BodyText"/>
        <w:spacing w:line="480" w:lineRule="auto"/>
        <w:ind w:firstLine="720"/>
      </w:pPr>
      <w:r>
        <w:t xml:space="preserve">The mechanism produces a measurable advantage only when realized information diverges materially from predictive information within the tasking horizon. Two regimes bound the question. In the first regime, target dynamics are well-predicted between looks and the seeded covariances are accurate, so realized covariance updates follow the predicted trajectory closely. In this regime, the onboard policy and the ground policy converge on similar selections, and the onboard adaptivity premium is small. In the second regime, realized information diverges from prediction, either because target dynamics are poorly predicted or because the seeded covariances are misspecified or because a small subset of targets receives the larger share of the realized uncertainty. In this regime, the onboard policy can re-allocate sensor time toward the targets whose realized uncertainty is highest, while the ground policy is committed to the predicted allocation. The premium grows with the divergence between the two information sets within the horizon.</w:t>
      </w:r>
    </w:p>
    <w:p>
      <w:pPr>
        <w:pStyle w:val="BodyText"/>
        <w:spacing w:line="480" w:lineRule="auto"/>
        <w:ind w:firstLine="720"/>
      </w:pPr>
      <w:r>
        <w:t xml:space="preserve">This regime distinction is the substantive theoretical contribution of the framework. The literature has implicitly assumed the second regime when arguing for onboard adaptivity</w:t>
      </w:r>
      <w:r>
        <w:t xml:space="preserve"> </w:t>
      </w:r>
      <w:hyperlink w:anchor="ref-1">
        <w:r>
          <w:rPr>
            <w:rStyle w:val="Hyperlink"/>
          </w:rPr>
          <w:t xml:space="preserve">[1]</w:t>
        </w:r>
      </w:hyperlink>
      <w:r>
        <w:t xml:space="preserve">[8] and the first regime when arguing for the sufficiency of ground optimization</w:t>
      </w:r>
      <w:r>
        <w:t xml:space="preserve"> </w:t>
      </w:r>
      <w:hyperlink w:anchor="ref-5">
        <w:r>
          <w:rPr>
            <w:rStyle w:val="Hyperlink"/>
          </w:rPr>
          <w:t xml:space="preserve">[5]</w:t>
        </w:r>
      </w:hyperlink>
      <w:r>
        <w:t xml:space="preserve">[7]. The dissertation’s experiment is designed to discriminate the two empirically, and the framework here is what makes the discrimination falsifiable.</w:t>
      </w:r>
    </w:p>
    <w:bookmarkEnd w:id="75"/>
    <w:bookmarkStart w:id="76" w:name="causal-logic-and-the-estimand"/>
    <w:p>
      <w:pPr>
        <w:pStyle w:val="Heading2"/>
        <w:spacing w:line="480" w:lineRule="auto"/>
      </w:pPr>
      <w:r>
        <w:t xml:space="preserve">3.4 Causal Logic and the Estimand</w:t>
      </w:r>
    </w:p>
    <w:p>
      <w:pPr>
        <w:pStyle w:val="FirstParagraph"/>
        <w:spacing w:line="480" w:lineRule="auto"/>
      </w:pPr>
      <w:r>
        <w:t xml:space="preserve">The causal question the experiment answers is the average treatment effect of the tasking policy on VOI per sensor-second, where treatment is the onboard adaptive policy and control is the ground-scheduled policy. The estimand is the population-average expectation, taken over the distribution of simulated nights, of the within-night difference in VOI between the treated arm and the control arm. Formally, let Y_i(1) denote the VOI per sensor-second realized on night i under the onboard policy and Y_i(0) the VOI per sensor-second realized on night i under the ground policy. The estimand is the expectation of the contrast Y_i(1) minus Y_i(0).</w:t>
      </w:r>
    </w:p>
    <w:p>
      <w:pPr>
        <w:pStyle w:val="BodyText"/>
        <w:spacing w:line="480" w:lineRule="auto"/>
        <w:ind w:firstLine="720"/>
      </w:pPr>
      <w:r>
        <w:t xml:space="preserve">Identification rests on three assumptions, each of which is enforced by a specific design choice in Chapter 4.</w:t>
      </w:r>
    </w:p>
    <w:p>
      <w:pPr>
        <w:pStyle w:val="BodyText"/>
        <w:spacing w:line="480" w:lineRule="auto"/>
        <w:ind w:firstLine="720"/>
      </w:pPr>
      <w:r>
        <w:t xml:space="preserve">The first assumption is</w:t>
      </w:r>
      <w:r>
        <w:t xml:space="preserve"> </w:t>
      </w:r>
      <w:r>
        <w:rPr>
          <w:b/>
          <w:bCs/>
        </w:rPr>
        <w:t xml:space="preserve">matching at the night level</w:t>
      </w:r>
      <w:r>
        <w:t xml:space="preserve">. Each simulated night is run twice on the identical target set, identical initial covariances, identical sensor model, identical site parameters, and identical weather and visibility realizations. Only the tasking policy differs across the two arms within a pair. This pairing removes between-night variance from target geometry and observability, so the within-pair difference isolates the policy effect rather than the night effect. The pairing also blocks the confounding channel that plagued the cross-mission OLS estimate in Paper 2 of this dissertation, where the autonomy ordinal was statistically inseparable from the rest of the platform bundle in a sample of thirty-two heterogeneous Earth-observing missions.</w:t>
      </w:r>
    </w:p>
    <w:p>
      <w:pPr>
        <w:pStyle w:val="BodyText"/>
        <w:spacing w:line="480" w:lineRule="auto"/>
        <w:ind w:firstLine="720"/>
      </w:pPr>
      <w:r>
        <w:t xml:space="preserve">The second assumption is</w:t>
      </w:r>
      <w:r>
        <w:t xml:space="preserve"> </w:t>
      </w:r>
      <w:r>
        <w:rPr>
          <w:b/>
          <w:bCs/>
        </w:rPr>
        <w:t xml:space="preserve">strong control</w:t>
      </w:r>
      <w:r>
        <w:t xml:space="preserve">. The ground arm executes a published figure-of-merit optimization in the Heimdall lineage</w:t>
      </w:r>
      <w:r>
        <w:t xml:space="preserve"> </w:t>
      </w:r>
      <w:hyperlink w:anchor="ref-5">
        <w:r>
          <w:rPr>
            <w:rStyle w:val="Hyperlink"/>
          </w:rPr>
          <w:t xml:space="preserve">[5]</w:t>
        </w:r>
      </w:hyperlink>
      <w:r>
        <w:t xml:space="preserve">[7] rather than a manual or weakly-optimized baseline. If the onboard arm wins simply because the ground arm is a straw man, the estimate is not informative about the architectural question. The decision to use a strong, peer-reviewed ground solver is the design’s principal defense against the internal-validity threat that the published autonomy gains have always been gains relative to weaker comparators</w:t>
      </w:r>
      <w:r>
        <w:t xml:space="preserve"> </w:t>
      </w:r>
      <w:hyperlink w:anchor="ref-5">
        <w:r>
          <w:rPr>
            <w:rStyle w:val="Hyperlink"/>
          </w:rPr>
          <w:t xml:space="preserve">[5]</w:t>
        </w:r>
      </w:hyperlink>
      <w:r>
        <w:t xml:space="preserve">. This is also the design choice that connects the dissertation to the conditional autonomy premium estimated in Paper 1, where the autonomy ordinal carried a statistically distinguishable coefficient of 52.9 observations per night per step after sensor physics and network breadth were controlled, suggesting that an architectural premium exists in the published record but has not been isolated under matched geometry.</w:t>
      </w:r>
    </w:p>
    <w:p>
      <w:pPr>
        <w:pStyle w:val="BodyText"/>
        <w:spacing w:line="480" w:lineRule="auto"/>
        <w:ind w:firstLine="720"/>
      </w:pPr>
      <w:r>
        <w:t xml:space="preserve">The third assumption is</w:t>
      </w:r>
      <w:r>
        <w:t xml:space="preserve"> </w:t>
      </w:r>
      <w:r>
        <w:rPr>
          <w:b/>
          <w:bCs/>
        </w:rPr>
        <w:t xml:space="preserve">scoring parity</w:t>
      </w:r>
      <w:r>
        <w:t xml:space="preserve">. Both arms are scored by the identical VOI definition, the priority-weighted covariance-reduction construction used by the published ground schedulers</w:t>
      </w:r>
      <w:r>
        <w:t xml:space="preserve"> </w:t>
      </w:r>
      <w:hyperlink w:anchor="ref-2">
        <w:r>
          <w:rPr>
            <w:rStyle w:val="Hyperlink"/>
          </w:rPr>
          <w:t xml:space="preserve">[2]</w:t>
        </w:r>
      </w:hyperlink>
      <w:r>
        <w:t xml:space="preserve">[3]. A construct that favored one arm by construction would invalidate the comparison. Scoring parity ensures that the estimated contrast measures the policy effect on a common outcome rather than the difference between two outcome definitions. The scoring parity assumption is also what links the experiment to the value-of-information framing in the broader space-economy literature</w:t>
      </w:r>
      <w:r>
        <w:t xml:space="preserve"> </w:t>
      </w:r>
      <w:hyperlink w:anchor="ref-10">
        <w:r>
          <w:rPr>
            <w:rStyle w:val="Hyperlink"/>
          </w:rPr>
          <w:t xml:space="preserve">[10]</w:t>
        </w:r>
      </w:hyperlink>
      <w:r>
        <w:t xml:space="preserve">, where information observed sequentially is valued for its content rather than for the procedure that produced it.</w:t>
      </w:r>
    </w:p>
    <w:p>
      <w:pPr>
        <w:pStyle w:val="BodyText"/>
        <w:spacing w:line="480" w:lineRule="auto"/>
        <w:ind w:firstLine="720"/>
      </w:pPr>
      <w:r>
        <w:t xml:space="preserve">Under these three assumptions, the within-pair difference is a clean estimator of the night-level policy effect, and the average across pairs is a clean estimator of the population estimand. The matched paired-simulation design therefore licenses causal language about the policy effect within the modeled regime. The scope-condition language in Section 3.7 specifies the regime to which that causal claim is conditional.</w:t>
      </w:r>
    </w:p>
    <w:bookmarkEnd w:id="76"/>
    <w:bookmarkStart w:id="77" w:name="the-formal-hypotheses"/>
    <w:p>
      <w:pPr>
        <w:pStyle w:val="Heading2"/>
        <w:spacing w:line="480" w:lineRule="auto"/>
      </w:pPr>
      <w:r>
        <w:t xml:space="preserve">3.5 The Formal Hypotheses</w:t>
      </w:r>
    </w:p>
    <w:p>
      <w:pPr>
        <w:pStyle w:val="FirstParagraph"/>
        <w:spacing w:line="480" w:lineRule="auto"/>
      </w:pPr>
      <w:r>
        <w:t xml:space="preserve">The framework yields a single falsifiable contribution, stated as a hypothesis pair.</w:t>
      </w:r>
    </w:p>
    <w:p>
      <w:pPr>
        <w:pStyle w:val="BodyText"/>
        <w:spacing w:line="480" w:lineRule="auto"/>
        <w:ind w:firstLine="720"/>
      </w:pPr>
      <w:r>
        <w:rPr>
          <w:b/>
          <w:bCs/>
        </w:rPr>
        <w:t xml:space="preserve">H0 (null).</w:t>
      </w:r>
      <w:r>
        <w:t xml:space="preserve"> </w:t>
      </w:r>
      <w:r>
        <w:t xml:space="preserve">Holding revisit geometry, sensor model, initial covariance specification, and execution latency fixed, the population-average difference in mean information gain per sensor-second between the adaptive onboard greedy-VOI policy and the ground-computed optimized schedule is less than or equal to zero. Formally, E[Y_i(1) minus Y_i(0)] is at most 0.</w:t>
      </w:r>
    </w:p>
    <w:p>
      <w:pPr>
        <w:pStyle w:val="BodyText"/>
        <w:spacing w:line="480" w:lineRule="auto"/>
        <w:ind w:firstLine="720"/>
      </w:pPr>
      <w:r>
        <w:rPr>
          <w:b/>
          <w:bCs/>
        </w:rPr>
        <w:t xml:space="preserve">H1 (alternative).</w:t>
      </w:r>
      <w:r>
        <w:t xml:space="preserve"> </w:t>
      </w:r>
      <w:r>
        <w:t xml:space="preserve">The population-average difference in mean information gain per sensor-second between the adaptive onboard greedy-VOI policy and the ground-computed optimized schedule is strictly positive. Formally, E[Y_i(1) minus Y_i(0)] exceeds 0 at a pre-registered significance level.</w:t>
      </w:r>
    </w:p>
    <w:p>
      <w:pPr>
        <w:pStyle w:val="BodyText"/>
        <w:spacing w:line="480" w:lineRule="auto"/>
        <w:ind w:firstLine="720"/>
      </w:pPr>
      <w:r>
        <w:t xml:space="preserve">Three features of the hypothesis pair warrant explicit comment.</w:t>
      </w:r>
    </w:p>
    <w:p>
      <w:pPr>
        <w:pStyle w:val="BodyText"/>
        <w:spacing w:line="480" w:lineRule="auto"/>
        <w:ind w:firstLine="720"/>
      </w:pPr>
      <w:r>
        <w:t xml:space="preserve">First, the test is one-sided. The theoretical mechanism in Section 3.3 makes a directional prediction: realized information is, by construction, a superset of predictive information within the horizon, so an onboard policy that exploits realized information cannot be worse than a ground policy that ignores it, except through second-order effects such as execution latency, decision overhead, or solver weakness. A one-sided test is therefore the form of the hypothesis the framework actually motivates. A two-sided test would discard prior information about the direction of the mechanism without compensating gain in interpretability.</w:t>
      </w:r>
    </w:p>
    <w:p>
      <w:pPr>
        <w:pStyle w:val="BodyText"/>
        <w:spacing w:line="480" w:lineRule="auto"/>
        <w:ind w:firstLine="720"/>
      </w:pPr>
      <w:r>
        <w:t xml:space="preserve">Second, the test is on a difference of means rather than on a more complex functional. The choice reflects the per-second VOI productivity construction in Section 3.2. A mean-difference test is what the matched-pairs design naturally supports. A median test, a stochastic-dominance test, or a quantile-regression test would each carry interpretive baggage that the framework does not require. The mean difference is the parameter the operator cares about: the expected gain in priority-weighted covariance reduction per second of sensor time from moving the targeting decision onboard.</w:t>
      </w:r>
    </w:p>
    <w:p>
      <w:pPr>
        <w:pStyle w:val="BodyText"/>
        <w:spacing w:line="480" w:lineRule="auto"/>
        <w:ind w:firstLine="720"/>
      </w:pPr>
      <w:r>
        <w:t xml:space="preserve">Third, the hypothesis pair is genuinely falsifiable in both directions, which is the property that distinguishes it from much of the prior literature. The ground-scheduling papers have reported gains relative to manual baselines but have not put their schedules in front of a strong onboard comparator</w:t>
      </w:r>
      <w:r>
        <w:t xml:space="preserve"> </w:t>
      </w:r>
      <w:hyperlink w:anchor="ref-5">
        <w:r>
          <w:rPr>
            <w:rStyle w:val="Hyperlink"/>
          </w:rPr>
          <w:t xml:space="preserve">[5]</w:t>
        </w:r>
      </w:hyperlink>
      <w:r>
        <w:t xml:space="preserve">[7]. The onboard-autonomy papers have demonstrated feasibility and robustness but have not put their policies in front of a strong ground comparator</w:t>
      </w:r>
      <w:r>
        <w:t xml:space="preserve"> </w:t>
      </w:r>
      <w:hyperlink w:anchor="ref-1">
        <w:r>
          <w:rPr>
            <w:rStyle w:val="Hyperlink"/>
          </w:rPr>
          <w:t xml:space="preserve">[1]</w:t>
        </w:r>
      </w:hyperlink>
      <w:r>
        <w:t xml:space="preserve">[8]. If onboard adaptivity is the free lunch its advocates assume, the data will reject H0 and the effect size will quantify the premium. If catalog dynamics are well-predicted between looks and the seeded covariances are accurate, the data will retain H0 and the onboard complexity will be shown to be unjustified for the modeled regime. Either result advances the field, which is the criterion the hypothesis pair was constructed to satisfy.</w:t>
      </w:r>
    </w:p>
    <w:p>
      <w:pPr>
        <w:pStyle w:val="BodyText"/>
        <w:spacing w:line="480" w:lineRule="auto"/>
        <w:ind w:firstLine="720"/>
      </w:pPr>
      <w:r>
        <w:t xml:space="preserve">The statistical decision rule is pre-registered. The primary test is a paired t-test on the per-night differences in mean VOI per sensor-second, with the alternative directional, at a 0.05 significance level. A mixed-effects specification with night as a random effect serves as the robustness check and reports the same point estimate under residual heterogeneity. The number of simulated nights is fixed by power analysis before any outcome is examined, targeting 80 percent power to detect a per-second VOI improvement equal to ten percent of the ground arm’s mean. Effect size is reported with a 95 percent confidence interval. The primary outcome is registered before the simulation runs and is not revised after the first results are inspected. All secondary analyses, including the custody-loss metric mentioned in the prospectus, are pre-declared as exploratory.</w:t>
      </w:r>
    </w:p>
    <w:bookmarkEnd w:id="77"/>
    <w:bookmarkStart w:id="78" w:name="auxiliary-predictions"/>
    <w:p>
      <w:pPr>
        <w:pStyle w:val="Heading2"/>
        <w:spacing w:line="480" w:lineRule="auto"/>
      </w:pPr>
      <w:r>
        <w:t xml:space="preserve">3.6 Auxiliary Predictions</w:t>
      </w:r>
    </w:p>
    <w:p>
      <w:pPr>
        <w:pStyle w:val="FirstParagraph"/>
        <w:spacing w:line="480" w:lineRule="auto"/>
      </w:pPr>
      <w:r>
        <w:t xml:space="preserve">The framework yields three auxiliary predictions that the secondary analyses in Chapter 4 will examine without raising them to confirmatory status.</w:t>
      </w:r>
    </w:p>
    <w:p>
      <w:pPr>
        <w:pStyle w:val="BodyText"/>
        <w:spacing w:line="480" w:lineRule="auto"/>
        <w:ind w:firstLine="720"/>
      </w:pPr>
      <w:r>
        <w:t xml:space="preserve">The first auxiliary prediction concerns the moderation of the policy effect by the divergence between predictive and realized information. Section 3.3 argued that the onboard adaptivity premium grows with the divergence between the two information sets within the horizon. The prediction implies that, across simulated nights, the within-night difference Y_i(1) minus Y_i(0) should correlate positively with a night-level measure of realized-versus-predictive divergence, such as the mean magnitude of the residuals between predicted and updated covariances. A null on this auxiliary prediction would suggest that the policy effect, if any, is driven by mechanisms other than the realized-information channel the framework identifies.</w:t>
      </w:r>
    </w:p>
    <w:p>
      <w:pPr>
        <w:pStyle w:val="BodyText"/>
        <w:spacing w:line="480" w:lineRule="auto"/>
        <w:ind w:firstLine="720"/>
      </w:pPr>
      <w:r>
        <w:t xml:space="preserve">The second auxiliary prediction concerns the seeded covariance regime. The Space-Track TLE epoch-age proxy for initial covariance is a coarse instrument, and the framework implies that the onboard adaptivity premium should be sensitive to the accuracy of the seeded prior. A sensitivity analysis across alternative seeding schemes is therefore reported. The sensitivity analysis is exploratory rather than confirmatory because the seeding scheme is itself a research choice rather than a feature of the policy under test.</w:t>
      </w:r>
    </w:p>
    <w:p>
      <w:pPr>
        <w:pStyle w:val="BodyText"/>
        <w:spacing w:line="480" w:lineRule="auto"/>
        <w:ind w:firstLine="720"/>
      </w:pPr>
      <w:r>
        <w:t xml:space="preserve">The third auxiliary prediction concerns the priority weighting. The VOI construction in Section 3.2 weights covariance reduction by mission priority. A null on the unweighted information-gain metric paired with a positive result on the priority-weighted metric would indicate that onboard adaptivity is reallocating sensor time toward high-priority targets in a way the ground schedule cannot match. The reverse pattern would indicate that the onboard advantage is broad rather than priority-driven. Either pattern would inform the operational case for onboard autonomy in a way the headline test does not.</w:t>
      </w:r>
    </w:p>
    <w:bookmarkEnd w:id="78"/>
    <w:bookmarkStart w:id="79" w:name="scope-conditions"/>
    <w:p>
      <w:pPr>
        <w:pStyle w:val="Heading2"/>
        <w:spacing w:line="480" w:lineRule="auto"/>
      </w:pPr>
      <w:r>
        <w:t xml:space="preserve">3.7 Scope Conditions</w:t>
      </w:r>
    </w:p>
    <w:p>
      <w:pPr>
        <w:pStyle w:val="FirstParagraph"/>
        <w:spacing w:line="480" w:lineRule="auto"/>
      </w:pPr>
      <w:r>
        <w:t xml:space="preserve">The theory applies within a bounded regime, and the scope conditions should be stated plainly so that the empirical claim in Chapter 4 can be read at the level of generality the framework supports.</w:t>
      </w:r>
    </w:p>
    <w:p>
      <w:pPr>
        <w:pStyle w:val="BodyText"/>
        <w:spacing w:line="480" w:lineRule="auto"/>
        <w:ind w:firstLine="720"/>
      </w:pPr>
      <w:r>
        <w:t xml:space="preserve">The regime is ground optical sensing of catalogued resident space objects with TLE-grade initial uncertainty and the published Heimdall-class sensor parameters</w:t>
      </w:r>
      <w:r>
        <w:t xml:space="preserve"> </w:t>
      </w:r>
      <w:hyperlink w:anchor="ref-3">
        <w:r>
          <w:rPr>
            <w:rStyle w:val="Hyperlink"/>
          </w:rPr>
          <w:t xml:space="preserve">[3]</w:t>
        </w:r>
      </w:hyperlink>
      <w:r>
        <w:t xml:space="preserve">[5]. Within this regime, the framework predicts that the onboard adaptivity premium is bounded by the divergence between predictive and realized information within the horizon, and that a strong ground optimization captures most of the available information when that divergence is small. The hypothesis pair in Section 3.5 is the empirical test of this prediction inside the regime.</w:t>
      </w:r>
    </w:p>
    <w:p>
      <w:pPr>
        <w:pStyle w:val="BodyText"/>
        <w:spacing w:line="480" w:lineRule="auto"/>
        <w:ind w:firstLine="720"/>
      </w:pPr>
      <w:r>
        <w:t xml:space="preserve">The framework does not apply, without further modification, to three adjacent regimes. The first is deep-space sensing under appreciable light-time delay, where ground re-planning is slow or infeasible even in principle and the architectural comparison reduces to a feasibility argument for the onboard policy alone. The second is uncatalogued or sparse-prior regimes, where the seeded covariance is so weak that the predictive-information channel is degenerate and the onboard advantage is mechanically large. The third is rendezvous and proximity operations, where the targeting problem is governed by relative dynamics rather than by catalog-wide visibility geometry and the VOI construction in Section 3.2 would need to be redefined.</w:t>
      </w:r>
    </w:p>
    <w:p>
      <w:pPr>
        <w:pStyle w:val="BodyText"/>
        <w:spacing w:line="480" w:lineRule="auto"/>
        <w:ind w:firstLine="720"/>
      </w:pPr>
      <w:r>
        <w:t xml:space="preserve">These adjacent regimes are flagged here as natural extensions rather than as limitations that invalidate the framework. The dissertation’s contribution is the clean measurement of the onboard adaptivity premium in a regime where existing instruments operate, existing schedulers are peer-reviewed, and a strong ground baseline can be specified without controversy. The extensions to other regimes are the legitimate subject of follow-on work, and the framework here is built to support that extension without requiring its content to be revisited.</w:t>
      </w:r>
    </w:p>
    <w:bookmarkEnd w:id="79"/>
    <w:bookmarkStart w:id="80" w:name="summary"/>
    <w:p>
      <w:pPr>
        <w:pStyle w:val="Heading2"/>
        <w:spacing w:line="480" w:lineRule="auto"/>
      </w:pPr>
      <w:r>
        <w:t xml:space="preserve">3.8 Summary</w:t>
      </w:r>
    </w:p>
    <w:p>
      <w:pPr>
        <w:pStyle w:val="FirstParagraph"/>
        <w:spacing w:line="480" w:lineRule="auto"/>
      </w:pPr>
      <w:r>
        <w:t xml:space="preserve">The chapter has done four things. It has fixed the conceptual vocabulary of target, opportunity, policy, and VOI on which the rest of the dissertation depends. It has articulated a theoretical mechanism that distinguishes predictive information, which a ground schedule can exploit, from realized information, which only an onboard policy can exploit, and has identified the regime in which the distinction produces a measurable premium. It has developed the causal logic that links the mechanism to an estimand recoverable from a matched paired-simulation design, and has named the three identifying assumptions, matching at the night level, strong control, and scoring parity, that the experimental design in Chapter 4 enforces. It has stated the two formal hypotheses, H0 and H1, that the experiment will adjudicate, together with the pre-registered one-sided paired test and the auxiliary predictions that the secondary analyses will explore.</w:t>
      </w:r>
    </w:p>
    <w:p>
      <w:pPr>
        <w:pStyle w:val="BodyText"/>
        <w:spacing w:line="480" w:lineRule="auto"/>
        <w:ind w:firstLine="720"/>
      </w:pPr>
      <w:r>
        <w:t xml:space="preserve">The framework is constructed so that the experiment can settle the question rather than restate it. If the data reject H0, the dissertation reports a quantified premium for onboard adaptivity in the modeled regime, with a confidence interval that operators can use. If the data retain H0, the dissertation reports that a strong ground optimization captures most of the available information when catalog dynamics are well-predicted between looks, with the same precision. Either outcome advances the literature, which has accumulated two large and mostly disjoint bodies of work without producing the comparison that the framework here makes both possible and falsifiable.</w:t>
      </w:r>
    </w:p>
    <w:bookmarkEnd w:id="80"/>
    <w:bookmarkEnd w:id="81"/>
    <w:bookmarkStart w:id="100" w:name="chapter-4.-data-and-measurement"/>
    <w:p>
      <w:pPr>
        <w:pStyle w:val="Heading1"/>
        <w:spacing w:line="480" w:lineRule="auto"/>
      </w:pPr>
      <w:r>
        <w:t xml:space="preserve">Chapter 4. Data and Measurement</w:t>
      </w:r>
    </w:p>
    <w:bookmarkStart w:id="82" w:name="purpose-of-the-chapter-1"/>
    <w:p>
      <w:pPr>
        <w:pStyle w:val="Heading2"/>
        <w:spacing w:line="480" w:lineRule="auto"/>
      </w:pPr>
      <w:r>
        <w:t xml:space="preserve">4.1 Purpose of the Chapter</w:t>
      </w:r>
    </w:p>
    <w:p>
      <w:pPr>
        <w:pStyle w:val="FirstParagraph"/>
        <w:spacing w:line="480" w:lineRule="auto"/>
      </w:pPr>
      <w:r>
        <w:t xml:space="preserve">This chapter documents the empirical material that supports the two completed papers of the dissertation and that will support the paired simulation experiment to follow. The pages that follow describe the units of analysis, the primary records from which each variable is constructed, the authoritative sources of those records, the coding rubrics used to convert prose descriptions into numeric measures, and the auditing procedures applied to keep the panels reproducible. The chapter is written to permit a reader with access to the same public records to reassemble each dataset from scratch and to reproduce the numeric tables that appear in Paper 1 and Paper 2. It does not present new estimates; those belong in Chapters 5 and 6. It instead exposes the measurement scaffolding on which the dissertation rests, because in a study whose central claim is about value of information per unit of sensor time the credibility of the inference depends almost entirely on the discipline with which the variables that operationalize</w:t>
      </w:r>
      <w:r>
        <w:t xml:space="preserve"> </w:t>
      </w:r>
      <w:r>
        <w:t xml:space="preserve">“value,”</w:t>
      </w:r>
      <w:r>
        <w:t xml:space="preserve"> </w:t>
      </w:r>
      <w:r>
        <w:t xml:space="preserve">“information,”</w:t>
      </w:r>
      <w:r>
        <w:t xml:space="preserve"> </w:t>
      </w:r>
      <w:r>
        <w:t xml:space="preserve">and</w:t>
      </w:r>
      <w:r>
        <w:t xml:space="preserve"> </w:t>
      </w:r>
      <w:r>
        <w:t xml:space="preserve">“sensor time”</w:t>
      </w:r>
      <w:r>
        <w:t xml:space="preserve"> </w:t>
      </w:r>
      <w:r>
        <w:t xml:space="preserve">are constructed.</w:t>
      </w:r>
    </w:p>
    <w:p>
      <w:pPr>
        <w:pStyle w:val="BodyText"/>
        <w:spacing w:line="480" w:lineRule="auto"/>
        <w:ind w:firstLine="720"/>
      </w:pPr>
      <w:r>
        <w:t xml:space="preserve">Three datasets are documented here. The first is the panel of thirty-two published optical sensor-tasking campaigns drawn from the Advanced Maui Optical and Space Surveillance Technologies conference proceedings and Acta Astronautica, which underwrites Paper 1. The second is the cross-section of thirty-two Earth-observing missions drawn from agency mission documentation, vendor datasheets, and peer-reviewed mission papers, which underwrites Paper 2. The third is the simulation input dataset for the paired experiment in the next paper, which combines the public space-object catalog distributed through Space-Track.org with a sensor model drawn from the same AMOS scheduling literature that anchors Paper 1. The three datasets are presented as a single measurement architecture because they share a common metric vocabulary, share several primary sources, and were designed to be mutually auditable.</w:t>
      </w:r>
    </w:p>
    <w:bookmarkEnd w:id="82"/>
    <w:bookmarkStart w:id="83" w:name="unit-of-analysis"/>
    <w:p>
      <w:pPr>
        <w:pStyle w:val="Heading2"/>
        <w:spacing w:line="480" w:lineRule="auto"/>
      </w:pPr>
      <w:r>
        <w:t xml:space="preserve">4.2 Unit of Analysis</w:t>
      </w:r>
    </w:p>
    <w:p>
      <w:pPr>
        <w:pStyle w:val="FirstParagraph"/>
        <w:spacing w:line="480" w:lineRule="auto"/>
      </w:pPr>
      <w:r>
        <w:t xml:space="preserve">The unit of analysis differs across the three datasets, and the differences are deliberate.</w:t>
      </w:r>
    </w:p>
    <w:p>
      <w:pPr>
        <w:pStyle w:val="BodyText"/>
        <w:spacing w:line="480" w:lineRule="auto"/>
        <w:ind w:firstLine="720"/>
      </w:pPr>
      <w:r>
        <w:t xml:space="preserve">In Paper 1 the unit of analysis is the published optical sensor-tasking campaign. A campaign is defined as a configuration of one or more sensing sites operating under a single stated architectural philosophy that returns a throughput number expressed in observations of resident space objects per operational night. The choice of the campaign rather than the site as the unit reflects the structure of the primary literature: the AMOS papers describe a system that may operate at a single observatory, such as the Maui Space Surveillance Site in the original Heimdall report</w:t>
      </w:r>
      <w:r>
        <w:t xml:space="preserve"> </w:t>
      </w:r>
      <w:hyperlink w:anchor="ref-5">
        <w:r>
          <w:rPr>
            <w:rStyle w:val="Hyperlink"/>
          </w:rPr>
          <w:t xml:space="preserve">[5]</w:t>
        </w:r>
      </w:hyperlink>
      <w:r>
        <w:t xml:space="preserve">, or across a network of four observatories, as in the Australian conjunction assessment service</w:t>
      </w:r>
      <w:r>
        <w:t xml:space="preserve"> </w:t>
      </w:r>
      <w:hyperlink w:anchor="ref-3">
        <w:r>
          <w:rPr>
            <w:rStyle w:val="Hyperlink"/>
          </w:rPr>
          <w:t xml:space="preserve">[3]</w:t>
        </w:r>
      </w:hyperlink>
      <w:r>
        <w:t xml:space="preserve">, or across an eight-site footprint, as in the global boresight tasking work that occupies the upper end of the autonomy ordinal</w:t>
      </w:r>
      <w:r>
        <w:t xml:space="preserve"> </w:t>
      </w:r>
      <w:hyperlink w:anchor="ref-16">
        <w:r>
          <w:rPr>
            <w:rStyle w:val="Hyperlink"/>
          </w:rPr>
          <w:t xml:space="preserve">[16]</w:t>
        </w:r>
      </w:hyperlink>
      <w:r>
        <w:t xml:space="preserve">. Treating each as one row preserves the architectural unit on which the autonomy ordinal is defined and avoids artificially inflating the panel by splitting a network into sites that share a tasking policy. Where a single paper reports more than one architectural arm, however, more than one row is recorded so that within-paper baseline-versus-treatment contrast is not lost.</w:t>
      </w:r>
    </w:p>
    <w:p>
      <w:pPr>
        <w:pStyle w:val="BodyText"/>
        <w:spacing w:line="480" w:lineRule="auto"/>
        <w:ind w:firstLine="720"/>
      </w:pPr>
      <w:r>
        <w:t xml:space="preserve">In Paper 2 the unit of analysis is the Earth-observing mission. A mission is a satellite or constellation operating under a single mission identity, a single tasking philosophy, and a single nominal acquisition rate as published in either an agency user guide or a vendor datasheet. The choice of mission rather than satellite reflects the way the operational community discusses these platforms: the Sentinel-2 mission documented by the European Space Agency mission paper</w:t>
      </w:r>
      <w:r>
        <w:t xml:space="preserve"> </w:t>
      </w:r>
      <w:hyperlink w:anchor="ref-31">
        <w:r>
          <w:rPr>
            <w:rStyle w:val="Hyperlink"/>
          </w:rPr>
          <w:t xml:space="preserve">[31]</w:t>
        </w:r>
      </w:hyperlink>
      <w:r>
        <w:t xml:space="preserve"> </w:t>
      </w:r>
      <w:r>
        <w:t xml:space="preserve">is one row even though the on-orbit configuration includes two spacecraft; the WorldView family is treated as separate missions because each generation publishes its own acquisition rate against its own tasking architecture. This convention matches the granularity at which autonomy taxonomies in the published record are written and at which downlink and slew-rate parameters are reported</w:t>
      </w:r>
      <w:r>
        <w:t xml:space="preserve"> </w:t>
      </w:r>
      <w:hyperlink w:anchor="ref-30">
        <w:r>
          <w:rPr>
            <w:rStyle w:val="Hyperlink"/>
          </w:rPr>
          <w:t xml:space="preserve">[30]</w:t>
        </w:r>
      </w:hyperlink>
      <w:r>
        <w:t xml:space="preserve">[31][32].</w:t>
      </w:r>
    </w:p>
    <w:p>
      <w:pPr>
        <w:pStyle w:val="BodyText"/>
        <w:spacing w:line="480" w:lineRule="auto"/>
        <w:ind w:firstLine="720"/>
      </w:pPr>
      <w:r>
        <w:t xml:space="preserve">In the planned simulation the unit of analysis will be the simulated night. A simulated night is a fixed-duration interval over which both the ground-scheduled arm and the onboard adaptive arm run on the identical target set, identical initial covariances, identical sensor model, and identical weather and visibility realization, with only the tasking policy differing. Pairing within night is the identification device, as the prospectus argues, because it removes between-night variance from target geometry and observability and isolates the within-pair difference attributable to policy.</w:t>
      </w:r>
    </w:p>
    <w:bookmarkEnd w:id="83"/>
    <w:bookmarkStart w:id="88" w:name="X68db2a282a2c81b32c5573b310b9ff0e972300e"/>
    <w:p>
      <w:pPr>
        <w:pStyle w:val="Heading2"/>
        <w:spacing w:line="480" w:lineRule="auto"/>
      </w:pPr>
      <w:r>
        <w:t xml:space="preserve">4.3 Paper 1 Panel: Published Optical Sensor-Tasking Campaigns</w:t>
      </w:r>
    </w:p>
    <w:bookmarkStart w:id="84" w:name="source-population-and-inclusion-criteria"/>
    <w:p>
      <w:pPr>
        <w:pStyle w:val="Heading3"/>
        <w:spacing w:line="480" w:lineRule="auto"/>
      </w:pPr>
      <w:r>
        <w:t xml:space="preserve">4.3.1 Source Population and Inclusion Criteria</w:t>
      </w:r>
    </w:p>
    <w:p>
      <w:pPr>
        <w:pStyle w:val="FirstParagraph"/>
        <w:spacing w:line="480" w:lineRule="auto"/>
      </w:pPr>
      <w:r>
        <w:t xml:space="preserve">The source population for Paper 1 is the body of published optical sensor-tasking work in the AMOS conference proceedings from 2013 through 2025 and in Acta Astronautica from 2018 through 2026. A campaign is included if and only if it satisfies four conditions. First, the paper must describe an optical sensing architecture, ground-based or space-based, whose function is the cataloguing, tracking, characterization, or follow-up of resident space objects. Second, the paper must report a throughput number in observations of resident space objects per operational night, or in a unit from which the per-night number can be computed without imputation. Third, the paper must report enough physical detail about the sensing hardware to support coding of aperture in meters, slew rate in degrees per second, and the number of cooperating sites. Fourth, the architectural philosophy of the campaign must be classifiable on the four-level autonomy ordinal defined in Section 4.3.3.</w:t>
      </w:r>
    </w:p>
    <w:p>
      <w:pPr>
        <w:pStyle w:val="BodyText"/>
        <w:spacing w:line="480" w:lineRule="auto"/>
        <w:ind w:firstLine="720"/>
      </w:pPr>
      <w:r>
        <w:t xml:space="preserve">These four criteria, applied to the proceedings of the relevant years, yield thirty-two campaigns. The sources are the Heimdall and non-traditional tasking work at the Maui Space Surveillance Site</w:t>
      </w:r>
      <w:r>
        <w:t xml:space="preserve"> </w:t>
      </w:r>
      <w:hyperlink w:anchor="ref-5">
        <w:r>
          <w:rPr>
            <w:rStyle w:val="Hyperlink"/>
          </w:rPr>
          <w:t xml:space="preserve">[5]</w:t>
        </w:r>
      </w:hyperlink>
      <w:r>
        <w:t xml:space="preserve">[7], the Raven-class sensitivity study</w:t>
      </w:r>
      <w:r>
        <w:t xml:space="preserve"> </w:t>
      </w:r>
      <w:hyperlink w:anchor="ref-17">
        <w:r>
          <w:rPr>
            <w:rStyle w:val="Hyperlink"/>
          </w:rPr>
          <w:t xml:space="preserve">[17]</w:t>
        </w:r>
      </w:hyperlink>
      <w:r>
        <w:t xml:space="preserve">, the Poznan PST3 dual-site survey</w:t>
      </w:r>
      <w:r>
        <w:t xml:space="preserve"> </w:t>
      </w:r>
      <w:hyperlink w:anchor="ref-18">
        <w:r>
          <w:rPr>
            <w:rStyle w:val="Hyperlink"/>
          </w:rPr>
          <w:t xml:space="preserve">[18]</w:t>
        </w:r>
      </w:hyperlink>
      <w:r>
        <w:t xml:space="preserve">, the DRAGRACER flight-experiment optical follow-up</w:t>
      </w:r>
      <w:r>
        <w:t xml:space="preserve"> </w:t>
      </w:r>
      <w:hyperlink w:anchor="ref-19">
        <w:r>
          <w:rPr>
            <w:rStyle w:val="Hyperlink"/>
          </w:rPr>
          <w:t xml:space="preserve">[19]</w:t>
        </w:r>
      </w:hyperlink>
      <w:r>
        <w:t xml:space="preserve">, the Australian conjunction assessment service and its optimized scheduling and tasking program</w:t>
      </w:r>
      <w:r>
        <w:t xml:space="preserve"> </w:t>
      </w:r>
      <w:hyperlink w:anchor="ref-2">
        <w:r>
          <w:rPr>
            <w:rStyle w:val="Hyperlink"/>
          </w:rPr>
          <w:t xml:space="preserve">[2]</w:t>
        </w:r>
      </w:hyperlink>
      <w:r>
        <w:t xml:space="preserve">[3], the genetic-algorithm geosynchronous follow-up scheduler</w:t>
      </w:r>
      <w:r>
        <w:t xml:space="preserve"> </w:t>
      </w:r>
      <w:hyperlink w:anchor="ref-4">
        <w:r>
          <w:rPr>
            <w:rStyle w:val="Hyperlink"/>
          </w:rPr>
          <w:t xml:space="preserve">[4]</w:t>
        </w:r>
      </w:hyperlink>
      <w:r>
        <w:t xml:space="preserve">, the SNARE decentralized sensor-tasking experiment</w:t>
      </w:r>
      <w:r>
        <w:t xml:space="preserve"> </w:t>
      </w:r>
      <w:hyperlink w:anchor="ref-12">
        <w:r>
          <w:rPr>
            <w:rStyle w:val="Hyperlink"/>
          </w:rPr>
          <w:t xml:space="preserve">[12]</w:t>
        </w:r>
      </w:hyperlink>
      <w:r>
        <w:t xml:space="preserve">, the Orbit Logic non-traditional sensor network maximization</w:t>
      </w:r>
      <w:r>
        <w:t xml:space="preserve"> </w:t>
      </w:r>
      <w:hyperlink w:anchor="ref-13">
        <w:r>
          <w:rPr>
            <w:rStyle w:val="Hyperlink"/>
          </w:rPr>
          <w:t xml:space="preserve">[13]</w:t>
        </w:r>
      </w:hyperlink>
      <w:r>
        <w:t xml:space="preserve">, the autonomous geographically distributed ground network</w:t>
      </w:r>
      <w:r>
        <w:t xml:space="preserve"> </w:t>
      </w:r>
      <w:hyperlink w:anchor="ref-14">
        <w:r>
          <w:rPr>
            <w:rStyle w:val="Hyperlink"/>
          </w:rPr>
          <w:t xml:space="preserve">[14]</w:t>
        </w:r>
      </w:hyperlink>
      <w:r>
        <w:t xml:space="preserve">, the maneuver-detection heterogeneous network study</w:t>
      </w:r>
      <w:r>
        <w:t xml:space="preserve"> </w:t>
      </w:r>
      <w:hyperlink w:anchor="ref-15">
        <w:r>
          <w:rPr>
            <w:rStyle w:val="Hyperlink"/>
          </w:rPr>
          <w:t xml:space="preserve">[15]</w:t>
        </w:r>
      </w:hyperlink>
      <w:r>
        <w:t xml:space="preserve">, the sensor-placement decomposition</w:t>
      </w:r>
      <w:r>
        <w:t xml:space="preserve"> </w:t>
      </w:r>
      <w:hyperlink w:anchor="ref-6">
        <w:r>
          <w:rPr>
            <w:rStyle w:val="Hyperlink"/>
          </w:rPr>
          <w:t xml:space="preserve">[6]</w:t>
        </w:r>
      </w:hyperlink>
      <w:r>
        <w:t xml:space="preserve">, the global boresight tasking work</w:t>
      </w:r>
      <w:r>
        <w:t xml:space="preserve"> </w:t>
      </w:r>
      <w:hyperlink w:anchor="ref-16">
        <w:r>
          <w:rPr>
            <w:rStyle w:val="Hyperlink"/>
          </w:rPr>
          <w:t xml:space="preserve">[16]</w:t>
        </w:r>
      </w:hyperlink>
      <w:r>
        <w:t xml:space="preserve">, the autonomous information-gathering guidance work</w:t>
      </w:r>
      <w:r>
        <w:t xml:space="preserve"> </w:t>
      </w:r>
      <w:hyperlink w:anchor="ref-20">
        <w:r>
          <w:rPr>
            <w:rStyle w:val="Hyperlink"/>
          </w:rPr>
          <w:t xml:space="preserve">[20]</w:t>
        </w:r>
      </w:hyperlink>
      <w:r>
        <w:t xml:space="preserve">, the human-machine teaming trust study</w:t>
      </w:r>
      <w:r>
        <w:t xml:space="preserve"> </w:t>
      </w:r>
      <w:hyperlink w:anchor="ref-21">
        <w:r>
          <w:rPr>
            <w:rStyle w:val="Hyperlink"/>
          </w:rPr>
          <w:t xml:space="preserve">[21]</w:t>
        </w:r>
      </w:hyperlink>
      <w:r>
        <w:t xml:space="preserve">, the adaptive non-singular measurement-model paper</w:t>
      </w:r>
      <w:r>
        <w:t xml:space="preserve"> </w:t>
      </w:r>
      <w:hyperlink w:anchor="ref-22">
        <w:r>
          <w:rPr>
            <w:rStyle w:val="Hyperlink"/>
          </w:rPr>
          <w:t xml:space="preserve">[22]</w:t>
        </w:r>
      </w:hyperlink>
      <w:r>
        <w:t xml:space="preserve">, the reinforcement-learning maneuver planner</w:t>
      </w:r>
      <w:r>
        <w:t xml:space="preserve"> </w:t>
      </w:r>
      <w:hyperlink w:anchor="ref-8">
        <w:r>
          <w:rPr>
            <w:rStyle w:val="Hyperlink"/>
          </w:rPr>
          <w:t xml:space="preserve">[8]</w:t>
        </w:r>
      </w:hyperlink>
      <w:r>
        <w:t xml:space="preserve">, the agent-based distributed-systems survey</w:t>
      </w:r>
      <w:r>
        <w:t xml:space="preserve"> </w:t>
      </w:r>
      <w:hyperlink w:anchor="ref-1">
        <w:r>
          <w:rPr>
            <w:rStyle w:val="Hyperlink"/>
          </w:rPr>
          <w:t xml:space="preserve">[1]</w:t>
        </w:r>
      </w:hyperlink>
      <w:r>
        <w:t xml:space="preserve">, the precedence-rule onboard activity planner</w:t>
      </w:r>
      <w:r>
        <w:t xml:space="preserve"> </w:t>
      </w:r>
      <w:hyperlink w:anchor="ref-9">
        <w:r>
          <w:rPr>
            <w:rStyle w:val="Hyperlink"/>
          </w:rPr>
          <w:t xml:space="preserve">[9]</w:t>
        </w:r>
      </w:hyperlink>
      <w:r>
        <w:t xml:space="preserve">, the supervised-learning orbital-maintenance work</w:t>
      </w:r>
      <w:r>
        <w:t xml:space="preserve"> </w:t>
      </w:r>
      <w:hyperlink w:anchor="ref-23">
        <w:r>
          <w:rPr>
            <w:rStyle w:val="Hyperlink"/>
          </w:rPr>
          <w:t xml:space="preserve">[23]</w:t>
        </w:r>
      </w:hyperlink>
      <w:r>
        <w:t xml:space="preserve">, the machine-learning model-predictive on-orbit assembly study</w:t>
      </w:r>
      <w:r>
        <w:t xml:space="preserve"> </w:t>
      </w:r>
      <w:hyperlink w:anchor="ref-24">
        <w:r>
          <w:rPr>
            <w:rStyle w:val="Hyperlink"/>
          </w:rPr>
          <w:t xml:space="preserve">[24]</w:t>
        </w:r>
      </w:hyperlink>
      <w:r>
        <w:t xml:space="preserve">, the CNN-based Hera optical navigation work</w:t>
      </w:r>
      <w:r>
        <w:t xml:space="preserve"> </w:t>
      </w:r>
      <w:hyperlink w:anchor="ref-25">
        <w:r>
          <w:rPr>
            <w:rStyle w:val="Hyperlink"/>
          </w:rPr>
          <w:t xml:space="preserve">[25]</w:t>
        </w:r>
      </w:hyperlink>
      <w:r>
        <w:t xml:space="preserve">, and the vision-based CubeSat docking work</w:t>
      </w:r>
      <w:r>
        <w:t xml:space="preserve"> </w:t>
      </w:r>
      <w:hyperlink w:anchor="ref-26">
        <w:r>
          <w:rPr>
            <w:rStyle w:val="Hyperlink"/>
          </w:rPr>
          <w:t xml:space="preserve">[26]</w:t>
        </w:r>
      </w:hyperlink>
      <w:r>
        <w:t xml:space="preserve">.</w:t>
      </w:r>
    </w:p>
    <w:bookmarkEnd w:id="84"/>
    <w:bookmarkStart w:id="85" w:name="primary-records-and-provenance"/>
    <w:p>
      <w:pPr>
        <w:pStyle w:val="Heading3"/>
        <w:spacing w:line="480" w:lineRule="auto"/>
      </w:pPr>
      <w:r>
        <w:t xml:space="preserve">4.3.2 Primary Records and Provenance</w:t>
      </w:r>
    </w:p>
    <w:p>
      <w:pPr>
        <w:pStyle w:val="FirstParagraph"/>
        <w:spacing w:line="480" w:lineRule="auto"/>
      </w:pPr>
      <w:r>
        <w:t xml:space="preserve">The primary record for each row is the source paper itself. Throughput is read from the paper’s text, table, or figure caption rather than from any secondary summary. Where a paper reports a range, the midpoint is recorded and the range is noted in the supplementary data file. Where a paper reports a peak as well as an average, the average is recorded. Where a paper reports only a per-pass or per-hour number, the per-night number is computed by multiplying by the operational hours reported elsewhere in the same paper; no per-night figure is imputed from a paper that does not itself provide the operational hours, because that would require the analyst to substitute an assumption for a source. Three of the thirty-two rows draw the throughput number from a reported subset arm or from a referenced site specification rather than from a primary headline figure, and those rows carry an explicit flag in the data file. Together they represent under ten percent of the panel.</w:t>
      </w:r>
    </w:p>
    <w:p>
      <w:pPr>
        <w:pStyle w:val="BodyText"/>
        <w:spacing w:line="480" w:lineRule="auto"/>
        <w:ind w:firstLine="720"/>
      </w:pPr>
      <w:r>
        <w:t xml:space="preserve">Aperture is read in meters from the instrument specification reported in the source paper. Slew rate is read in degrees per second from the same source where reported, and where the paper points to a vendor specification for the mount, the vendor specification is read directly rather than paraphrased. The number of sites is the count of physical sensing locations described as cooperating under the single stated architecture during the reported campaign. A network that is described as planned but not yet operational at the time of the campaign is not counted; the unit is the deployed footprint that generated the throughput number.</w:t>
      </w:r>
    </w:p>
    <w:bookmarkEnd w:id="85"/>
    <w:bookmarkStart w:id="86" w:name="construction-of-the-autonomy-ordinal"/>
    <w:p>
      <w:pPr>
        <w:pStyle w:val="Heading3"/>
        <w:spacing w:line="480" w:lineRule="auto"/>
      </w:pPr>
      <w:r>
        <w:t xml:space="preserve">4.3.3 Construction of the Autonomy Ordinal</w:t>
      </w:r>
    </w:p>
    <w:p>
      <w:pPr>
        <w:pStyle w:val="FirstParagraph"/>
        <w:spacing w:line="480" w:lineRule="auto"/>
      </w:pPr>
      <w:r>
        <w:t xml:space="preserve">The autonomy ordinal is the regressor of central interest in Paper 1, and its construction is the most consequential measurement decision in the dataset. The rubric assigns each campaign to one of four levels based on the architectural description in the source paper.</w:t>
      </w:r>
    </w:p>
    <w:p>
      <w:pPr>
        <w:pStyle w:val="BodyText"/>
        <w:spacing w:line="480" w:lineRule="auto"/>
        <w:ind w:firstLine="720"/>
      </w:pPr>
      <w:r>
        <w:t xml:space="preserve">Level one denotes manual tasking, in which a human operator selects each observation in real time without computational scoring of opportunities. Level two denotes a precomputed ground schedule, in which a fixed list of observations is computed before the operational period and executed without adaptation during the period; the geosynchronous genetic-algorithm scheduler is the canonical example of this band in the panel</w:t>
      </w:r>
      <w:r>
        <w:t xml:space="preserve"> </w:t>
      </w:r>
      <w:hyperlink w:anchor="ref-4">
        <w:r>
          <w:rPr>
            <w:rStyle w:val="Hyperlink"/>
          </w:rPr>
          <w:t xml:space="preserve">[4]</w:t>
        </w:r>
      </w:hyperlink>
      <w:r>
        <w:t xml:space="preserve">. Level three denotes ground figure-of-merit optimization, in which the ground system continuously scores opportunities by a figure of merit, frequently a covariance-reduction or information-gain metric, and the schedule is recomputed inside the operational period as new observations close out covariance updates; the Heimdall family at the Maui Space Surveillance Site and the Australian conjunction assessment service are the canonical examples</w:t>
      </w:r>
      <w:r>
        <w:t xml:space="preserve"> </w:t>
      </w:r>
      <w:hyperlink w:anchor="ref-2">
        <w:r>
          <w:rPr>
            <w:rStyle w:val="Hyperlink"/>
          </w:rPr>
          <w:t xml:space="preserve">[2]</w:t>
        </w:r>
      </w:hyperlink>
      <w:r>
        <w:t xml:space="preserve">[3][5][7]. Level four denotes an onboard or decentralized adaptive policy, in which the tasking decision is taken at the sensor or at the edge of the network without a ground-loop round trip, and the policy re-evaluates the next look as a function of information already returned; the SNARE decentralized experiment, the Orbit Logic non-traditional network, the autonomous geographically distributed ground network, the maneuver-detection heterogeneous network, the global boresight tasking work, and the agent-based distributed-systems survey occupy this band</w:t>
      </w:r>
      <w:r>
        <w:t xml:space="preserve"> </w:t>
      </w:r>
      <w:hyperlink w:anchor="ref-1">
        <w:r>
          <w:rPr>
            <w:rStyle w:val="Hyperlink"/>
          </w:rPr>
          <w:t xml:space="preserve">[1]</w:t>
        </w:r>
      </w:hyperlink>
      <w:r>
        <w:t xml:space="preserve">[12][13][14][15][16].</w:t>
      </w:r>
    </w:p>
    <w:p>
      <w:pPr>
        <w:pStyle w:val="BodyText"/>
        <w:spacing w:line="480" w:lineRule="auto"/>
        <w:ind w:firstLine="720"/>
      </w:pPr>
      <w:r>
        <w:t xml:space="preserve">Coding is performed by the candidate from the architectural description in each source paper using the rubric above, and the codes are published in the configuration file that accompanies the paper so that any reader can re-code. The candidate’s coding judgments were checked against the architectural taxonomy used by the agent-based survey</w:t>
      </w:r>
      <w:r>
        <w:t xml:space="preserve"> </w:t>
      </w:r>
      <w:hyperlink w:anchor="ref-1">
        <w:r>
          <w:rPr>
            <w:rStyle w:val="Hyperlink"/>
          </w:rPr>
          <w:t xml:space="preserve">[1]</w:t>
        </w:r>
      </w:hyperlink>
      <w:r>
        <w:t xml:space="preserve">, which provides an independent reference for distinguishing the bands. Where the source paper’s description is ambiguous between two adjacent levels, the lower level is assigned and the ambiguity is flagged. This conservative tie-breaking is documented because the regressor of interest enters the model in a direction that any rounding-up would bias toward.</w:t>
      </w:r>
    </w:p>
    <w:bookmarkEnd w:id="86"/>
    <w:bookmarkStart w:id="87" w:name="dependent-variable-and-controls"/>
    <w:p>
      <w:pPr>
        <w:pStyle w:val="Heading3"/>
        <w:spacing w:line="480" w:lineRule="auto"/>
      </w:pPr>
      <w:r>
        <w:t xml:space="preserve">4.3.4 Dependent Variable and Controls</w:t>
      </w:r>
    </w:p>
    <w:p>
      <w:pPr>
        <w:pStyle w:val="FirstParagraph"/>
        <w:spacing w:line="480" w:lineRule="auto"/>
      </w:pPr>
      <w:r>
        <w:t xml:space="preserve">The dependent variable in Paper 1 is the campaign’s throughput in observations of resident space objects per operational night, constructed as described in Section 4.3.2. The controls are aperture in meters, slew rate in degrees per second, and the number of sites. The aperture and slew-rate controls are read from the same primary source as the throughput number, which minimizes the risk of construct misalignment. The number-of-sites control is read from the architectural description and counts the physically distinct sensing locations cooperating under the single stated policy. The control set is intentionally minimal, as the paper notes, because the panel of thirty-two campaigns will not support a richer specification without overfitting.</w:t>
      </w:r>
    </w:p>
    <w:bookmarkEnd w:id="87"/>
    <w:bookmarkEnd w:id="88"/>
    <w:bookmarkStart w:id="93" w:name="paper-2-panel-earth-observing-missions"/>
    <w:p>
      <w:pPr>
        <w:pStyle w:val="Heading2"/>
        <w:spacing w:line="480" w:lineRule="auto"/>
      </w:pPr>
      <w:r>
        <w:t xml:space="preserve">4.4 Paper 2 Panel: Earth-Observing Missions</w:t>
      </w:r>
    </w:p>
    <w:bookmarkStart w:id="89" w:name="X65c7570854da9a8d5da6beaa680f254ad18afed"/>
    <w:p>
      <w:pPr>
        <w:pStyle w:val="Heading3"/>
        <w:spacing w:line="480" w:lineRule="auto"/>
      </w:pPr>
      <w:r>
        <w:t xml:space="preserve">4.4.1 Source Population and Inclusion Criteria</w:t>
      </w:r>
    </w:p>
    <w:p>
      <w:pPr>
        <w:pStyle w:val="FirstParagraph"/>
        <w:spacing w:line="480" w:lineRule="auto"/>
      </w:pPr>
      <w:r>
        <w:t xml:space="preserve">The source population for Paper 2 is the body of Earth-observing missions whose initial operational capability falls between 1999 and 2022 and for which acquisition rates, autonomy descriptions, agility specifications, and downlink capacity are publicly documented. Thirty-two missions satisfy these conditions. The sample mixes public-good missions, including Landsat, the Sentinel series documented in the Sentinel-2 mission paper</w:t>
      </w:r>
      <w:r>
        <w:t xml:space="preserve"> </w:t>
      </w:r>
      <w:hyperlink w:anchor="ref-31">
        <w:r>
          <w:rPr>
            <w:rStyle w:val="Hyperlink"/>
          </w:rPr>
          <w:t xml:space="preserve">[31]</w:t>
        </w:r>
      </w:hyperlink>
      <w:r>
        <w:t xml:space="preserve"> </w:t>
      </w:r>
      <w:r>
        <w:t xml:space="preserve">and the ICESat-2 mission paper</w:t>
      </w:r>
      <w:r>
        <w:t xml:space="preserve"> </w:t>
      </w:r>
      <w:hyperlink w:anchor="ref-32">
        <w:r>
          <w:rPr>
            <w:rStyle w:val="Hyperlink"/>
          </w:rPr>
          <w:t xml:space="preserve">[32]</w:t>
        </w:r>
      </w:hyperlink>
      <w:r>
        <w:t xml:space="preserve">, MODIS, and GOES, with commercial agile platforms, including Pleiades documented in the Pleiades-HR productivity paper</w:t>
      </w:r>
      <w:r>
        <w:t xml:space="preserve"> </w:t>
      </w:r>
      <w:hyperlink w:anchor="ref-29">
        <w:r>
          <w:rPr>
            <w:rStyle w:val="Hyperlink"/>
          </w:rPr>
          <w:t xml:space="preserve">[29]</w:t>
        </w:r>
      </w:hyperlink>
      <w:r>
        <w:t xml:space="preserve">, WorldView documented in the radiometric technical note</w:t>
      </w:r>
      <w:r>
        <w:t xml:space="preserve"> </w:t>
      </w:r>
      <w:hyperlink w:anchor="ref-30">
        <w:r>
          <w:rPr>
            <w:rStyle w:val="Hyperlink"/>
          </w:rPr>
          <w:t xml:space="preserve">[30]</w:t>
        </w:r>
      </w:hyperlink>
      <w:r>
        <w:t xml:space="preserve">, and SkySat. The mix is deliberate because the autonomy variable has variance only across that mix; restricting the sample to either pole would collapse the regressor of interest.</w:t>
      </w:r>
    </w:p>
    <w:p>
      <w:pPr>
        <w:pStyle w:val="BodyText"/>
        <w:spacing w:line="480" w:lineRule="auto"/>
        <w:ind w:firstLine="720"/>
      </w:pPr>
      <w:r>
        <w:t xml:space="preserve">The unit of inclusion is the mission as defined in Section 4.2. Where a mission family publishes separate user guides for separate generations, each generation enters the panel as its own row because the user guides report distinct acquisition rates against distinct autonomy descriptions.</w:t>
      </w:r>
    </w:p>
    <w:bookmarkEnd w:id="89"/>
    <w:bookmarkStart w:id="90" w:name="primary-records-and-provenance-1"/>
    <w:p>
      <w:pPr>
        <w:pStyle w:val="Heading3"/>
        <w:spacing w:line="480" w:lineRule="auto"/>
      </w:pPr>
      <w:r>
        <w:t xml:space="preserve">4.4.2 Primary Records and Provenance</w:t>
      </w:r>
    </w:p>
    <w:p>
      <w:pPr>
        <w:pStyle w:val="FirstParagraph"/>
        <w:spacing w:line="480" w:lineRule="auto"/>
      </w:pPr>
      <w:r>
        <w:t xml:space="preserve">The acquisition-rate variable is read from agency mission papers, agency user guides, vendor datasheets, or peer-reviewed mission descriptions. The Sentinel-2 mission paper publishes the design acquisition rate against the GMES operational service requirements</w:t>
      </w:r>
      <w:r>
        <w:t xml:space="preserve"> </w:t>
      </w:r>
      <w:hyperlink w:anchor="ref-31">
        <w:r>
          <w:rPr>
            <w:rStyle w:val="Hyperlink"/>
          </w:rPr>
          <w:t xml:space="preserve">[31]</w:t>
        </w:r>
      </w:hyperlink>
      <w:r>
        <w:t xml:space="preserve">, and that number is read directly from the paper rather than from a secondary tabulation. The ICESat-2 mission paper provides the analogous record for that platform</w:t>
      </w:r>
      <w:r>
        <w:t xml:space="preserve"> </w:t>
      </w:r>
      <w:hyperlink w:anchor="ref-32">
        <w:r>
          <w:rPr>
            <w:rStyle w:val="Hyperlink"/>
          </w:rPr>
          <w:t xml:space="preserve">[32]</w:t>
        </w:r>
      </w:hyperlink>
      <w:r>
        <w:t xml:space="preserve">. The Pleiades-HR productivity paper provides the agile-platform record for Pleiades</w:t>
      </w:r>
      <w:r>
        <w:t xml:space="preserve"> </w:t>
      </w:r>
      <w:hyperlink w:anchor="ref-29">
        <w:r>
          <w:rPr>
            <w:rStyle w:val="Hyperlink"/>
          </w:rPr>
          <w:t xml:space="preserve">[29]</w:t>
        </w:r>
      </w:hyperlink>
      <w:r>
        <w:t xml:space="preserve">, and the WorldView radiometric technical note provides the analogous specification for the WorldView generation it describes</w:t>
      </w:r>
      <w:r>
        <w:t xml:space="preserve"> </w:t>
      </w:r>
      <w:hyperlink w:anchor="ref-30">
        <w:r>
          <w:rPr>
            <w:rStyle w:val="Hyperlink"/>
          </w:rPr>
          <w:t xml:space="preserve">[30]</w:t>
        </w:r>
      </w:hyperlink>
      <w:r>
        <w:t xml:space="preserve">. Each row in the data file carries its source in the final column so the provenance is auditable cell by cell.</w:t>
      </w:r>
    </w:p>
    <w:p>
      <w:pPr>
        <w:pStyle w:val="BodyText"/>
        <w:spacing w:line="480" w:lineRule="auto"/>
        <w:ind w:firstLine="720"/>
      </w:pPr>
      <w:r>
        <w:t xml:space="preserve">Three caveats attach to the acquisition-rate variable, and each is documented in the data file. First, the variable is a nominal rate as published; it is not a measure of realized user delivery. Weather, tasking demand, and downlink contention can drive realized rates below the nominal, and several missions advertise rates above what users typically receive. Second, two missions, PlanetScope-Dove and GOES-16, generate yield through mechanisms that the cross-section’s variable construction does not fully capture: Dove generates yield through constellation count, and GOES-16 generates yield through geostationary continuous scanning. Both are retained in the panel to avoid cherry-picking. Third, several missions, Aqua-MODIS and ICESat-2 among them, sit at the low end of downlink capacity despite operational maturity, which dampens the conditional contribution that the downlink regressor can carry.</w:t>
      </w:r>
    </w:p>
    <w:bookmarkEnd w:id="90"/>
    <w:bookmarkStart w:id="91" w:name="construction-of-the-autonomy-ordinal-1"/>
    <w:p>
      <w:pPr>
        <w:pStyle w:val="Heading3"/>
        <w:spacing w:line="480" w:lineRule="auto"/>
      </w:pPr>
      <w:r>
        <w:t xml:space="preserve">4.4.3 Construction of the Autonomy Ordinal</w:t>
      </w:r>
    </w:p>
    <w:p>
      <w:pPr>
        <w:pStyle w:val="FirstParagraph"/>
        <w:spacing w:line="480" w:lineRule="auto"/>
      </w:pPr>
      <w:r>
        <w:t xml:space="preserve">Paper 2 uses an autonomy ordinal that runs from one for a fixed ground-planned schedule to four for an onboard adaptive event-response policy, adapted from the Earth Observing One Autonomous Sciencecraft Experiment framework</w:t>
      </w:r>
      <w:r>
        <w:t xml:space="preserve"> </w:t>
      </w:r>
      <w:hyperlink w:anchor="ref-27">
        <w:r>
          <w:rPr>
            <w:rStyle w:val="Hyperlink"/>
          </w:rPr>
          <w:t xml:space="preserve">[27]</w:t>
        </w:r>
      </w:hyperlink>
      <w:r>
        <w:t xml:space="preserve"> </w:t>
      </w:r>
      <w:r>
        <w:t xml:space="preserve">and the operational taxonomies used in subsequent commercial-mission user guides. The Earth Observing One paper is the anchor for the upper band of the ordinal because it documents the first on-orbit deployment of an onboard agent that retasked an instrument in response to detected events and reduced detection-to-acquisition latency by orders of magnitude relative to ground-loop tasking</w:t>
      </w:r>
      <w:r>
        <w:t xml:space="preserve"> </w:t>
      </w:r>
      <w:hyperlink w:anchor="ref-27">
        <w:r>
          <w:rPr>
            <w:rStyle w:val="Hyperlink"/>
          </w:rPr>
          <w:t xml:space="preserve">[27]</w:t>
        </w:r>
      </w:hyperlink>
      <w:r>
        <w:t xml:space="preserve">. Lower bands are anchored against the ground-planned schedules described in agency mission documentation</w:t>
      </w:r>
      <w:r>
        <w:t xml:space="preserve"> </w:t>
      </w:r>
      <w:hyperlink w:anchor="ref-31">
        <w:r>
          <w:rPr>
            <w:rStyle w:val="Hyperlink"/>
          </w:rPr>
          <w:t xml:space="preserve">[31]</w:t>
        </w:r>
      </w:hyperlink>
      <w:r>
        <w:t xml:space="preserve">[32].</w:t>
      </w:r>
    </w:p>
    <w:p>
      <w:pPr>
        <w:pStyle w:val="BodyText"/>
        <w:spacing w:line="480" w:lineRule="auto"/>
        <w:ind w:firstLine="720"/>
      </w:pPr>
      <w:r>
        <w:t xml:space="preserve">The coarseness of the ordinal is acknowledged frankly in Paper 2 and is a limitation that the next data collection will revisit. A finer scale that distinguished onboard scheduling from onboard event response would be preferable, and the prospectus has reserved space for that refinement when the simulation experiment is run. For the cross-section, however, the four-level scale matches the granularity at which the public documentation describes the architecture.</w:t>
      </w:r>
    </w:p>
    <w:bookmarkEnd w:id="91"/>
    <w:bookmarkStart w:id="92" w:name="other-variables"/>
    <w:p>
      <w:pPr>
        <w:pStyle w:val="Heading3"/>
        <w:spacing w:line="480" w:lineRule="auto"/>
      </w:pPr>
      <w:r>
        <w:t xml:space="preserve">4.4.4 Other Variables</w:t>
      </w:r>
    </w:p>
    <w:p>
      <w:pPr>
        <w:pStyle w:val="FirstParagraph"/>
        <w:spacing w:line="480" w:lineRule="auto"/>
      </w:pPr>
      <w:r>
        <w:t xml:space="preserve">Agility is read in degrees per second from the agility specification in the relevant agency or vendor source. The Pleiades-HR productivity paper publishes the agility number directly</w:t>
      </w:r>
      <w:r>
        <w:t xml:space="preserve"> </w:t>
      </w:r>
      <w:hyperlink w:anchor="ref-29">
        <w:r>
          <w:rPr>
            <w:rStyle w:val="Hyperlink"/>
          </w:rPr>
          <w:t xml:space="preserve">[29]</w:t>
        </w:r>
      </w:hyperlink>
      <w:r>
        <w:t xml:space="preserve">, as does the WorldView technical note</w:t>
      </w:r>
      <w:r>
        <w:t xml:space="preserve"> </w:t>
      </w:r>
      <w:hyperlink w:anchor="ref-30">
        <w:r>
          <w:rPr>
            <w:rStyle w:val="Hyperlink"/>
          </w:rPr>
          <w:t xml:space="preserve">[30]</w:t>
        </w:r>
      </w:hyperlink>
      <w:r>
        <w:t xml:space="preserve">. Sentinel-2 and ICESat-2 publish agility specifications consistent with their mission profiles</w:t>
      </w:r>
      <w:r>
        <w:t xml:space="preserve"> </w:t>
      </w:r>
      <w:hyperlink w:anchor="ref-31">
        <w:r>
          <w:rPr>
            <w:rStyle w:val="Hyperlink"/>
          </w:rPr>
          <w:t xml:space="preserve">[31]</w:t>
        </w:r>
      </w:hyperlink>
      <w:r>
        <w:t xml:space="preserve">[32]. Downlink capacity is read in gigabits per second from the same agency or vendor documentation. The year-of-initial-operational-capability variable is read from the mission paper, where reported, or from the agency announcement of operational status where it is not. The natural-log transformations applied to the dependent variable and to the downlink regressor in the estimating equation are documented in the workbook header so the transformations are not buried in the script.</w:t>
      </w:r>
    </w:p>
    <w:bookmarkEnd w:id="92"/>
    <w:bookmarkEnd w:id="93"/>
    <w:bookmarkStart w:id="97" w:name="Xcef6f726d65486deb915ec1e539fc9292a22c4d"/>
    <w:p>
      <w:pPr>
        <w:pStyle w:val="Heading2"/>
        <w:spacing w:line="480" w:lineRule="auto"/>
      </w:pPr>
      <w:r>
        <w:t xml:space="preserve">4.5 Simulation Input Dataset for the Paired Experiment</w:t>
      </w:r>
    </w:p>
    <w:p>
      <w:pPr>
        <w:pStyle w:val="FirstParagraph"/>
        <w:spacing w:line="480" w:lineRule="auto"/>
      </w:pPr>
      <w:r>
        <w:t xml:space="preserve">The paired simulation experiment is the next paper in the dissertation, and its measurement architecture is set out here so that the three datasets can be read as a single integrated design.</w:t>
      </w:r>
    </w:p>
    <w:bookmarkStart w:id="94" w:name="X8c06565da58c2dd38d783ebf6b3e2508764d6c7"/>
    <w:p>
      <w:pPr>
        <w:pStyle w:val="Heading3"/>
        <w:spacing w:line="480" w:lineRule="auto"/>
      </w:pPr>
      <w:r>
        <w:t xml:space="preserve">4.5.1 Target Population: The Public Resident Space Object Catalog</w:t>
      </w:r>
    </w:p>
    <w:p>
      <w:pPr>
        <w:pStyle w:val="FirstParagraph"/>
        <w:spacing w:line="480" w:lineRule="auto"/>
      </w:pPr>
      <w:r>
        <w:t xml:space="preserve">The target population is the public catalog of resident space objects distributed through Space-Track.org, the United States Space Force’s authoritative public unclassified catalog. Access is by credentialed application programming interface call, and the records are returned as two-line element sets. The fields used by the simulation are the standard set: epoch, mean motion, inclination, eccentricity, argument of perigee, right ascension of the ascending node, and mean anomaly, all of which are necessary for propagation of target states and computation of visibility windows from a ground site. The catalog covers approximately tens of thousands of tracked objects in the unclassified inventory, which is the population over which Paper 1’s autonomy premium has been measured and which the simulation must therefore use to keep its findings commensurable with the Paper 1 estimate. The two-line element format is documented and stable, and the Space-Track endpoint is public, which together make the target set fully reproducible by any reviewer with a Space-Track account.</w:t>
      </w:r>
    </w:p>
    <w:p>
      <w:pPr>
        <w:pStyle w:val="BodyText"/>
        <w:spacing w:line="480" w:lineRule="auto"/>
        <w:ind w:firstLine="720"/>
      </w:pPr>
      <w:r>
        <w:t xml:space="preserve">Initial target covariances are seeded from two-line element epoch age, which is the standard proxy for state uncertainty used in the published scheduling work and which permits the simulation to begin each night from a covariance state that is consistent with the operational reality of a ground optical site working from public catalog data. The seeding procedure is the same in both arms of the paired comparison, so any bias introduced by the proxy is shared and cancels in the within-pair difference.</w:t>
      </w:r>
    </w:p>
    <w:bookmarkEnd w:id="94"/>
    <w:bookmarkStart w:id="95" w:name="sensor-model"/>
    <w:p>
      <w:pPr>
        <w:pStyle w:val="Heading3"/>
        <w:spacing w:line="480" w:lineRule="auto"/>
      </w:pPr>
      <w:r>
        <w:t xml:space="preserve">4.5.2 Sensor Model</w:t>
      </w:r>
    </w:p>
    <w:p>
      <w:pPr>
        <w:pStyle w:val="FirstParagraph"/>
        <w:spacing w:line="480" w:lineRule="auto"/>
      </w:pPr>
      <w:r>
        <w:t xml:space="preserve">The sensor model is drawn from the published AMOS optical-tasking literature rather than constructed bespoke. Site parameters, slew and settle times, limiting magnitude, and field-of-regard constraints are read from the documented sensor specifications in the Heimdall papers</w:t>
      </w:r>
      <w:r>
        <w:t xml:space="preserve"> </w:t>
      </w:r>
      <w:hyperlink w:anchor="ref-5">
        <w:r>
          <w:rPr>
            <w:rStyle w:val="Hyperlink"/>
          </w:rPr>
          <w:t xml:space="preserve">[5]</w:t>
        </w:r>
      </w:hyperlink>
      <w:r>
        <w:t xml:space="preserve">[7] and from the conjunction-assessment scheduling work</w:t>
      </w:r>
      <w:r>
        <w:t xml:space="preserve"> </w:t>
      </w:r>
      <w:hyperlink w:anchor="ref-2">
        <w:r>
          <w:rPr>
            <w:rStyle w:val="Hyperlink"/>
          </w:rPr>
          <w:t xml:space="preserve">[2]</w:t>
        </w:r>
      </w:hyperlink>
      <w:r>
        <w:t xml:space="preserve">[3]. Using a published sensor model has three measurement benefits. It keeps the experiment auditable, because the parameters are themselves citable to peer-reviewed sources. It ties the simulation to instruments that exist rather than to hypothetical hardware. And it keeps the simulation’s sensor configuration commensurable with the Paper 1 panel, in which the same papers contribute campaign rows.</w:t>
      </w:r>
    </w:p>
    <w:bookmarkEnd w:id="95"/>
    <w:bookmarkStart w:id="96" w:name="information-gain-metric"/>
    <w:p>
      <w:pPr>
        <w:pStyle w:val="Heading3"/>
        <w:spacing w:line="480" w:lineRule="auto"/>
      </w:pPr>
      <w:r>
        <w:t xml:space="preserve">4.5.3 Information-Gain Metric</w:t>
      </w:r>
    </w:p>
    <w:p>
      <w:pPr>
        <w:pStyle w:val="FirstParagraph"/>
        <w:spacing w:line="480" w:lineRule="auto"/>
      </w:pPr>
      <w:r>
        <w:t xml:space="preserve">The dependent measure in the simulation is information gain per sensor-second, scaled by target priority. Information gain is operationalized as covariance reduction in the same construction used by the published ground schedulers</w:t>
      </w:r>
      <w:r>
        <w:t xml:space="preserve"> </w:t>
      </w:r>
      <w:hyperlink w:anchor="ref-2">
        <w:r>
          <w:rPr>
            <w:rStyle w:val="Hyperlink"/>
          </w:rPr>
          <w:t xml:space="preserve">[2]</w:t>
        </w:r>
      </w:hyperlink>
      <w:r>
        <w:t xml:space="preserve">[3]. Both arms of the comparison are scored by the same metric construction so that the within-pair difference reflects the policy effect rather than a metric mismatch. A secondary custody-loss metric is logged in parallel because the prospectus has flagged construct validity as a threat and because a mission that values custody differently could rank the policies differently from a pure information-gain ranking.</w:t>
      </w:r>
    </w:p>
    <w:bookmarkEnd w:id="96"/>
    <w:bookmarkEnd w:id="97"/>
    <w:bookmarkStart w:id="98" w:name="auditing-and-reproducibility-procedures"/>
    <w:p>
      <w:pPr>
        <w:pStyle w:val="Heading2"/>
        <w:spacing w:line="480" w:lineRule="auto"/>
      </w:pPr>
      <w:r>
        <w:t xml:space="preserve">4.6 Auditing and Reproducibility Procedures</w:t>
      </w:r>
    </w:p>
    <w:p>
      <w:pPr>
        <w:pStyle w:val="FirstParagraph"/>
        <w:spacing w:line="480" w:lineRule="auto"/>
      </w:pPr>
      <w:r>
        <w:t xml:space="preserve">Three procedures protect the panels against drift between the underlying records and the analytical files.</w:t>
      </w:r>
    </w:p>
    <w:p>
      <w:pPr>
        <w:pStyle w:val="BodyText"/>
        <w:spacing w:line="480" w:lineRule="auto"/>
        <w:ind w:firstLine="720"/>
      </w:pPr>
      <w:r>
        <w:t xml:space="preserve">First, every cell in the Paper 1 and Paper 2 panels carries its source in a final column, identifying the paper or document from which the value was read. This lets a reviewer re-read the source and re-derive the cell without consulting any intermediate tabulation.</w:t>
      </w:r>
    </w:p>
    <w:p>
      <w:pPr>
        <w:pStyle w:val="BodyText"/>
        <w:spacing w:line="480" w:lineRule="auto"/>
        <w:ind w:firstLine="720"/>
      </w:pPr>
      <w:r>
        <w:t xml:space="preserve">Second, the autonomy ordinal coding rubric is published in a configuration file that accompanies each paper. The rubric is the rubric described in Sections 4.3.3 and 4.4.3, and the codes are exposed as a flat list so that any reviewer can re-code from the same source papers using the same rubric and confirm the assignments. The conservative tie-breaking rule, in which an ambiguous source description is rounded down rather than up, is documented in the same file.</w:t>
      </w:r>
    </w:p>
    <w:p>
      <w:pPr>
        <w:pStyle w:val="BodyText"/>
        <w:spacing w:line="480" w:lineRule="auto"/>
        <w:ind w:firstLine="720"/>
      </w:pPr>
      <w:r>
        <w:t xml:space="preserve">Third, the simulation input dataset is reproducible from a Space-Track query of the unclassified catalog at a stated epoch. The epoch will be fixed before the simulated nights are run and will be reported in the next paper. Reviewers with a Space-Track account will be able to re-pull the catalog at the same epoch and reproduce the target set exactly. The sensor model parameters are read from the cited papers, so reviewers do not need any further access to reproduce the simulator’s configuration.</w:t>
      </w:r>
    </w:p>
    <w:bookmarkEnd w:id="98"/>
    <w:bookmarkStart w:id="99" w:name="Xa801c4c7fa710fe5b97289ae459f54b1b7a9267"/>
    <w:p>
      <w:pPr>
        <w:pStyle w:val="Heading2"/>
        <w:spacing w:line="480" w:lineRule="auto"/>
      </w:pPr>
      <w:r>
        <w:t xml:space="preserve">4.7 Boundaries of the Measurement Architecture</w:t>
      </w:r>
    </w:p>
    <w:p>
      <w:pPr>
        <w:pStyle w:val="FirstParagraph"/>
        <w:spacing w:line="480" w:lineRule="auto"/>
      </w:pPr>
      <w:r>
        <w:t xml:space="preserve">Three boundaries deserve naming, because they govern what the dissertation’s empirical claims can and cannot support.</w:t>
      </w:r>
    </w:p>
    <w:p>
      <w:pPr>
        <w:pStyle w:val="BodyText"/>
        <w:spacing w:line="480" w:lineRule="auto"/>
        <w:ind w:firstLine="720"/>
      </w:pPr>
      <w:r>
        <w:t xml:space="preserve">The first is that the Paper 1 panel measures conditional association, not causal effect, between the autonomy ordinal and observations per night. The literature does not provide random assignment of architecture to site, and the simulation paper, not the Paper 1 panel, is what isolates the policy effect under matched geometry and matched priors. The Paper 1 panel is intended as the prior empirical work, asking whether the published record taken as a whole supports a conditional autonomy premium after sensor physics and network breadth are controlled for. The measurement architecture has been designed to answer that question and no more.</w:t>
      </w:r>
    </w:p>
    <w:p>
      <w:pPr>
        <w:pStyle w:val="BodyText"/>
        <w:spacing w:line="480" w:lineRule="auto"/>
        <w:ind w:firstLine="720"/>
      </w:pPr>
      <w:r>
        <w:t xml:space="preserve">The second is that the Paper 2 cross-section measures the same conditional association on a different population, namely Earth-observing missions, on a different yield variable, namely nominal daily image acquisitions. The autonomy ordinal there is coarser than the operational reality, the yield variable is nominal rather than realized, and the sample is dominated by a handful of large operational families whose internal correlation across regressors is high. The chapter records these limits because the substantive reading of the Paper 2 estimates depends on them.</w:t>
      </w:r>
    </w:p>
    <w:p>
      <w:pPr>
        <w:pStyle w:val="BodyText"/>
        <w:spacing w:line="480" w:lineRule="auto"/>
        <w:ind w:firstLine="720"/>
      </w:pPr>
      <w:r>
        <w:t xml:space="preserve">The third is that the simulation input dataset is conditional on a regime: ground optical sensing of catalogued resident space objects with two-line-element-grade initial uncertainty. The dissertation’s central claim about the value of moving the tasking decision onboard is, properly stated, a claim about that regime. Other regimes, in particular longer light-time delay or sparser priors, are out of scope and are reserved for extension. The measurement architecture is built to support exactly the claim that the prospectus has registered and not a more ambitious one. That discipline is the price of the falsifiable contribution that the dissertation has committed to.</w:t>
      </w:r>
    </w:p>
    <w:bookmarkEnd w:id="99"/>
    <w:bookmarkEnd w:id="100"/>
    <w:bookmarkStart w:id="116"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specifies the estimators that produce the dissertation’s quantitative results and the identification strategy that lets those estimators speak to the value-of-information question rather than to incidental features of the data. It then walks through the threats to validity in the order an examiner is most likely to raise them, and for each threat states the specific design choice or sensitivity check that bounds it. The chapter is written so that a reader can reconstruct the analysis from the prospectus, the two completed research papers, and the publicly named data sources, without recourse to private materials.</w:t>
      </w:r>
    </w:p>
    <w:p>
      <w:pPr>
        <w:pStyle w:val="BodyText"/>
        <w:spacing w:line="480" w:lineRule="auto"/>
        <w:ind w:firstLine="720"/>
      </w:pPr>
      <w:r>
        <w:t xml:space="preserve">The dissertation argues a single empirical proposition: that an adaptive onboard tasking policy yields more information per unit of sensor time than a ground-computed optimized schedule, holding sensor physics and observing geometry fixed. The proposition is approached on three legs. The first leg is a cross-section of published optical sensor-tasking campaigns, estimated by ordinary least squares, that asks whether the conditional association between an autonomy ordinal and observations per night is positive after sensor and network controls. The second leg is a cross-section of Earth-observing missions, also estimated by ordinary least squares, that asks whether autonomy and agility raise log daily image yield after downlink and vintage are held constant. The third leg, scheduled for the simulation chapter that follows, is a paired simulation experiment that compares an onboard greedy value-of-information policy to a ground figure-of-merit schedule under matched geometry and matched priors. The estimators and identification arguments differ across the three legs, and each is treated on its own terms.</w:t>
      </w:r>
    </w:p>
    <w:bookmarkStart w:id="104" w:name="estimators"/>
    <w:p>
      <w:pPr>
        <w:pStyle w:val="Heading2"/>
        <w:spacing w:line="480" w:lineRule="auto"/>
      </w:pPr>
      <w:r>
        <w:t xml:space="preserve">5.1 Estimators</w:t>
      </w:r>
    </w:p>
    <w:bookmarkStart w:id="101" w:name="X9ffe384d4501cbbcfa0b2817ac4774fd43412ce"/>
    <w:p>
      <w:pPr>
        <w:pStyle w:val="Heading3"/>
        <w:spacing w:line="480" w:lineRule="auto"/>
      </w:pPr>
      <w:r>
        <w:t xml:space="preserve">5.1.1 Ordinary least squares on published optical campaigns</w:t>
      </w:r>
    </w:p>
    <w:p>
      <w:pPr>
        <w:pStyle w:val="FirstParagraph"/>
        <w:spacing w:line="480" w:lineRule="auto"/>
      </w:pPr>
      <w:r>
        <w:t xml:space="preserve">The first estimator is ordinary least squares with heteroskedasticity-consistent standard errors fit to the panel of thirty-two published optical sensor-tasking campaigns. The unit of observation is a campaign, defined as a configuration of one or more sites operating under a stated tasking architecture with a reported throughput in observations per night</w:t>
      </w:r>
      <w:r>
        <w:t xml:space="preserve"> </w:t>
      </w:r>
      <w:hyperlink w:anchor="ref-5">
        <w:r>
          <w:rPr>
            <w:rStyle w:val="Hyperlink"/>
          </w:rPr>
          <w:t xml:space="preserve">[5]</w:t>
        </w:r>
      </w:hyperlink>
      <w:r>
        <w:t xml:space="preserve">[7][12]. The dependent variable is observations per night as reported in the source paper. The regressors are aperture in meters, slew rate in degrees per second, the autonomy ordinal, and the number of sites in the campaign. The autonomy ordinal is coded on the four-level scheme established in the first research paper: one for manual tasking, two for a precomputed ground schedule, three for ground figure-of-merit optimization in the Heimdall lineage</w:t>
      </w:r>
      <w:r>
        <w:t xml:space="preserve"> </w:t>
      </w:r>
      <w:hyperlink w:anchor="ref-5">
        <w:r>
          <w:rPr>
            <w:rStyle w:val="Hyperlink"/>
          </w:rPr>
          <w:t xml:space="preserve">[5]</w:t>
        </w:r>
      </w:hyperlink>
      <w:r>
        <w:t xml:space="preserve">[7], four for onboard or decentralized adaptive policy</w:t>
      </w:r>
      <w:r>
        <w:t xml:space="preserve"> </w:t>
      </w:r>
      <w:hyperlink w:anchor="ref-1">
        <w:r>
          <w:rPr>
            <w:rStyle w:val="Hyperlink"/>
          </w:rPr>
          <w:t xml:space="preserve">[1]</w:t>
        </w:r>
      </w:hyperlink>
      <w:r>
        <w:t xml:space="preserve">[12][16].</w:t>
      </w:r>
    </w:p>
    <w:p>
      <w:pPr>
        <w:pStyle w:val="BodyText"/>
        <w:spacing w:line="480" w:lineRule="auto"/>
        <w:ind w:firstLine="720"/>
      </w:pPr>
      <w:r>
        <w:t xml:space="preserve">The estimator is intentionally minimal. The panel is small and the data-generating process behind any published throughput number is heterogeneous, so a richer specification would invite overfitting rather than discipline. The first paper documents the fitted result: a conditional autonomy coefficient of 52.9 observations per night per ordinal step with a robust standard error of 12.7, an aperture coefficient of 92.8 with a robust standard error of 20.1, a site coefficient of 174.0 with a robust standard error of 10.3, and a slew-rate coefficient not distinguishable from zero. Those numbers are reported here only to anchor the estimator; the inferential burden the chapter carries is to explain why that ordinary least squares fit identifies the conditional association the prospectus claims, and what it cannot identify.</w:t>
      </w:r>
    </w:p>
    <w:bookmarkEnd w:id="101"/>
    <w:bookmarkStart w:id="102" w:name="X6ffe79fe555e8fc587aabe5b1568347b23fd4f6"/>
    <w:p>
      <w:pPr>
        <w:pStyle w:val="Heading3"/>
        <w:spacing w:line="480" w:lineRule="auto"/>
      </w:pPr>
      <w:r>
        <w:t xml:space="preserve">5.1.2 Ordinary least squares on Earth-observing missions</w:t>
      </w:r>
    </w:p>
    <w:p>
      <w:pPr>
        <w:pStyle w:val="FirstParagraph"/>
        <w:spacing w:line="480" w:lineRule="auto"/>
      </w:pPr>
      <w:r>
        <w:t xml:space="preserve">The second estimator is ordinary least squares with Huber-White HC1 robust standard errors fit to the cross-section of thirty-two Earth-observing missions described in the second research paper. The dependent variable is the natural logarithm of nominal daily image acquisitions as reported in vendor datasheets, agency user guides, and peer-reviewed mission papers. The regressors are an autonomy ordinal coded on the same four-level scheme adapted from the Autonomous Sciencecraft Experiment framework</w:t>
      </w:r>
      <w:r>
        <w:t xml:space="preserve"> </w:t>
      </w:r>
      <w:hyperlink w:anchor="ref-27">
        <w:r>
          <w:rPr>
            <w:rStyle w:val="Hyperlink"/>
          </w:rPr>
          <w:t xml:space="preserve">[27]</w:t>
        </w:r>
      </w:hyperlink>
      <w:r>
        <w:t xml:space="preserve">, an agility variable measured in degrees per second of body-pointing slew, the logarithm of downlink capacity in gigabits per second, and the year of initial operational capability. The log transformation of the dependent variable accommodates the wide range of platform throughputs in the sample and turns multiplicative platform effects into additive ones, which is the form a linear estimator can read cleanly. The log transformation of downlink follows the systems-engineering convention that treats downlink as a capacity bottleneck whose marginal product diminishes as capacity grows</w:t>
      </w:r>
      <w:r>
        <w:t xml:space="preserve"> </w:t>
      </w:r>
      <w:hyperlink w:anchor="ref-31">
        <w:r>
          <w:rPr>
            <w:rStyle w:val="Hyperlink"/>
          </w:rPr>
          <w:t xml:space="preserve">[31]</w:t>
        </w:r>
      </w:hyperlink>
      <w:r>
        <w:t xml:space="preserve">[32].</w:t>
      </w:r>
    </w:p>
    <w:p>
      <w:pPr>
        <w:pStyle w:val="BodyText"/>
        <w:spacing w:line="480" w:lineRule="auto"/>
        <w:ind w:firstLine="720"/>
      </w:pPr>
      <w:r>
        <w:t xml:space="preserve">The second paper reports the fitted result: an overall R-squared of 0.32 with adjusted R-squared 0.22, an F statistic of 3.41 on the four regressors with an F p-value of 0.022, and individual coefficients none of which clear a five-percent threshold under robust standard errors. The autonomy coefficient is negative and not significant. The agility coefficient is essentially zero. The log-downlink coefficient is positive and not significant. The year-of-IOC coefficient is positive and the closest to conventional significance. The estimator is therefore informative in the joint test and uninformative on any single channel. The methodological work of the chapter is to be honest about that and to specify what the estimator can and cannot say about the dissertation’s central proposition.</w:t>
      </w:r>
    </w:p>
    <w:bookmarkEnd w:id="102"/>
    <w:bookmarkStart w:id="103" w:name="X158c835eb850659ea05e4c59b220fe65e7b7035"/>
    <w:p>
      <w:pPr>
        <w:pStyle w:val="Heading3"/>
        <w:spacing w:line="480" w:lineRule="auto"/>
      </w:pPr>
      <w:r>
        <w:t xml:space="preserve">5.1.3 Paired simulation estimator for the next chapter</w:t>
      </w:r>
    </w:p>
    <w:p>
      <w:pPr>
        <w:pStyle w:val="FirstParagraph"/>
        <w:spacing w:line="480" w:lineRule="auto"/>
      </w:pPr>
      <w:r>
        <w:t xml:space="preserve">The third estimator, set up here so the identification argument can be made in one place, is the paired-difference estimator on the simulation experiment that the prospectus pre-registers. The estimand is the average treatment effect of the tasking policy on information gain per sensor-second, where treatment is the onboard adaptive greedy value-of-information policy and control is the ground figure-of-merit schedule. The simulator runs each simulated night twice on identical inputs: identical target population drawn from the Space-Track catalog, identical initial covariances seeded from two-line element epoch age, identical sensor model drawn from the published Heimdall and Australian conjunction assessment papers</w:t>
      </w:r>
      <w:r>
        <w:t xml:space="preserve"> </w:t>
      </w:r>
      <w:hyperlink w:anchor="ref-3">
        <w:r>
          <w:rPr>
            <w:rStyle w:val="Hyperlink"/>
          </w:rPr>
          <w:t xml:space="preserve">[3]</w:t>
        </w:r>
      </w:hyperlink>
      <w:r>
        <w:t xml:space="preserve">[5], identical weather realization, and identical visibility geometry. Only the tasking policy differs across the two arms. The within-pair difference in information gain per sensor-second is the unit of inference. The primary test is a paired test on those within-pair differences. The secondary specification is a linear mixed-effects model with night as a random effect, which absorbs residual heterogeneity across nights without spending statistical power on between-night variance that the pairing has already removed. Information gain itself is operationalized as the trace of the prior posterior covariance reduction, scaled by mission priority weights, in line with the construction used by the Australian conjunction assessment scheduler</w:t>
      </w:r>
      <w:r>
        <w:t xml:space="preserve"> </w:t>
      </w:r>
      <w:hyperlink w:anchor="ref-3">
        <w:r>
          <w:rPr>
            <w:rStyle w:val="Hyperlink"/>
          </w:rPr>
          <w:t xml:space="preserve">[3]</w:t>
        </w:r>
      </w:hyperlink>
      <w:r>
        <w:t xml:space="preserve"> </w:t>
      </w:r>
      <w:r>
        <w:t xml:space="preserve">and consistent with the figure-of-merit family that Heimdall popularized</w:t>
      </w:r>
      <w:r>
        <w:t xml:space="preserve"> </w:t>
      </w:r>
      <w:hyperlink w:anchor="ref-5">
        <w:r>
          <w:rPr>
            <w:rStyle w:val="Hyperlink"/>
          </w:rPr>
          <w:t xml:space="preserve">[5]</w:t>
        </w:r>
      </w:hyperlink>
      <w:r>
        <w:t xml:space="preserve">[7].</w:t>
      </w:r>
    </w:p>
    <w:bookmarkEnd w:id="103"/>
    <w:bookmarkEnd w:id="104"/>
    <w:bookmarkStart w:id="108" w:name="identification"/>
    <w:p>
      <w:pPr>
        <w:pStyle w:val="Heading2"/>
        <w:spacing w:line="480" w:lineRule="auto"/>
      </w:pPr>
      <w:r>
        <w:t xml:space="preserve">5.2 Identification</w:t>
      </w:r>
    </w:p>
    <w:bookmarkStart w:id="105" w:name="Xfff96d9b74606c6cdee6c56b06beff280930092"/>
    <w:p>
      <w:pPr>
        <w:pStyle w:val="Heading3"/>
        <w:spacing w:line="480" w:lineRule="auto"/>
      </w:pPr>
      <w:r>
        <w:t xml:space="preserve">5.2.1 What the cross-section of optical campaigns identifies</w:t>
      </w:r>
    </w:p>
    <w:p>
      <w:pPr>
        <w:pStyle w:val="FirstParagraph"/>
        <w:spacing w:line="480" w:lineRule="auto"/>
      </w:pPr>
      <w:r>
        <w:t xml:space="preserve">The cross-section of published optical campaigns identifies a conditional association, not a causal effect. The literature offers no random assignment of architecture to site; the campaigns that report onboard or decentralized architectures are also, on average, the campaigns that report larger networks</w:t>
      </w:r>
      <w:r>
        <w:t xml:space="preserve"> </w:t>
      </w:r>
      <w:hyperlink w:anchor="ref-12">
        <w:r>
          <w:rPr>
            <w:rStyle w:val="Hyperlink"/>
          </w:rPr>
          <w:t xml:space="preserve">[12]</w:t>
        </w:r>
      </w:hyperlink>
      <w:r>
        <w:t xml:space="preserve">[14][16]. The aperture and site-count controls absorb the parts of the architectural choice that are co-determined with hardware investment and footprint expansion respectively. What survives the controls is the conditional contribution of the autonomy ordinal net of those two channels. The identification claim is therefore narrow and defensible: after holding aperture, slew rate, and site count fixed, an increase on the autonomy ordinal is associated with about fifty-three additional observations per night, and the lower bound of the confidence interval remains operationally meaningful. The estimator does not claim that moving a given site from architecture three to architecture four would produce that gain. It claims that the pooled record, taken on its own terms, is consistent with a positive conditional autonomy premium.</w:t>
      </w:r>
    </w:p>
    <w:p>
      <w:pPr>
        <w:pStyle w:val="BodyText"/>
        <w:spacing w:line="480" w:lineRule="auto"/>
        <w:ind w:firstLine="720"/>
      </w:pPr>
      <w:r>
        <w:t xml:space="preserve">Three identification choices deserve to be named because they are the choices an examiner is most likely to probe. First, the autonomy ordinal is treated as cardinal in the linear specification. That is a deliberate simplification; the prospectus already names the coding as coarse, and the chapter does not pretend that the step from level three to level four is the same theoretical object as the step from level one to level two. The robustness check, run as a sensitivity, replaces the cardinal ordinal with a set of indicator variables for each level. The sign and the order of the coefficients survive that substitution; the size of the level-four indicator does not move outside the confidence interval of the cardinal coefficient multiplied by three. The cardinal specification is reported in the main text for parsimony and because the indicator version offers no additional identification, only additional noise.</w:t>
      </w:r>
    </w:p>
    <w:p>
      <w:pPr>
        <w:pStyle w:val="BodyText"/>
        <w:spacing w:line="480" w:lineRule="auto"/>
        <w:ind w:firstLine="720"/>
      </w:pPr>
      <w:r>
        <w:t xml:space="preserve">Second, the site-count control is the dominant production margin in the fitted model and the variable most likely to be correlated with the architectural choice. The estimator is identified by within-site-count variation in architecture, which is sparse but not zero in the panel: there are single-site campaigns at architectures two, three, and four, and there are multi-site campaigns at architectures two, three, and four. The conditional autonomy coefficient is the average of those within-site-count contrasts, weighted by their precision. A specification that drops the site-count control returns a larger autonomy coefficient, as expected; the conservative reading reports the controlled estimate.</w:t>
      </w:r>
    </w:p>
    <w:p>
      <w:pPr>
        <w:pStyle w:val="BodyText"/>
        <w:spacing w:line="480" w:lineRule="auto"/>
        <w:ind w:firstLine="720"/>
      </w:pPr>
      <w:r>
        <w:t xml:space="preserve">Third, the panel pools AMOS conference papers and Acta Astronautica journal papers without a venue indicator. Venue is correlated with reporting conventions but not, in inspection, with the autonomy ordinal. A sensitivity that adds a venue indicator leaves the autonomy coefficient inside its confidence interval and the chapter records that as a passed check.</w:t>
      </w:r>
    </w:p>
    <w:bookmarkEnd w:id="105"/>
    <w:bookmarkStart w:id="106" w:name="Xc30f0e89ae9d2c4180b77228f2e06c8b8120a19"/>
    <w:p>
      <w:pPr>
        <w:pStyle w:val="Heading3"/>
        <w:spacing w:line="480" w:lineRule="auto"/>
      </w:pPr>
      <w:r>
        <w:t xml:space="preserve">5.2.2 What the Earth-observing cross-section identifies</w:t>
      </w:r>
    </w:p>
    <w:p>
      <w:pPr>
        <w:pStyle w:val="FirstParagraph"/>
        <w:spacing w:line="480" w:lineRule="auto"/>
      </w:pPr>
      <w:r>
        <w:t xml:space="preserve">The Earth-observing cross-section identifies the conditional contribution of autonomy and agility to nominal daily image yield, holding downlink and vintage fixed. The second paper reports the result honestly: under the small sample available and the high internal correlation among regressors, the individual channels cannot be separated from the rest of the platform bundle, and only the joint test rejects the null that none of the four regressors carries information. That is a finding about identification limits, not a finding against autonomy. The chapter records the inference limit explicitly. The dissertation does not use the Earth-observing cross-section to argue for or against the autonomy premium; it uses it to triangulate the boundary of the empirical record. The two cross-sections, taken together, license the claim that the conditional association in the space-tracking literature is positive and statistically distinguishable, while the conditional association in the Earth-observing literature is not statistically separable from co-moving platform choices at the available sample size.</w:t>
      </w:r>
    </w:p>
    <w:bookmarkEnd w:id="106"/>
    <w:bookmarkStart w:id="107" w:name="X42fa1eb052acd02771c36343f26495b4a28e434"/>
    <w:p>
      <w:pPr>
        <w:pStyle w:val="Heading3"/>
        <w:spacing w:line="480" w:lineRule="auto"/>
      </w:pPr>
      <w:r>
        <w:t xml:space="preserve">5.2.3 What the simulation experiment identifies</w:t>
      </w:r>
    </w:p>
    <w:p>
      <w:pPr>
        <w:pStyle w:val="FirstParagraph"/>
        <w:spacing w:line="480" w:lineRule="auto"/>
      </w:pPr>
      <w:r>
        <w:t xml:space="preserve">The simulation experiment is the leg of the dissertation that approximates causal identification. Pairing within night removes between-night variance from target geometry and observability, so the within-pair difference isolates the policy effect. The matched-input design holds constant every input the simulator can hold constant: catalog, priors, sensor model, weather realization, visibility geometry, execution latency. The only systematic difference across the two arms is the tasking policy. The within-pair estimator is therefore unbiased for the average effect of the policy on the per-night information-gain rate, conditional on the simulator being a faithful representation of the modeled regime. The boundary of that conditional is the proper subject of the external-validity discussion in the next section.</w:t>
      </w:r>
    </w:p>
    <w:p>
      <w:pPr>
        <w:pStyle w:val="BodyText"/>
        <w:spacing w:line="480" w:lineRule="auto"/>
        <w:ind w:firstLine="720"/>
      </w:pPr>
      <w:r>
        <w:t xml:space="preserve">The pre-registered power analysis fixes the number of simulated nights before any outcome is examined. The prospectus is explicit on that point and the chapter binds the simulation chapter to it. The pre-registered primary hypothesis is one-sided in the direction of the onboard arm, and the significance level is pre-registered. Secondary analyses, including the secondary custody-loss metric and the sensitivity runs across covariance-seeding assumptions and revisit cadences, are treated as exploratory and are reported with adjusted significance thresholds where they are reported at all.</w:t>
      </w:r>
    </w:p>
    <w:bookmarkEnd w:id="107"/>
    <w:bookmarkEnd w:id="108"/>
    <w:bookmarkStart w:id="114" w:name="threats-to-validity"/>
    <w:p>
      <w:pPr>
        <w:pStyle w:val="Heading2"/>
        <w:spacing w:line="480" w:lineRule="auto"/>
      </w:pPr>
      <w:r>
        <w:t xml:space="preserve">5.3 Threats to Validity</w:t>
      </w:r>
    </w:p>
    <w:bookmarkStart w:id="109" w:name="construct-validity"/>
    <w:p>
      <w:pPr>
        <w:pStyle w:val="Heading3"/>
        <w:spacing w:line="480" w:lineRule="auto"/>
      </w:pPr>
      <w:r>
        <w:t xml:space="preserve">5.3.1 Construct validity</w:t>
      </w:r>
    </w:p>
    <w:p>
      <w:pPr>
        <w:pStyle w:val="FirstParagraph"/>
        <w:spacing w:line="480" w:lineRule="auto"/>
      </w:pPr>
      <w:r>
        <w:t xml:space="preserve">The dissertation operationalizes value of information as covariance-reduction information gain weighted by mission priority. That is one operationalization. A mission that values custody, for instance, might prefer to measure the probability of losing a high-interest object over a tasking horizon. The first research paper does not require a construct-validity defense because its dependent variable is observations per night, which is the production margin the published campaigns report, and the chapter does not claim that observations per night is a value-of-information measure. The simulation experiment does carry a construct-validity claim, and the prospectus already binds it: the primary metric is information gain in the covariance-reduction sense</w:t>
      </w:r>
      <w:r>
        <w:t xml:space="preserve"> </w:t>
      </w:r>
      <w:hyperlink w:anchor="ref-3">
        <w:r>
          <w:rPr>
            <w:rStyle w:val="Hyperlink"/>
          </w:rPr>
          <w:t xml:space="preserve">[3]</w:t>
        </w:r>
      </w:hyperlink>
      <w:r>
        <w:t xml:space="preserve"> </w:t>
      </w:r>
      <w:r>
        <w:t xml:space="preserve">and the secondary metric is custody loss. Reporting both bounds the construct-validity threat by showing that the policy ranking is not an artefact of a single operationalization. If the two metrics rank the policies the same way, the construct-validity threat is small; if they rank differently, the dissertation reports the divergence rather than choosing one.</w:t>
      </w:r>
    </w:p>
    <w:bookmarkEnd w:id="109"/>
    <w:bookmarkStart w:id="110" w:name="internal-validity"/>
    <w:p>
      <w:pPr>
        <w:pStyle w:val="Heading3"/>
        <w:spacing w:line="480" w:lineRule="auto"/>
      </w:pPr>
      <w:r>
        <w:t xml:space="preserve">5.3.2 Internal validity</w:t>
      </w:r>
    </w:p>
    <w:p>
      <w:pPr>
        <w:pStyle w:val="FirstParagraph"/>
        <w:spacing w:line="480" w:lineRule="auto"/>
      </w:pPr>
      <w:r>
        <w:t xml:space="preserve">The internal-validity threat that an examiner is most likely to raise is that the onboard arm wins because the ground baseline is weak. The dissertation addresses this in two places. In the cross-section, the ground arms in the panel include the Heimdall figure-of-merit scheduler and the Australian conjunction assessment scheduler, both of which are strong published baselines</w:t>
      </w:r>
      <w:r>
        <w:t xml:space="preserve"> </w:t>
      </w:r>
      <w:hyperlink w:anchor="ref-3">
        <w:r>
          <w:rPr>
            <w:rStyle w:val="Hyperlink"/>
          </w:rPr>
          <w:t xml:space="preserve">[3]</w:t>
        </w:r>
      </w:hyperlink>
      <w:r>
        <w:t xml:space="preserve">[5][7]. The autonomy coefficient is identified against those baselines, not against manual tasking, so a finding that level four exceeds level three is a finding that onboard or decentralized adaptivity exceeds ground figure-of-merit optimization in the published record. In the simulation, the ground arm is a figure-of-merit optimizer in the Heimdall lineage</w:t>
      </w:r>
      <w:r>
        <w:t xml:space="preserve"> </w:t>
      </w:r>
      <w:hyperlink w:anchor="ref-5">
        <w:r>
          <w:rPr>
            <w:rStyle w:val="Hyperlink"/>
          </w:rPr>
          <w:t xml:space="preserve">[5]</w:t>
        </w:r>
      </w:hyperlink>
      <w:r>
        <w:t xml:space="preserve">[7], and the sensitivity grid varies the ground-arm solver quality so that the onboard premium can be read against a band of ground performance rather than a single point. If the onboard premium collapses as the ground solver improves, the dissertation reports that. If it survives, the dissertation reports that.</w:t>
      </w:r>
    </w:p>
    <w:p>
      <w:pPr>
        <w:pStyle w:val="BodyText"/>
        <w:spacing w:line="480" w:lineRule="auto"/>
        <w:ind w:firstLine="720"/>
      </w:pPr>
      <w:r>
        <w:t xml:space="preserve">A second internal-validity threat is that the autonomy ordinal in the cross-section is coded by the candidate from the architecture descriptions in each paper. The coding rubric is published in the configuration file accompanying the first paper so any reader can re-code. A sensitivity that re-codes ambiguous campaigns one ordinal step down does not flip the sign of the autonomy coefficient. The dissertation records that sensitivity as a passed check, and the chapter does not claim the coding is beyond reproach; it claims that the inferential conclusion is robust to plausible alternative codings.</w:t>
      </w:r>
    </w:p>
    <w:p>
      <w:pPr>
        <w:pStyle w:val="BodyText"/>
        <w:spacing w:line="480" w:lineRule="auto"/>
        <w:ind w:firstLine="720"/>
      </w:pPr>
      <w:r>
        <w:t xml:space="preserve">A third internal-validity threat is selection on the dependent variable. Published campaigns are more likely to report architectures that performed well, which would bias the autonomy coefficient upward if the most autonomy-positive campaigns are over-represented in the literature. The chapter records the threat explicitly and notes that the second research paper, on Earth-observing missions, is the natural disconfirmation: those missions are reported regardless of yield performance because public-good missions are publicly documented. The fact that the autonomy coefficient is negative and statistically indistinguishable from zero in the Earth-observing cross-section is consistent with a selection story in the optical-tracking cross-section, and the dissertation does not hide that.</w:t>
      </w:r>
    </w:p>
    <w:bookmarkEnd w:id="110"/>
    <w:bookmarkStart w:id="111" w:name="external-validity"/>
    <w:p>
      <w:pPr>
        <w:pStyle w:val="Heading3"/>
        <w:spacing w:line="480" w:lineRule="auto"/>
      </w:pPr>
      <w:r>
        <w:t xml:space="preserve">5.3.3 External validity</w:t>
      </w:r>
    </w:p>
    <w:p>
      <w:pPr>
        <w:pStyle w:val="FirstParagraph"/>
        <w:spacing w:line="480" w:lineRule="auto"/>
      </w:pPr>
      <w:r>
        <w:t xml:space="preserve">The external-validity boundary of the empirical record is the regime of ground optical sensing of catalogued resident space objects with two-line element-grade initial uncertainty in the first leg, and the regime of public and commercial Earth-observing platforms operating in the IOC band of 1999 to 2022 in the second leg. The dissertation does not claim that the autonomy premium identified in the first leg generalizes to long light-time-delay deep-space missions, to non-cooperative cislunar tracking</w:t>
      </w:r>
      <w:r>
        <w:t xml:space="preserve"> </w:t>
      </w:r>
      <w:hyperlink w:anchor="ref-39">
        <w:r>
          <w:rPr>
            <w:rStyle w:val="Hyperlink"/>
          </w:rPr>
          <w:t xml:space="preserve">[39]</w:t>
        </w:r>
      </w:hyperlink>
      <w:r>
        <w:t xml:space="preserve">, or to spacecraft-to-spacecraft tracking with optical sensors</w:t>
      </w:r>
      <w:r>
        <w:t xml:space="preserve"> </w:t>
      </w:r>
      <w:hyperlink w:anchor="ref-20">
        <w:r>
          <w:rPr>
            <w:rStyle w:val="Hyperlink"/>
          </w:rPr>
          <w:t xml:space="preserve">[20]</w:t>
        </w:r>
      </w:hyperlink>
      <w:r>
        <w:t xml:space="preserve">. Each of those regimes is named in the prospectus as a natural extension and is flagged as out of scope. The simulation chapter reports sensitivity across covariance-seeding assumptions and revisit cadences so the boundary of the finding is explicit rather than implicit.</w:t>
      </w:r>
    </w:p>
    <w:bookmarkEnd w:id="111"/>
    <w:bookmarkStart w:id="112" w:name="statistical-conclusion-validity"/>
    <w:p>
      <w:pPr>
        <w:pStyle w:val="Heading3"/>
        <w:spacing w:line="480" w:lineRule="auto"/>
      </w:pPr>
      <w:r>
        <w:t xml:space="preserve">5.3.4 Statistical-conclusion validity</w:t>
      </w:r>
    </w:p>
    <w:p>
      <w:pPr>
        <w:pStyle w:val="FirstParagraph"/>
        <w:spacing w:line="480" w:lineRule="auto"/>
      </w:pPr>
      <w:r>
        <w:t xml:space="preserve">The dissertation runs more than one test. Multiple sensitivity runs invite false positives if reported uncritically. The dissertation handles this through three commitments. The primary hypothesis is pre-registered. The number of simulated nights is fixed by power analysis before any outcome is examined. All secondary analyses are reported as exploratory and at adjusted significance thresholds. The chapter binds the simulation chapter to those commitments and the cross-section papers report their tests with robust standard errors as a matter of estimator hygiene rather than as a substitute for the pre-registration discipline.</w:t>
      </w:r>
    </w:p>
    <w:p>
      <w:pPr>
        <w:pStyle w:val="BodyText"/>
        <w:spacing w:line="480" w:lineRule="auto"/>
        <w:ind w:firstLine="720"/>
      </w:pPr>
      <w:r>
        <w:t xml:space="preserve">A second statistical-conclusion threat is the small sample in the Earth-observing cross-section. The chapter does not claim individual significance for any channel in that cross-section, and the dissertation does not lean on that cross-section for the central proposition. The cross-section is reported as a triangulation that bounds the empirical record, not as a hypothesis test.</w:t>
      </w:r>
    </w:p>
    <w:bookmarkEnd w:id="112"/>
    <w:bookmarkStart w:id="113" w:name="threats-specific-to-the-simulation"/>
    <w:p>
      <w:pPr>
        <w:pStyle w:val="Heading3"/>
        <w:spacing w:line="480" w:lineRule="auto"/>
      </w:pPr>
      <w:r>
        <w:t xml:space="preserve">5.3.5 Threats specific to the simulation</w:t>
      </w:r>
    </w:p>
    <w:p>
      <w:pPr>
        <w:pStyle w:val="FirstParagraph"/>
        <w:spacing w:line="480" w:lineRule="auto"/>
      </w:pPr>
      <w:r>
        <w:t xml:space="preserve">The simulation carries threats the cross-sections do not. The sensor model is drawn from published parameters rather than from a bespoke instrument</w:t>
      </w:r>
      <w:r>
        <w:t xml:space="preserve"> </w:t>
      </w:r>
      <w:hyperlink w:anchor="ref-3">
        <w:r>
          <w:rPr>
            <w:rStyle w:val="Hyperlink"/>
          </w:rPr>
          <w:t xml:space="preserve">[3]</w:t>
        </w:r>
      </w:hyperlink>
      <w:r>
        <w:t xml:space="preserve">[5], which keeps the experiment auditable but ties the inferential conclusion to the regime those parameters describe. The catalog is drawn from Space-Track at a fixed epoch; a sensitivity that re-runs the experiment at a second epoch is included in the sensitivity grid and is reported regardless of outcome. The information-gain figure of merit is computed identically in the two arms, so a finding that the onboard arm wins is not driven by an asymmetry in the measurement. The greedy value-of-information policy is one onboard policy among many; the dissertation does not claim that greedy value-of-information is the optimal onboard policy, only that it is a defensible and well-defined member of the onboard policy class. A reinforcement-learning policy in the LaFarge lineage</w:t>
      </w:r>
      <w:r>
        <w:t xml:space="preserve"> </w:t>
      </w:r>
      <w:hyperlink w:anchor="ref-8">
        <w:r>
          <w:rPr>
            <w:rStyle w:val="Hyperlink"/>
          </w:rPr>
          <w:t xml:space="preserve">[8]</w:t>
        </w:r>
      </w:hyperlink>
      <w:r>
        <w:t xml:space="preserve"> </w:t>
      </w:r>
      <w:r>
        <w:t xml:space="preserve">is named as the natural successor experiment and is held out of scope.</w:t>
      </w:r>
    </w:p>
    <w:bookmarkEnd w:id="113"/>
    <w:bookmarkEnd w:id="114"/>
    <w:bookmarkStart w:id="115" w:name="estimator-hygiene-and-reproducibility"/>
    <w:p>
      <w:pPr>
        <w:pStyle w:val="Heading2"/>
        <w:spacing w:line="480" w:lineRule="auto"/>
      </w:pPr>
      <w:r>
        <w:t xml:space="preserve">5.4 Estimator Hygiene and Reproducibility</w:t>
      </w:r>
    </w:p>
    <w:p>
      <w:pPr>
        <w:pStyle w:val="FirstParagraph"/>
        <w:spacing w:line="480" w:lineRule="auto"/>
      </w:pPr>
      <w:r>
        <w:t xml:space="preserve">Each estimator is run with a frozen seed and a frozen specification. The configuration files for the two cross-sections accompany their respective research papers and include the variable definitions, the source column for each row, and the autonomy-ordinal coding rubric. The simulation harness will accompany the simulation chapter and will include the random seed, the sensor parameter file, the catalog epoch, the visibility geometry, and the weather realization. The dissertation does not require reproducibility on private or restricted data; the catalog is public through Space-Track and the sensor parameters are published in</w:t>
      </w:r>
      <w:r>
        <w:t xml:space="preserve"> </w:t>
      </w:r>
      <w:hyperlink w:anchor="ref-3">
        <w:r>
          <w:rPr>
            <w:rStyle w:val="Hyperlink"/>
          </w:rPr>
          <w:t xml:space="preserve">[3]</w:t>
        </w:r>
      </w:hyperlink>
      <w:r>
        <w:t xml:space="preserve"> </w:t>
      </w:r>
      <w:r>
        <w:t xml:space="preserve">and</w:t>
      </w:r>
      <w:r>
        <w:t xml:space="preserve"> </w:t>
      </w:r>
      <w:hyperlink w:anchor="ref-5">
        <w:r>
          <w:rPr>
            <w:rStyle w:val="Hyperlink"/>
          </w:rPr>
          <w:t xml:space="preserve">[5]</w:t>
        </w:r>
      </w:hyperlink>
      <w:r>
        <w:t xml:space="preserve">. A reader with a Space-Track account and the cited papers can reconstruct the simulation inputs, fit the cross-section estimators on the published panels, and arrive at the reported coefficients within the reported confidence intervals.</w:t>
      </w:r>
    </w:p>
    <w:p>
      <w:pPr>
        <w:pStyle w:val="BodyText"/>
        <w:spacing w:line="480" w:lineRule="auto"/>
        <w:ind w:firstLine="720"/>
      </w:pPr>
      <w:r>
        <w:t xml:space="preserve">The chapter closes with the proposition that the three legs of the empirical strategy are deliberately heterogeneous in what they identify and complementary in what they bound. The published-campaign cross-section identifies a positive conditional autonomy association in the space-tracking literature and shows that the association is not absorbed by sensor or network controls. The Earth-observing cross-section identifies the limit of what can be said about autonomy from cross-platform yield comparisons at the available sample size and is reported honestly as a triangulating null. The simulation experiment is the leg that approximates causal identification under matched inputs and is bound by pre-registration to a single primary hypothesis and a single primary metric. The threats to validity for each leg are bounded by specific design choices, sensitivity checks, and pre-registered commitments rather than by post-hoc reassurance, and the chapter records each threat and its bound in language an examiner can audit.</w:t>
      </w:r>
    </w:p>
    <w:bookmarkEnd w:id="115"/>
    <w:bookmarkEnd w:id="116"/>
    <w:bookmarkStart w:id="134"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estimator runs that anchor the dissertation. Paper 1 fits a cross-sectional ordinary least squares model of optical sensor-tasking throughput on thirty-two published campaigns drawn from the AMOS conference proceedings and Acta Astronautica. Paper 2 fits a parallel ordinary least squares model on a cross-section of thirty-two Earth-observing missions whose acquisition rates and platform parameters are publicly documented. Both estimators use Huber-White heteroskedasticity-consistent standard errors of the HC1 variety, and both are reported here exactly as the estimator returned them. The discussion is restricted to numbers visible in the estimator output; no figure, table, or workbook is reproduced in the prose because those artifacts are bound later as Appendix A. The intent of the chapter is to read the two results plainly and to draw out what each says about the value-of-information question that organizes the dissertation</w:t>
      </w:r>
      <w:r>
        <w:t xml:space="preserve"> </w:t>
      </w:r>
      <w:hyperlink w:anchor="ref-10">
        <w:r>
          <w:rPr>
            <w:rStyle w:val="Hyperlink"/>
          </w:rPr>
          <w:t xml:space="preserve">[10]</w:t>
        </w:r>
      </w:hyperlink>
      <w:r>
        <w:t xml:space="preserve">[33].</w:t>
      </w:r>
    </w:p>
    <w:bookmarkStart w:id="124" w:name="X138e8c25e8b9f5263f6c2698dbdacfe7f30713b"/>
    <w:p>
      <w:pPr>
        <w:pStyle w:val="Heading2"/>
        <w:spacing w:line="480" w:lineRule="auto"/>
      </w:pPr>
      <w:r>
        <w:t xml:space="preserve">6.1 Paper 1: The Autonomy Premium in Optical Sensor-Tasking Throughput</w:t>
      </w:r>
    </w:p>
    <w:bookmarkStart w:id="117" w:name="overall-model-fit"/>
    <w:p>
      <w:pPr>
        <w:pStyle w:val="Heading3"/>
        <w:spacing w:line="480" w:lineRule="auto"/>
      </w:pPr>
      <w:r>
        <w:t xml:space="preserve">6.1.1 Overall Model Fit</w:t>
      </w:r>
    </w:p>
    <w:p>
      <w:pPr>
        <w:pStyle w:val="FirstParagraph"/>
        <w:spacing w:line="480" w:lineRule="auto"/>
      </w:pPr>
      <w:r>
        <w:t xml:space="preserve">The Paper 1 specification regresses observations per night on four covariates: aperture in meters, slew rate in degrees per second, an autonomy ordinal coded one through four, and the number of sites in the campaign. The estimator returns a sample of thirty-two campaigns, an unadjusted R-squared of 0.9505 and an adjusted R-squared of 0.9432. The joint F-statistic is 208.7499, with a p-value of 6.96e-20. The joint null that none of the four regressors carries information about throughput is therefore rejected at any conventional significance level by roughly twenty orders of magnitude. Ninety-five percent of the cross-campaign variance in reported throughput is accounted for by the four-variable specification, and the adjusted R-squared of 0.9432 is close enough to the unadjusted figure that the inclusion of four regressors on thirty-two observations is not overfitting in any troubling sense.</w:t>
      </w:r>
    </w:p>
    <w:p>
      <w:pPr>
        <w:pStyle w:val="BodyText"/>
        <w:spacing w:line="480" w:lineRule="auto"/>
        <w:ind w:firstLine="720"/>
      </w:pPr>
      <w:r>
        <w:t xml:space="preserve">That joint fit is the first substantive finding. The published optical sensor-tasking corpus, taken as a pooled cross-section, is not noise on top of an idiosyncratic mission-by-mission story. A simple linear specification on four observable architectural variables tracks reported throughput to a degree that should reassure anyone who suspected that throughput numbers in conference papers were too heterogeneously accounted to compare. They differ, but they differ along axes that the architectural variables themselves explain. This is consistent with the way the ground-side optimization literature has reported throughput in the Heimdall lineage</w:t>
      </w:r>
      <w:r>
        <w:t xml:space="preserve"> </w:t>
      </w:r>
      <w:hyperlink w:anchor="ref-5">
        <w:r>
          <w:rPr>
            <w:rStyle w:val="Hyperlink"/>
          </w:rPr>
          <w:t xml:space="preserve">[5]</w:t>
        </w:r>
      </w:hyperlink>
      <w:r>
        <w:t xml:space="preserve"> </w:t>
      </w:r>
      <w:r>
        <w:t xml:space="preserve">and with the way the Australian conjunction assessment service has reported throughput on a network basis</w:t>
      </w:r>
      <w:r>
        <w:t xml:space="preserve"> </w:t>
      </w:r>
      <w:hyperlink w:anchor="ref-3">
        <w:r>
          <w:rPr>
            <w:rStyle w:val="Hyperlink"/>
          </w:rPr>
          <w:t xml:space="preserve">[3]</w:t>
        </w:r>
      </w:hyperlink>
      <w:r>
        <w:t xml:space="preserve">, where the dominant variation across reports is across sites and across architecture rather than within a single configuration.</w:t>
      </w:r>
    </w:p>
    <w:bookmarkEnd w:id="117"/>
    <w:bookmarkStart w:id="118" w:name="the-autonomy-coefficient"/>
    <w:p>
      <w:pPr>
        <w:pStyle w:val="Heading3"/>
        <w:spacing w:line="480" w:lineRule="auto"/>
      </w:pPr>
      <w:r>
        <w:t xml:space="preserve">6.1.2 The Autonomy Coefficient</w:t>
      </w:r>
    </w:p>
    <w:p>
      <w:pPr>
        <w:pStyle w:val="FirstParagraph"/>
        <w:spacing w:line="480" w:lineRule="auto"/>
      </w:pPr>
      <w:r>
        <w:t xml:space="preserve">The autonomy ordinal carries a coefficient of 52.9193 observations per night per ordinal step, with a robust standard error of 12.7188 and a p-value of 0.0000 to four decimal places. The implied ninety-five percent confidence interval, computed as the coefficient plus or minus 1.96 times the robust standard error, is approximately 28.0 to 77.8 observations per ordinal step. The point estimate carries an immediate operational reading. Moving a campaign one step on the autonomy scale, for example from a precomputed ground schedule to a ground-side figure-of-merit optimization, or one further step to an onboard or decentralized adaptive policy, is associated with approximately fifty-three additional observations per night, holding aperture, slew rate, and site count fixed.</w:t>
      </w:r>
    </w:p>
    <w:p>
      <w:pPr>
        <w:pStyle w:val="BodyText"/>
        <w:spacing w:line="480" w:lineRule="auto"/>
        <w:ind w:firstLine="720"/>
      </w:pPr>
      <w:r>
        <w:t xml:space="preserve">The conditional standing of this estimate is important. The published campaigns that report onboard or decentralized architectures are also, on average, the campaigns that report larger networks and modern apertures</w:t>
      </w:r>
      <w:r>
        <w:t xml:space="preserve"> </w:t>
      </w:r>
      <w:hyperlink w:anchor="ref-7">
        <w:r>
          <w:rPr>
            <w:rStyle w:val="Hyperlink"/>
          </w:rPr>
          <w:t xml:space="preserve">[7]</w:t>
        </w:r>
      </w:hyperlink>
      <w:r>
        <w:t xml:space="preserve">[11][14]. A naive bivariate comparison of throughput against architecture would conflate the autonomy channel with those other production margins. The OLS specification absorbs the network channel through the sites coefficient and the hardware channel through aperture, and the autonomy coefficient that remains is the part of the cross-sectional variation that the network and aperture controls cannot explain. That this residual coefficient is positive, large enough to be operationally interesting, and distinguishable from zero at any reasonable threshold is the central finding of Paper 1.</w:t>
      </w:r>
    </w:p>
    <w:p>
      <w:pPr>
        <w:pStyle w:val="BodyText"/>
        <w:spacing w:line="480" w:lineRule="auto"/>
        <w:ind w:firstLine="720"/>
      </w:pPr>
      <w:r>
        <w:t xml:space="preserve">The confidence-interval lower bound of approximately twenty-eight observations per ordinal step matters as much as the point estimate. Even at the unfavorable end of the interval, the implied autonomy premium per ordinal step is comparable to the median single-site throughput in the panel divided by three. A reviewer who is skeptical of the point estimate, but who is willing to grant the lower bound of the confidence interval, still finds an architectural margin worth flight-software investment. The statistical evidence does not require a maximalist reading to support the operational reading; it survives a conservative one.</w:t>
      </w:r>
    </w:p>
    <w:bookmarkEnd w:id="118"/>
    <w:bookmarkStart w:id="119" w:name="aperture-and-the-hardware-channel"/>
    <w:p>
      <w:pPr>
        <w:pStyle w:val="Heading3"/>
        <w:spacing w:line="480" w:lineRule="auto"/>
      </w:pPr>
      <w:r>
        <w:t xml:space="preserve">6.1.3 Aperture and the Hardware Channel</w:t>
      </w:r>
    </w:p>
    <w:p>
      <w:pPr>
        <w:pStyle w:val="FirstParagraph"/>
        <w:spacing w:line="480" w:lineRule="auto"/>
      </w:pPr>
      <w:r>
        <w:t xml:space="preserve">Aperture in meters carries a coefficient of 92.7755 with a robust standard error of 20.0907 and a p-value of 0.0000. The implied ninety-five percent confidence interval is approximately 53.4 to 132.2 observations per night per meter of aperture. Each additional meter of clear aperture is associated with roughly ninety-three additional observations per night under the joint specification, a finding that is consistent with the limiting-magnitude story the sensor-engineering literature has told for two decades</w:t>
      </w:r>
      <w:r>
        <w:t xml:space="preserve"> </w:t>
      </w:r>
      <w:hyperlink w:anchor="ref-13">
        <w:r>
          <w:rPr>
            <w:rStyle w:val="Hyperlink"/>
          </w:rPr>
          <w:t xml:space="preserve">[13]</w:t>
        </w:r>
      </w:hyperlink>
      <w:r>
        <w:t xml:space="preserve">. Larger apertures see fainter objects per unit integration time, integrate fewer seconds per detection at fixed signal-to-noise, and therefore accommodate more tasks per night.</w:t>
      </w:r>
    </w:p>
    <w:p>
      <w:pPr>
        <w:pStyle w:val="BodyText"/>
        <w:spacing w:line="480" w:lineRule="auto"/>
        <w:ind w:firstLine="720"/>
      </w:pPr>
      <w:r>
        <w:t xml:space="preserve">The coefficient is the largest of the three substantive regressors per unit of its scale, but the scale itself is what matters operationally. Aperture is a slow-moving and capital-intensive variable. A program cannot trade flight-software complexity for aperture, and the aperture coefficient is reported here primarily to demonstrate that the specification is identifying a sensible production function rather than a statistical artifact.</w:t>
      </w:r>
    </w:p>
    <w:bookmarkEnd w:id="119"/>
    <w:bookmarkStart w:id="120" w:name="slew-rate-and-the-null-on-mount-agility"/>
    <w:p>
      <w:pPr>
        <w:pStyle w:val="Heading3"/>
        <w:spacing w:line="480" w:lineRule="auto"/>
      </w:pPr>
      <w:r>
        <w:t xml:space="preserve">6.1.4 Slew Rate and the Null on Mount Agility</w:t>
      </w:r>
    </w:p>
    <w:p>
      <w:pPr>
        <w:pStyle w:val="FirstParagraph"/>
        <w:spacing w:line="480" w:lineRule="auto"/>
      </w:pPr>
      <w:r>
        <w:t xml:space="preserve">Slew rate in degrees per second returns a coefficient of -35.4051 with a robust standard error of 29.3213 and a p-value of 0.2272. The coefficient is statistically indistinguishable from zero at conventional thresholds, and its sign is the opposite of the operational prior. A reasonable reading of the null is not that mount agility is irrelevant, but that within the range of slew rates observed in the panel, the binding constraint on throughput is acquisition and exposure time rather than the kinematics of moving the mount between targets. The Raven-class sizing literature and the dual-pass survey literature have both flagged this regime, in which sensitivity rather than agility caps the achievable observation count per night</w:t>
      </w:r>
      <w:r>
        <w:t xml:space="preserve"> </w:t>
      </w:r>
      <w:hyperlink w:anchor="ref-13">
        <w:r>
          <w:rPr>
            <w:rStyle w:val="Hyperlink"/>
          </w:rPr>
          <w:t xml:space="preserve">[13]</w:t>
        </w:r>
      </w:hyperlink>
      <w:r>
        <w:t xml:space="preserve">[14]. The result is also consistent with the joint observation that the agility coefficient in Paper 2 returns close to zero on a comparable null.</w:t>
      </w:r>
    </w:p>
    <w:p>
      <w:pPr>
        <w:pStyle w:val="BodyText"/>
        <w:spacing w:line="480" w:lineRule="auto"/>
        <w:ind w:firstLine="720"/>
      </w:pPr>
      <w:r>
        <w:t xml:space="preserve">A second reading of the slew-rate null is methodological. The autonomy ordinal and the slew rate are partially correlated in the panel because the campaigns that report agile mounts are also disproportionately the campaigns that report onboard or decentralized architectures</w:t>
      </w:r>
      <w:r>
        <w:t xml:space="preserve"> </w:t>
      </w:r>
      <w:hyperlink w:anchor="ref-16">
        <w:r>
          <w:rPr>
            <w:rStyle w:val="Hyperlink"/>
          </w:rPr>
          <w:t xml:space="preserve">[16]</w:t>
        </w:r>
      </w:hyperlink>
      <w:r>
        <w:t xml:space="preserve">[20]. The autonomy coefficient is therefore identifying the architectural margin net of the agility margin. If the specification had omitted slew rate, the autonomy coefficient would have absorbed the part of the architectural choice that travels with mount design. That the autonomy coefficient survives the slew-rate control at the magnitude reported in 6.1.2 is part of why the finding is robust.</w:t>
      </w:r>
    </w:p>
    <w:bookmarkEnd w:id="120"/>
    <w:bookmarkStart w:id="121" w:name="X9b7b0b48bbf48f50ea6110f5a38d907e9de88ad"/>
    <w:p>
      <w:pPr>
        <w:pStyle w:val="Heading3"/>
        <w:spacing w:line="480" w:lineRule="auto"/>
      </w:pPr>
      <w:r>
        <w:t xml:space="preserve">6.1.5 The Sites Coefficient and the Dominant Production Margin</w:t>
      </w:r>
    </w:p>
    <w:p>
      <w:pPr>
        <w:pStyle w:val="FirstParagraph"/>
        <w:spacing w:line="480" w:lineRule="auto"/>
      </w:pPr>
      <w:r>
        <w:t xml:space="preserve">The number of sites carries the largest coefficient in the specification by absolute magnitude: 174.0358 observations per night per additional site, with a robust standard error of 10.3171 and a p-value of 0.0000. The implied ninety-five percent confidence interval is approximately 153.8 to 194.3 observations per night per site. Each additional site in a campaign is associated with approximately one hundred and seventy-four more observations per night under the joint specification.</w:t>
      </w:r>
    </w:p>
    <w:p>
      <w:pPr>
        <w:pStyle w:val="BodyText"/>
        <w:spacing w:line="480" w:lineRule="auto"/>
        <w:ind w:firstLine="720"/>
      </w:pPr>
      <w:r>
        <w:t xml:space="preserve">Network breadth is therefore the dominant cross-sectional production margin in the published corpus. This is consistent with the trajectory the field has taken, in which the largest reported throughputs come from multi-site cooperative networks rather than from single sites, however well instrumented. The SNARE decentralized experiment, the autonomous geographically distributed ground network, and the global boresight tasking work all sit in the high-throughput tail of the panel and all report multi-site footprints</w:t>
      </w:r>
      <w:r>
        <w:t xml:space="preserve"> </w:t>
      </w:r>
      <w:hyperlink w:anchor="ref-7">
        <w:r>
          <w:rPr>
            <w:rStyle w:val="Hyperlink"/>
          </w:rPr>
          <w:t xml:space="preserve">[7]</w:t>
        </w:r>
      </w:hyperlink>
      <w:r>
        <w:t xml:space="preserve">[9][11]. The sites coefficient absorbs that channel, and it absorbs it cleanly: its standard error is the smallest of the four regressors in proportion to its point estimate, and its p-value is zero to four decimal places.</w:t>
      </w:r>
    </w:p>
    <w:p>
      <w:pPr>
        <w:pStyle w:val="BodyText"/>
        <w:spacing w:line="480" w:lineRule="auto"/>
        <w:ind w:firstLine="720"/>
      </w:pPr>
      <w:r>
        <w:t xml:space="preserve">The operational implication for a JPL-class instrument program is structural. The largest production margin in the published record is the variable that an instrument program does not control. The aperture margin is also large but capital-intensive and slow to change. The autonomy margin is the one that a flight-software program can buy, and the estimate in 6.1.2 says it is positive, statistically distinguishable, and worth pursuing. The dominance of the sites coefficient does not undercut that reading; it qualifies it by clarifying that even a positive autonomy premium will not, in absolute terms, move a single-site campaign into the high-throughput tail occupied by multi-site cooperative networks.</w:t>
      </w:r>
    </w:p>
    <w:bookmarkEnd w:id="121"/>
    <w:bookmarkStart w:id="122" w:name="Xabdcaecffc9a136f14986bc3489696c1a9cfece"/>
    <w:p>
      <w:pPr>
        <w:pStyle w:val="Heading3"/>
        <w:spacing w:line="480" w:lineRule="auto"/>
      </w:pPr>
      <w:r>
        <w:t xml:space="preserve">6.1.6 The Intercept and the Calibration of the Specification</w:t>
      </w:r>
    </w:p>
    <w:p>
      <w:pPr>
        <w:pStyle w:val="FirstParagraph"/>
        <w:spacing w:line="480" w:lineRule="auto"/>
      </w:pPr>
      <w:r>
        <w:t xml:space="preserve">The intercept is -2.2645 with a robust standard error of 133.901 and a p-value of 0.9865. It is statistically indistinguishable from zero and is reported here for completeness rather than for substantive interpretation. A near-zero intercept in a specification whose regressors are denominated in physical and architectural units is what one would hope to see, since a campaign with zero aperture, zero sites, and the lowest autonomy ordinal is not, in any meaningful sense, a campaign at all.</w:t>
      </w:r>
    </w:p>
    <w:bookmarkEnd w:id="122"/>
    <w:bookmarkStart w:id="123" w:name="reading-the-paper-1-result-as-a-whole"/>
    <w:p>
      <w:pPr>
        <w:pStyle w:val="Heading3"/>
        <w:spacing w:line="480" w:lineRule="auto"/>
      </w:pPr>
      <w:r>
        <w:t xml:space="preserve">6.1.7 Reading the Paper 1 Result as a Whole</w:t>
      </w:r>
    </w:p>
    <w:p>
      <w:pPr>
        <w:pStyle w:val="FirstParagraph"/>
        <w:spacing w:line="480" w:lineRule="auto"/>
      </w:pPr>
      <w:r>
        <w:t xml:space="preserve">The Paper 1 result supports the prospectus claim that an autonomy premium exists in the published optical sensor-tasking corpus, that it survives the inclusion of aperture, slew rate, and sites as controls, and that it is large enough operationally to justify pursuit. The estimate is associational rather than causal; the literature does not provide random assignment of architecture to site, and the published campaigns reporting onboard or decentralized architectures are not drawn from the same distribution as those reporting precomputed ground schedules. The OLS coefficient is the partial conditional association after the two largest confounders, network breadth and hardware investment, have been absorbed. What survives is the conditional contribution of autonomy net of those two channels, and what survives is positive, statistically distinguishable, and operationally meaningful.</w:t>
      </w:r>
    </w:p>
    <w:p>
      <w:pPr>
        <w:pStyle w:val="BodyText"/>
        <w:spacing w:line="480" w:lineRule="auto"/>
        <w:ind w:firstLine="720"/>
      </w:pPr>
      <w:r>
        <w:t xml:space="preserve">The result also sets up the simulation paper that follows later in the dissertation. The conditional association estimated here is consistent with the simulation hypothesis under which an adaptive onboard policy delivers higher information gain per sensor-second than a ground-computed schedule on matched geometry</w:t>
      </w:r>
      <w:r>
        <w:t xml:space="preserve"> </w:t>
      </w:r>
      <w:hyperlink w:anchor="ref-1">
        <w:r>
          <w:rPr>
            <w:rStyle w:val="Hyperlink"/>
          </w:rPr>
          <w:t xml:space="preserve">[1]</w:t>
        </w:r>
      </w:hyperlink>
      <w:r>
        <w:t xml:space="preserve">[2]. The published record, taken as a whole, is consistent with the directional claim the simulation will test. What the published record cannot do, and what the simulation is required for, is to isolate the policy effect at parity of sensor, geometry, and priors. The Paper 1 result is the prior empirical step; the simulation is the controlled comparison.</w:t>
      </w:r>
    </w:p>
    <w:bookmarkEnd w:id="123"/>
    <w:bookmarkEnd w:id="124"/>
    <w:bookmarkStart w:id="132" w:name="Xb1869fcc5552e26228b9b056d428551a6b0c959"/>
    <w:p>
      <w:pPr>
        <w:pStyle w:val="Heading2"/>
        <w:spacing w:line="480" w:lineRule="auto"/>
      </w:pPr>
      <w:r>
        <w:t xml:space="preserve">6.2 Paper 2: Onboard Autonomy, Agility, and Yield Across Earth-Observing Missions</w:t>
      </w:r>
    </w:p>
    <w:bookmarkStart w:id="125" w:name="overall-model-fit-1"/>
    <w:p>
      <w:pPr>
        <w:pStyle w:val="Heading3"/>
        <w:spacing w:line="480" w:lineRule="auto"/>
      </w:pPr>
      <w:r>
        <w:t xml:space="preserve">6.2.1 Overall Model Fit</w:t>
      </w:r>
    </w:p>
    <w:p>
      <w:pPr>
        <w:pStyle w:val="FirstParagraph"/>
        <w:spacing w:line="480" w:lineRule="auto"/>
      </w:pPr>
      <w:r>
        <w:t xml:space="preserve">The Paper 2 specification regresses the natural log of daily image acquisitions on four covariates: autonomy level coded one through four, agility in degrees per second, log downlink in Gbps, and year of initial operational capability. The estimator returns a sample of thirty-two missions, an unadjusted R-squared of 0.3213 and an adjusted R-squared of 0.2208. The joint F-statistic is 3.4081, with a p-value of 0.0222.</w:t>
      </w:r>
    </w:p>
    <w:p>
      <w:pPr>
        <w:pStyle w:val="BodyText"/>
        <w:spacing w:line="480" w:lineRule="auto"/>
        <w:ind w:firstLine="720"/>
      </w:pPr>
      <w:r>
        <w:t xml:space="preserve">The fit is therefore modest. The four-regressor specification accounts for approximately thirty-two percent of the cross-mission variance in log daily acquisitions, and the adjusted figure suggests the inclusion of four regressors costs roughly ten percentage points of explanatory power on a sample of this size. The joint F-test rejects the null that none of the regressors carries information at the five percent level but not at the one percent level. Read as a whole, the Paper 2 regressors are jointly informative but do not approach the explanatory power that the Paper 1 specification achieved on its corpus.</w:t>
      </w:r>
    </w:p>
    <w:p>
      <w:pPr>
        <w:pStyle w:val="BodyText"/>
        <w:spacing w:line="480" w:lineRule="auto"/>
        <w:ind w:firstLine="720"/>
      </w:pPr>
      <w:r>
        <w:t xml:space="preserve">This difference in joint fit between the two papers is itself a finding. The published optical sensor-tasking corpus is dominated by a handful of architectural and physical variables that the field has explicitly reported. The cross-section of Earth-observing missions is not. Acquisition rates across Earth-observing missions are determined by a much wider bundle of orbit, instrument, downlink-architecture, and constellation-design choices than a four-variable specification can absorb, and the modest R-squared reflects that wider bundle rather than measurement noise alone.</w:t>
      </w:r>
    </w:p>
    <w:bookmarkEnd w:id="125"/>
    <w:bookmarkStart w:id="126" w:name="the-autonomy-coefficient-1"/>
    <w:p>
      <w:pPr>
        <w:pStyle w:val="Heading3"/>
        <w:spacing w:line="480" w:lineRule="auto"/>
      </w:pPr>
      <w:r>
        <w:t xml:space="preserve">6.2.2 The Autonomy Coefficient</w:t>
      </w:r>
    </w:p>
    <w:p>
      <w:pPr>
        <w:pStyle w:val="FirstParagraph"/>
        <w:spacing w:line="480" w:lineRule="auto"/>
      </w:pPr>
      <w:r>
        <w:t xml:space="preserve">The autonomy-level coefficient is -0.1753 with a robust standard error of 0.1668 and a p-value of 0.2931. The point estimate is negative, the magnitude implies that a one-step move along the autonomy ordinal is associated with a decline of roughly seventeen percent in daily image acquisitions, and the standard error is comparable in magnitude to the coefficient itself. The implied ninety-five percent confidence interval, computed as the coefficient plus or minus 1.96 times the robust standard error, is approximately -0.50 to 0.15. The estimate does not clear conventional significance thresholds in either direction.</w:t>
      </w:r>
    </w:p>
    <w:p>
      <w:pPr>
        <w:pStyle w:val="BodyText"/>
        <w:spacing w:line="480" w:lineRule="auto"/>
        <w:ind w:firstLine="720"/>
      </w:pPr>
      <w:r>
        <w:t xml:space="preserve">The substantive reading is not that onboard autonomy reduces acquisition. The reading is that, once log downlink and year of initial operational capability are held fixed, the cross-section of Earth-observing missions does not exhibit a measurable autonomy premium in raw image counts. The sign of the point estimate is one realization on a narrow sample and should not be over-read; the operative finding is the standard error and the p-value, which together say that the autonomy channel cannot be statistically separated from the rest of the platform bundle in a sample of this size.</w:t>
      </w:r>
    </w:p>
    <w:p>
      <w:pPr>
        <w:pStyle w:val="BodyText"/>
        <w:spacing w:line="480" w:lineRule="auto"/>
        <w:ind w:firstLine="720"/>
      </w:pPr>
      <w:r>
        <w:t xml:space="preserve">This is, prima facie, the inverse of the Paper 1 finding and warrants explicit reconciliation. The two estimates are not in fact contradictory. Paper 1 measures the autonomy ordinal in a regression whose dependent variable is observations per night for optical sensor-tasking campaigns whose primary mission is custody of resident space objects. Paper 2 measures the autonomy ordinal in a regression whose dependent variable is daily image acquisitions for Earth-observing missions whose primary mission is image production. The two regressions are estimating different population parameters on different sample frames. The Paper 1 result speaks to throughput in a regime in which targets are sparse, sensitive, and selected for information gain. The Paper 2 result speaks to throughput in a regime in which targets are abundant, the binding constraints are downlink and constellation count, and several of the highest-yielding platforms in the cross-section are explicitly not agile</w:t>
      </w:r>
      <w:r>
        <w:t xml:space="preserve"> </w:t>
      </w:r>
      <w:hyperlink w:anchor="ref-29">
        <w:r>
          <w:rPr>
            <w:rStyle w:val="Hyperlink"/>
          </w:rPr>
          <w:t xml:space="preserve">[29]</w:t>
        </w:r>
      </w:hyperlink>
      <w:r>
        <w:t xml:space="preserve">[30].</w:t>
      </w:r>
    </w:p>
    <w:bookmarkEnd w:id="126"/>
    <w:bookmarkStart w:id="127" w:name="the-agility-coefficient"/>
    <w:p>
      <w:pPr>
        <w:pStyle w:val="Heading3"/>
        <w:spacing w:line="480" w:lineRule="auto"/>
      </w:pPr>
      <w:r>
        <w:t xml:space="preserve">6.2.3 The Agility Coefficient</w:t>
      </w:r>
    </w:p>
    <w:p>
      <w:pPr>
        <w:pStyle w:val="FirstParagraph"/>
        <w:spacing w:line="480" w:lineRule="auto"/>
      </w:pPr>
      <w:r>
        <w:t xml:space="preserve">The agility coefficient is -0.0604 with a robust standard error of 0.1265 and a p-value of 0.6328. The point estimate is essentially zero, the standard error is twice the coefficient, and the implied ninety-five percent confidence interval, approximately -0.31 to 0.19, straddles zero comfortably. The estimate is statistically indistinguishable from zero and operationally indistinguishable from no effect.</w:t>
      </w:r>
    </w:p>
    <w:p>
      <w:pPr>
        <w:pStyle w:val="BodyText"/>
        <w:spacing w:line="480" w:lineRule="auto"/>
        <w:ind w:firstLine="720"/>
      </w:pPr>
      <w:r>
        <w:t xml:space="preserve">The reading is consistent with the agility-related result in Paper 1 and with the substantive note in the Paper 2 narrative. The cross-section of Earth-observing missions includes high-yielding platforms whose yield is delivered through mechanisms that do not require agility, including geostationary continuous scanning and constellation-level redundancy</w:t>
      </w:r>
      <w:r>
        <w:t xml:space="preserve"> </w:t>
      </w:r>
      <w:hyperlink w:anchor="ref-29">
        <w:r>
          <w:rPr>
            <w:rStyle w:val="Hyperlink"/>
          </w:rPr>
          <w:t xml:space="preserve">[29]</w:t>
        </w:r>
      </w:hyperlink>
      <w:r>
        <w:t xml:space="preserve">[31]. Those platforms pull the agility coefficient toward zero by mechanism rather than by sampling error, and the coefficient should be read as describing the absence of a clean agility-to-yield relationship in a sample that mixes yield mechanisms. A within-class analysis restricted to agile pointed-acquisition platforms would likely return a different coefficient, but the cross-section as published does not exhibit a measurable agility-to-yield association.</w:t>
      </w:r>
    </w:p>
    <w:bookmarkEnd w:id="127"/>
    <w:bookmarkStart w:id="128" w:name="the-log-downlink-coefficient"/>
    <w:p>
      <w:pPr>
        <w:pStyle w:val="Heading3"/>
        <w:spacing w:line="480" w:lineRule="auto"/>
      </w:pPr>
      <w:r>
        <w:t xml:space="preserve">6.2.4 The Log-Downlink Coefficient</w:t>
      </w:r>
    </w:p>
    <w:p>
      <w:pPr>
        <w:pStyle w:val="FirstParagraph"/>
        <w:spacing w:line="480" w:lineRule="auto"/>
      </w:pPr>
      <w:r>
        <w:t xml:space="preserve">The log-downlink coefficient is 0.1841 with a robust standard error of 0.1701 and a p-value of 0.2792. The point estimate is positive, the magnitude implies that a one-log-unit increase in downlink capacity is associated with an eighteen-percent increase in daily image acquisitions, and the standard error is again comparable to the coefficient itself. The implied ninety-five percent confidence interval is approximately -0.15 to 0.52. The estimate does not clear conventional significance thresholds, but its sign and magnitude are consistent with the systems-engineering prior that downlink is the long-run binding constraint on the rate at which a platform can deliver images to users</w:t>
      </w:r>
      <w:r>
        <w:t xml:space="preserve"> </w:t>
      </w:r>
      <w:hyperlink w:anchor="ref-31">
        <w:r>
          <w:rPr>
            <w:rStyle w:val="Hyperlink"/>
          </w:rPr>
          <w:t xml:space="preserve">[31]</w:t>
        </w:r>
      </w:hyperlink>
      <w:r>
        <w:t xml:space="preserve">[32].</w:t>
      </w:r>
    </w:p>
    <w:p>
      <w:pPr>
        <w:pStyle w:val="BodyText"/>
        <w:spacing w:line="480" w:lineRule="auto"/>
        <w:ind w:firstLine="720"/>
      </w:pPr>
      <w:r>
        <w:t xml:space="preserve">The interpretive caveat is that downlink and acquisition rate are co-determined in mission design. A platform with high acquisition is specified with high downlink, and the cross-sectional coefficient identifies that joint specification rather than a causal effect of downlink on acquisition. The estimate is reported here to characterize the conditional association, not to support a counterfactual claim about what would happen if downlink were raised holding all else fixed.</w:t>
      </w:r>
    </w:p>
    <w:bookmarkEnd w:id="128"/>
    <w:bookmarkStart w:id="129" w:name="the-year-of-ioc-coefficient"/>
    <w:p>
      <w:pPr>
        <w:pStyle w:val="Heading3"/>
        <w:spacing w:line="480" w:lineRule="auto"/>
      </w:pPr>
      <w:r>
        <w:t xml:space="preserve">6.2.5 The Year-of-IOC Coefficient</w:t>
      </w:r>
    </w:p>
    <w:p>
      <w:pPr>
        <w:pStyle w:val="FirstParagraph"/>
        <w:spacing w:line="480" w:lineRule="auto"/>
      </w:pPr>
      <w:r>
        <w:t xml:space="preserve">The coefficient on year of initial operational capability is 0.0390 with a robust standard error of 0.0209 and a p-value of 0.0623. The implied ninety-five percent confidence interval is approximately -0.00 to 0.08. The point estimate implies that each additional year of vintage is associated with a roughly four-percent increase in log daily image acquisitions, which compounds across the 1999-to-2022 range of the sample to a roughly two-and-a-half-fold ratio between the oldest and newest missions, conditional on autonomy, agility, and downlink.</w:t>
      </w:r>
    </w:p>
    <w:p>
      <w:pPr>
        <w:pStyle w:val="BodyText"/>
        <w:spacing w:line="480" w:lineRule="auto"/>
        <w:ind w:firstLine="720"/>
      </w:pPr>
      <w:r>
        <w:t xml:space="preserve">This is the strongest single signal in Paper 2. The p-value of 0.0623 does not clear the five-percent threshold under robust standard errors, but it is the only regressor in the specification that comes near doing so, and the confidence interval just barely includes zero. The substantive reading is that newer Earth-observing platforms produce more daily images than older ones, after the other three regressors are held fixed, and that this vintage effect is the single channel through which the cross-section delivers a directionally clear story.</w:t>
      </w:r>
    </w:p>
    <w:p>
      <w:pPr>
        <w:pStyle w:val="BodyText"/>
        <w:spacing w:line="480" w:lineRule="auto"/>
        <w:ind w:firstLine="720"/>
      </w:pPr>
      <w:r>
        <w:t xml:space="preserve">The vintage effect is consistent with the cumulative-improvement story the autonomy literature has implicitly told</w:t>
      </w:r>
      <w:r>
        <w:t xml:space="preserve"> </w:t>
      </w:r>
      <w:hyperlink w:anchor="ref-27">
        <w:r>
          <w:rPr>
            <w:rStyle w:val="Hyperlink"/>
          </w:rPr>
          <w:t xml:space="preserve">[27]</w:t>
        </w:r>
      </w:hyperlink>
      <w:r>
        <w:t xml:space="preserve">[28]. The Autonomous Sciencecraft Experiment on EO-1 demonstrated in the early years of the sample that an onboard agent could re-task an orbiting instrument in response to detected events</w:t>
      </w:r>
      <w:r>
        <w:t xml:space="preserve"> </w:t>
      </w:r>
      <w:hyperlink w:anchor="ref-27">
        <w:r>
          <w:rPr>
            <w:rStyle w:val="Hyperlink"/>
          </w:rPr>
          <w:t xml:space="preserve">[27]</w:t>
        </w:r>
      </w:hyperlink>
      <w:r>
        <w:t xml:space="preserve">, and subsequent platforms in the cross-section have inherited variants of that capability alongside improvements in detector arrays, downlink architectures, and constellation design. The year-of-IOC coefficient absorbs all of those improvements jointly, and the autonomy-level coefficient cannot statistically separate the autonomy channel from the rest of the bundle in a sample of thirty-two missions.</w:t>
      </w:r>
    </w:p>
    <w:bookmarkEnd w:id="129"/>
    <w:bookmarkStart w:id="130" w:name="the-intercept"/>
    <w:p>
      <w:pPr>
        <w:pStyle w:val="Heading3"/>
        <w:spacing w:line="480" w:lineRule="auto"/>
      </w:pPr>
      <w:r>
        <w:t xml:space="preserve">6.2.6 The Intercept</w:t>
      </w:r>
    </w:p>
    <w:p>
      <w:pPr>
        <w:pStyle w:val="FirstParagraph"/>
        <w:spacing w:line="480" w:lineRule="auto"/>
      </w:pPr>
      <w:r>
        <w:t xml:space="preserve">The intercept is -71.2807 with a robust standard error of 42.1652 and a p-value of 0.0909. It is statistically indistinguishable from zero at the five-percent threshold but not far from it. The large magnitude is mechanical: the intercept absorbs the centering of year of initial operational capability on the year zero rather than on the sample mean, and the substantive content of the intercept is not interpretable independent of the year-of-IOC coefficient.</w:t>
      </w:r>
    </w:p>
    <w:bookmarkEnd w:id="130"/>
    <w:bookmarkStart w:id="131" w:name="reading-the-paper-2-result-as-a-whole"/>
    <w:p>
      <w:pPr>
        <w:pStyle w:val="Heading3"/>
        <w:spacing w:line="480" w:lineRule="auto"/>
      </w:pPr>
      <w:r>
        <w:t xml:space="preserve">6.2.7 Reading the Paper 2 Result as a Whole</w:t>
      </w:r>
    </w:p>
    <w:p>
      <w:pPr>
        <w:pStyle w:val="FirstParagraph"/>
        <w:spacing w:line="480" w:lineRule="auto"/>
      </w:pPr>
      <w:r>
        <w:t xml:space="preserve">The Paper 2 result is a precisely estimated null on the autonomy and agility channels and a marginally distinguishable positive coefficient on vintage, in a specification whose joint F-test rejects the no-information null at the five-percent level. The reading that follows is not that onboard autonomy is unimportant in Earth observation; it is that, in a cross-section of thirty-two missions whose acquisition rates are dominated by orbit, downlink, and constellation design choices, the autonomy and agility channels cannot be statistically isolated from the rest of the platform bundle. The strongest defensible claim from the cross-section is that newer platforms produce more daily images, and that the case for adaptive onboard targeting in Earth observation must be made on dimensions other than raw image counts, including latency between detection and acquisition, science return per target, and tasking responsiveness to time-critical events. That redirection is the bridge into the simulation paper later in the dissertation</w:t>
      </w:r>
      <w:r>
        <w:t xml:space="preserve"> </w:t>
      </w:r>
      <w:hyperlink w:anchor="ref-1">
        <w:r>
          <w:rPr>
            <w:rStyle w:val="Hyperlink"/>
          </w:rPr>
          <w:t xml:space="preserve">[1]</w:t>
        </w:r>
      </w:hyperlink>
      <w:r>
        <w:t xml:space="preserve">[8].</w:t>
      </w:r>
    </w:p>
    <w:bookmarkEnd w:id="131"/>
    <w:bookmarkEnd w:id="132"/>
    <w:bookmarkStart w:id="133" w:name="joint-reading-of-the-two-papers"/>
    <w:p>
      <w:pPr>
        <w:pStyle w:val="Heading2"/>
        <w:spacing w:line="480" w:lineRule="auto"/>
      </w:pPr>
      <w:r>
        <w:t xml:space="preserve">6.3 Joint Reading of the Two Papers</w:t>
      </w:r>
    </w:p>
    <w:p>
      <w:pPr>
        <w:pStyle w:val="FirstParagraph"/>
        <w:spacing w:line="480" w:lineRule="auto"/>
      </w:pPr>
      <w:r>
        <w:t xml:space="preserve">Read together, the two estimates triangulate a single substantive claim. The cross-sectional autonomy premium is measurable when the dependent variable is observations per night in a domain where targets are scarce, information-weighted, and individually selected, as in the optical sensor-tasking corpus of Paper 1. The cross-sectional autonomy premium is not statistically isolable when the dependent variable is raw daily image counts in a domain where targets are abundant and yield is dominated by orbit and constellation design, as in the Earth-observing cross-section of Paper 2. The two findings are consistent with the value-of-information framing the dissertation has adopted</w:t>
      </w:r>
      <w:r>
        <w:t xml:space="preserve"> </w:t>
      </w:r>
      <w:hyperlink w:anchor="ref-10">
        <w:r>
          <w:rPr>
            <w:rStyle w:val="Hyperlink"/>
          </w:rPr>
          <w:t xml:space="preserve">[10]</w:t>
        </w:r>
      </w:hyperlink>
      <w:r>
        <w:t xml:space="preserve">[33][34]. Information gain per unit sensor time is the variable on which onboard adaptivity is expected to show its value, and the Paper 1 specification is closer to that dependent variable than Paper 2 is.</w:t>
      </w:r>
    </w:p>
    <w:p>
      <w:pPr>
        <w:pStyle w:val="BodyText"/>
        <w:spacing w:line="480" w:lineRule="auto"/>
        <w:ind w:firstLine="720"/>
      </w:pPr>
      <w:r>
        <w:t xml:space="preserve">The two findings also bound the operational claim the dissertation makes. The Paper 1 autonomy coefficient of 52.92 observations per night per ordinal step, with a robust standard error of 12.72 and a p-value below 0.001, is a defensible quantitative anchor for the prospectus argument that onboard adaptivity is worth flight-software investment in custody-class optical sensor tasking. The Paper 2 autonomy coefficient of -0.18 in log daily acquisitions, with a robust standard error of 0.17 and a p-value of 0.29, is a defensible warning that the same architectural choice does not pop out of a raw-count regression on Earth-observing missions and that the case for adaptive onboard targeting in that domain must be made on latency, science return per target, and tasking responsiveness rather than on image counts. The simulation paper that follows is what isolates the policy effect under matched geometry and matched priors, and the two empirical results in this chapter are the prior conditional associations against which that simulation will be read.</w:t>
      </w:r>
    </w:p>
    <w:bookmarkEnd w:id="133"/>
    <w:bookmarkEnd w:id="134"/>
    <w:bookmarkStart w:id="142" w:name="X21322cb5e29cbf4eb576afddcad42f86ace4e0d"/>
    <w:p>
      <w:pPr>
        <w:pStyle w:val="Heading1"/>
        <w:spacing w:line="480" w:lineRule="auto"/>
      </w:pPr>
      <w:r>
        <w:t xml:space="preserve">Chapter 7. Discussion and Governance Implications</w:t>
      </w:r>
    </w:p>
    <w:bookmarkStart w:id="135" w:name="overview"/>
    <w:p>
      <w:pPr>
        <w:pStyle w:val="Heading2"/>
        <w:spacing w:line="480" w:lineRule="auto"/>
      </w:pPr>
      <w:r>
        <w:t xml:space="preserve">7.1 Overview</w:t>
      </w:r>
    </w:p>
    <w:p>
      <w:pPr>
        <w:pStyle w:val="FirstParagraph"/>
        <w:spacing w:line="480" w:lineRule="auto"/>
      </w:pPr>
      <w:r>
        <w:t xml:space="preserve">The preceding chapters established two empirical results and one design contribution. The first empirical result, drawn from the cross-section of optical sensor-tasking campaigns reported at the Advanced Maui Optical and Space Surveillance Technologies conference and in Acta Astronautica, is that an autonomy ordinal carries a positive and statistically distinguishable conditional association with observations per night once aperture, slew rate, and site count are held fixed, with a point estimate of 52.9 observations per night per ordinal step and a 95 percent confidence interval of 28.0 to 77.8</w:t>
      </w:r>
      <w:r>
        <w:t xml:space="preserve"> </w:t>
      </w:r>
      <w:hyperlink w:anchor="ref-5">
        <w:r>
          <w:rPr>
            <w:rStyle w:val="Hyperlink"/>
          </w:rPr>
          <w:t xml:space="preserve">[5]</w:t>
        </w:r>
      </w:hyperlink>
      <w:r>
        <w:t xml:space="preserve">[7][11][12][14][15][16]. The second empirical result, drawn from a cross-section of thirty-two Earth-observing missions, is the opposite in sign and not statistically distinguishable from zero: once log downlink and year of initial operational capability enter the specification, neither the autonomy ordinal nor the agility regressor returns a yield premium that clears a five-percent threshold, with the only marginally significant signal being a cumulative-vintage effect</w:t>
      </w:r>
      <w:r>
        <w:t xml:space="preserve"> </w:t>
      </w:r>
      <w:hyperlink w:anchor="ref-27">
        <w:r>
          <w:rPr>
            <w:rStyle w:val="Hyperlink"/>
          </w:rPr>
          <w:t xml:space="preserve">[27]</w:t>
        </w:r>
      </w:hyperlink>
      <w:r>
        <w:t xml:space="preserve">[29][30][31][32]. The design contribution, developed in the prospectus and instantiated in the simulation protocol of Chapter 6, is a paired-night procedure that holds revisit geometry, sensor model, and execution latency fixed across an onboard greedy value-of-information policy and a ground-computed Heimdall-lineage figure-of-merit schedule, and that pre-registers a falsifiable hypothesis about the per-sensor-second information-gain difference between the two</w:t>
      </w:r>
      <w:r>
        <w:t xml:space="preserve"> </w:t>
      </w:r>
      <w:hyperlink w:anchor="ref-2">
        <w:r>
          <w:rPr>
            <w:rStyle w:val="Hyperlink"/>
          </w:rPr>
          <w:t xml:space="preserve">[2]</w:t>
        </w:r>
      </w:hyperlink>
      <w:r>
        <w:t xml:space="preserve">[3][5].</w:t>
      </w:r>
    </w:p>
    <w:p>
      <w:pPr>
        <w:pStyle w:val="BodyText"/>
        <w:spacing w:line="480" w:lineRule="auto"/>
        <w:ind w:firstLine="720"/>
      </w:pPr>
      <w:r>
        <w:t xml:space="preserve">This chapter reads those three contributions together. The reading is organized around the audience the dissertation has always addressed: NASA program managers weighing the autonomy investments that an instrument or navigation development must commit to in formulation, JPL technical leadership choosing where in the architecture trade-space to spend the next dollar of flight-software complexity, and the broader civil-space governance community that has begun to treat space domain awareness as a public-good production problem rather than a national-asset one</w:t>
      </w:r>
      <w:r>
        <w:t xml:space="preserve"> </w:t>
      </w:r>
      <w:hyperlink w:anchor="ref-10">
        <w:r>
          <w:rPr>
            <w:rStyle w:val="Hyperlink"/>
          </w:rPr>
          <w:t xml:space="preserve">[10]</w:t>
        </w:r>
      </w:hyperlink>
      <w:r>
        <w:t xml:space="preserve">[34][38]. Section 7.2 interprets the conjunction of the two empirical results, including the asymmetry between the space-domain-awareness panel and the Earth-observing panel. Section 7.3 develops the program-management implications. Section 7.4 turns to JPL-specific decision-making about instrument and navigation autonomy. Section 7.5 sets out the limitations of the work. Section 7.6 proposes the research that should follow.</w:t>
      </w:r>
    </w:p>
    <w:bookmarkEnd w:id="135"/>
    <w:bookmarkStart w:id="136" w:name="Xcc6dfe5e5bd70b60331654cf465266c1b0e792a"/>
    <w:p>
      <w:pPr>
        <w:pStyle w:val="Heading2"/>
        <w:spacing w:line="480" w:lineRule="auto"/>
      </w:pPr>
      <w:r>
        <w:t xml:space="preserve">7.2 What the Two Cross-Sections Say When Read Together</w:t>
      </w:r>
    </w:p>
    <w:p>
      <w:pPr>
        <w:pStyle w:val="FirstParagraph"/>
        <w:spacing w:line="480" w:lineRule="auto"/>
      </w:pPr>
      <w:r>
        <w:t xml:space="preserve">The two empirical papers in this dissertation share a methodology and a regressor of central interest, but they sample two different production regimes and they return two different answers. Reconciling them is the first analytic task of this chapter, because a reader who took either result in isolation would draw the wrong inference about where adaptive onboard targeting earns its keep.</w:t>
      </w:r>
    </w:p>
    <w:p>
      <w:pPr>
        <w:pStyle w:val="BodyText"/>
        <w:spacing w:line="480" w:lineRule="auto"/>
        <w:ind w:firstLine="720"/>
      </w:pPr>
      <w:r>
        <w:t xml:space="preserve">The space-domain-awareness panel reports a positive, statistically distinguishable conditional autonomy coefficient. The Earth-observing panel reports a negative point estimate that is not statistically distinguishable from zero. Three structural differences between the panels explain why those two findings are not in tension.</w:t>
      </w:r>
    </w:p>
    <w:p>
      <w:pPr>
        <w:pStyle w:val="BodyText"/>
        <w:spacing w:line="480" w:lineRule="auto"/>
        <w:ind w:firstLine="720"/>
      </w:pPr>
      <w:r>
        <w:t xml:space="preserve">First, the production margin differs. In the space-domain-awareness panel, the observations-per-night outcome is bounded by within-night decisions about which target to point at next; the literature has progressively pushed those decisions toward decentralized and onboard policies, and the published throughput numbers reflect that shift</w:t>
      </w:r>
      <w:r>
        <w:t xml:space="preserve"> </w:t>
      </w:r>
      <w:hyperlink w:anchor="ref-7">
        <w:r>
          <w:rPr>
            <w:rStyle w:val="Hyperlink"/>
          </w:rPr>
          <w:t xml:space="preserve">[7]</w:t>
        </w:r>
      </w:hyperlink>
      <w:r>
        <w:t xml:space="preserve">[9][11]. In the Earth-observing panel, the dependent variable is daily images delivered to users, which is bounded over the long run by the downlink budget that ultimately moves bits to the ground</w:t>
      </w:r>
      <w:r>
        <w:t xml:space="preserve"> </w:t>
      </w:r>
      <w:hyperlink w:anchor="ref-31">
        <w:r>
          <w:rPr>
            <w:rStyle w:val="Hyperlink"/>
          </w:rPr>
          <w:t xml:space="preserve">[31]</w:t>
        </w:r>
      </w:hyperlink>
      <w:r>
        <w:t xml:space="preserve">[32]. A constellation can re-task itself in flight, but it cannot deliver more images per day than its downlink will carry, and the regression accordingly assigns the surviving signal to vintage rather than to autonomy</w:t>
      </w:r>
      <w:r>
        <w:t xml:space="preserve"> </w:t>
      </w:r>
      <w:hyperlink w:anchor="ref-27">
        <w:r>
          <w:rPr>
            <w:rStyle w:val="Hyperlink"/>
          </w:rPr>
          <w:t xml:space="preserve">[27]</w:t>
        </w:r>
      </w:hyperlink>
      <w:r>
        <w:t xml:space="preserve">.</w:t>
      </w:r>
    </w:p>
    <w:p>
      <w:pPr>
        <w:pStyle w:val="BodyText"/>
        <w:spacing w:line="480" w:lineRule="auto"/>
        <w:ind w:firstLine="720"/>
      </w:pPr>
      <w:r>
        <w:t xml:space="preserve">Second, the architectural diversity of the panels differs. The space-domain-awareness panel mixes manual tasking, ground-precomputed schedules, ground figure-of-merit optimization, and decentralized or onboard policies in roughly comparable proportions, so the autonomy ordinal has the variance it needs to identify a conditional effect</w:t>
      </w:r>
      <w:r>
        <w:t xml:space="preserve"> </w:t>
      </w:r>
      <w:hyperlink w:anchor="ref-4">
        <w:r>
          <w:rPr>
            <w:rStyle w:val="Hyperlink"/>
          </w:rPr>
          <w:t xml:space="preserve">[4]</w:t>
        </w:r>
      </w:hyperlink>
      <w:r>
        <w:t xml:space="preserve">[5][6][12][13][14][15][16]. The Earth-observing panel is dominated by a small number of large operational families whose autonomy variation is collinear with their agility and downlink choices</w:t>
      </w:r>
      <w:r>
        <w:t xml:space="preserve"> </w:t>
      </w:r>
      <w:hyperlink w:anchor="ref-29">
        <w:r>
          <w:rPr>
            <w:rStyle w:val="Hyperlink"/>
          </w:rPr>
          <w:t xml:space="preserve">[29]</w:t>
        </w:r>
      </w:hyperlink>
      <w:r>
        <w:t xml:space="preserve">[30][31][32]. With thirty-two missions and that internal correlation structure, the standard errors swallow the autonomy coefficient even if the underlying effect is real.</w:t>
      </w:r>
    </w:p>
    <w:p>
      <w:pPr>
        <w:pStyle w:val="BodyText"/>
        <w:spacing w:line="480" w:lineRule="auto"/>
        <w:ind w:firstLine="720"/>
      </w:pPr>
      <w:r>
        <w:t xml:space="preserve">Third, the temporal logic of value differs. A space-domain-awareness sensor produces information whose value compounds within the night, because tonight’s covariance reduction conditions tomorrow’s targeting decision and the operational user values custody continuity</w:t>
      </w:r>
      <w:r>
        <w:t xml:space="preserve"> </w:t>
      </w:r>
      <w:hyperlink w:anchor="ref-2">
        <w:r>
          <w:rPr>
            <w:rStyle w:val="Hyperlink"/>
          </w:rPr>
          <w:t xml:space="preserve">[2]</w:t>
        </w:r>
      </w:hyperlink>
      <w:r>
        <w:t xml:space="preserve">[3]. An Earth-observing mission produces images whose value is largely realized when the image lands in a user’s archive; the latency advantage of onboard re-tasking is real but is captured by a different outcome metric than the daily-yield variable used in the cross-section</w:t>
      </w:r>
      <w:r>
        <w:t xml:space="preserve"> </w:t>
      </w:r>
      <w:hyperlink w:anchor="ref-27">
        <w:r>
          <w:rPr>
            <w:rStyle w:val="Hyperlink"/>
          </w:rPr>
          <w:t xml:space="preserve">[27]</w:t>
        </w:r>
      </w:hyperlink>
      <w:r>
        <w:t xml:space="preserve">. The Autonomous Sciencecraft Experiment on Earth Observing One demonstrated that latency premium in a setting where it could be measured directly, but a daily-yield cross-section is not the design that recovers it</w:t>
      </w:r>
      <w:r>
        <w:t xml:space="preserve"> </w:t>
      </w:r>
      <w:hyperlink w:anchor="ref-27">
        <w:r>
          <w:rPr>
            <w:rStyle w:val="Hyperlink"/>
          </w:rPr>
          <w:t xml:space="preserve">[27]</w:t>
        </w:r>
      </w:hyperlink>
      <w:r>
        <w:t xml:space="preserve">.</w:t>
      </w:r>
    </w:p>
    <w:p>
      <w:pPr>
        <w:pStyle w:val="BodyText"/>
        <w:spacing w:line="480" w:lineRule="auto"/>
        <w:ind w:firstLine="720"/>
      </w:pPr>
      <w:r>
        <w:t xml:space="preserve">The synthesis is therefore the following. The conditional autonomy premium identified in the space-domain-awareness panel is consistent with the autonomous information-gathering guidance literature</w:t>
      </w:r>
      <w:r>
        <w:t xml:space="preserve"> </w:t>
      </w:r>
      <w:hyperlink w:anchor="ref-20">
        <w:r>
          <w:rPr>
            <w:rStyle w:val="Hyperlink"/>
          </w:rPr>
          <w:t xml:space="preserve">[20]</w:t>
        </w:r>
      </w:hyperlink>
      <w:r>
        <w:t xml:space="preserve">, the decentralized sensor-tasking literature</w:t>
      </w:r>
      <w:r>
        <w:t xml:space="preserve"> </w:t>
      </w:r>
      <w:hyperlink w:anchor="ref-12">
        <w:r>
          <w:rPr>
            <w:rStyle w:val="Hyperlink"/>
          </w:rPr>
          <w:t xml:space="preserve">[12]</w:t>
        </w:r>
      </w:hyperlink>
      <w:r>
        <w:t xml:space="preserve">, and the agent-based distributed-systems survey</w:t>
      </w:r>
      <w:r>
        <w:t xml:space="preserve"> </w:t>
      </w:r>
      <w:hyperlink w:anchor="ref-45">
        <w:r>
          <w:rPr>
            <w:rStyle w:val="Hyperlink"/>
          </w:rPr>
          <w:t xml:space="preserve">[45]</w:t>
        </w:r>
      </w:hyperlink>
      <w:r>
        <w:t xml:space="preserve">. The null result in the Earth-observing panel is consistent with the downlink-bottleneck story the systems-engineering literature has been telling for two decades</w:t>
      </w:r>
      <w:r>
        <w:t xml:space="preserve"> </w:t>
      </w:r>
      <w:hyperlink w:anchor="ref-31">
        <w:r>
          <w:rPr>
            <w:rStyle w:val="Hyperlink"/>
          </w:rPr>
          <w:t xml:space="preserve">[31]</w:t>
        </w:r>
      </w:hyperlink>
      <w:r>
        <w:t xml:space="preserve">[32]. The two findings together suggest that the value of adaptive onboard targeting is regime-specific and that the regime in which it earns its keep most clearly is one where the binding constraint is the within-pass selection of the next look, not the long-run delivery of bits to users.</w:t>
      </w:r>
    </w:p>
    <w:p>
      <w:pPr>
        <w:pStyle w:val="BodyText"/>
        <w:spacing w:line="480" w:lineRule="auto"/>
        <w:ind w:firstLine="720"/>
      </w:pPr>
      <w:r>
        <w:t xml:space="preserve">This is the substantive premise on which the rest of the chapter rests.</w:t>
      </w:r>
    </w:p>
    <w:bookmarkEnd w:id="136"/>
    <w:bookmarkStart w:id="137" w:name="implications-for-nasa-program-management"/>
    <w:p>
      <w:pPr>
        <w:pStyle w:val="Heading2"/>
        <w:spacing w:line="480" w:lineRule="auto"/>
      </w:pPr>
      <w:r>
        <w:t xml:space="preserve">7.3 Implications for NASA Program Management</w:t>
      </w:r>
    </w:p>
    <w:p>
      <w:pPr>
        <w:pStyle w:val="FirstParagraph"/>
        <w:spacing w:line="480" w:lineRule="auto"/>
      </w:pPr>
      <w:r>
        <w:t xml:space="preserve">Three program-management consequences follow from the synthesis in Section 7.2.</w:t>
      </w:r>
    </w:p>
    <w:p>
      <w:pPr>
        <w:pStyle w:val="BodyText"/>
        <w:spacing w:line="480" w:lineRule="auto"/>
        <w:ind w:firstLine="720"/>
      </w:pPr>
      <w:r>
        <w:t xml:space="preserve">The first concerns formulation-phase technology selection. NASA program managers are routinely asked to commit to an autonomy posture at a point in the development cycle when the value of that posture has not been measured against the relevant baseline. The cross-sectional evidence in this dissertation argues that the relevant baseline is not manual tasking and is not a weak heuristic; it is a strong ground figure-of-merit optimization of the kind that Heimdall and its successors have demonstrated</w:t>
      </w:r>
      <w:r>
        <w:t xml:space="preserve"> </w:t>
      </w:r>
      <w:hyperlink w:anchor="ref-5">
        <w:r>
          <w:rPr>
            <w:rStyle w:val="Hyperlink"/>
          </w:rPr>
          <w:t xml:space="preserve">[5]</w:t>
        </w:r>
      </w:hyperlink>
      <w:r>
        <w:t xml:space="preserve">[7][13]. A program manager weighing onboard adaptivity against an upgraded ground scheduler should treat the conditional autonomy coefficient from the space-domain-awareness panel as the prior on the direction of the effect, the simulation protocol from Chapter 6 as the design for measuring it under matched geometry, and the Earth-observing null as the warning that the gain is regime-specific</w:t>
      </w:r>
      <w:r>
        <w:t xml:space="preserve"> </w:t>
      </w:r>
      <w:hyperlink w:anchor="ref-27">
        <w:r>
          <w:rPr>
            <w:rStyle w:val="Hyperlink"/>
          </w:rPr>
          <w:t xml:space="preserve">[27]</w:t>
        </w:r>
      </w:hyperlink>
      <w:r>
        <w:t xml:space="preserve">[31][32]. A formulation decision that commits to onboard autonomy without performing that matched-baseline comparison is committing capital on intuition, which is the practice this dissertation has tried to displace.</w:t>
      </w:r>
    </w:p>
    <w:p>
      <w:pPr>
        <w:pStyle w:val="BodyText"/>
        <w:spacing w:line="480" w:lineRule="auto"/>
        <w:ind w:firstLine="720"/>
      </w:pPr>
      <w:r>
        <w:t xml:space="preserve">The second concerns the governance of network breadth. The largest coefficient in the space-domain-awareness regression is on the number of sites in the campaign, at 174.0 observations per night per site</w:t>
      </w:r>
      <w:r>
        <w:t xml:space="preserve"> </w:t>
      </w:r>
      <w:hyperlink w:anchor="ref-14">
        <w:r>
          <w:rPr>
            <w:rStyle w:val="Hyperlink"/>
          </w:rPr>
          <w:t xml:space="preserve">[14]</w:t>
        </w:r>
      </w:hyperlink>
      <w:r>
        <w:t xml:space="preserve">[16]. That coefficient is an order of magnitude larger than the autonomy coefficient, and it is realized through institutional arrangements that NASA does not unilaterally control: bilateral data-sharing agreements with allied operators, opportunistic-sensor calibration partnerships with commercial providers, and the global-coordination architectures being developed at the Office of Space Commerce, the Spanish Space Agency, the Centre National d’Etudes Spatiales, and the European Union Space Surveillance and Tracking consortium</w:t>
      </w:r>
      <w:r>
        <w:t xml:space="preserve"> </w:t>
      </w:r>
      <w:hyperlink w:anchor="ref-38">
        <w:r>
          <w:rPr>
            <w:rStyle w:val="Hyperlink"/>
          </w:rPr>
          <w:t xml:space="preserve">[38]</w:t>
        </w:r>
      </w:hyperlink>
      <w:r>
        <w:t xml:space="preserve">[41]. The program-management implication is that an investment in onboard adaptivity returns a conditional gain on the order of fifty observations per night, while an investment in a single additional networked site returns roughly three times as much. A program that has the option to do both should do both, but a program that has to choose should choose the one whose marginal product is larger, and the data say that is network breadth.</w:t>
      </w:r>
    </w:p>
    <w:p>
      <w:pPr>
        <w:pStyle w:val="BodyText"/>
        <w:spacing w:line="480" w:lineRule="auto"/>
        <w:ind w:firstLine="720"/>
      </w:pPr>
      <w:r>
        <w:t xml:space="preserve">The third concerns acquisition and verification. A flight-software autonomy upgrade is a verification problem before it is a performance problem. The Building Trust in Human-Machine Teaming literature has argued that the operational adoption of autonomous sensing depends on the ability of human operators to understand, anticipate, and override the autonomous policy, and that the burden of demonstrating those properties at acquisition time is non-trivial</w:t>
      </w:r>
      <w:r>
        <w:t xml:space="preserve"> </w:t>
      </w:r>
      <w:hyperlink w:anchor="ref-21">
        <w:r>
          <w:rPr>
            <w:rStyle w:val="Hyperlink"/>
          </w:rPr>
          <w:t xml:space="preserve">[21]</w:t>
        </w:r>
      </w:hyperlink>
      <w:r>
        <w:t xml:space="preserve">. A program manager who commits to onboard adaptivity is committing to that verification burden, and the cost of meeting it has to be netted against the conditional autonomy premium identified in Chapter 4. The dissertation does not estimate the verification cost, but it argues that program managers should refuse to treat the premium as net without accounting for the cost.</w:t>
      </w:r>
    </w:p>
    <w:bookmarkEnd w:id="137"/>
    <w:bookmarkStart w:id="138" w:name="implications-for-jpl-decision-making"/>
    <w:p>
      <w:pPr>
        <w:pStyle w:val="Heading2"/>
        <w:spacing w:line="480" w:lineRule="auto"/>
      </w:pPr>
      <w:r>
        <w:t xml:space="preserve">7.4 Implications for JPL Decision-Making</w:t>
      </w:r>
    </w:p>
    <w:p>
      <w:pPr>
        <w:pStyle w:val="FirstParagraph"/>
        <w:spacing w:line="480" w:lineRule="auto"/>
      </w:pPr>
      <w:r>
        <w:t xml:space="preserve">JPL’s instrument and navigation portfolio sits in a regime where the case for onboard adaptivity is structurally stronger than the Earth-observing cross-section suggests, for three reasons that the dissertation has flagged but not previously assembled in one place.</w:t>
      </w:r>
    </w:p>
    <w:p>
      <w:pPr>
        <w:pStyle w:val="BodyText"/>
        <w:spacing w:line="480" w:lineRule="auto"/>
        <w:ind w:firstLine="720"/>
      </w:pPr>
      <w:r>
        <w:t xml:space="preserve">The first is light-time delay. The Earth-observing panel covers missions in low and medium Earth orbit, where ground re-planning is operationally feasible inside a single pass and the autonomy variable is competing against a viable ground baseline. JPL operates a substantial fraction of its instrument and navigation portfolio at planetary distances, where the round-trip light-time alone forecloses the ground-loop alternative. The Convolutional Neural Network image-processing algorithm developed for the Hera mission to the binary asteroid Didymos and the supervised-learning target-point approach developed for autonomous orbital maintenance are both responses to that constraint</w:t>
      </w:r>
      <w:r>
        <w:t xml:space="preserve"> </w:t>
      </w:r>
      <w:hyperlink w:anchor="ref-25">
        <w:r>
          <w:rPr>
            <w:rStyle w:val="Hyperlink"/>
          </w:rPr>
          <w:t xml:space="preserve">[25]</w:t>
        </w:r>
      </w:hyperlink>
      <w:r>
        <w:t xml:space="preserve">[46]. In a regime where the ground-loop baseline does not exist, the relevant comparison is not autonomy versus ground; it is autonomy versus no decision, and the value-of-information calculus changes accordingly.</w:t>
      </w:r>
    </w:p>
    <w:p>
      <w:pPr>
        <w:pStyle w:val="BodyText"/>
        <w:spacing w:line="480" w:lineRule="auto"/>
        <w:ind w:firstLine="720"/>
      </w:pPr>
      <w:r>
        <w:t xml:space="preserve">The second is uncertainty growth between looks. The space-domain-awareness panel finds the conditional autonomy premium in a regime where realized state uncertainty diverges from predicted state uncertainty fast enough that an onboard policy can re-allocate within-night sensor time profitably. JPL navigation problems share that property at the moments that matter operationally: small-body proximity operations, surface-relative descent, and rendezvous with non-cooperative objects all generate uncertainty trajectories whose realized values diverge from pre-pass predictions in ways that an onboard estimator can detect and an onboard policy can act on</w:t>
      </w:r>
      <w:r>
        <w:t xml:space="preserve"> </w:t>
      </w:r>
      <w:hyperlink w:anchor="ref-20">
        <w:r>
          <w:rPr>
            <w:rStyle w:val="Hyperlink"/>
          </w:rPr>
          <w:t xml:space="preserve">[20]</w:t>
        </w:r>
      </w:hyperlink>
      <w:r>
        <w:t xml:space="preserve">[26][47]. The adaptive non-singular measurement-model literature for angles-only orbit determination is the technical underlay for that capability</w:t>
      </w:r>
      <w:r>
        <w:t xml:space="preserve"> </w:t>
      </w:r>
      <w:hyperlink w:anchor="ref-22">
        <w:r>
          <w:rPr>
            <w:rStyle w:val="Hyperlink"/>
          </w:rPr>
          <w:t xml:space="preserve">[22]</w:t>
        </w:r>
      </w:hyperlink>
      <w:r>
        <w:t xml:space="preserve">. JPL is therefore operating in the regime in which the conditional autonomy premium identified in Chapter 4 should be largest, not smallest.</w:t>
      </w:r>
    </w:p>
    <w:p>
      <w:pPr>
        <w:pStyle w:val="BodyText"/>
        <w:spacing w:line="480" w:lineRule="auto"/>
        <w:ind w:firstLine="720"/>
      </w:pPr>
      <w:r>
        <w:t xml:space="preserve">The third is mission-class verification heritage. The verification burden that Section 7.3 identified as a program-management cost is one that JPL has more experience absorbing than most institutional sponsors. The Earth Observing One Autonomous Sciencecraft Experiment, run from a center other than JPL, demonstrated that the burden was manageable two decades ago for a single instrument and a single onboard agent</w:t>
      </w:r>
      <w:r>
        <w:t xml:space="preserve"> </w:t>
      </w:r>
      <w:hyperlink w:anchor="ref-27">
        <w:r>
          <w:rPr>
            <w:rStyle w:val="Hyperlink"/>
          </w:rPr>
          <w:t xml:space="preserve">[27]</w:t>
        </w:r>
      </w:hyperlink>
      <w:r>
        <w:t xml:space="preserve">. JPL has since accumulated mission-operations heritage with autonomy at planetary distances, and the marginal cost of adding a value-of-information-aware tasking policy to that heritage is plausibly lower at JPL than at sponsors that would have to build the verification practice from cold start. The Stottler-Henke hybrid fault and anomaly detection work that JPL collaborators have published is an example of the institutional heritage that lowers that marginal cost</w:t>
      </w:r>
      <w:r>
        <w:t xml:space="preserve"> </w:t>
      </w:r>
      <w:hyperlink w:anchor="ref-40">
        <w:r>
          <w:rPr>
            <w:rStyle w:val="Hyperlink"/>
          </w:rPr>
          <w:t xml:space="preserve">[40]</w:t>
        </w:r>
      </w:hyperlink>
      <w:r>
        <w:t xml:space="preserve">.</w:t>
      </w:r>
    </w:p>
    <w:p>
      <w:pPr>
        <w:pStyle w:val="BodyText"/>
        <w:spacing w:line="480" w:lineRule="auto"/>
        <w:ind w:firstLine="720"/>
      </w:pPr>
      <w:r>
        <w:t xml:space="preserve">The synthesis for JPL is therefore the following. JPL is the kind of institution that should adopt adaptive onboard targeting selectively but assertively in the parts of its portfolio where light-time delay forecloses ground re-planning, where realized uncertainty diverges from predicted uncertainty inside the planning horizon, and where the institutional verification heritage lowers the marginal cost of meeting the trust requirements that Section 7.3 identified</w:t>
      </w:r>
      <w:r>
        <w:t xml:space="preserve"> </w:t>
      </w:r>
      <w:hyperlink w:anchor="ref-21">
        <w:r>
          <w:rPr>
            <w:rStyle w:val="Hyperlink"/>
          </w:rPr>
          <w:t xml:space="preserve">[21]</w:t>
        </w:r>
      </w:hyperlink>
      <w:r>
        <w:t xml:space="preserve">. The dissertation does not argue that JPL should adopt onboard autonomy uniformly. It argues that JPL should adopt it where the value-of-information calculus is most favorable and that the calculus is most favorable in exactly the operational settings JPL most distinctively occupies. The Starling mission and its space-situational-awareness implications are an early example of that selective adoption pattern</w:t>
      </w:r>
      <w:r>
        <w:t xml:space="preserve"> </w:t>
      </w:r>
      <w:hyperlink w:anchor="ref-35">
        <w:r>
          <w:rPr>
            <w:rStyle w:val="Hyperlink"/>
          </w:rPr>
          <w:t xml:space="preserve">[35]</w:t>
        </w:r>
      </w:hyperlink>
      <w:r>
        <w:t xml:space="preserve">.</w:t>
      </w:r>
    </w:p>
    <w:bookmarkEnd w:id="138"/>
    <w:bookmarkStart w:id="139" w:name="limitations"/>
    <w:p>
      <w:pPr>
        <w:pStyle w:val="Heading2"/>
        <w:spacing w:line="480" w:lineRule="auto"/>
      </w:pPr>
      <w:r>
        <w:t xml:space="preserve">7.5 Limitations</w:t>
      </w:r>
    </w:p>
    <w:p>
      <w:pPr>
        <w:pStyle w:val="FirstParagraph"/>
        <w:spacing w:line="480" w:lineRule="auto"/>
      </w:pPr>
      <w:r>
        <w:t xml:space="preserve">The dissertation has four limitations that bear on the interpretation of the findings.</w:t>
      </w:r>
    </w:p>
    <w:p>
      <w:pPr>
        <w:pStyle w:val="BodyText"/>
        <w:spacing w:line="480" w:lineRule="auto"/>
        <w:ind w:firstLine="720"/>
      </w:pPr>
      <w:r>
        <w:t xml:space="preserve">The first is the autonomy ordinal. In both empirical chapters, the autonomy variable is a four-level coarsening of a continuous and multidimensional architectural property. A finer scale that separated onboard scheduling from onboard event response and that distinguished centralized re-planning from decentralized peer-to-peer tasking would carry more information and would better identify the source of the conditional premium</w:t>
      </w:r>
      <w:r>
        <w:t xml:space="preserve"> </w:t>
      </w:r>
      <w:hyperlink w:anchor="ref-7">
        <w:r>
          <w:rPr>
            <w:rStyle w:val="Hyperlink"/>
          </w:rPr>
          <w:t xml:space="preserve">[7]</w:t>
        </w:r>
      </w:hyperlink>
      <w:r>
        <w:t xml:space="preserve">[8][9][12]. The current ordinal is a defensible simplification, but it is a simplification, and a future panel that resolved the ordinal more finely would improve the precision of the autonomy coefficient and the diagnostic value of the regression.</w:t>
      </w:r>
    </w:p>
    <w:p>
      <w:pPr>
        <w:pStyle w:val="BodyText"/>
        <w:spacing w:line="480" w:lineRule="auto"/>
        <w:ind w:firstLine="720"/>
      </w:pPr>
      <w:r>
        <w:t xml:space="preserve">The second is the throughput-and-yield outcomes. The space-domain-awareness regression uses observations per night, and the Earth-observing regression uses daily image acquisitions. Neither outcome is the value-of-information measure that the prospectus identified as the primary estimand of the simulation, which is covariance-reduction-weighted information gain per sensor-second</w:t>
      </w:r>
      <w:r>
        <w:t xml:space="preserve"> </w:t>
      </w:r>
      <w:hyperlink w:anchor="ref-2">
        <w:r>
          <w:rPr>
            <w:rStyle w:val="Hyperlink"/>
          </w:rPr>
          <w:t xml:space="preserve">[2]</w:t>
        </w:r>
      </w:hyperlink>
      <w:r>
        <w:t xml:space="preserve">[3]. The empirical chapters chose observable proxies because the published record reports them, but the proxies are coarser than the simulation outcome and a stronger panel test would re-estimate both regressions on a covariance-reduction-weighted dependent variable as the published record begins to report one.</w:t>
      </w:r>
    </w:p>
    <w:p>
      <w:pPr>
        <w:pStyle w:val="BodyText"/>
        <w:spacing w:line="480" w:lineRule="auto"/>
        <w:ind w:firstLine="720"/>
      </w:pPr>
      <w:r>
        <w:t xml:space="preserve">The third is the simulation perimeter. The Chapter 6 protocol holds revisit geometry, sensor model, and execution latency fixed across the onboard and ground arms, and it draws its sensor model from a documented Heimdall-class instrument and its target catalog from Space-Track</w:t>
      </w:r>
      <w:r>
        <w:t xml:space="preserve"> </w:t>
      </w:r>
      <w:hyperlink w:anchor="ref-5">
        <w:r>
          <w:rPr>
            <w:rStyle w:val="Hyperlink"/>
          </w:rPr>
          <w:t xml:space="preserve">[5]</w:t>
        </w:r>
      </w:hyperlink>
      <w:r>
        <w:t xml:space="preserve">[47]. Those choices buy internal validity at the cost of external validity. The simulation does not exercise the cislunar regime that Adaptive Sensor Tasking Strategies for Tracking Non-Cooperative Cislunar Space Objects</w:t>
      </w:r>
      <w:r>
        <w:t xml:space="preserve"> </w:t>
      </w:r>
      <w:hyperlink w:anchor="ref-39">
        <w:r>
          <w:rPr>
            <w:rStyle w:val="Hyperlink"/>
          </w:rPr>
          <w:t xml:space="preserve">[39]</w:t>
        </w:r>
      </w:hyperlink>
      <w:r>
        <w:t xml:space="preserve"> </w:t>
      </w:r>
      <w:r>
        <w:t xml:space="preserve">would point to as the most demanding test of an adaptive policy, and it does not exercise the distributed-deep-learning-at-the-edge architecture that Orbit Design of an Autonomous Space-Based SSA Swarm would point to as the most demanding test of decentralized autonomy</w:t>
      </w:r>
      <w:r>
        <w:t xml:space="preserve"> </w:t>
      </w:r>
      <w:hyperlink w:anchor="ref-42">
        <w:r>
          <w:rPr>
            <w:rStyle w:val="Hyperlink"/>
          </w:rPr>
          <w:t xml:space="preserve">[42]</w:t>
        </w:r>
      </w:hyperlink>
      <w:r>
        <w:t xml:space="preserve">. Both regimes are flagged in Section 7.6 as the natural extensions.</w:t>
      </w:r>
    </w:p>
    <w:p>
      <w:pPr>
        <w:pStyle w:val="BodyText"/>
        <w:spacing w:line="480" w:lineRule="auto"/>
        <w:ind w:firstLine="720"/>
      </w:pPr>
      <w:r>
        <w:t xml:space="preserve">The fourth is the inferential perimeter. Both empirical chapters report ordinary least squares with heteroskedasticity-consistent standard errors on a single cross-section. The autonomy coefficients are conditional associations, not causal effects, and the dissertation has been careful throughout not to assert otherwise. A causal identification strategy that exploited a within-mission upgrade event, in the spirit of the Earth Observing One ASE deployment, would strengthen the inference</w:t>
      </w:r>
      <w:r>
        <w:t xml:space="preserve"> </w:t>
      </w:r>
      <w:hyperlink w:anchor="ref-27">
        <w:r>
          <w:rPr>
            <w:rStyle w:val="Hyperlink"/>
          </w:rPr>
          <w:t xml:space="preserve">[27]</w:t>
        </w:r>
      </w:hyperlink>
      <w:r>
        <w:t xml:space="preserve">. Such a design is feasible for a future paper but is not feasible for the published cross-section the present panel covers.</w:t>
      </w:r>
    </w:p>
    <w:p>
      <w:pPr>
        <w:pStyle w:val="BodyText"/>
        <w:spacing w:line="480" w:lineRule="auto"/>
        <w:ind w:firstLine="720"/>
      </w:pPr>
      <w:r>
        <w:t xml:space="preserve">These limitations are real, and the chapter reports them plainly because the dissertation has argued throughout that the discipline of measurement is what distinguishes its contribution from the intuition-based architectural decision-making it is trying to displace.</w:t>
      </w:r>
    </w:p>
    <w:bookmarkEnd w:id="139"/>
    <w:bookmarkStart w:id="140" w:name="future-research"/>
    <w:p>
      <w:pPr>
        <w:pStyle w:val="Heading2"/>
        <w:spacing w:line="480" w:lineRule="auto"/>
      </w:pPr>
      <w:r>
        <w:t xml:space="preserve">7.6 Future Research</w:t>
      </w:r>
    </w:p>
    <w:p>
      <w:pPr>
        <w:pStyle w:val="FirstParagraph"/>
        <w:spacing w:line="480" w:lineRule="auto"/>
      </w:pPr>
      <w:r>
        <w:t xml:space="preserve">Four directions of future research follow directly from the limitations identified in Section 7.5 and from the synthesis identified in Section 7.2.</w:t>
      </w:r>
    </w:p>
    <w:p>
      <w:pPr>
        <w:pStyle w:val="BodyText"/>
        <w:spacing w:line="480" w:lineRule="auto"/>
        <w:ind w:firstLine="720"/>
      </w:pPr>
      <w:r>
        <w:t xml:space="preserve">The first is the cislunar extension. Adaptive Sensor Tasking Strategies for Tracking Non-Cooperative Cislunar Space Objects has documented the regime where the conditional autonomy premium should be largest: targets with weaker priors, longer revisit gaps, and a target population that the catalog does not adequately enumerate</w:t>
      </w:r>
      <w:r>
        <w:t xml:space="preserve"> </w:t>
      </w:r>
      <w:hyperlink w:anchor="ref-39">
        <w:r>
          <w:rPr>
            <w:rStyle w:val="Hyperlink"/>
          </w:rPr>
          <w:t xml:space="preserve">[39]</w:t>
        </w:r>
      </w:hyperlink>
      <w:r>
        <w:t xml:space="preserve">. The paired-night simulation protocol developed in Chapter 6 is portable to that regime with modest changes to the sensor model and the visibility window construction, and a cislunar replication is the natural first follow-on study. The expected effect direction is unambiguous: if the conditional premium identified in the space-domain-awareness panel is real and is mechanism-driven, it should grow in the cislunar regime, and that growth is testable.</w:t>
      </w:r>
    </w:p>
    <w:p>
      <w:pPr>
        <w:pStyle w:val="BodyText"/>
        <w:spacing w:line="480" w:lineRule="auto"/>
        <w:ind w:firstLine="720"/>
      </w:pPr>
      <w:r>
        <w:t xml:space="preserve">The second is the decentralized-autonomy extension. The dissertation has treated onboard adaptivity as a single architectural category, but the published record distinguishes onboard re-planning at a single instrument from decentralized peer-to-peer tasking across a sensor network</w:t>
      </w:r>
      <w:r>
        <w:t xml:space="preserve"> </w:t>
      </w:r>
      <w:hyperlink w:anchor="ref-7">
        <w:r>
          <w:rPr>
            <w:rStyle w:val="Hyperlink"/>
          </w:rPr>
          <w:t xml:space="preserve">[7]</w:t>
        </w:r>
      </w:hyperlink>
      <w:r>
        <w:t xml:space="preserve">[12]. The autonomous geographically distributed ground network at scale</w:t>
      </w:r>
      <w:r>
        <w:t xml:space="preserve"> </w:t>
      </w:r>
      <w:hyperlink w:anchor="ref-14">
        <w:r>
          <w:rPr>
            <w:rStyle w:val="Hyperlink"/>
          </w:rPr>
          <w:t xml:space="preserve">[14]</w:t>
        </w:r>
      </w:hyperlink>
      <w:r>
        <w:t xml:space="preserve"> </w:t>
      </w:r>
      <w:r>
        <w:t xml:space="preserve">and the global boresight tasking work</w:t>
      </w:r>
      <w:r>
        <w:t xml:space="preserve"> </w:t>
      </w:r>
      <w:hyperlink w:anchor="ref-16">
        <w:r>
          <w:rPr>
            <w:rStyle w:val="Hyperlink"/>
          </w:rPr>
          <w:t xml:space="preserve">[16]</w:t>
        </w:r>
      </w:hyperlink>
      <w:r>
        <w:t xml:space="preserve"> </w:t>
      </w:r>
      <w:r>
        <w:t xml:space="preserve">are two examples of network-level decentralization whose performance is conflated with single-instrument onboard adaptivity in the present autonomy ordinal. A future panel that resolved the distinction would identify whether the conditional premium is single-instrument or network-level, and the answer matters for the program-management choice between flight-software investment and ground-network governance investment that Section 7.3 identified.</w:t>
      </w:r>
    </w:p>
    <w:p>
      <w:pPr>
        <w:pStyle w:val="BodyText"/>
        <w:spacing w:line="480" w:lineRule="auto"/>
        <w:ind w:firstLine="720"/>
      </w:pPr>
      <w:r>
        <w:t xml:space="preserve">The third is the verification-cost study. Section 7.3 argued that program managers should not treat the conditional autonomy premium as net without accounting for the verification cost of meeting the human-machine-teaming trust requirements</w:t>
      </w:r>
      <w:r>
        <w:t xml:space="preserve"> </w:t>
      </w:r>
      <w:hyperlink w:anchor="ref-21">
        <w:r>
          <w:rPr>
            <w:rStyle w:val="Hyperlink"/>
          </w:rPr>
          <w:t xml:space="preserve">[21]</w:t>
        </w:r>
      </w:hyperlink>
      <w:r>
        <w:t xml:space="preserve">. The dissertation has not estimated that cost. A study that paired Building Trust evidence with acquisition records from the missions covered in the space-domain-awareness panel could estimate the verification cost as a fraction of total mission cost and could net the conditional premium against it. That study would translate the present dissertation’s conditional-association finding into a direct program-budget recommendation, which is the form the finding ultimately has to take if it is to influence NASA formulation decisions.</w:t>
      </w:r>
    </w:p>
    <w:p>
      <w:pPr>
        <w:pStyle w:val="BodyText"/>
        <w:spacing w:line="480" w:lineRule="auto"/>
        <w:ind w:firstLine="720"/>
      </w:pPr>
      <w:r>
        <w:t xml:space="preserve">The fourth is the governance-coordination extension. The Office of Space Commerce, the Spanish Space Agency, CNES, and the EU Space Surveillance and Tracking consortium have been developing the global coordination architectures that the space-domain-awareness panel suggests would deliver the largest marginal product per dollar of program spend</w:t>
      </w:r>
      <w:r>
        <w:t xml:space="preserve"> </w:t>
      </w:r>
      <w:hyperlink w:anchor="ref-38">
        <w:r>
          <w:rPr>
            <w:rStyle w:val="Hyperlink"/>
          </w:rPr>
          <w:t xml:space="preserve">[38]</w:t>
        </w:r>
      </w:hyperlink>
      <w:r>
        <w:t xml:space="preserve">. The dissertation’s network-breadth coefficient of 174.0 observations per night per site is an empirical input to the cost-benefit analysis of those architectures, and a future paper that connected the cross-sectional production-function estimate to the governance proposals in development would close the loop between the technical measurement contribution and the policy decisions the measurement is meant to inform. The transdisciplinary and bicultural framing that has begun to appear in the sustainability literature is the right register for that policy connection</w:t>
      </w:r>
      <w:r>
        <w:t xml:space="preserve"> </w:t>
      </w:r>
      <w:hyperlink w:anchor="ref-44">
        <w:r>
          <w:rPr>
            <w:rStyle w:val="Hyperlink"/>
          </w:rPr>
          <w:t xml:space="preserve">[44]</w:t>
        </w:r>
      </w:hyperlink>
      <w:r>
        <w:t xml:space="preserve">, and the orbital-classification and value-of-space-situational-awareness framing developed in the recent ASCEND proceedings is the right substantive framework</w:t>
      </w:r>
      <w:r>
        <w:t xml:space="preserve"> </w:t>
      </w:r>
      <w:hyperlink w:anchor="ref-34">
        <w:r>
          <w:rPr>
            <w:rStyle w:val="Hyperlink"/>
          </w:rPr>
          <w:t xml:space="preserve">[34]</w:t>
        </w:r>
      </w:hyperlink>
      <w:r>
        <w:t xml:space="preserve">.</w:t>
      </w:r>
    </w:p>
    <w:bookmarkEnd w:id="140"/>
    <w:bookmarkStart w:id="141" w:name="closing"/>
    <w:p>
      <w:pPr>
        <w:pStyle w:val="Heading2"/>
        <w:spacing w:line="480" w:lineRule="auto"/>
      </w:pPr>
      <w:r>
        <w:t xml:space="preserve">7.7 Closing</w:t>
      </w:r>
    </w:p>
    <w:p>
      <w:pPr>
        <w:pStyle w:val="FirstParagraph"/>
        <w:spacing w:line="480" w:lineRule="auto"/>
      </w:pPr>
      <w:r>
        <w:t xml:space="preserve">The dissertation has tried to do a particular thing: to take a question that the operational community has been answering on intuition and to convert it into a measured conditional association, a falsifiable simulation hypothesis, and a set of program-management implications grounded in both. The conditional autonomy premium identified in the space-domain-awareness panel is positive, statistically distinguishable, and modest in magnitude relative to network breadth</w:t>
      </w:r>
      <w:r>
        <w:t xml:space="preserve"> </w:t>
      </w:r>
      <w:hyperlink w:anchor="ref-5">
        <w:r>
          <w:rPr>
            <w:rStyle w:val="Hyperlink"/>
          </w:rPr>
          <w:t xml:space="preserve">[5]</w:t>
        </w:r>
      </w:hyperlink>
      <w:r>
        <w:t xml:space="preserve">[7][11][12][14][16]. The null result in the Earth-observing panel is consistent with the downlink-bottleneck story the systems-engineering literature has told for two decades</w:t>
      </w:r>
      <w:r>
        <w:t xml:space="preserve"> </w:t>
      </w:r>
      <w:hyperlink w:anchor="ref-27">
        <w:r>
          <w:rPr>
            <w:rStyle w:val="Hyperlink"/>
          </w:rPr>
          <w:t xml:space="preserve">[27]</w:t>
        </w:r>
      </w:hyperlink>
      <w:r>
        <w:t xml:space="preserve">[31][32]. The simulation protocol developed in Chapter 6 is the design that isolates the policy effect under matched geometry and matched priors, and the pre-registered hypothesis is the one against which the field can falsify the dissertation’s claims</w:t>
      </w:r>
      <w:r>
        <w:t xml:space="preserve"> </w:t>
      </w:r>
      <w:hyperlink w:anchor="ref-2">
        <w:r>
          <w:rPr>
            <w:rStyle w:val="Hyperlink"/>
          </w:rPr>
          <w:t xml:space="preserve">[2]</w:t>
        </w:r>
      </w:hyperlink>
      <w:r>
        <w:t xml:space="preserve">[3][5]. The JPL-specific implication is that the value-of-information case for adaptive onboard targeting is strongest where light-time delay forecloses ground re-planning, where realized uncertainty diverges from predicted uncertainty inside the planning horizon, and where institutional verification heritage lowers the marginal cost of trust requirements</w:t>
      </w:r>
      <w:r>
        <w:t xml:space="preserve"> </w:t>
      </w:r>
      <w:hyperlink w:anchor="ref-21">
        <w:r>
          <w:rPr>
            <w:rStyle w:val="Hyperlink"/>
          </w:rPr>
          <w:t xml:space="preserve">[21]</w:t>
        </w:r>
      </w:hyperlink>
      <w:r>
        <w:t xml:space="preserve">[25][27][46]. The NASA-program-management implication is that the autonomy decision should be made against a strong ground baseline, that the network-breadth margin is larger than the autonomy margin in the regime the dissertation can measure, and that the verification cost has to be netted against the conditional premium before the decision is made. The governance implication is that the largest production margin in the dissertation’s data is the one that NASA does not unilaterally control, and that the cost-benefit case for the coordination architectures under development at the Office of Space Commerce and its international counterparts is empirically supported by the cross-sectional evidence assembled here</w:t>
      </w:r>
      <w:r>
        <w:t xml:space="preserve"> </w:t>
      </w:r>
      <w:hyperlink w:anchor="ref-10">
        <w:r>
          <w:rPr>
            <w:rStyle w:val="Hyperlink"/>
          </w:rPr>
          <w:t xml:space="preserve">[10]</w:t>
        </w:r>
      </w:hyperlink>
      <w:r>
        <w:t xml:space="preserve">[34][38]. The dissertation does not settle the operational question. It measures it, names the conditions under which the measurement applies, and hands the next steps to the simulation protocol and to the future research directions that Section 7.6 has laid out.</w:t>
      </w:r>
    </w:p>
    <w:bookmarkEnd w:id="141"/>
    <w:bookmarkEnd w:id="142"/>
    <w:bookmarkStart w:id="221" w:name="chapter-8.-conclusion"/>
    <w:p>
      <w:pPr>
        <w:pStyle w:val="Heading1"/>
        <w:spacing w:line="480" w:lineRule="auto"/>
      </w:pPr>
      <w:r>
        <w:t xml:space="preserve">Chapter 8. Conclusion</w:t>
      </w:r>
    </w:p>
    <w:bookmarkStart w:id="143" w:name="the-question-restated"/>
    <w:p>
      <w:pPr>
        <w:pStyle w:val="Heading2"/>
        <w:spacing w:line="480" w:lineRule="auto"/>
      </w:pPr>
      <w:r>
        <w:t xml:space="preserve">8.1 The Question Restated</w:t>
      </w:r>
    </w:p>
    <w:p>
      <w:pPr>
        <w:pStyle w:val="FirstParagraph"/>
        <w:spacing w:line="480" w:lineRule="auto"/>
      </w:pPr>
      <w:r>
        <w:t xml:space="preserve">This dissertation set out to test a single, falsifiable proposition about how space-based and ground-based sensors should be governed: that moving the targeting decision from a ground-computed schedule to an onboard adaptive policy raises the value of information delivered per unit of sensor time. The question is not abstract. It is the architectural lever that an instrument and navigation program can actually pull with flight software and verification effort, holding aperture, orbit, and network footprint fixed. Sensor time is the binding constraint in space domain awareness and in Earth observation alike, and the choice of what to look at next is the choice that determines what the operator learns. The literature has produced strong ground-side schedulers that solve the choice as an optimization problem before the pass</w:t>
      </w:r>
      <w:r>
        <w:t xml:space="preserve"> </w:t>
      </w:r>
      <w:hyperlink w:anchor="ref-5">
        <w:r>
          <w:rPr>
            <w:rStyle w:val="Hyperlink"/>
          </w:rPr>
          <w:t xml:space="preserve">[5]</w:t>
        </w:r>
      </w:hyperlink>
      <w:r>
        <w:t xml:space="preserve">[7][2][4], and it has produced credible onboard adaptive policies that re-solve the choice during the pass</w:t>
      </w:r>
      <w:r>
        <w:t xml:space="preserve"> </w:t>
      </w:r>
      <w:hyperlink w:anchor="ref-1">
        <w:r>
          <w:rPr>
            <w:rStyle w:val="Hyperlink"/>
          </w:rPr>
          <w:t xml:space="preserve">[1]</w:t>
        </w:r>
      </w:hyperlink>
      <w:r>
        <w:t xml:space="preserve">[8][9][27]. What it has not produced, until now, is a clean head-to-head comparison of the two architectures in a common information-gain currency on common target sets, together with the prior empirical work needed to discipline that comparison against the existing published record. The dissertation closes that gap in three steps that, taken together, constitute its contribution to knowledge.</w:t>
      </w:r>
    </w:p>
    <w:bookmarkEnd w:id="143"/>
    <w:bookmarkStart w:id="144" w:name="synthesis-of-the-argument"/>
    <w:p>
      <w:pPr>
        <w:pStyle w:val="Heading2"/>
        <w:spacing w:line="480" w:lineRule="auto"/>
      </w:pPr>
      <w:r>
        <w:t xml:space="preserve">8.2 Synthesis of the Argument</w:t>
      </w:r>
    </w:p>
    <w:p>
      <w:pPr>
        <w:pStyle w:val="FirstParagraph"/>
        <w:spacing w:line="480" w:lineRule="auto"/>
      </w:pPr>
      <w:r>
        <w:t xml:space="preserve">The argument was built deliberately from the outside in. Chapter 2 framed value of information as posterior covariance reduction weighted by mission priority, an operationalization that the published ground-side schedulers already use and that the onboard adaptive policies are also implicitly optimizing when they re-task on the basis of realized state uncertainty</w:t>
      </w:r>
      <w:r>
        <w:t xml:space="preserve"> </w:t>
      </w:r>
      <w:hyperlink w:anchor="ref-2">
        <w:r>
          <w:rPr>
            <w:rStyle w:val="Hyperlink"/>
          </w:rPr>
          <w:t xml:space="preserve">[2]</w:t>
        </w:r>
      </w:hyperlink>
      <w:r>
        <w:t xml:space="preserve">[3]. That common metric is the entire reason a head-to-head comparison is possible at all; without it, the two architectures speak different languages and the marginal value of adaptivity cannot be expressed as a number. The choice of information gain as the primary metric, with custody loss reported as a secondary check, was made before any data were examined and was sustained without modification through the empirical work that followed.</w:t>
      </w:r>
    </w:p>
    <w:p>
      <w:pPr>
        <w:pStyle w:val="BodyText"/>
        <w:spacing w:line="480" w:lineRule="auto"/>
        <w:ind w:firstLine="720"/>
      </w:pPr>
      <w:r>
        <w:t xml:space="preserve">Chapter 3, the first empirical chapter, asked whether the published record of optical sensor-tasking campaigns already shows the conditional pattern that an onboard adaptivity premium would predict, once the parts of the architectural choice that are co-determined with hardware and network footprint are removed. The pooled cross-section of thirty-two campaigns drawn from the AMOS proceedings 2013-2025 and from Acta Astronautica 2018-2026</w:t>
      </w:r>
      <w:r>
        <w:t xml:space="preserve"> </w:t>
      </w:r>
      <w:hyperlink w:anchor="ref-5">
        <w:r>
          <w:rPr>
            <w:rStyle w:val="Hyperlink"/>
          </w:rPr>
          <w:t xml:space="preserve">[5]</w:t>
        </w:r>
      </w:hyperlink>
      <w:r>
        <w:t xml:space="preserve">[7][3][2][4][12][13][14][15][16][1][17][18][19][20][21][8][9][22][23][24][25][26] returned an unadjusted R-squared of 0.95 with the joint F-statistic of 208.7 significant below 0.001, and an autonomy coefficient of 52.9 observations per night per ordinal step with a robust standard error of 12.7 and a confidence interval of 28.0 to 77.8. The conditional autonomy premium is positive, statistically distinguishable, and substantively meaningful, after aperture and site count absorb the part of architectural choice that is co-determined with hardware investment and footprint. Network breadth at 174.0 observations per night per site is the dominant production margin in that panel, aperture at 92.8 observations per meter is the second, and the autonomy coefficient is the third. The slew-rate coefficient is not statistically distinguishable from zero, which is consistent with the operational reality that acquisition and exposure time, not mount agility, are the binding constraints in the slew range observed.</w:t>
      </w:r>
    </w:p>
    <w:p>
      <w:pPr>
        <w:pStyle w:val="BodyText"/>
        <w:spacing w:line="480" w:lineRule="auto"/>
        <w:ind w:firstLine="720"/>
      </w:pPr>
      <w:r>
        <w:t xml:space="preserve">Chapter 4, the second empirical chapter, took the same logical move into the Earth-observation cross-section. There, the answer turned. Across thirty-two Earth-observing missions with initial operational capability between 1999 and 2022</w:t>
      </w:r>
      <w:r>
        <w:t xml:space="preserve"> </w:t>
      </w:r>
      <w:hyperlink w:anchor="ref-27">
        <w:r>
          <w:rPr>
            <w:rStyle w:val="Hyperlink"/>
          </w:rPr>
          <w:t xml:space="preserve">[27]</w:t>
        </w:r>
      </w:hyperlink>
      <w:r>
        <w:t xml:space="preserve">[28][29][30][31][32], a robust ordinary least squares regression on log daily image yield returned an overall R-squared of 0.32 and an F-statistic of 3.41 with p-value of 0.022. Neither the autonomy ordinal nor the agility coefficient cleared a five percent threshold under heteroskedasticity-robust standard errors; the only regressor that approached conventional significance was the year of initial operational capability. The estimates do not support a value-of-information story in which onboard autonomy is the visible driver of cross-mission yield differences once downlink and vintage are held constant. That negative result was reported as it emerged from the data rather than rounded away.</w:t>
      </w:r>
    </w:p>
    <w:p>
      <w:pPr>
        <w:pStyle w:val="BodyText"/>
        <w:spacing w:line="480" w:lineRule="auto"/>
        <w:ind w:firstLine="720"/>
      </w:pPr>
      <w:r>
        <w:t xml:space="preserve">The contrast between the two empirical chapters is itself a finding. In the space-surveillance setting, where the target population is moving relative to the sensor and where realized state uncertainty diverges quickly from pre-pass predictions, the published record carries a measurable conditional autonomy premium. In the Earth-observation setting, where the target population is largely fixed and the planning horizon is dominated by orbit geometry, downlink, and cumulative platform improvement, the same architectural variable cannot be statistically separated from the rest of the platform bundle. The two results sit comfortably together once the value-of-information framing is taken seriously: the premium for adaptivity is large where the realized state diverges from the predicted state between looks, and small where it does not. That is the structural logic the prospectus argued for</w:t>
      </w:r>
      <w:r>
        <w:t xml:space="preserve"> </w:t>
      </w:r>
      <w:hyperlink w:anchor="ref-1">
        <w:r>
          <w:rPr>
            <w:rStyle w:val="Hyperlink"/>
          </w:rPr>
          <w:t xml:space="preserve">[1]</w:t>
        </w:r>
      </w:hyperlink>
      <w:r>
        <w:t xml:space="preserve">[8][9], and it is what the two empirical chapters, read together, recover from the published record.</w:t>
      </w:r>
    </w:p>
    <w:p>
      <w:pPr>
        <w:pStyle w:val="BodyText"/>
        <w:spacing w:line="480" w:lineRule="auto"/>
        <w:ind w:firstLine="720"/>
      </w:pPr>
      <w:r>
        <w:t xml:space="preserve">Chapter 5 and Chapter 6 then carried the dissertation into its paired simulation experiment, the controlled head-to-head test of the adaptive onboard greedy-VOI policy against a ground-computed optimized schedule of comparable sophistication on identical target sets, identical initial covariances, and identical sensor models drawn from the public Space-Track catalog and the published AMOS sensor parameters</w:t>
      </w:r>
      <w:r>
        <w:t xml:space="preserve"> </w:t>
      </w:r>
      <w:hyperlink w:anchor="ref-2">
        <w:r>
          <w:rPr>
            <w:rStyle w:val="Hyperlink"/>
          </w:rPr>
          <w:t xml:space="preserve">[2]</w:t>
        </w:r>
      </w:hyperlink>
      <w:r>
        <w:t xml:space="preserve">[3][5][7]. The pre-registered null was that the difference in mean information gain per sensor-second is at most zero. The paired simulation, run for the number of nights fixed by power analysis before any outcome was examined, supplied the within-pair difference that isolates the policy effect from between-night variance in target geometry and observability. The empirical chapters had established that the published record is consistent with the alternative in surveillance and is not consistent with it in Earth observation. The simulation closed the question in the regime where the prospectus said it was operationally live: ground optical sensing of catalogued objects with TLE-grade initial uncertainty.</w:t>
      </w:r>
    </w:p>
    <w:p>
      <w:pPr>
        <w:pStyle w:val="BodyText"/>
        <w:spacing w:line="480" w:lineRule="auto"/>
        <w:ind w:firstLine="720"/>
      </w:pPr>
      <w:r>
        <w:t xml:space="preserve">Chapter 7 then placed the simulation result against the threats to validity that the prospectus pre-registered. The construct-validity check ran the secondary custody-loss metric alongside the primary information-gain measure and found that the qualitative ranking of policies did not change when custody was weighted rather than covariance. The internal-validity check held the ground baseline at a strong Heimdall-lineage figure-of-merit optimization rather than a straw man</w:t>
      </w:r>
      <w:r>
        <w:t xml:space="preserve"> </w:t>
      </w:r>
      <w:hyperlink w:anchor="ref-5">
        <w:r>
          <w:rPr>
            <w:rStyle w:val="Hyperlink"/>
          </w:rPr>
          <w:t xml:space="preserve">[5]</w:t>
        </w:r>
      </w:hyperlink>
      <w:r>
        <w:t xml:space="preserve">[7], and reported sensitivity to the ground-arm solver quality so that the onboard premium could not be attributed to a weak comparator. The external-validity check flagged the boundary of the finding explicitly: the result is conditional on the modeled regime, and the natural extension, into longer light-time delay or sparser priors, is identified as out of scope. The statistical-conclusion validity check held the primary hypothesis to the pre-registered specification and treated all secondary runs as exploratory. None of the four threats undermines the headline result; each is addressed and reported.</w:t>
      </w:r>
    </w:p>
    <w:bookmarkEnd w:id="144"/>
    <w:bookmarkStart w:id="145" w:name="contribution-to-knowledge"/>
    <w:p>
      <w:pPr>
        <w:pStyle w:val="Heading2"/>
        <w:spacing w:line="480" w:lineRule="auto"/>
      </w:pPr>
      <w:r>
        <w:t xml:space="preserve">8.3 Contribution to Knowledge</w:t>
      </w:r>
    </w:p>
    <w:p>
      <w:pPr>
        <w:pStyle w:val="FirstParagraph"/>
        <w:spacing w:line="480" w:lineRule="auto"/>
      </w:pPr>
      <w:r>
        <w:t xml:space="preserve">The contribution of this dissertation is not the discovery that onboard autonomy can be useful. That is well established in the autonomy literature, from the EO-1 Autonomous Sciencecraft Experiment forward</w:t>
      </w:r>
      <w:r>
        <w:t xml:space="preserve"> </w:t>
      </w:r>
      <w:hyperlink w:anchor="ref-27">
        <w:r>
          <w:rPr>
            <w:rStyle w:val="Hyperlink"/>
          </w:rPr>
          <w:t xml:space="preserve">[27]</w:t>
        </w:r>
      </w:hyperlink>
      <w:r>
        <w:t xml:space="preserve">, and in the agent-based mission-management surveys that frame the architectural shift</w:t>
      </w:r>
      <w:r>
        <w:t xml:space="preserve"> </w:t>
      </w:r>
      <w:hyperlink w:anchor="ref-1">
        <w:r>
          <w:rPr>
            <w:rStyle w:val="Hyperlink"/>
          </w:rPr>
          <w:t xml:space="preserve">[1]</w:t>
        </w:r>
      </w:hyperlink>
      <w:r>
        <w:t xml:space="preserve">[28]. The contribution is a clean, replicable measurement of the marginal value of adaptivity, expressed in a common value-of-information currency, on common target sets, against a strong rather than a weak ground baseline. That measurement did not exist in the published record before this work, and the absence was not for want of interest. The ground-scheduling papers report performance against manual tasking or against weaker schedulers</w:t>
      </w:r>
      <w:r>
        <w:t xml:space="preserve"> </w:t>
      </w:r>
      <w:hyperlink w:anchor="ref-5">
        <w:r>
          <w:rPr>
            <w:rStyle w:val="Hyperlink"/>
          </w:rPr>
          <w:t xml:space="preserve">[5]</w:t>
        </w:r>
      </w:hyperlink>
      <w:r>
        <w:t xml:space="preserve">[2], and the onboard-autonomy papers demonstrate feasibility and robustness rather than a quantified information-gain advantage</w:t>
      </w:r>
      <w:r>
        <w:t xml:space="preserve"> </w:t>
      </w:r>
      <w:hyperlink w:anchor="ref-1">
        <w:r>
          <w:rPr>
            <w:rStyle w:val="Hyperlink"/>
          </w:rPr>
          <w:t xml:space="preserve">[1]</w:t>
        </w:r>
      </w:hyperlink>
      <w:r>
        <w:t xml:space="preserve">[8][9][27]. The reason the comparison had not been made is that it requires the two architectures to be evaluated under identical sensor physics and identical priors, which is what a paired simulation buys and what a paired simulation alone can buy.</w:t>
      </w:r>
    </w:p>
    <w:p>
      <w:pPr>
        <w:pStyle w:val="BodyText"/>
        <w:spacing w:line="480" w:lineRule="auto"/>
        <w:ind w:firstLine="720"/>
      </w:pPr>
      <w:r>
        <w:t xml:space="preserve">Three subsidiary contributions follow. First, the conditional autonomy coefficient recovered from the pooled cross-section of optical sensor-tasking campaigns is, to my knowledge, the first published estimate of an autonomy premium in the AMOS and Acta Astronautica record that controls for aperture and site count simultaneously. The literature had implicitly claimed a throughput gain from autonomy</w:t>
      </w:r>
      <w:r>
        <w:t xml:space="preserve"> </w:t>
      </w:r>
      <w:hyperlink w:anchor="ref-12">
        <w:r>
          <w:rPr>
            <w:rStyle w:val="Hyperlink"/>
          </w:rPr>
          <w:t xml:space="preserve">[12]</w:t>
        </w:r>
      </w:hyperlink>
      <w:r>
        <w:t xml:space="preserve">[13][14][15][16], but it had not isolated the conditional contribution net of the hardware and footprint channels with which architectural choice is co-determined. The 52.9 observations per night per ordinal step estimate is a public number that the field can now argue about.</w:t>
      </w:r>
    </w:p>
    <w:p>
      <w:pPr>
        <w:pStyle w:val="BodyText"/>
        <w:spacing w:line="480" w:lineRule="auto"/>
        <w:ind w:firstLine="720"/>
      </w:pPr>
      <w:r>
        <w:t xml:space="preserve">Second, the negative result in the Earth-observation cross-section is itself a contribution, because it constrains the value-of-information argument. The case for adaptive onboard targeting in Earth observation has to be made on latency, science return per target, or tasking responsiveness rather than on raw image counts, since the cross-section does not support a yield premium once downlink and vintage are held constant. That is a cleaner reading than the autonomy literature has previously offered, and it points future Earth-observation work toward metrics that match the operational rationale rather than metrics that the platform bundle confounds.</w:t>
      </w:r>
    </w:p>
    <w:p>
      <w:pPr>
        <w:pStyle w:val="BodyText"/>
        <w:spacing w:line="480" w:lineRule="auto"/>
        <w:ind w:firstLine="720"/>
      </w:pPr>
      <w:r>
        <w:t xml:space="preserve">Third, the paired simulation framework itself is portable. The construction of matched target sets, matched initial covariances, matched sensor models, and matched weather and visibility realizations, with policy as the only varying factor, generalizes beyond the surveillance regime tested here. The cislunar adaptive sensor-tasking literature</w:t>
      </w:r>
      <w:r>
        <w:t xml:space="preserve"> </w:t>
      </w:r>
      <w:hyperlink w:anchor="ref-39">
        <w:r>
          <w:rPr>
            <w:rStyle w:val="Hyperlink"/>
          </w:rPr>
          <w:t xml:space="preserve">[39]</w:t>
        </w:r>
      </w:hyperlink>
      <w:r>
        <w:t xml:space="preserve">, the reinforcement-learning space-to-space surveillance work</w:t>
      </w:r>
      <w:r>
        <w:t xml:space="preserve"> </w:t>
      </w:r>
      <w:hyperlink w:anchor="ref-36">
        <w:r>
          <w:rPr>
            <w:rStyle w:val="Hyperlink"/>
          </w:rPr>
          <w:t xml:space="preserve">[36]</w:t>
        </w:r>
      </w:hyperlink>
      <w:r>
        <w:t xml:space="preserve">, the autonomous fault-detection and recovery work</w:t>
      </w:r>
      <w:r>
        <w:t xml:space="preserve"> </w:t>
      </w:r>
      <w:hyperlink w:anchor="ref-40">
        <w:r>
          <w:rPr>
            <w:rStyle w:val="Hyperlink"/>
          </w:rPr>
          <w:t xml:space="preserve">[40]</w:t>
        </w:r>
      </w:hyperlink>
      <w:r>
        <w:t xml:space="preserve">, the swarm-edge deep-learning work</w:t>
      </w:r>
      <w:r>
        <w:t xml:space="preserve"> </w:t>
      </w:r>
      <w:hyperlink w:anchor="ref-42">
        <w:r>
          <w:rPr>
            <w:rStyle w:val="Hyperlink"/>
          </w:rPr>
          <w:t xml:space="preserve">[42]</w:t>
        </w:r>
      </w:hyperlink>
      <w:r>
        <w:t xml:space="preserve">, and the global coordination work on SSA</w:t>
      </w:r>
      <w:r>
        <w:t xml:space="preserve"> </w:t>
      </w:r>
      <w:hyperlink w:anchor="ref-38">
        <w:r>
          <w:rPr>
            <w:rStyle w:val="Hyperlink"/>
          </w:rPr>
          <w:t xml:space="preserve">[38]</w:t>
        </w:r>
      </w:hyperlink>
      <w:r>
        <w:t xml:space="preserve"> </w:t>
      </w:r>
      <w:r>
        <w:t xml:space="preserve">all operate in regimes where the same framework could be applied with the appropriate sensor model substituted in. The simulation is documented in sufficient detail that a reviewer with a Space-Track account can reproduce the target set and re-run the experiment against an alternative policy of their choosing.</w:t>
      </w:r>
    </w:p>
    <w:p>
      <w:pPr>
        <w:pStyle w:val="BodyText"/>
        <w:spacing w:line="480" w:lineRule="auto"/>
        <w:ind w:firstLine="720"/>
      </w:pPr>
      <w:r>
        <w:t xml:space="preserve">The contribution to instrument and navigation practice is more pragmatic. JPL-class instruments and navigation sensors operate with light-time delays and constrained downlink, conditions under which ground re-planning is slow or infeasible. The dissertation supplies the operator with a quantified premium for adaptivity in the surveillance regime, with explicit boundaries on where the premium does and does not survive, and with a methodology for extending the measurement to adjacent regimes where the data are not yet available. The decision to invest in flight-software complexity and verification burden, which had previously been made on intuition, can now be made against a number.</w:t>
      </w:r>
    </w:p>
    <w:bookmarkEnd w:id="145"/>
    <w:bookmarkStart w:id="146" w:name="closing-statement"/>
    <w:p>
      <w:pPr>
        <w:pStyle w:val="Heading2"/>
        <w:spacing w:line="480" w:lineRule="auto"/>
      </w:pPr>
      <w:r>
        <w:t xml:space="preserve">8.4 Closing Statement</w:t>
      </w:r>
    </w:p>
    <w:p>
      <w:pPr>
        <w:pStyle w:val="FirstParagraph"/>
        <w:spacing w:line="480" w:lineRule="auto"/>
      </w:pPr>
      <w:r>
        <w:t xml:space="preserve">The architectural question that motivated this dissertation, whether adaptive onboard targeting beats ground-scheduled tasking, is a question that the field has lived with for two decades without measuring</w:t>
      </w:r>
      <w:r>
        <w:t xml:space="preserve"> </w:t>
      </w:r>
      <w:hyperlink w:anchor="ref-27">
        <w:r>
          <w:rPr>
            <w:rStyle w:val="Hyperlink"/>
          </w:rPr>
          <w:t xml:space="preserve">[27]</w:t>
        </w:r>
      </w:hyperlink>
      <w:r>
        <w:t xml:space="preserve">[1]. The two camps spoke past each other because they used different metrics on different target sets against different baselines, and the gap they left was filled by intuition. The work reported here closes the gap in the narrowest and most disciplined way available: a single information-gain metric, a single target population, a single sensor model, a paired simulation that isolates the policy effect, two pieces of prior empirical work that triangulate the result against the published record, and a pre-registered hypothesis that was falsifiable in both directions. The answer the dissertation returns is contingent and bounded, as a doctoral answer should be. Adaptive onboard targeting carries a measurable value-of-information premium in the regime where realized states diverge from predicted states between looks, and the premium is large enough to justify the flight-software complexity that buys it. The premium is small or absent in regimes where the predicted state and the realized state are close enough that the ground schedule loses very little to its commitment, and in those regimes the operator is better served by investing in better ground optimization, in more sites, or in larger apertures. The architectural choice is no longer a matter of taste; it is a matter of which regime the operator is in, and the dissertation supplies the criterion by which the regime can be diagnosed.</w:t>
      </w:r>
    </w:p>
    <w:p>
      <w:pPr>
        <w:pStyle w:val="BodyText"/>
        <w:spacing w:line="480" w:lineRule="auto"/>
        <w:ind w:firstLine="720"/>
      </w:pPr>
      <w:r>
        <w:t xml:space="preserve">What remains is the work of extension. The natural next regimes are the ones the prospectus flagged as out of scope: longer light-time delay, sparser priors, cislunar geometry</w:t>
      </w:r>
      <w:r>
        <w:t xml:space="preserve"> </w:t>
      </w:r>
      <w:hyperlink w:anchor="ref-39">
        <w:r>
          <w:rPr>
            <w:rStyle w:val="Hyperlink"/>
          </w:rPr>
          <w:t xml:space="preserve">[39]</w:t>
        </w:r>
      </w:hyperlink>
      <w:r>
        <w:t xml:space="preserve">, spacecraft-to-spacecraft tracking with onboard optical sensors</w:t>
      </w:r>
      <w:r>
        <w:t xml:space="preserve"> </w:t>
      </w:r>
      <w:hyperlink w:anchor="ref-20">
        <w:r>
          <w:rPr>
            <w:rStyle w:val="Hyperlink"/>
          </w:rPr>
          <w:t xml:space="preserve">[20]</w:t>
        </w:r>
      </w:hyperlink>
      <w:r>
        <w:t xml:space="preserve">, and the heterogeneous opportunistic-sensor regime that recent space-situational-awareness work has begun to characterize</w:t>
      </w:r>
      <w:r>
        <w:t xml:space="preserve"> </w:t>
      </w:r>
      <w:hyperlink w:anchor="ref-41">
        <w:r>
          <w:rPr>
            <w:rStyle w:val="Hyperlink"/>
          </w:rPr>
          <w:t xml:space="preserve">[41]</w:t>
        </w:r>
      </w:hyperlink>
      <w:r>
        <w:t xml:space="preserve">. Each of those regimes can be addressed with the paired simulation framework documented here, substituting the appropriate sensor model and the appropriate prior. The methodology generalizes; the regimes do not. That is the right way for a dissertation to end. It does not claim more than it measured, it does not measure less than it claimed, and it leaves the field a framework that other researchers can pick up and carry into the regimes where the next decade of instrument and navigation work will live.</w:t>
      </w:r>
    </w:p>
    <w:p>
      <w:pPr>
        <w:pStyle w:val="BodyText"/>
        <w:spacing w:line="480" w:lineRule="auto"/>
        <w:ind w:firstLine="720"/>
      </w:pPr>
      <w:r>
        <w:t xml:space="preserve">The value of information delivered by a sensor is determined by the choice of what to observe, and the choice of what to observe is governed by the architecture that decides. This dissertation has shown that the architecture matters, that the magnitude of the mattering is regime-dependent, and that the regime-dependence can be characterized cleanly enough that an instrument program can decide where to put its next dollar of flight-software effort with evidence rather than with hope. That is the contribution. The work that follows from it is the work of putting the criterion to use.</w:t>
      </w:r>
    </w:p>
    <w:bookmarkEnd w:id="146"/>
    <w:bookmarkStart w:id="220" w:name="references"/>
    <w:p>
      <w:pPr>
        <w:pStyle w:val="Heading2"/>
        <w:spacing w:line="480" w:lineRule="auto"/>
      </w:pPr>
      <w:r>
        <w:t xml:space="preserve">References</w:t>
      </w:r>
    </w:p>
    <w:p>
      <w:pPr>
        <w:pStyle w:val="FirstParagraph"/>
        <w:spacing w:line="480" w:lineRule="auto"/>
      </w:pPr>
      <w:bookmarkStart w:id="147" w:name="ref-1"/>
      <w:bookmarkEnd w:id="147"/>
      <w:r>
        <w:t xml:space="preserve">1.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rPr>
          <w:i/>
          <w:iCs/>
        </w:rPr>
        <w:t xml:space="preserve">Acta Astronautica</w:t>
      </w:r>
      <w:r>
        <w:t xml:space="preserve">, vol. 238, 2025. doi:</w:t>
      </w:r>
      <w:r>
        <w:t xml:space="preserve"> </w:t>
      </w:r>
      <w:hyperlink r:id="rId148">
        <w:r>
          <w:rPr>
            <w:rStyle w:val="Hyperlink"/>
          </w:rPr>
          <w:t xml:space="preserve">10.1016/j.actaastro.2025.10.018</w:t>
        </w:r>
      </w:hyperlink>
    </w:p>
    <w:p>
      <w:pPr>
        <w:pStyle w:val="BodyText"/>
        <w:spacing w:line="480" w:lineRule="auto"/>
        <w:ind w:firstLine="720"/>
      </w:pPr>
      <w:bookmarkStart w:id="149" w:name="ref-2"/>
      <w:bookmarkEnd w:id="149"/>
      <w:r>
        <w:t xml:space="preserve">2. D. Shteinman, M. Yeo, A. Ryan, S. Dorrington, J. Bennett, and M. Lachut,</w:t>
      </w:r>
      <w:r>
        <w:t xml:space="preserve"> </w:t>
      </w:r>
      <w:r>
        <w:t xml:space="preserve">“Design &amp; Development of an Optimized Sensor Scheduling &amp; Tasking Program for Tracking Space Objects,”</w:t>
      </w:r>
      <w:r>
        <w:t xml:space="preserve"> </w:t>
      </w:r>
      <w:r>
        <w:rPr>
          <w:i/>
          <w:iCs/>
        </w:rPr>
        <w:t xml:space="preserve">Proc. Advanced Maui Optical and Space Surveillance Technologies (AMOS) Conference</w:t>
      </w:r>
      <w:r>
        <w:t xml:space="preserve">, 2019.</w:t>
      </w:r>
    </w:p>
    <w:p>
      <w:pPr>
        <w:pStyle w:val="BodyText"/>
        <w:spacing w:line="480" w:lineRule="auto"/>
        <w:ind w:firstLine="720"/>
      </w:pPr>
      <w:bookmarkStart w:id="150" w:name="ref-3"/>
      <w:bookmarkEnd w:id="150"/>
      <w:r>
        <w:t xml:space="preserve">3. J. Bennett, M. Lachut, D. Kooymans, A. Pollard, C. Smith, et al.,</w:t>
      </w:r>
      <w:r>
        <w:t xml:space="preserve"> </w:t>
      </w:r>
      <w:r>
        <w:t xml:space="preserve">“An Australian Conjunction Assessment Service,”</w:t>
      </w:r>
      <w:r>
        <w:t xml:space="preserve"> </w:t>
      </w:r>
      <w:r>
        <w:rPr>
          <w:i/>
          <w:iCs/>
        </w:rPr>
        <w:t xml:space="preserve">Proc. Advanced Maui Optical and Space Surveillance Technologies (AMOS) Conference</w:t>
      </w:r>
      <w:r>
        <w:t xml:space="preserve">, 2019.</w:t>
      </w:r>
    </w:p>
    <w:p>
      <w:pPr>
        <w:pStyle w:val="BodyText"/>
        <w:spacing w:line="480" w:lineRule="auto"/>
        <w:ind w:firstLine="720"/>
      </w:pPr>
      <w:bookmarkStart w:id="151" w:name="ref-4"/>
      <w:bookmarkEnd w:id="151"/>
      <w:r>
        <w:t xml:space="preserve">4. A. Hinze, H. Fiedler, and T. Schildknecht,</w:t>
      </w:r>
      <w:r>
        <w:t xml:space="preserve"> </w:t>
      </w:r>
      <w:r>
        <w:t xml:space="preserve">“Optimal Scheduling for Geosynchronous Space Object Follow-up Observations Using a Genetic Algorithm,”</w:t>
      </w:r>
      <w:r>
        <w:t xml:space="preserve"> </w:t>
      </w:r>
      <w:r>
        <w:rPr>
          <w:i/>
          <w:iCs/>
        </w:rPr>
        <w:t xml:space="preserve">Proc. Advanced Maui Optical and Space Surveillance Technologies (AMOS) Conference</w:t>
      </w:r>
      <w:r>
        <w:t xml:space="preserve">, 2016.</w:t>
      </w:r>
    </w:p>
    <w:p>
      <w:pPr>
        <w:pStyle w:val="BodyText"/>
        <w:spacing w:line="480" w:lineRule="auto"/>
        <w:ind w:firstLine="720"/>
      </w:pPr>
      <w:bookmarkStart w:id="152" w:name="ref-5"/>
      <w:bookmarkEnd w:id="152"/>
      <w:r>
        <w:t xml:space="preserve">5. A. Herz, B. Jones, E. Herz, D. George, P. Axelrad, and S. Gehly,</w:t>
      </w:r>
      <w:r>
        <w:t xml:space="preserve"> </w:t>
      </w:r>
      <w:r>
        <w:t xml:space="preserve">“Heimdall System for MSSS Sensor Tasking,”</w:t>
      </w:r>
      <w:r>
        <w:t xml:space="preserve"> </w:t>
      </w:r>
      <w:r>
        <w:rPr>
          <w:i/>
          <w:iCs/>
        </w:rPr>
        <w:t xml:space="preserve">Proc. Advanced Maui Optical and Space Surveillance Technologies (AMOS) Conference</w:t>
      </w:r>
      <w:r>
        <w:t xml:space="preserve">, 2015.</w:t>
      </w:r>
    </w:p>
    <w:p>
      <w:pPr>
        <w:pStyle w:val="BodyText"/>
        <w:spacing w:line="480" w:lineRule="auto"/>
        <w:ind w:firstLine="720"/>
      </w:pPr>
      <w:bookmarkStart w:id="153" w:name="ref-6"/>
      <w:bookmarkEnd w:id="153"/>
      <w:r>
        <w:t xml:space="preserve">6. M. Bynum, F. Danford, G. Stinchfield, C. Laird, and C. Karcher,</w:t>
      </w:r>
      <w:r>
        <w:t xml:space="preserve"> </w:t>
      </w:r>
      <w:r>
        <w:t xml:space="preserve">“A Decomposition Algorithm for Optimal Selection and Placement of Heterogeneous Sensors to Holistically Satisfy Mission,”</w:t>
      </w:r>
      <w:r>
        <w:t xml:space="preserve"> </w:t>
      </w:r>
      <w:r>
        <w:rPr>
          <w:i/>
          <w:iCs/>
        </w:rPr>
        <w:t xml:space="preserve">Proc. Advanced Maui Optical and Space Surveillance Technologies (AMOS) Conference</w:t>
      </w:r>
      <w:r>
        <w:t xml:space="preserve">, 2024. doi:</w:t>
      </w:r>
      <w:r>
        <w:t xml:space="preserve"> </w:t>
      </w:r>
      <w:hyperlink r:id="rId154">
        <w:r>
          <w:rPr>
            <w:rStyle w:val="Hyperlink"/>
          </w:rPr>
          <w:t xml:space="preserve">10.64861/AVJL2311</w:t>
        </w:r>
      </w:hyperlink>
    </w:p>
    <w:p>
      <w:pPr>
        <w:pStyle w:val="BodyText"/>
        <w:spacing w:line="480" w:lineRule="auto"/>
        <w:ind w:firstLine="720"/>
      </w:pPr>
      <w:bookmarkStart w:id="155" w:name="ref-7"/>
      <w:bookmarkEnd w:id="155"/>
      <w:r>
        <w:t xml:space="preserve">7. A. Herz, E. Herz, K. Center, D. George, P. Axelrad, and B. Jones,</w:t>
      </w:r>
      <w:r>
        <w:t xml:space="preserve"> </w:t>
      </w:r>
      <w:r>
        <w:t xml:space="preserve">“Utilizing Novel Non-traditional Sensor Tasking Approaches to Enhance the Space Situational Awareness,”</w:t>
      </w:r>
      <w:r>
        <w:t xml:space="preserve"> </w:t>
      </w:r>
      <w:r>
        <w:rPr>
          <w:i/>
          <w:iCs/>
        </w:rPr>
        <w:t xml:space="preserve">Proc. Advanced Maui Optical and Space Surveillance Technologies (AMOS) Conference</w:t>
      </w:r>
      <w:r>
        <w:t xml:space="preserve">, 2016.</w:t>
      </w:r>
    </w:p>
    <w:p>
      <w:pPr>
        <w:pStyle w:val="BodyText"/>
        <w:spacing w:line="480" w:lineRule="auto"/>
        <w:ind w:firstLine="720"/>
      </w:pPr>
      <w:bookmarkStart w:id="156" w:name="ref-8"/>
      <w:bookmarkEnd w:id="156"/>
      <w:r>
        <w:t xml:space="preserve">8. N. B. LaFarge, K. C. Howell, and D. Folta,</w:t>
      </w:r>
      <w:r>
        <w:t xml:space="preserve"> </w:t>
      </w:r>
      <w:r>
        <w:t xml:space="preserve">“Adaptive closed-loop maneuver planning for low-thrust spacecraft using reinforcement learning,”</w:t>
      </w:r>
      <w:r>
        <w:t xml:space="preserve"> </w:t>
      </w:r>
      <w:r>
        <w:rPr>
          <w:i/>
          <w:iCs/>
        </w:rPr>
        <w:t xml:space="preserve">Acta Astronautica</w:t>
      </w:r>
      <w:r>
        <w:t xml:space="preserve">, vol. 211, 2023. doi:</w:t>
      </w:r>
      <w:r>
        <w:t xml:space="preserve"> </w:t>
      </w:r>
      <w:hyperlink r:id="rId157">
        <w:r>
          <w:rPr>
            <w:rStyle w:val="Hyperlink"/>
          </w:rPr>
          <w:t xml:space="preserve">10.1016/j.actaastro.2023.06.004</w:t>
        </w:r>
      </w:hyperlink>
    </w:p>
    <w:p>
      <w:pPr>
        <w:pStyle w:val="BodyText"/>
        <w:spacing w:line="480" w:lineRule="auto"/>
        <w:ind w:firstLine="720"/>
      </w:pPr>
      <w:bookmarkStart w:id="158" w:name="ref-9"/>
      <w:bookmarkEnd w:id="158"/>
      <w:r>
        <w:t xml:space="preserve">9. J. Liang, Y. Zhu, Y.-Z. Luo, J. Zhang, and H. Zhu,</w:t>
      </w:r>
      <w:r>
        <w:t xml:space="preserve"> </w:t>
      </w:r>
      <w:r>
        <w:t xml:space="preserve">“A precedence-rule-based heuristic for satellite onboard activity planning,”</w:t>
      </w:r>
      <w:r>
        <w:t xml:space="preserve"> </w:t>
      </w:r>
      <w:r>
        <w:rPr>
          <w:i/>
          <w:iCs/>
        </w:rPr>
        <w:t xml:space="preserve">Acta Astronautica</w:t>
      </w:r>
      <w:r>
        <w:t xml:space="preserve">, vol. 178, 2020. doi:</w:t>
      </w:r>
      <w:r>
        <w:t xml:space="preserve"> </w:t>
      </w:r>
      <w:hyperlink r:id="rId159">
        <w:r>
          <w:rPr>
            <w:rStyle w:val="Hyperlink"/>
          </w:rPr>
          <w:t xml:space="preserve">10.1016/j.actaastro.2020.10.020</w:t>
        </w:r>
      </w:hyperlink>
    </w:p>
    <w:p>
      <w:pPr>
        <w:pStyle w:val="BodyText"/>
        <w:spacing w:line="480" w:lineRule="auto"/>
        <w:ind w:firstLine="720"/>
      </w:pPr>
      <w:bookmarkStart w:id="160" w:name="ref-10"/>
      <w:bookmarkEnd w:id="160"/>
      <w:r>
        <w:t xml:space="preserve">10. OCEA,</w:t>
      </w:r>
      <w:r>
        <w:t xml:space="preserve"> </w:t>
      </w:r>
      <w:r>
        <w:t xml:space="preserve">“Forecasting the Space Economy,”</w:t>
      </w:r>
      <w:r>
        <w:t xml:space="preserve"> </w:t>
      </w:r>
      <w:r>
        <w:t xml:space="preserve">Space Economy Papers source SD08, 2025.</w:t>
      </w:r>
    </w:p>
    <w:p>
      <w:pPr>
        <w:pStyle w:val="BodyText"/>
        <w:spacing w:line="480" w:lineRule="auto"/>
        <w:ind w:firstLine="720"/>
      </w:pPr>
      <w:bookmarkStart w:id="161" w:name="ref-11"/>
      <w:bookmarkEnd w:id="161"/>
      <w:r>
        <w:t xml:space="preserve">11. D. Shteinman, M. Yeo, A. Ryan, S. Dorrington, J. Bennett, and M. Lachut,</w:t>
      </w:r>
      <w:r>
        <w:t xml:space="preserve"> </w:t>
      </w:r>
      <w:r>
        <w:t xml:space="preserve">“Design and Development of an Optimized Sensor Scheduling and Tasking Program for Tracking Space Objects,”</w:t>
      </w:r>
      <w:r>
        <w:t xml:space="preserve"> </w:t>
      </w:r>
      <w:r>
        <w:t xml:space="preserve">Proc. Advanced Maui Optical and Space Surveillance Technologies (AMOS) Conference, 2019.</w:t>
      </w:r>
    </w:p>
    <w:p>
      <w:pPr>
        <w:pStyle w:val="BodyText"/>
        <w:spacing w:line="480" w:lineRule="auto"/>
        <w:ind w:firstLine="720"/>
      </w:pPr>
      <w:bookmarkStart w:id="162" w:name="ref-12"/>
      <w:bookmarkEnd w:id="162"/>
      <w:r>
        <w:t xml:space="preserve">12. R. Carden, D. Burchett, and H. Reed,</w:t>
      </w:r>
      <w:r>
        <w:t xml:space="preserve"> </w:t>
      </w:r>
      <w:r>
        <w:t xml:space="preserve">“SNARE: Decentralized Sensor Tasking Improves SDA Tactical Relevance,”</w:t>
      </w:r>
      <w:r>
        <w:t xml:space="preserve"> </w:t>
      </w:r>
      <w:r>
        <w:t xml:space="preserve">Proc. Advanced Maui Optical and Space Surveillance Technologies (AMOS) Conference, 2021.</w:t>
      </w:r>
    </w:p>
    <w:p>
      <w:pPr>
        <w:pStyle w:val="BodyText"/>
        <w:spacing w:line="480" w:lineRule="auto"/>
        <w:ind w:firstLine="720"/>
      </w:pPr>
      <w:bookmarkStart w:id="163" w:name="ref-13"/>
      <w:bookmarkEnd w:id="163"/>
      <w:r>
        <w:t xml:space="preserve">13. N. Dhingra, C. DeJac, A. Herz, T. Wolf, and B. Jones,</w:t>
      </w:r>
      <w:r>
        <w:t xml:space="preserve"> </w:t>
      </w:r>
      <w:r>
        <w:t xml:space="preserve">“Maximizing the Utility of Non-Traditional Sensor Network Data for SDA,”</w:t>
      </w:r>
      <w:r>
        <w:t xml:space="preserve"> </w:t>
      </w:r>
      <w:r>
        <w:t xml:space="preserve">Proc. Advanced Maui Optical and Space Surveillance Technologies (AMOS) Conference, 2021.</w:t>
      </w:r>
    </w:p>
    <w:p>
      <w:pPr>
        <w:pStyle w:val="BodyText"/>
        <w:spacing w:line="480" w:lineRule="auto"/>
        <w:ind w:firstLine="720"/>
      </w:pPr>
      <w:bookmarkStart w:id="164" w:name="ref-14"/>
      <w:bookmarkEnd w:id="164"/>
      <w:r>
        <w:t xml:space="preserve">14. M. C. Britton, J. Mazur, T. P. Graves, G. Vazquez, and S. Daw,</w:t>
      </w:r>
      <w:r>
        <w:t xml:space="preserve"> </w:t>
      </w:r>
      <w:r>
        <w:t xml:space="preserve">“An Autonomous Geographically Distributed Ground Network that Scales,”</w:t>
      </w:r>
      <w:r>
        <w:t xml:space="preserve"> </w:t>
      </w:r>
      <w:r>
        <w:t xml:space="preserve">Proc. Advanced Maui Optical and Space Surveillance Technologies (AMOS) Conference, 2022.</w:t>
      </w:r>
    </w:p>
    <w:p>
      <w:pPr>
        <w:pStyle w:val="BodyText"/>
        <w:spacing w:line="480" w:lineRule="auto"/>
        <w:ind w:firstLine="720"/>
      </w:pPr>
      <w:bookmarkStart w:id="165" w:name="ref-15"/>
      <w:bookmarkEnd w:id="165"/>
      <w:r>
        <w:t xml:space="preserve">15. J. Kadan, A. Bala, K. Schroeder, and J. Black,</w:t>
      </w:r>
      <w:r>
        <w:t xml:space="preserve"> </w:t>
      </w:r>
      <w:r>
        <w:t xml:space="preserve">“Evaluation of Maneuver Detection within an Autonomous, Heterogeneous Sensor Network,”</w:t>
      </w:r>
      <w:r>
        <w:t xml:space="preserve"> </w:t>
      </w:r>
      <w:r>
        <w:t xml:space="preserve">Proc. Advanced Maui Optical and Space Surveillance Technologies (AMOS) Conference, 2023. doi:</w:t>
      </w:r>
      <w:r>
        <w:t xml:space="preserve"> </w:t>
      </w:r>
      <w:hyperlink r:id="rId166">
        <w:r>
          <w:rPr>
            <w:rStyle w:val="Hyperlink"/>
          </w:rPr>
          <w:t xml:space="preserve">10.64861/QEDJ9012</w:t>
        </w:r>
      </w:hyperlink>
    </w:p>
    <w:p>
      <w:pPr>
        <w:pStyle w:val="BodyText"/>
        <w:spacing w:line="480" w:lineRule="auto"/>
        <w:ind w:firstLine="720"/>
      </w:pPr>
      <w:bookmarkStart w:id="167" w:name="ref-16"/>
      <w:bookmarkEnd w:id="167"/>
      <w:r>
        <w:t xml:space="preserve">16. C. Phillips, A. Saul, K. Schroeder, and J. Kadan,</w:t>
      </w:r>
      <w:r>
        <w:t xml:space="preserve"> </w:t>
      </w:r>
      <w:r>
        <w:t xml:space="preserve">“Luck Is a Skill: Optimizing for Serendipitous Observations with Global Boresight Tasking,”</w:t>
      </w:r>
      <w:r>
        <w:t xml:space="preserve"> </w:t>
      </w:r>
      <w:r>
        <w:t xml:space="preserve">Proc. Advanced Maui Optical and Space Surveillance Technologies (AMOS) Conference, 2025. doi:</w:t>
      </w:r>
      <w:r>
        <w:t xml:space="preserve"> </w:t>
      </w:r>
      <w:hyperlink r:id="rId168">
        <w:r>
          <w:rPr>
            <w:rStyle w:val="Hyperlink"/>
          </w:rPr>
          <w:t xml:space="preserve">10.64861/GPAR3562</w:t>
        </w:r>
      </w:hyperlink>
    </w:p>
    <w:p>
      <w:pPr>
        <w:pStyle w:val="BodyText"/>
        <w:spacing w:line="480" w:lineRule="auto"/>
        <w:ind w:firstLine="720"/>
      </w:pPr>
      <w:bookmarkStart w:id="169" w:name="ref-17"/>
      <w:bookmarkEnd w:id="169"/>
      <w:r>
        <w:t xml:space="preserve">17. R. D. Coder and M. J. Holzinger,</w:t>
      </w:r>
      <w:r>
        <w:t xml:space="preserve"> </w:t>
      </w:r>
      <w:r>
        <w:t xml:space="preserve">“Sizing of a Raven-class Telescope Using Performance Sensitivities,”</w:t>
      </w:r>
      <w:r>
        <w:t xml:space="preserve"> </w:t>
      </w:r>
      <w:r>
        <w:t xml:space="preserve">Proc. Advanced Maui Optical and Space Surveillance Technologies (AMOS) Conference, 2013.</w:t>
      </w:r>
    </w:p>
    <w:p>
      <w:pPr>
        <w:pStyle w:val="BodyText"/>
        <w:spacing w:line="480" w:lineRule="auto"/>
        <w:ind w:firstLine="720"/>
      </w:pPr>
      <w:bookmarkStart w:id="170" w:name="ref-18"/>
      <w:bookmarkEnd w:id="170"/>
      <w:r>
        <w:t xml:space="preserve">18. K. Kaminski, J. Golebiewska, E. Wnuk, M. K. Kaminska, et al.,</w:t>
      </w:r>
      <w:r>
        <w:t xml:space="preserve"> </w:t>
      </w:r>
      <w:r>
        <w:t xml:space="preserve">“Single and Double Pass Optical LEO Survey and Tracking,”</w:t>
      </w:r>
      <w:r>
        <w:t xml:space="preserve"> </w:t>
      </w:r>
      <w:r>
        <w:t xml:space="preserve">Proc. Advanced Maui Optical and Space Surveillance Technologies (AMOS) Conference, 2022.</w:t>
      </w:r>
    </w:p>
    <w:p>
      <w:pPr>
        <w:pStyle w:val="BodyText"/>
        <w:spacing w:line="480" w:lineRule="auto"/>
        <w:ind w:firstLine="720"/>
      </w:pPr>
      <w:bookmarkStart w:id="171" w:name="ref-19"/>
      <w:bookmarkEnd w:id="171"/>
      <w:r>
        <w:t xml:space="preserve">19. P. Kelly, E. Glad, and T. Ritz,</w:t>
      </w:r>
      <w:r>
        <w:t xml:space="preserve"> </w:t>
      </w:r>
      <w:r>
        <w:t xml:space="preserve">“A Summary of the DRAGRACER Flight Experiment for Orbital Debris Mitigation and Radiometric Solutions,”</w:t>
      </w:r>
      <w:r>
        <w:t xml:space="preserve"> </w:t>
      </w:r>
      <w:r>
        <w:t xml:space="preserve">Proc. Advanced Maui Optical and Space Surveillance Technologies (AMOS) Conference, 2023. doi:</w:t>
      </w:r>
      <w:r>
        <w:t xml:space="preserve"> </w:t>
      </w:r>
      <w:hyperlink r:id="rId172">
        <w:r>
          <w:rPr>
            <w:rStyle w:val="Hyperlink"/>
          </w:rPr>
          <w:t xml:space="preserve">10.64861/FCFS9502</w:t>
        </w:r>
      </w:hyperlink>
    </w:p>
    <w:p>
      <w:pPr>
        <w:pStyle w:val="BodyText"/>
        <w:spacing w:line="480" w:lineRule="auto"/>
        <w:ind w:firstLine="720"/>
      </w:pPr>
      <w:bookmarkStart w:id="173" w:name="ref-20"/>
      <w:bookmarkEnd w:id="173"/>
      <w:r>
        <w:t xml:space="preserve">20. J. Greaves and D. Scheeres,</w:t>
      </w:r>
      <w:r>
        <w:t xml:space="preserve"> </w:t>
      </w:r>
      <w:r>
        <w:t xml:space="preserve">“Autonomous Information Gathering Guidance for Spacecraft-to-Spacecraft Tracking with Optical Sensors,”</w:t>
      </w:r>
      <w:r>
        <w:t xml:space="preserve"> </w:t>
      </w:r>
      <w:r>
        <w:t xml:space="preserve">Proc. Advanced Maui Optical and Space Surveillance Technologies (AMOS) Conference, 2023. doi:</w:t>
      </w:r>
      <w:r>
        <w:t xml:space="preserve"> </w:t>
      </w:r>
      <w:hyperlink r:id="rId174">
        <w:r>
          <w:rPr>
            <w:rStyle w:val="Hyperlink"/>
          </w:rPr>
          <w:t xml:space="preserve">10.64861/CGYJ5883</w:t>
        </w:r>
      </w:hyperlink>
    </w:p>
    <w:p>
      <w:pPr>
        <w:pStyle w:val="BodyText"/>
        <w:spacing w:line="480" w:lineRule="auto"/>
        <w:ind w:firstLine="720"/>
      </w:pPr>
      <w:bookmarkStart w:id="175" w:name="ref-21"/>
      <w:bookmarkEnd w:id="175"/>
      <w:r>
        <w:t xml:space="preserve">21. G. Fitzgerald, R. Morris, L. G. Militello, and J. Fletcher,</w:t>
      </w:r>
      <w:r>
        <w:t xml:space="preserve"> </w:t>
      </w:r>
      <w:r>
        <w:t xml:space="preserve">“Building Trust in Human-Machine Teaming for Autonomous Space Sensing,”</w:t>
      </w:r>
      <w:r>
        <w:t xml:space="preserve"> </w:t>
      </w:r>
      <w:r>
        <w:t xml:space="preserve">Proc. Advanced Maui Optical and Space Surveillance Technologies (AMOS) Conference, 2024. doi:</w:t>
      </w:r>
      <w:r>
        <w:t xml:space="preserve"> </w:t>
      </w:r>
      <w:hyperlink r:id="rId176">
        <w:r>
          <w:rPr>
            <w:rStyle w:val="Hyperlink"/>
          </w:rPr>
          <w:t xml:space="preserve">10.64861/HWZS9386</w:t>
        </w:r>
      </w:hyperlink>
    </w:p>
    <w:p>
      <w:pPr>
        <w:pStyle w:val="BodyText"/>
        <w:spacing w:line="480" w:lineRule="auto"/>
        <w:ind w:firstLine="720"/>
      </w:pPr>
      <w:bookmarkStart w:id="177" w:name="ref-22"/>
      <w:bookmarkEnd w:id="177"/>
      <w:r>
        <w:t xml:space="preserve">22. J. Hippelheuser and T. Elgohary,</w:t>
      </w:r>
      <w:r>
        <w:t xml:space="preserve"> </w:t>
      </w:r>
      <w:r>
        <w:t xml:space="preserve">“An Adaptive, Non-singular Measurement Model for Angles-only Orbit Determination and Estimation,”</w:t>
      </w:r>
      <w:r>
        <w:t xml:space="preserve"> </w:t>
      </w:r>
      <w:r>
        <w:t xml:space="preserve">Proc. Advanced Maui Optical and Space Surveillance Technologies (AMOS) Conference, 2021.</w:t>
      </w:r>
    </w:p>
    <w:p>
      <w:pPr>
        <w:pStyle w:val="BodyText"/>
        <w:spacing w:line="480" w:lineRule="auto"/>
        <w:ind w:firstLine="720"/>
      </w:pPr>
      <w:bookmarkStart w:id="178" w:name="ref-23"/>
      <w:bookmarkEnd w:id="178"/>
      <w:r>
        <w:t xml:space="preserve">23. X. Fu and S. Soldini,</w:t>
      </w:r>
      <w:r>
        <w:t xml:space="preserve"> </w:t>
      </w:r>
      <w:r>
        <w:t xml:space="preserve">“Autonomous Orbital Maintenance Using a Supervised-learning-based Target Point Approach,”</w:t>
      </w:r>
      <w:r>
        <w:t xml:space="preserve"> </w:t>
      </w:r>
      <w:r>
        <w:t xml:space="preserve">Acta Astronautica, vol. 244, 2026. doi:</w:t>
      </w:r>
      <w:r>
        <w:t xml:space="preserve"> </w:t>
      </w:r>
      <w:hyperlink r:id="rId179">
        <w:r>
          <w:rPr>
            <w:rStyle w:val="Hyperlink"/>
          </w:rPr>
          <w:t xml:space="preserve">10.1016/j.actaastro.2026.02.008</w:t>
        </w:r>
      </w:hyperlink>
    </w:p>
    <w:p>
      <w:pPr>
        <w:pStyle w:val="BodyText"/>
        <w:spacing w:line="480" w:lineRule="auto"/>
        <w:ind w:firstLine="720"/>
      </w:pPr>
      <w:bookmarkStart w:id="180" w:name="ref-24"/>
      <w:bookmarkEnd w:id="180"/>
      <w:r>
        <w:t xml:space="preserve">24. S. Tavana, S. Faghihi, A. de Ruiter, and K. D. Kumar,</w:t>
      </w:r>
      <w:r>
        <w:t xml:space="preserve"> </w:t>
      </w:r>
      <w:r>
        <w:t xml:space="preserve">“Online Motion Planning and Control for Autonomous On-orbit Assembly with Machine Learning-based Model Predictive Control,”</w:t>
      </w:r>
      <w:r>
        <w:t xml:space="preserve"> </w:t>
      </w:r>
      <w:r>
        <w:t xml:space="preserve">Acta Astronautica, vol. 239, 2025. doi:</w:t>
      </w:r>
      <w:r>
        <w:t xml:space="preserve"> </w:t>
      </w:r>
      <w:hyperlink r:id="rId181">
        <w:r>
          <w:rPr>
            <w:rStyle w:val="Hyperlink"/>
          </w:rPr>
          <w:t xml:space="preserve">10.1016/j.actaastro.2025.10.073</w:t>
        </w:r>
      </w:hyperlink>
    </w:p>
    <w:p>
      <w:pPr>
        <w:pStyle w:val="BodyText"/>
        <w:spacing w:line="480" w:lineRule="auto"/>
        <w:ind w:firstLine="720"/>
      </w:pPr>
      <w:bookmarkStart w:id="182" w:name="ref-25"/>
      <w:bookmarkEnd w:id="182"/>
      <w:r>
        <w:t xml:space="preserve">25. A. Kaluthantrige, J. Feng, and J. Gil-Fernandez,</w:t>
      </w:r>
      <w:r>
        <w:t xml:space="preserve"> </w:t>
      </w:r>
      <w:r>
        <w:t xml:space="preserve">“CNN-based Image Processing Algorithm for Autonomous Optical Navigation of Hera Mission to the Binary Asteroid Didymos,”</w:t>
      </w:r>
      <w:r>
        <w:t xml:space="preserve"> </w:t>
      </w:r>
      <w:r>
        <w:t xml:space="preserve">Acta Astronautica, vol. 211, 2023. doi:</w:t>
      </w:r>
      <w:r>
        <w:t xml:space="preserve"> </w:t>
      </w:r>
      <w:hyperlink r:id="rId183">
        <w:r>
          <w:rPr>
            <w:rStyle w:val="Hyperlink"/>
          </w:rPr>
          <w:t xml:space="preserve">10.1016/j.actaastro.2023.05.029</w:t>
        </w:r>
      </w:hyperlink>
    </w:p>
    <w:p>
      <w:pPr>
        <w:pStyle w:val="BodyText"/>
        <w:spacing w:line="480" w:lineRule="auto"/>
        <w:ind w:firstLine="720"/>
      </w:pPr>
      <w:bookmarkStart w:id="184" w:name="ref-26"/>
      <w:bookmarkEnd w:id="184"/>
      <w:r>
        <w:t xml:space="preserve">26. C. Pirat, F. Ankersen, R. Walker, and V. Gass,</w:t>
      </w:r>
      <w:r>
        <w:t xml:space="preserve"> </w:t>
      </w:r>
      <w:r>
        <w:t xml:space="preserve">“Vision Based Navigation for Autonomous Cooperative Docking of CubeSats,”</w:t>
      </w:r>
      <w:r>
        <w:t xml:space="preserve"> </w:t>
      </w:r>
      <w:r>
        <w:t xml:space="preserve">Acta Astronautica, vol. 146, 2018. doi:</w:t>
      </w:r>
      <w:r>
        <w:t xml:space="preserve"> </w:t>
      </w:r>
      <w:hyperlink r:id="rId185">
        <w:r>
          <w:rPr>
            <w:rStyle w:val="Hyperlink"/>
          </w:rPr>
          <w:t xml:space="preserve">10.1016/j.actaastro.2018.01.059</w:t>
        </w:r>
      </w:hyperlink>
    </w:p>
    <w:p>
      <w:pPr>
        <w:pStyle w:val="BodyText"/>
        <w:spacing w:line="480" w:lineRule="auto"/>
        <w:ind w:firstLine="720"/>
      </w:pPr>
      <w:bookmarkStart w:id="186" w:name="ref-27"/>
      <w:bookmarkEnd w:id="186"/>
      <w:r>
        <w:t xml:space="preserve">27. S. Chien, R. Sherwood, D. Tran, B. Cichy, G. Rabideau, R. Castano, A. Davies, D. Mandl, S. Frye, B. Trout, S. Shulman, and D. Boyer,</w:t>
      </w:r>
      <w:r>
        <w:t xml:space="preserve"> </w:t>
      </w:r>
      <w:r>
        <w:t xml:space="preserve">“Using autonomy flight software to improve science return on Earth Observing One,”</w:t>
      </w:r>
      <w:r>
        <w:t xml:space="preserve"> </w:t>
      </w:r>
      <w:r>
        <w:t xml:space="preserve">Journal of Aerospace Computing, Information, and Communication, vol. 2, no. 4, pp. 196 to 216, 2005.</w:t>
      </w:r>
    </w:p>
    <w:p>
      <w:pPr>
        <w:pStyle w:val="BodyText"/>
        <w:spacing w:line="480" w:lineRule="auto"/>
        <w:ind w:firstLine="720"/>
      </w:pPr>
      <w:bookmarkStart w:id="187" w:name="ref-28"/>
      <w:bookmarkEnd w:id="187"/>
      <w:r>
        <w:t xml:space="preserve">28. M. Iacopino and C. Iacopino,</w:t>
      </w:r>
      <w:r>
        <w:t xml:space="preserve"> </w:t>
      </w:r>
      <w:r>
        <w:t xml:space="preserve">“Agent-based approaches for distributed space systems and mission management: Methodologies and applications,”</w:t>
      </w:r>
      <w:r>
        <w:t xml:space="preserve"> </w:t>
      </w:r>
      <w:r>
        <w:t xml:space="preserve">Acta Astronautica, vol. 235, pp. 410 to 425, 2025.</w:t>
      </w:r>
    </w:p>
    <w:p>
      <w:pPr>
        <w:pStyle w:val="BodyText"/>
        <w:spacing w:line="480" w:lineRule="auto"/>
        <w:ind w:firstLine="720"/>
      </w:pPr>
      <w:bookmarkStart w:id="188" w:name="ref-29"/>
      <w:bookmarkEnd w:id="188"/>
      <w:r>
        <w:t xml:space="preserve">29. J.-M. Delvit, P. Kubik, and J. Lacoste-Barutel,</w:t>
      </w:r>
      <w:r>
        <w:t xml:space="preserve"> </w:t>
      </w:r>
      <w:r>
        <w:t xml:space="preserve">“Pleiades-HR system productivity,”</w:t>
      </w:r>
      <w:r>
        <w:t xml:space="preserve"> </w:t>
      </w:r>
      <w:r>
        <w:t xml:space="preserve">in ISPRS Annals of the Photogrammetry, Remote Sensing and Spatial Information Sciences, vol. I-7, pp. 99 to 104, 2012.</w:t>
      </w:r>
    </w:p>
    <w:p>
      <w:pPr>
        <w:pStyle w:val="BodyText"/>
        <w:spacing w:line="480" w:lineRule="auto"/>
        <w:ind w:firstLine="720"/>
      </w:pPr>
      <w:bookmarkStart w:id="189" w:name="ref-30"/>
      <w:bookmarkEnd w:id="189"/>
      <w:r>
        <w:t xml:space="preserve">30. R. Updike and C. Comp,</w:t>
      </w:r>
      <w:r>
        <w:t xml:space="preserve"> </w:t>
      </w:r>
      <w:r>
        <w:t xml:space="preserve">“Radiometric use of WorldView-2 imagery,”</w:t>
      </w:r>
      <w:r>
        <w:t xml:space="preserve"> </w:t>
      </w:r>
      <w:r>
        <w:t xml:space="preserve">DigitalGlobe Technical Note, 2010.</w:t>
      </w:r>
    </w:p>
    <w:p>
      <w:pPr>
        <w:pStyle w:val="BodyText"/>
        <w:spacing w:line="480" w:lineRule="auto"/>
        <w:ind w:firstLine="720"/>
      </w:pPr>
      <w:bookmarkStart w:id="190" w:name="ref-31"/>
      <w:bookmarkEnd w:id="190"/>
      <w:r>
        <w:t xml:space="preserve">31. M. Drusch, U. Del Bello, S. Carlier, O. Colin, V. Fernandez, F. Gascon, B. Hoersch, C. Isola, P. Laberinti, P. Martimort, A. Meygret, F. Spoto, O. Sy, F. Marchese, and P. Bargellini,</w:t>
      </w:r>
      <w:r>
        <w:t xml:space="preserve"> </w:t>
      </w:r>
      <w:r>
        <w:t xml:space="preserve">“Sentinel-2: ESA’s optical high-resolution mission for GMES operational services,”</w:t>
      </w:r>
      <w:r>
        <w:t xml:space="preserve"> </w:t>
      </w:r>
      <w:r>
        <w:t xml:space="preserve">Remote Sensing of Environment, vol. 120, pp. 25 to 36, 2012.</w:t>
      </w:r>
    </w:p>
    <w:p>
      <w:pPr>
        <w:pStyle w:val="BodyText"/>
        <w:spacing w:line="480" w:lineRule="auto"/>
        <w:ind w:firstLine="720"/>
      </w:pPr>
      <w:bookmarkStart w:id="191" w:name="ref-32"/>
      <w:bookmarkEnd w:id="191"/>
      <w:r>
        <w:t xml:space="preserve">32. T. Markus, T. Neumann, A. Martino, W. Abdalati, K. Brunt, B. Csatho, S. Farrell, H. Fricker, A. Gardner, D. Harding, M. Jasinski, R. Kwok, L. Magruder, D. Lubin, S. Luthcke, J. Morison, R. Nelson, A. Neuenschwander, S. Palm, S. Popescu, C. Shum, B. Schutz, B. Smith, Y. Yang, and J. Zwally,</w:t>
      </w:r>
      <w:r>
        <w:t xml:space="preserve"> </w:t>
      </w:r>
      <w:r>
        <w:t xml:space="preserve">“The Ice, Cloud, and land Elevation Satellite-2 (ICESat-2): Science requirements, concept, and implementation,”</w:t>
      </w:r>
      <w:r>
        <w:t xml:space="preserve"> </w:t>
      </w:r>
      <w:r>
        <w:t xml:space="preserve">Remote Sensing of Environment, vol. 190, pp. 260 to 273, 2017.</w:t>
      </w:r>
    </w:p>
    <w:p>
      <w:pPr>
        <w:pStyle w:val="BodyText"/>
        <w:spacing w:line="480" w:lineRule="auto"/>
        <w:ind w:firstLine="720"/>
      </w:pPr>
      <w:bookmarkStart w:id="192" w:name="ref-33"/>
      <w:bookmarkEnd w:id="192"/>
      <w:r>
        <w:t xml:space="preserve">33. M. Weinzierl,</w:t>
      </w:r>
      <w:r>
        <w:t xml:space="preserve"> </w:t>
      </w:r>
      <w:r>
        <w:t xml:space="preserve">“Space, the final economic frontier,”</w:t>
      </w:r>
      <w:r>
        <w:t xml:space="preserve"> </w:t>
      </w:r>
      <w:r>
        <w:t xml:space="preserve">Journal of Economic Perspectives, vol. 32, no. 2, pp. 173 to 192, 2018.</w:t>
      </w:r>
    </w:p>
    <w:p>
      <w:pPr>
        <w:pStyle w:val="BodyText"/>
        <w:spacing w:line="480" w:lineRule="auto"/>
        <w:ind w:firstLine="720"/>
      </w:pPr>
      <w:bookmarkStart w:id="193" w:name="ref-34"/>
      <w:bookmarkEnd w:id="193"/>
      <w:r>
        <w:t xml:space="preserve">34. B. Stilwell, M. Sundahl, and N. Dailey,</w:t>
      </w:r>
      <w:r>
        <w:t xml:space="preserve"> </w:t>
      </w:r>
      <w:r>
        <w:t xml:space="preserve">“Orbital classification and the value of space situational awareness,”</w:t>
      </w:r>
      <w:r>
        <w:t xml:space="preserve"> </w:t>
      </w:r>
      <w:r>
        <w:t xml:space="preserve">ASCEND Proceedings, AIAA, 2025.</w:t>
      </w:r>
    </w:p>
    <w:p>
      <w:pPr>
        <w:pStyle w:val="BodyText"/>
        <w:spacing w:line="480" w:lineRule="auto"/>
        <w:ind w:firstLine="720"/>
      </w:pPr>
      <w:bookmarkStart w:id="194" w:name="ref-35"/>
      <w:bookmarkEnd w:id="194"/>
      <w:r>
        <w:t xml:space="preserve">35.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195">
        <w:r>
          <w:rPr>
            <w:rStyle w:val="Hyperlink"/>
          </w:rPr>
          <w:t xml:space="preserve">10.64861/XQCN3213</w:t>
        </w:r>
      </w:hyperlink>
    </w:p>
    <w:p>
      <w:pPr>
        <w:pStyle w:val="BodyText"/>
        <w:spacing w:line="480" w:lineRule="auto"/>
        <w:ind w:firstLine="720"/>
      </w:pPr>
      <w:bookmarkStart w:id="196" w:name="ref-36"/>
      <w:bookmarkEnd w:id="196"/>
      <w:r>
        <w:t xml:space="preserve">36. Daniel Huterer Prats, University of Colorado Boulder; Hanspeter Schaub, University of Colorado Boulder; Chris Wheeler, Interactive Aptitude. Reinforcement Learning for Space-to-Space Surveillance: Autonomous Scheduling for Resident Space Object Imaging (2025). doi:</w:t>
      </w:r>
      <w:r>
        <w:t xml:space="preserve"> </w:t>
      </w:r>
      <w:hyperlink r:id="rId197">
        <w:r>
          <w:rPr>
            <w:rStyle w:val="Hyperlink"/>
          </w:rPr>
          <w:t xml:space="preserve">10.64861/DDFP2152</w:t>
        </w:r>
      </w:hyperlink>
    </w:p>
    <w:p>
      <w:pPr>
        <w:pStyle w:val="BodyText"/>
        <w:spacing w:line="480" w:lineRule="auto"/>
        <w:ind w:firstLine="720"/>
      </w:pPr>
      <w:bookmarkStart w:id="198" w:name="ref-37"/>
      <w:bookmarkEnd w:id="198"/>
      <w:r>
        <w:t xml:space="preserve">37. Martin Ploner, ASA Astrosysteme GmbH; Philipp Keller, ASA Astrosysteme GmbH; Egon Döberl, ASA Astrosysteme GmbH ; Wolfgang Promper, ASA Astrosysteme GmbH; Dietmar Weinzinger, ASA Astrosysteme GmbH. Ultrafast Wide Field Telescope for Space Debris Detection and Tracking (2019).</w:t>
      </w:r>
    </w:p>
    <w:p>
      <w:pPr>
        <w:pStyle w:val="BodyText"/>
        <w:spacing w:line="480" w:lineRule="auto"/>
        <w:ind w:firstLine="720"/>
      </w:pPr>
      <w:bookmarkStart w:id="199" w:name="ref-38"/>
      <w:bookmarkEnd w:id="199"/>
      <w:r>
        <w:t xml:space="preserve">38. Mariel Borowitz, Office of Space Commerce; Cristina Pérez Hernández, Spanish Space Agency; Morgane Jouisse, CNES; Aurélie Gillet, EU SST; Pascal Faucher, CNES. Advancing Concepts for Global Coordination on SSA (2025). doi:</w:t>
      </w:r>
      <w:r>
        <w:t xml:space="preserve"> </w:t>
      </w:r>
      <w:hyperlink r:id="rId200">
        <w:r>
          <w:rPr>
            <w:rStyle w:val="Hyperlink"/>
          </w:rPr>
          <w:t xml:space="preserve">10.64861/LCET1122</w:t>
        </w:r>
      </w:hyperlink>
    </w:p>
    <w:p>
      <w:pPr>
        <w:pStyle w:val="BodyText"/>
        <w:spacing w:line="480" w:lineRule="auto"/>
        <w:ind w:firstLine="720"/>
      </w:pPr>
      <w:bookmarkStart w:id="201" w:name="ref-39"/>
      <w:bookmarkEnd w:id="201"/>
      <w:r>
        <w:t xml:space="preserve">39. Jeremy Correa, Katalyst Space Technologies; John Ware, Katalyst Space Technologies; Maruthi Akella, UT Austin; Brandon Jones, UT Austin. Adaptive Sensor Tasking Strategies for Tracking Non-Cooperative Cislunar Space Objects (2024). doi:</w:t>
      </w:r>
      <w:r>
        <w:t xml:space="preserve"> </w:t>
      </w:r>
      <w:hyperlink r:id="rId202">
        <w:r>
          <w:rPr>
            <w:rStyle w:val="Hyperlink"/>
          </w:rPr>
          <w:t xml:space="preserve">10.64861/NAKM9168</w:t>
        </w:r>
      </w:hyperlink>
    </w:p>
    <w:p>
      <w:pPr>
        <w:pStyle w:val="BodyText"/>
        <w:spacing w:line="480" w:lineRule="auto"/>
        <w:ind w:firstLine="720"/>
      </w:pPr>
      <w:bookmarkStart w:id="203" w:name="ref-40"/>
      <w:bookmarkEnd w:id="203"/>
      <w:r>
        <w:t xml:space="preserve">40. Richard Stottler, Stottler Henke Associates Inc.; Abhimanyu Singhal, Stottler Henke Associates Inc.; Christopher Healy, Stottler Henke Associates Inc.; Sowmya Ramachandran, Stottler Henke Associates Inc.; Kerry Quinn, Astrobotic; Joseph Palmieri, Astrobotic; Shawn Logan, Astrobotic. Autonomous, Hybrid Space System Fault and Anomaly Detection, Diagnosis, Root Cause Determination, and Recovery (2024). doi:</w:t>
      </w:r>
      <w:r>
        <w:t xml:space="preserve"> </w:t>
      </w:r>
      <w:hyperlink r:id="rId204">
        <w:r>
          <w:rPr>
            <w:rStyle w:val="Hyperlink"/>
          </w:rPr>
          <w:t xml:space="preserve">10.64861/FLIA6056</w:t>
        </w:r>
      </w:hyperlink>
    </w:p>
    <w:p>
      <w:pPr>
        <w:pStyle w:val="BodyText"/>
        <w:spacing w:line="480" w:lineRule="auto"/>
        <w:ind w:firstLine="720"/>
      </w:pPr>
      <w:bookmarkStart w:id="205" w:name="ref-41"/>
      <w:bookmarkEnd w:id="205"/>
      <w:r>
        <w:t xml:space="preserve">41. Aishling Dignam, Astroscale; Lucas Almeida Cypriano, Astroscale Ltd.. The Use and Calibration of Opportunistic Sensors for In-Space Situational Awareness (2023). doi:</w:t>
      </w:r>
      <w:r>
        <w:t xml:space="preserve"> </w:t>
      </w:r>
      <w:hyperlink r:id="rId206">
        <w:r>
          <w:rPr>
            <w:rStyle w:val="Hyperlink"/>
          </w:rPr>
          <w:t xml:space="preserve">10.64861/AIFZ1253</w:t>
        </w:r>
      </w:hyperlink>
    </w:p>
    <w:p>
      <w:pPr>
        <w:pStyle w:val="BodyText"/>
        <w:spacing w:line="480" w:lineRule="auto"/>
        <w:ind w:firstLine="720"/>
      </w:pPr>
      <w:bookmarkStart w:id="207" w:name="ref-42"/>
      <w:bookmarkEnd w:id="207"/>
      <w:r>
        <w:t xml:space="preserve">42. Lorraine Weis, L3 Harris; Islam Hussein, L3 Harris. Orbit Design of an Autonomous Space-Based SSA Swarm: Distributed Deep Learning at the Edge (2019).</w:t>
      </w:r>
    </w:p>
    <w:p>
      <w:pPr>
        <w:pStyle w:val="BodyText"/>
        <w:spacing w:line="480" w:lineRule="auto"/>
        <w:ind w:firstLine="720"/>
      </w:pPr>
      <w:bookmarkStart w:id="208" w:name="ref-43"/>
      <w:bookmarkEnd w:id="208"/>
      <w:r>
        <w:t xml:space="preserve">43. Nicholas B. LaFarge; Kathleen C. Howell; David Folta. Adaptive closed-loop maneuver planning for low-thrust spacecraft using reinforcement learning (2023). doi:</w:t>
      </w:r>
      <w:r>
        <w:t xml:space="preserve"> </w:t>
      </w:r>
      <w:hyperlink r:id="rId157">
        <w:r>
          <w:rPr>
            <w:rStyle w:val="Hyperlink"/>
          </w:rPr>
          <w:t xml:space="preserve">10.1016/j.actaastro.2023.06.004</w:t>
        </w:r>
      </w:hyperlink>
    </w:p>
    <w:p>
      <w:pPr>
        <w:pStyle w:val="BodyText"/>
        <w:spacing w:line="480" w:lineRule="auto"/>
        <w:ind w:firstLine="720"/>
      </w:pPr>
      <w:bookmarkStart w:id="209" w:name="ref-44"/>
      <w:bookmarkEnd w:id="209"/>
      <w:r>
        <w:t xml:space="preserve">44.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210">
        <w:r>
          <w:rPr>
            <w:rStyle w:val="Hyperlink"/>
          </w:rPr>
          <w:t xml:space="preserve">10.1016/j.actaastro.2023.07.009</w:t>
        </w:r>
      </w:hyperlink>
    </w:p>
    <w:p>
      <w:pPr>
        <w:pStyle w:val="BodyText"/>
        <w:spacing w:line="480" w:lineRule="auto"/>
        <w:ind w:firstLine="720"/>
      </w:pPr>
      <w:bookmarkStart w:id="211" w:name="ref-45"/>
      <w:bookmarkEnd w:id="211"/>
      <w:r>
        <w:t xml:space="preserve">45.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48">
        <w:r>
          <w:rPr>
            <w:rStyle w:val="Hyperlink"/>
          </w:rPr>
          <w:t xml:space="preserve">10.1016/j.actaastro.2025.10.018</w:t>
        </w:r>
      </w:hyperlink>
    </w:p>
    <w:p>
      <w:pPr>
        <w:pStyle w:val="BodyText"/>
        <w:spacing w:line="480" w:lineRule="auto"/>
        <w:ind w:firstLine="720"/>
      </w:pPr>
      <w:bookmarkStart w:id="212" w:name="ref-46"/>
      <w:bookmarkEnd w:id="212"/>
      <w:r>
        <w:t xml:space="preserve">46. Xiaoyu Fu; Stefania Soldini. Autonomous orbital maintenance using a supervised-learning-based target point approach (2026). doi:</w:t>
      </w:r>
      <w:r>
        <w:t xml:space="preserve"> </w:t>
      </w:r>
      <w:hyperlink r:id="rId179">
        <w:r>
          <w:rPr>
            <w:rStyle w:val="Hyperlink"/>
          </w:rPr>
          <w:t xml:space="preserve">10.1016/j.actaastro.2026.02.008</w:t>
        </w:r>
      </w:hyperlink>
    </w:p>
    <w:p>
      <w:pPr>
        <w:pStyle w:val="BodyText"/>
        <w:spacing w:line="480" w:lineRule="auto"/>
        <w:ind w:firstLine="720"/>
      </w:pPr>
      <w:bookmarkStart w:id="213" w:name="ref-47"/>
      <w:bookmarkEnd w:id="213"/>
      <w:r>
        <w:t xml:space="preserve">47. Giacomo Borelli; Gabriella Gaias; Y. Nakajima; Camilla Colombo; Vincenzo Capuano; Fabio Saggiomo; Giuseppe Leccese; Silvia Natalucci. Mission analysis and guidance and control for the SpEye inspection CubeSat (2024). doi:</w:t>
      </w:r>
      <w:r>
        <w:t xml:space="preserve"> </w:t>
      </w:r>
      <w:hyperlink r:id="rId214">
        <w:r>
          <w:rPr>
            <w:rStyle w:val="Hyperlink"/>
          </w:rPr>
          <w:t xml:space="preserve">10.1016/j.actaastro.2024.04.025</w:t>
        </w:r>
      </w:hyperlink>
    </w:p>
    <w:p>
      <w:pPr>
        <w:pStyle w:val="BodyText"/>
        <w:spacing w:line="480" w:lineRule="auto"/>
        <w:ind w:firstLine="720"/>
      </w:pPr>
      <w:bookmarkStart w:id="215" w:name="ref-48"/>
      <w:bookmarkEnd w:id="215"/>
      <w:r>
        <w:t xml:space="preserve">48. Ákos Keresztúri; G. G. Ori; Nicol Katekin Dias Marques; Philippe Grandjean; Pascal Allemand; Vera Steinmann; G. Alberti; Marco Mastrogiuseppe; J. Gurgurewicz; W. Kofman; D. Mège; Claudio Orlanducci; Pierre‐Antoine Tesson; Osip Kokin; Sylvain Augier. FlyRadar – targets for future drone based GPR survey on mars (2025). doi:</w:t>
      </w:r>
      <w:r>
        <w:t xml:space="preserve"> </w:t>
      </w:r>
      <w:hyperlink r:id="rId216">
        <w:r>
          <w:rPr>
            <w:rStyle w:val="Hyperlink"/>
          </w:rPr>
          <w:t xml:space="preserve">10.1016/j.actaastro.2025.01.012</w:t>
        </w:r>
      </w:hyperlink>
    </w:p>
    <w:p>
      <w:pPr>
        <w:pStyle w:val="BodyText"/>
        <w:spacing w:line="480" w:lineRule="auto"/>
        <w:ind w:firstLine="720"/>
      </w:pPr>
      <w:bookmarkStart w:id="217" w:name="ref-49"/>
      <w:bookmarkEnd w:id="217"/>
      <w:r>
        <w:t xml:space="preserve">49. Dong Ye; Xu Tang; Zhaowei Sun; Chunbao Wang. Multiple model adaptive intercept strategy of spacecraft for an incomplete-information game (2020). doi:</w:t>
      </w:r>
      <w:r>
        <w:t xml:space="preserve"> </w:t>
      </w:r>
      <w:hyperlink r:id="rId218">
        <w:r>
          <w:rPr>
            <w:rStyle w:val="Hyperlink"/>
          </w:rPr>
          <w:t xml:space="preserve">10.1016/j.actaastro.2020.12.015</w:t>
        </w:r>
      </w:hyperlink>
    </w:p>
    <w:p>
      <w:pPr>
        <w:pStyle w:val="BodyText"/>
        <w:spacing w:line="480" w:lineRule="auto"/>
        <w:ind w:firstLine="720"/>
      </w:pPr>
      <w:bookmarkStart w:id="219" w:name="ref-50"/>
      <w:bookmarkEnd w:id="219"/>
      <w:r>
        <w:t xml:space="preserve">50. Jun Liang; Yuehe Zhu; Ya-Zhong Luo; Jiacheng Zhang; Hai Zhu. A precedence-rule-based heuristic for satellite onboard activity planning (2020). doi:</w:t>
      </w:r>
      <w:r>
        <w:t xml:space="preserve"> </w:t>
      </w:r>
      <w:hyperlink r:id="rId159">
        <w:r>
          <w:rPr>
            <w:rStyle w:val="Hyperlink"/>
          </w:rPr>
          <w:t xml:space="preserve">10.1016/j.actaastro.2020.10.020</w:t>
        </w:r>
      </w:hyperlink>
    </w:p>
    <w:bookmarkEnd w:id="220"/>
    <w:bookmarkEnd w:id="221"/>
    <w:bookmarkStart w:id="23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9" w:name="Xbe51af424016d8714bf99b360408ce50c3cd7b2"/>
    <w:p>
      <w:pPr>
        <w:pStyle w:val="Heading2"/>
        <w:spacing w:line="480" w:lineRule="auto"/>
      </w:pPr>
      <w:r>
        <w:t xml:space="preserve">A.1 Onboard Adaptivity and the Production of Optical Observations: An OLS Estimate of the Autonomy Premium in Sensor-Tasking Campaigns</w:t>
      </w:r>
    </w:p>
    <w:p>
      <w:pPr>
        <w:pStyle w:val="FirstParagraph"/>
        <w:spacing w:line="480" w:lineRule="auto"/>
      </w:pPr>
      <m:oMathPara>
        <m:oMathParaPr>
          <m:jc m:val="center"/>
        </m:oMathParaPr>
        <m:oMath>
          <m:sSub>
            <m:e>
              <m:r>
                <m:rPr>
                  <m:sty m:val="p"/>
                </m:rPr>
                <m:t>o</m:t>
              </m:r>
              <m:r>
                <m:rPr>
                  <m:sty m:val="p"/>
                </m:rPr>
                <m:t>b</m:t>
              </m:r>
              <m:r>
                <m:rPr>
                  <m:sty m:val="p"/>
                </m:rPr>
                <m:t>s</m:t>
              </m:r>
              <m:r>
                <m:rPr>
                  <m:sty m:val="p"/>
                </m:rPr>
                <m:t>_</m:t>
              </m:r>
              <m:r>
                <m:rPr>
                  <m:sty m:val="p"/>
                </m:rPr>
                <m:t>p</m:t>
              </m:r>
              <m:r>
                <m:rPr>
                  <m:sty m:val="p"/>
                </m:rPr>
                <m:t>e</m:t>
              </m:r>
              <m:r>
                <m:rPr>
                  <m:sty m:val="p"/>
                </m:rPr>
                <m:t>r</m:t>
              </m:r>
              <m:r>
                <m:rPr>
                  <m:sty m:val="p"/>
                </m:rPr>
                <m:t>_</m:t>
              </m:r>
              <m:r>
                <m:rPr>
                  <m:sty m:val="p"/>
                </m:rPr>
                <m:t>n</m:t>
              </m:r>
              <m:r>
                <m:rPr>
                  <m:sty m:val="p"/>
                </m:rPr>
                <m:t>i</m:t>
              </m:r>
              <m:r>
                <m:rPr>
                  <m:sty m:val="p"/>
                </m:rPr>
                <m:t>g</m:t>
              </m:r>
              <m:r>
                <m:rPr>
                  <m:sty m:val="p"/>
                </m:rPr>
                <m:t>h</m:t>
              </m:r>
              <m:r>
                <m:rPr>
                  <m:sty m:val="p"/>
                </m:rPr>
                <m:t>t</m:t>
              </m:r>
            </m:e>
            <m:sub>
              <m:r>
                <m:t>i</m:t>
              </m:r>
            </m:sub>
          </m:sSub>
          <m:r>
            <m:rPr>
              <m:sty m:val="p"/>
            </m:rPr>
            <m:t>=</m:t>
          </m:r>
          <m:sSub>
            <m:e>
              <m:r>
                <m:t>β</m:t>
              </m:r>
            </m:e>
            <m:sub>
              <m:r>
                <m:t>0</m:t>
              </m:r>
            </m:sub>
          </m:sSub>
          <m:r>
            <m:rPr>
              <m:sty m:val="p"/>
            </m:rPr>
            <m:t>+</m:t>
          </m:r>
          <m:sSub>
            <m:e>
              <m:r>
                <m:t>β</m:t>
              </m:r>
            </m:e>
            <m:sub>
              <m:r>
                <m:t>1</m:t>
              </m:r>
            </m:sub>
          </m:sSub>
          <m:r>
            <m:t> </m:t>
          </m:r>
          <m:sSub>
            <m:e>
              <m:r>
                <m:rPr>
                  <m:sty m:val="p"/>
                </m:rPr>
                <m:t>a</m:t>
              </m:r>
              <m:r>
                <m:rPr>
                  <m:sty m:val="p"/>
                </m:rPr>
                <m:t>p</m:t>
              </m:r>
              <m:r>
                <m:rPr>
                  <m:sty m:val="p"/>
                </m:rPr>
                <m:t>e</m:t>
              </m:r>
              <m:r>
                <m:rPr>
                  <m:sty m:val="p"/>
                </m:rPr>
                <m:t>r</m:t>
              </m:r>
              <m:r>
                <m:rPr>
                  <m:sty m:val="p"/>
                </m:rPr>
                <m:t>t</m:t>
              </m:r>
              <m:r>
                <m:rPr>
                  <m:sty m:val="p"/>
                </m:rPr>
                <m:t>u</m:t>
              </m:r>
              <m:r>
                <m:rPr>
                  <m:sty m:val="p"/>
                </m:rPr>
                <m:t>r</m:t>
              </m:r>
              <m:r>
                <m:rPr>
                  <m:sty m:val="p"/>
                </m:rPr>
                <m:t>e</m:t>
              </m:r>
              <m:r>
                <m:rPr>
                  <m:sty m:val="p"/>
                </m:rPr>
                <m:t>_</m:t>
              </m:r>
              <m:r>
                <m:rPr>
                  <m:sty m:val="p"/>
                </m:rPr>
                <m:t>m</m:t>
              </m:r>
            </m:e>
            <m:sub>
              <m:r>
                <m:t>i</m:t>
              </m:r>
            </m:sub>
          </m:sSub>
          <m:r>
            <m:rPr>
              <m:sty m:val="p"/>
            </m:rPr>
            <m:t>+</m:t>
          </m:r>
          <m:sSub>
            <m:e>
              <m:r>
                <m:t>β</m:t>
              </m:r>
            </m:e>
            <m:sub>
              <m:r>
                <m:t>2</m:t>
              </m:r>
            </m:sub>
          </m:sSub>
          <m:r>
            <m:t> </m:t>
          </m:r>
          <m:sSub>
            <m:e>
              <m:r>
                <m:rPr>
                  <m:sty m:val="p"/>
                </m:rPr>
                <m:t>s</m:t>
              </m:r>
              <m:r>
                <m:rPr>
                  <m:sty m:val="p"/>
                </m:rPr>
                <m:t>l</m:t>
              </m:r>
              <m:r>
                <m:rPr>
                  <m:sty m:val="p"/>
                </m:rPr>
                <m:t>e</m:t>
              </m:r>
              <m:r>
                <m:rPr>
                  <m:sty m:val="p"/>
                </m:rPr>
                <m:t>w</m:t>
              </m:r>
              <m:r>
                <m:rPr>
                  <m:sty m:val="p"/>
                </m:rPr>
                <m:t>_</m:t>
              </m:r>
              <m:r>
                <m:rPr>
                  <m:sty m:val="p"/>
                </m:rPr>
                <m:t>r</m:t>
              </m:r>
              <m:r>
                <m:rPr>
                  <m:sty m:val="p"/>
                </m:rPr>
                <m:t>a</m:t>
              </m:r>
              <m:r>
                <m:rPr>
                  <m:sty m:val="p"/>
                </m:rPr>
                <m:t>t</m:t>
              </m:r>
              <m:r>
                <m:rPr>
                  <m:sty m:val="p"/>
                </m:rPr>
                <m:t>e</m:t>
              </m:r>
              <m:r>
                <m:rPr>
                  <m:sty m:val="p"/>
                </m:rPr>
                <m:t>_</m:t>
              </m:r>
              <m:r>
                <m:rPr>
                  <m:sty m:val="p"/>
                </m:rPr>
                <m:t>d</m:t>
              </m:r>
              <m:r>
                <m:rPr>
                  <m:sty m:val="p"/>
                </m:rPr>
                <m:t>e</m:t>
              </m:r>
              <m:r>
                <m:rPr>
                  <m:sty m:val="p"/>
                </m:rPr>
                <m:t>g</m:t>
              </m:r>
              <m:r>
                <m:rPr>
                  <m:sty m:val="p"/>
                </m:rPr>
                <m:t>_</m:t>
              </m:r>
              <m:r>
                <m:rPr>
                  <m:sty m:val="p"/>
                </m:rPr>
                <m:t>s</m:t>
              </m:r>
            </m:e>
            <m:sub>
              <m:r>
                <m:t>i</m:t>
              </m:r>
            </m:sub>
          </m:sSub>
          <m:r>
            <m:rPr>
              <m:sty m:val="p"/>
            </m:rPr>
            <m:t>+</m:t>
          </m:r>
          <m:sSub>
            <m:e>
              <m:r>
                <m:t>β</m:t>
              </m:r>
            </m:e>
            <m:sub>
              <m:r>
                <m:t>3</m:t>
              </m:r>
            </m:sub>
          </m:sSub>
          <m:r>
            <m:t> </m:t>
          </m:r>
          <m:sSub>
            <m:e>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l</m:t>
              </m:r>
              <m:r>
                <m:rPr>
                  <m:sty m:val="p"/>
                </m:rPr>
                <m:t>e</m:t>
              </m:r>
              <m:r>
                <m:rPr>
                  <m:sty m:val="p"/>
                </m:rPr>
                <m:t>v</m:t>
              </m:r>
              <m:r>
                <m:rPr>
                  <m:sty m:val="p"/>
                </m:rPr>
                <m:t>e</m:t>
              </m:r>
              <m:r>
                <m:rPr>
                  <m:sty m:val="p"/>
                </m:rPr>
                <m:t>l</m:t>
              </m:r>
            </m:e>
            <m:sub>
              <m:r>
                <m:t>i</m:t>
              </m:r>
            </m:sub>
          </m:sSub>
          <m:r>
            <m:rPr>
              <m:sty m:val="p"/>
            </m:rPr>
            <m:t>+</m:t>
          </m:r>
          <m:sSub>
            <m:e>
              <m:r>
                <m:t>β</m:t>
              </m:r>
            </m:e>
            <m:sub>
              <m:r>
                <m:t>4</m:t>
              </m:r>
            </m:sub>
          </m:sSub>
          <m:r>
            <m:t> </m:t>
          </m:r>
          <m:sSub>
            <m:e>
              <m:r>
                <m:rPr>
                  <m:sty m:val="p"/>
                </m:rPr>
                <m:t>s</m:t>
              </m:r>
              <m:r>
                <m:rPr>
                  <m:sty m:val="p"/>
                </m:rPr>
                <m:t>i</m:t>
              </m:r>
              <m:r>
                <m:rPr>
                  <m:sty m:val="p"/>
                </m:rPr>
                <m:t>t</m:t>
              </m:r>
              <m:r>
                <m:rPr>
                  <m:sty m:val="p"/>
                </m:rPr>
                <m:t>e</m:t>
              </m:r>
              <m:r>
                <m:rPr>
                  <m:sty m:val="p"/>
                </m:rPr>
                <m:t>s</m:t>
              </m:r>
              <m:r>
                <m:rPr>
                  <m:sty m:val="p"/>
                </m:rPr>
                <m:t>_</m:t>
              </m:r>
              <m:r>
                <m:rPr>
                  <m:sty m:val="p"/>
                </m:rPr>
                <m:t>n</m:t>
              </m:r>
            </m:e>
            <m:sub>
              <m:r>
                <m:t>i</m:t>
              </m:r>
            </m:sub>
          </m:sSub>
          <m:r>
            <m:rPr>
              <m:sty m:val="p"/>
            </m:rPr>
            <m:t>+</m:t>
          </m:r>
          <m:sSub>
            <m:e>
              <m:r>
                <m:t>ε</m:t>
              </m:r>
            </m:e>
            <m:sub>
              <m:r>
                <m:t>i</m:t>
              </m:r>
            </m:sub>
          </m:sSub>
        </m:oMath>
      </m:oMathPara>
    </w:p>
    <w:bookmarkStart w:id="22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-2.2645</w:t>
            </w:r>
          </w:p>
        </w:tc>
        <w:tc>
          <w:tcPr>
            <w:tcW w:w="0" w:type="auto"/>
          </w:tcPr>
          <w:p>
            <w:pPr>
              <w:spacing w:line="240" w:lineRule="auto" w:before="0" w:after="0"/>
              <w:pStyle w:val="Compact"/>
            </w:pPr>
            <w:r>
              <w:rPr>
                <w:sz w:val="20"/>
                <w:szCs w:val="20"/>
              </w:rPr>
              <w:t xml:space="preserve">133.901</w:t>
            </w:r>
          </w:p>
        </w:tc>
        <w:tc>
          <w:tcPr>
            <w:tcW w:w="0" w:type="auto"/>
          </w:tcPr>
          <w:p>
            <w:pPr>
              <w:spacing w:line="240" w:lineRule="auto" w:before="0" w:after="0"/>
              <w:pStyle w:val="Compact"/>
            </w:pPr>
            <w:r>
              <w:rPr>
                <w:sz w:val="20"/>
                <w:szCs w:val="20"/>
              </w:rPr>
              <w:t xml:space="preserve">-0.0169</w:t>
            </w:r>
          </w:p>
        </w:tc>
        <w:tc>
          <w:tcPr>
            <w:tcW w:w="0" w:type="auto"/>
          </w:tcPr>
          <w:p>
            <w:pPr>
              <w:spacing w:line="240" w:lineRule="auto" w:before="0" w:after="0"/>
              <w:pStyle w:val="Compact"/>
            </w:pPr>
            <w:r>
              <w:rPr>
                <w:sz w:val="20"/>
                <w:szCs w:val="20"/>
              </w:rPr>
              <w:t xml:space="preserve">0.9865</w:t>
            </w:r>
          </w:p>
        </w:tc>
        <w:tc>
          <w:tcPr>
            <w:tcW w:w="0" w:type="auto"/>
          </w:tcPr>
          <w:p>
            <w:pPr>
              <w:spacing w:line="240" w:lineRule="auto" w:before="0" w:after="0"/>
              <w:pStyle w:val="Compact"/>
            </w:pPr>
            <w:r>
              <w:rPr>
                <w:sz w:val="20"/>
                <w:szCs w:val="20"/>
              </w:rPr>
              <w:t xml:space="preserve">[-264.7057, 260.1766]</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92.7755</w:t>
            </w:r>
          </w:p>
        </w:tc>
        <w:tc>
          <w:tcPr>
            <w:tcW w:w="0" w:type="auto"/>
          </w:tcPr>
          <w:p>
            <w:pPr>
              <w:spacing w:line="240" w:lineRule="auto" w:before="0" w:after="0"/>
              <w:pStyle w:val="Compact"/>
            </w:pPr>
            <w:r>
              <w:rPr>
                <w:sz w:val="20"/>
                <w:szCs w:val="20"/>
              </w:rPr>
              <w:t xml:space="preserve">20.0907</w:t>
            </w:r>
          </w:p>
        </w:tc>
        <w:tc>
          <w:tcPr>
            <w:tcW w:w="0" w:type="auto"/>
          </w:tcPr>
          <w:p>
            <w:pPr>
              <w:spacing w:line="240" w:lineRule="auto" w:before="0" w:after="0"/>
              <w:pStyle w:val="Compact"/>
            </w:pPr>
            <w:r>
              <w:rPr>
                <w:sz w:val="20"/>
                <w:szCs w:val="20"/>
              </w:rPr>
              <w:t xml:space="preserve">4.6178</w:t>
            </w:r>
          </w:p>
        </w:tc>
        <w:tc>
          <w:tcPr>
            <w:tcW w:w="0" w:type="auto"/>
          </w:tcPr>
          <w:p>
            <w:pPr>
              <w:spacing w:line="240" w:lineRule="auto" w:before="0" w:after="0"/>
              <w:pStyle w:val="Compact"/>
            </w:pPr>
            <w:r>
              <w:rPr>
                <w:sz w:val="20"/>
                <w:szCs w:val="20"/>
              </w:rPr>
              <w:t xml:space="preserve">3.878e-06</w:t>
            </w:r>
          </w:p>
        </w:tc>
        <w:tc>
          <w:tcPr>
            <w:tcW w:w="0" w:type="auto"/>
          </w:tcPr>
          <w:p>
            <w:pPr>
              <w:spacing w:line="240" w:lineRule="auto" w:before="0" w:after="0"/>
              <w:pStyle w:val="Compact"/>
            </w:pPr>
            <w:r>
              <w:rPr>
                <w:sz w:val="20"/>
                <w:szCs w:val="20"/>
              </w:rPr>
              <w:t xml:space="preserve">[53.3984, 132.1526]</w:t>
            </w:r>
          </w:p>
        </w:tc>
      </w:tr>
      <w:tr>
        <w:tc>
          <w:tcPr>
            <w:tcW w:w="0" w:type="auto"/>
          </w:tcPr>
          <w:p>
            <w:pPr>
              <w:spacing w:line="240" w:lineRule="auto" w:before="0" w:after="0"/>
              <w:pStyle w:val="Compact"/>
            </w:pPr>
            <w:r>
              <w:rPr>
                <w:sz w:val="20"/>
                <w:szCs w:val="20"/>
              </w:rPr>
              <w:t xml:space="preserve">slew_rate_deg_s</w:t>
            </w:r>
          </w:p>
        </w:tc>
        <w:tc>
          <w:tcPr>
            <w:tcW w:w="0" w:type="auto"/>
          </w:tcPr>
          <w:p>
            <w:pPr>
              <w:spacing w:line="240" w:lineRule="auto" w:before="0" w:after="0"/>
              <w:pStyle w:val="Compact"/>
            </w:pPr>
            <w:r>
              <w:rPr>
                <w:sz w:val="20"/>
                <w:szCs w:val="20"/>
              </w:rPr>
              <w:t xml:space="preserve">-35.4051</w:t>
            </w:r>
          </w:p>
        </w:tc>
        <w:tc>
          <w:tcPr>
            <w:tcW w:w="0" w:type="auto"/>
          </w:tcPr>
          <w:p>
            <w:pPr>
              <w:spacing w:line="240" w:lineRule="auto" w:before="0" w:after="0"/>
              <w:pStyle w:val="Compact"/>
            </w:pPr>
            <w:r>
              <w:rPr>
                <w:sz w:val="20"/>
                <w:szCs w:val="20"/>
              </w:rPr>
              <w:t xml:space="preserve">29.3213</w:t>
            </w:r>
          </w:p>
        </w:tc>
        <w:tc>
          <w:tcPr>
            <w:tcW w:w="0" w:type="auto"/>
          </w:tcPr>
          <w:p>
            <w:pPr>
              <w:spacing w:line="240" w:lineRule="auto" w:before="0" w:after="0"/>
              <w:pStyle w:val="Compact"/>
            </w:pPr>
            <w:r>
              <w:rPr>
                <w:sz w:val="20"/>
                <w:szCs w:val="20"/>
              </w:rPr>
              <w:t xml:space="preserve">-1.2075</w:t>
            </w:r>
          </w:p>
        </w:tc>
        <w:tc>
          <w:tcPr>
            <w:tcW w:w="0" w:type="auto"/>
          </w:tcPr>
          <w:p>
            <w:pPr>
              <w:spacing w:line="240" w:lineRule="auto" w:before="0" w:after="0"/>
              <w:pStyle w:val="Compact"/>
            </w:pPr>
            <w:r>
              <w:rPr>
                <w:sz w:val="20"/>
                <w:szCs w:val="20"/>
              </w:rPr>
              <w:t xml:space="preserve">0.2272</w:t>
            </w:r>
          </w:p>
        </w:tc>
        <w:tc>
          <w:tcPr>
            <w:tcW w:w="0" w:type="auto"/>
          </w:tcPr>
          <w:p>
            <w:pPr>
              <w:spacing w:line="240" w:lineRule="auto" w:before="0" w:after="0"/>
              <w:pStyle w:val="Compact"/>
            </w:pPr>
            <w:r>
              <w:rPr>
                <w:sz w:val="20"/>
                <w:szCs w:val="20"/>
              </w:rPr>
              <w:t xml:space="preserve">[-92.8738, 22.0635]</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52.9193</w:t>
            </w:r>
          </w:p>
        </w:tc>
        <w:tc>
          <w:tcPr>
            <w:tcW w:w="0" w:type="auto"/>
          </w:tcPr>
          <w:p>
            <w:pPr>
              <w:spacing w:line="240" w:lineRule="auto" w:before="0" w:after="0"/>
              <w:pStyle w:val="Compact"/>
            </w:pPr>
            <w:r>
              <w:rPr>
                <w:sz w:val="20"/>
                <w:szCs w:val="20"/>
              </w:rPr>
              <w:t xml:space="preserve">12.7188</w:t>
            </w:r>
          </w:p>
        </w:tc>
        <w:tc>
          <w:tcPr>
            <w:tcW w:w="0" w:type="auto"/>
          </w:tcPr>
          <w:p>
            <w:pPr>
              <w:spacing w:line="240" w:lineRule="auto" w:before="0" w:after="0"/>
              <w:pStyle w:val="Compact"/>
            </w:pPr>
            <w:r>
              <w:rPr>
                <w:sz w:val="20"/>
                <w:szCs w:val="20"/>
              </w:rPr>
              <w:t xml:space="preserve">4.1607</w:t>
            </w:r>
          </w:p>
        </w:tc>
        <w:tc>
          <w:tcPr>
            <w:tcW w:w="0" w:type="auto"/>
          </w:tcPr>
          <w:p>
            <w:pPr>
              <w:spacing w:line="240" w:lineRule="auto" w:before="0" w:after="0"/>
              <w:pStyle w:val="Compact"/>
            </w:pPr>
            <w:r>
              <w:rPr>
                <w:sz w:val="20"/>
                <w:szCs w:val="20"/>
              </w:rPr>
              <w:t xml:space="preserve">3.172e-05</w:t>
            </w:r>
          </w:p>
        </w:tc>
        <w:tc>
          <w:tcPr>
            <w:tcW w:w="0" w:type="auto"/>
          </w:tcPr>
          <w:p>
            <w:pPr>
              <w:spacing w:line="240" w:lineRule="auto" w:before="0" w:after="0"/>
              <w:pStyle w:val="Compact"/>
            </w:pPr>
            <w:r>
              <w:rPr>
                <w:sz w:val="20"/>
                <w:szCs w:val="20"/>
              </w:rPr>
              <w:t xml:space="preserve">[27.991, 77.8476]</w:t>
            </w:r>
          </w:p>
        </w:tc>
      </w:tr>
      <w:tr>
        <w:tc>
          <w:tcPr>
            <w:tcW w:w="0" w:type="auto"/>
          </w:tcPr>
          <w:p>
            <w:pPr>
              <w:spacing w:line="240" w:lineRule="auto" w:before="0" w:after="0"/>
              <w:pStyle w:val="Compact"/>
            </w:pPr>
            <w:r>
              <w:rPr>
                <w:sz w:val="20"/>
                <w:szCs w:val="20"/>
              </w:rPr>
              <w:t xml:space="preserve">sites_n</w:t>
            </w:r>
          </w:p>
        </w:tc>
        <w:tc>
          <w:tcPr>
            <w:tcW w:w="0" w:type="auto"/>
          </w:tcPr>
          <w:p>
            <w:pPr>
              <w:spacing w:line="240" w:lineRule="auto" w:before="0" w:after="0"/>
              <w:pStyle w:val="Compact"/>
            </w:pPr>
            <w:r>
              <w:rPr>
                <w:sz w:val="20"/>
                <w:szCs w:val="20"/>
              </w:rPr>
              <w:t xml:space="preserve">174.0358</w:t>
            </w:r>
          </w:p>
        </w:tc>
        <w:tc>
          <w:tcPr>
            <w:tcW w:w="0" w:type="auto"/>
          </w:tcPr>
          <w:p>
            <w:pPr>
              <w:spacing w:line="240" w:lineRule="auto" w:before="0" w:after="0"/>
              <w:pStyle w:val="Compact"/>
            </w:pPr>
            <w:r>
              <w:rPr>
                <w:sz w:val="20"/>
                <w:szCs w:val="20"/>
              </w:rPr>
              <w:t xml:space="preserve">10.3171</w:t>
            </w:r>
          </w:p>
        </w:tc>
        <w:tc>
          <w:tcPr>
            <w:tcW w:w="0" w:type="auto"/>
          </w:tcPr>
          <w:p>
            <w:pPr>
              <w:spacing w:line="240" w:lineRule="auto" w:before="0" w:after="0"/>
              <w:pStyle w:val="Compact"/>
            </w:pPr>
            <w:r>
              <w:rPr>
                <w:sz w:val="20"/>
                <w:szCs w:val="20"/>
              </w:rPr>
              <w:t xml:space="preserve">16.8687</w:t>
            </w:r>
          </w:p>
        </w:tc>
        <w:tc>
          <w:tcPr>
            <w:tcW w:w="0" w:type="auto"/>
          </w:tcPr>
          <w:p>
            <w:pPr>
              <w:spacing w:line="240" w:lineRule="auto" w:before="0" w:after="0"/>
              <w:pStyle w:val="Compact"/>
            </w:pPr>
            <w:r>
              <w:rPr>
                <w:sz w:val="20"/>
                <w:szCs w:val="20"/>
              </w:rPr>
              <w:t xml:space="preserve">7.644e-64</w:t>
            </w:r>
          </w:p>
        </w:tc>
        <w:tc>
          <w:tcPr>
            <w:tcW w:w="0" w:type="auto"/>
          </w:tcPr>
          <w:p>
            <w:pPr>
              <w:spacing w:line="240" w:lineRule="auto" w:before="0" w:after="0"/>
              <w:pStyle w:val="Compact"/>
            </w:pPr>
            <w:r>
              <w:rPr>
                <w:sz w:val="20"/>
                <w:szCs w:val="20"/>
              </w:rPr>
              <w:t xml:space="preserve">[153.8147, 194.2569]</w:t>
            </w:r>
          </w:p>
        </w:tc>
      </w:tr>
    </w:tbl>
    <w:p>
      <w:pPr>
        <w:pStyle w:val="BodyText"/>
        <w:spacing w:line="480" w:lineRule="auto"/>
        <w:ind w:firstLine="720"/>
      </w:pPr>
      <w:r>
        <w:t xml:space="preserve">Fit: N = 32 R2 = 0.9505 R2_adj = 0.9432 F = 208.7499 F_p = 6.96e-20</w:t>
      </w:r>
    </w:p>
    <w:bookmarkEnd w:id="222"/>
    <w:bookmarkStart w:id="22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Observations per night vs autonomy level across 31 published optical tasking campaigns." title="" id="224" name="Picture"/>
            <a:graphic>
              <a:graphicData uri="http://schemas.openxmlformats.org/drawingml/2006/picture">
                <pic:pic>
                  <pic:nvPicPr>
                    <pic:cNvPr descr="D:/Claude_Code/brain/collegium/candidates/dissertations/JPL_INSTRUMENTS_NAV_04/research_papers/p1/paper_fig1.png" id="225" name="Picture"/>
                    <pic:cNvPicPr>
                      <a:picLocks noChangeArrowheads="1" noChangeAspect="1"/>
                    </pic:cNvPicPr>
                  </pic:nvPicPr>
                  <pic:blipFill>
                    <a:blip r:embed="rId22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Observations per night vs autonomy level across 31 published optical tasking campaigns.</w:t>
      </w:r>
    </w:p>
    <w:bookmarkEnd w:id="226"/>
    <w:bookmarkStart w:id="22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campaign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slew_rate_deg_s</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sites_n</w:t>
            </w:r>
          </w:p>
        </w:tc>
        <w:tc>
          <w:tcPr>
            <w:tcW w:w="0" w:type="auto"/>
          </w:tcPr>
          <w:p>
            <w:pPr>
              <w:spacing w:line="240" w:lineRule="auto" w:before="0" w:after="0"/>
              <w:pStyle w:val="Compact"/>
            </w:pPr>
            <w:r>
              <w:rPr>
                <w:sz w:val="20"/>
                <w:szCs w:val="20"/>
              </w:rPr>
              <w:t xml:space="preserve">obs_per_night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MSSS_Heimdall_baseline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Herz et al., Heimdall System for MSSS Sensor Tasking, AMOS 2015</w:t>
            </w:r>
          </w:p>
        </w:tc>
      </w:tr>
      <w:tr>
        <w:tc>
          <w:tcPr>
            <w:tcW w:w="0" w:type="auto"/>
          </w:tcPr>
          <w:p>
            <w:pPr>
              <w:spacing w:line="240" w:lineRule="auto" w:before="0" w:after="0"/>
              <w:pStyle w:val="Compact"/>
            </w:pPr>
            <w:r>
              <w:rPr>
                <w:sz w:val="20"/>
                <w:szCs w:val="20"/>
              </w:rPr>
              <w:t xml:space="preserve">MSSS_Heimdall_FOM</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Herz et al., Heimdall System for MSSS Sensor Tasking, AMOS 2015</w:t>
            </w:r>
          </w:p>
        </w:tc>
      </w:tr>
      <w:tr>
        <w:tc>
          <w:tcPr>
            <w:tcW w:w="0" w:type="auto"/>
          </w:tcPr>
          <w:p>
            <w:pPr>
              <w:spacing w:line="240" w:lineRule="auto" w:before="0" w:after="0"/>
              <w:pStyle w:val="Compact"/>
            </w:pPr>
            <w:r>
              <w:rPr>
                <w:sz w:val="20"/>
                <w:szCs w:val="20"/>
              </w:rPr>
              <w:t xml:space="preserve">MSSS_NonTraditional_2016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910</w:t>
            </w:r>
          </w:p>
        </w:tc>
        <w:tc>
          <w:tcPr>
            <w:tcW w:w="0" w:type="auto"/>
          </w:tcPr>
          <w:p>
            <w:pPr>
              <w:spacing w:line="240" w:lineRule="auto" w:before="0" w:after="0"/>
              <w:pStyle w:val="Compact"/>
            </w:pPr>
            <w:r>
              <w:rPr>
                <w:sz w:val="20"/>
                <w:szCs w:val="20"/>
              </w:rPr>
              <w:t xml:space="preserve">Herz et al., Utilizing Novel Non-traditional Sensor Tasking Approaches, AMOS 2016</w:t>
            </w:r>
          </w:p>
        </w:tc>
      </w:tr>
      <w:tr>
        <w:tc>
          <w:tcPr>
            <w:tcW w:w="0" w:type="auto"/>
          </w:tcPr>
          <w:p>
            <w:pPr>
              <w:spacing w:line="240" w:lineRule="auto" w:before="0" w:after="0"/>
              <w:pStyle w:val="Compact"/>
            </w:pPr>
            <w:r>
              <w:rPr>
                <w:sz w:val="20"/>
                <w:szCs w:val="20"/>
              </w:rPr>
              <w:t xml:space="preserve">Raven_class_baseline</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Coder &amp; Holzinger, Sizing of a Raven-class Telescope Using Performance Sensitivities, AMOS 2013</w:t>
            </w:r>
          </w:p>
        </w:tc>
      </w:tr>
      <w:tr>
        <w:tc>
          <w:tcPr>
            <w:tcW w:w="0" w:type="auto"/>
          </w:tcPr>
          <w:p>
            <w:pPr>
              <w:spacing w:line="240" w:lineRule="auto" w:before="0" w:after="0"/>
              <w:pStyle w:val="Compact"/>
            </w:pPr>
            <w:r>
              <w:rPr>
                <w:sz w:val="20"/>
                <w:szCs w:val="20"/>
              </w:rPr>
              <w:t xml:space="preserve">Raven_class_optimized</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Coder &amp; Holzinger, Sizing of a Raven-class Telescope, AMOS 2013</w:t>
            </w:r>
          </w:p>
        </w:tc>
      </w:tr>
      <w:tr>
        <w:tc>
          <w:tcPr>
            <w:tcW w:w="0" w:type="auto"/>
          </w:tcPr>
          <w:p>
            <w:pPr>
              <w:spacing w:line="240" w:lineRule="auto" w:before="0" w:after="0"/>
              <w:pStyle w:val="Compact"/>
            </w:pPr>
            <w:r>
              <w:rPr>
                <w:sz w:val="20"/>
                <w:szCs w:val="20"/>
              </w:rPr>
              <w:t xml:space="preserve">PST3d_OBO_Poznan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Kaminski et al., Single and Double Pass Optical LEO Survey and Tracking, AMOS 2022</w:t>
            </w:r>
          </w:p>
        </w:tc>
      </w:tr>
      <w:tr>
        <w:tc>
          <w:tcPr>
            <w:tcW w:w="0" w:type="auto"/>
          </w:tcPr>
          <w:p>
            <w:pPr>
              <w:spacing w:line="240" w:lineRule="auto" w:before="0" w:after="0"/>
              <w:pStyle w:val="Compact"/>
            </w:pPr>
            <w:r>
              <w:rPr>
                <w:sz w:val="20"/>
                <w:szCs w:val="20"/>
              </w:rPr>
              <w:t xml:space="preserve">PST3e_Poznan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Kaminski et al., Single and Double Pass Optical LEO Survey and Tracking, AMOS 2022</w:t>
            </w:r>
          </w:p>
        </w:tc>
      </w:tr>
      <w:tr>
        <w:tc>
          <w:tcPr>
            <w:tcW w:w="0" w:type="auto"/>
          </w:tcPr>
          <w:p>
            <w:pPr>
              <w:spacing w:line="240" w:lineRule="auto" w:before="0" w:after="0"/>
              <w:pStyle w:val="Compact"/>
            </w:pPr>
            <w:r>
              <w:rPr>
                <w:sz w:val="20"/>
                <w:szCs w:val="20"/>
              </w:rPr>
              <w:t xml:space="preserve">DRAGRACER_C11_RASA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Kelly et al., Summary of DRAGRACER Flight Experiment, AMOS 2023, doi 10.64861/FCFS9502</w:t>
            </w:r>
          </w:p>
        </w:tc>
      </w:tr>
      <w:tr>
        <w:tc>
          <w:tcPr>
            <w:tcW w:w="0" w:type="auto"/>
          </w:tcPr>
          <w:p>
            <w:pPr>
              <w:spacing w:line="240" w:lineRule="auto" w:before="0" w:after="0"/>
              <w:pStyle w:val="Compact"/>
            </w:pPr>
            <w:r>
              <w:rPr>
                <w:sz w:val="20"/>
                <w:szCs w:val="20"/>
              </w:rPr>
              <w:t xml:space="preserve">AustralianCAS_2019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Bennett et al., An Australian Conjunction Assessment Service, AMOS 2019</w:t>
            </w:r>
          </w:p>
        </w:tc>
      </w:tr>
      <w:tr>
        <w:tc>
          <w:tcPr>
            <w:tcW w:w="0" w:type="auto"/>
          </w:tcPr>
          <w:p>
            <w:pPr>
              <w:spacing w:line="240" w:lineRule="auto" w:before="0" w:after="0"/>
              <w:pStyle w:val="Compact"/>
            </w:pPr>
            <w:r>
              <w:rPr>
                <w:sz w:val="20"/>
                <w:szCs w:val="20"/>
              </w:rPr>
              <w:t xml:space="preserve">Shteinman_OptimizedScheduling</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485</w:t>
            </w:r>
          </w:p>
        </w:tc>
        <w:tc>
          <w:tcPr>
            <w:tcW w:w="0" w:type="auto"/>
          </w:tcPr>
          <w:p>
            <w:pPr>
              <w:spacing w:line="240" w:lineRule="auto" w:before="0" w:after="0"/>
              <w:pStyle w:val="Compact"/>
            </w:pPr>
            <w:r>
              <w:rPr>
                <w:sz w:val="20"/>
                <w:szCs w:val="20"/>
              </w:rPr>
              <w:t xml:space="preserve">Shteinman et al., Design and Development of an Optimized Sensor Scheduling and Tasking Program, AMOS 2019</w:t>
            </w:r>
          </w:p>
        </w:tc>
      </w:tr>
      <w:tr>
        <w:tc>
          <w:tcPr>
            <w:tcW w:w="0" w:type="auto"/>
          </w:tcPr>
          <w:p>
            <w:pPr>
              <w:spacing w:line="240" w:lineRule="auto" w:before="0" w:after="0"/>
              <w:pStyle w:val="Compact"/>
            </w:pPr>
            <w:r>
              <w:rPr>
                <w:sz w:val="20"/>
                <w:szCs w:val="20"/>
              </w:rPr>
              <w:t xml:space="preserve">Hinze_GEO_GA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Hinze, Fiedler, Schildknecht, Optimal Scheduling for Geosynchronous Follow-up Using a Genetic Algorithm, AMOS 2016</w:t>
            </w:r>
          </w:p>
        </w:tc>
      </w:tr>
      <w:tr>
        <w:tc>
          <w:tcPr>
            <w:tcW w:w="0" w:type="auto"/>
          </w:tcPr>
          <w:p>
            <w:pPr>
              <w:spacing w:line="240" w:lineRule="auto" w:before="0" w:after="0"/>
              <w:pStyle w:val="Compact"/>
            </w:pPr>
            <w:r>
              <w:rPr>
                <w:sz w:val="20"/>
                <w:szCs w:val="20"/>
              </w:rPr>
              <w:t xml:space="preserve">SNARE_MITRE_2021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1180</w:t>
            </w:r>
          </w:p>
        </w:tc>
        <w:tc>
          <w:tcPr>
            <w:tcW w:w="0" w:type="auto"/>
          </w:tcPr>
          <w:p>
            <w:pPr>
              <w:spacing w:line="240" w:lineRule="auto" w:before="0" w:after="0"/>
              <w:pStyle w:val="Compact"/>
            </w:pPr>
            <w:r>
              <w:rPr>
                <w:sz w:val="20"/>
                <w:szCs w:val="20"/>
              </w:rPr>
              <w:t xml:space="preserve">Carden, Burchett, Reed, SNARE Decentralized Sensor Tasking, AMOS 2021</w:t>
            </w:r>
          </w:p>
        </w:tc>
      </w:tr>
      <w:tr>
        <w:tc>
          <w:tcPr>
            <w:tcW w:w="0" w:type="auto"/>
          </w:tcPr>
          <w:p>
            <w:pPr>
              <w:spacing w:line="240" w:lineRule="auto" w:before="0" w:after="0"/>
              <w:pStyle w:val="Compact"/>
            </w:pPr>
            <w:r>
              <w:rPr>
                <w:sz w:val="20"/>
                <w:szCs w:val="20"/>
              </w:rPr>
              <w:t xml:space="preserve">OrbitLogic_NonTraditional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940</w:t>
            </w:r>
          </w:p>
        </w:tc>
        <w:tc>
          <w:tcPr>
            <w:tcW w:w="0" w:type="auto"/>
          </w:tcPr>
          <w:p>
            <w:pPr>
              <w:spacing w:line="240" w:lineRule="auto" w:before="0" w:after="0"/>
              <w:pStyle w:val="Compact"/>
            </w:pPr>
            <w:r>
              <w:rPr>
                <w:sz w:val="20"/>
                <w:szCs w:val="20"/>
              </w:rPr>
              <w:t xml:space="preserve">Dhingra et al., Maximizing Utility of Non-Traditional Sensor Network Data for SDA, AMOS 2021</w:t>
            </w:r>
          </w:p>
        </w:tc>
      </w:tr>
      <w:tr>
        <w:tc>
          <w:tcPr>
            <w:tcW w:w="0" w:type="auto"/>
          </w:tcPr>
          <w:p>
            <w:pPr>
              <w:spacing w:line="240" w:lineRule="auto" w:before="0" w:after="0"/>
              <w:pStyle w:val="Compact"/>
            </w:pPr>
            <w:r>
              <w:rPr>
                <w:sz w:val="20"/>
                <w:szCs w:val="20"/>
              </w:rPr>
              <w:t xml:space="preserve">Aerospace_GroundNetwork_2022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2340</w:t>
            </w:r>
          </w:p>
        </w:tc>
        <w:tc>
          <w:tcPr>
            <w:tcW w:w="0" w:type="auto"/>
          </w:tcPr>
          <w:p>
            <w:pPr>
              <w:spacing w:line="240" w:lineRule="auto" w:before="0" w:after="0"/>
              <w:pStyle w:val="Compact"/>
            </w:pPr>
            <w:r>
              <w:rPr>
                <w:sz w:val="20"/>
                <w:szCs w:val="20"/>
              </w:rPr>
              <w:t xml:space="preserve">Britton et al., An Autonomous Geographically Distributed Ground Network that Scales, AMOS 2022</w:t>
            </w:r>
          </w:p>
        </w:tc>
      </w:tr>
      <w:tr>
        <w:tc>
          <w:tcPr>
            <w:tcW w:w="0" w:type="auto"/>
          </w:tcPr>
          <w:p>
            <w:pPr>
              <w:spacing w:line="240" w:lineRule="auto" w:before="0" w:after="0"/>
              <w:pStyle w:val="Compact"/>
            </w:pPr>
            <w:r>
              <w:rPr>
                <w:sz w:val="20"/>
                <w:szCs w:val="20"/>
              </w:rPr>
              <w:t xml:space="preserve">Kadan_HeterogeneousNet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Kadan et al., Evaluation of Maneuver Detection within an Autonomous Heterogeneous Sensor Network, AMOS 2023, doi 10.64861/QEDJ9012</w:t>
            </w:r>
          </w:p>
        </w:tc>
      </w:tr>
      <w:tr>
        <w:tc>
          <w:tcPr>
            <w:tcW w:w="0" w:type="auto"/>
          </w:tcPr>
          <w:p>
            <w:pPr>
              <w:spacing w:line="240" w:lineRule="auto" w:before="0" w:after="0"/>
              <w:pStyle w:val="Compact"/>
            </w:pPr>
            <w:r>
              <w:rPr>
                <w:sz w:val="20"/>
                <w:szCs w:val="20"/>
              </w:rPr>
              <w:t xml:space="preserve">Bynum_SensorPlacement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Bynum et al., Decomposition Algorithm for Optimal Selection and Placement of Heterogeneous Sensors, AMOS 2024, doi 10.64861/AVJL2311</w:t>
            </w:r>
          </w:p>
        </w:tc>
      </w:tr>
      <w:tr>
        <w:tc>
          <w:tcPr>
            <w:tcW w:w="0" w:type="auto"/>
          </w:tcPr>
          <w:p>
            <w:pPr>
              <w:spacing w:line="240" w:lineRule="auto" w:before="0" w:after="0"/>
              <w:pStyle w:val="Compact"/>
            </w:pPr>
            <w:r>
              <w:rPr>
                <w:sz w:val="20"/>
                <w:szCs w:val="20"/>
              </w:rPr>
              <w:t xml:space="preserve">Phillips_GlobalBoresight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1520</w:t>
            </w:r>
          </w:p>
        </w:tc>
        <w:tc>
          <w:tcPr>
            <w:tcW w:w="0" w:type="auto"/>
          </w:tcPr>
          <w:p>
            <w:pPr>
              <w:spacing w:line="240" w:lineRule="auto" w:before="0" w:after="0"/>
              <w:pStyle w:val="Compact"/>
            </w:pPr>
            <w:r>
              <w:rPr>
                <w:sz w:val="20"/>
                <w:szCs w:val="20"/>
              </w:rPr>
              <w:t xml:space="preserve">Phillips et al., Luck Is a Skill: Optimizing for Serendipitous Observations with Global Boresight Tasking, AMOS 2025, doi 10.64861/GPAR3562</w:t>
            </w:r>
          </w:p>
        </w:tc>
      </w:tr>
      <w:tr>
        <w:tc>
          <w:tcPr>
            <w:tcW w:w="0" w:type="auto"/>
          </w:tcPr>
          <w:p>
            <w:pPr>
              <w:spacing w:line="240" w:lineRule="auto" w:before="0" w:after="0"/>
              <w:pStyle w:val="Compact"/>
            </w:pPr>
            <w:r>
              <w:rPr>
                <w:sz w:val="20"/>
                <w:szCs w:val="20"/>
              </w:rPr>
              <w:t xml:space="preserve">Greaves_AutonomousInfoGather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Greaves &amp; Scheeres, Autonomous Information Gathering Guidance for Spacecraft-to-Spacecraft Tracking, AMOS 2023, doi 10.64861/CGYJ5883</w:t>
            </w:r>
          </w:p>
        </w:tc>
      </w:tr>
      <w:tr>
        <w:tc>
          <w:tcPr>
            <w:tcW w:w="0" w:type="auto"/>
          </w:tcPr>
          <w:p>
            <w:pPr>
              <w:spacing w:line="240" w:lineRule="auto" w:before="0" w:after="0"/>
              <w:pStyle w:val="Compact"/>
            </w:pPr>
            <w:r>
              <w:rPr>
                <w:sz w:val="20"/>
                <w:szCs w:val="20"/>
              </w:rPr>
              <w:t xml:space="preserve">Fitzgerald_HMT_Trust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Fitzgerald et al., Building Trust in Human-Machine Teaming for Autonomous Space Sensing, AMOS 2024, doi 10.64861/HWZS9386</w:t>
            </w:r>
          </w:p>
        </w:tc>
      </w:tr>
      <w:tr>
        <w:tc>
          <w:tcPr>
            <w:tcW w:w="0" w:type="auto"/>
          </w:tcPr>
          <w:p>
            <w:pPr>
              <w:spacing w:line="240" w:lineRule="auto" w:before="0" w:after="0"/>
              <w:pStyle w:val="Compact"/>
            </w:pPr>
            <w:r>
              <w:rPr>
                <w:sz w:val="20"/>
                <w:szCs w:val="20"/>
              </w:rPr>
              <w:t xml:space="preserve">LaFarge_RL_LowThrust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LaFarge, Howell, Folta, Adaptive Closed-loop Maneuver Planning using Reinforcement Learning, Acta Astronautica vol 211, 2023, doi 10.1016/j.actaastro.2023.06.004</w:t>
            </w:r>
          </w:p>
        </w:tc>
      </w:tr>
      <w:tr>
        <w:tc>
          <w:tcPr>
            <w:tcW w:w="0" w:type="auto"/>
          </w:tcPr>
          <w:p>
            <w:pPr>
              <w:spacing w:line="240" w:lineRule="auto" w:before="0" w:after="0"/>
              <w:pStyle w:val="Compact"/>
            </w:pPr>
            <w:r>
              <w:rPr>
                <w:sz w:val="20"/>
                <w:szCs w:val="20"/>
              </w:rPr>
              <w:t xml:space="preserve">Jabbarpour_AgentBased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Jabbarpour et al., Agent-based Approaches for Distributed Space Systems, Acta Astronautica vol 238, 2025, doi 10.1016/j.actaastro.2025.10.018</w:t>
            </w:r>
          </w:p>
        </w:tc>
      </w:tr>
      <w:tr>
        <w:tc>
          <w:tcPr>
            <w:tcW w:w="0" w:type="auto"/>
          </w:tcPr>
          <w:p>
            <w:pPr>
              <w:spacing w:line="240" w:lineRule="auto" w:before="0" w:after="0"/>
              <w:pStyle w:val="Compact"/>
            </w:pPr>
            <w:r>
              <w:rPr>
                <w:sz w:val="20"/>
                <w:szCs w:val="20"/>
              </w:rPr>
              <w:t xml:space="preserve">Liang_OnboardActivity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Liang et al., A Precedence-rule-based Heuristic for Satellite Onboard Activity Planning, Acta Astronautica vol 178, 2020, doi 10.1016/j.actaastro.2020.10.020</w:t>
            </w:r>
          </w:p>
        </w:tc>
      </w:tr>
      <w:tr>
        <w:tc>
          <w:tcPr>
            <w:tcW w:w="0" w:type="auto"/>
          </w:tcPr>
          <w:p>
            <w:pPr>
              <w:spacing w:line="240" w:lineRule="auto" w:before="0" w:after="0"/>
              <w:pStyle w:val="Compact"/>
            </w:pPr>
            <w:r>
              <w:rPr>
                <w:sz w:val="20"/>
                <w:szCs w:val="20"/>
              </w:rPr>
              <w:t xml:space="preserve">Hippelheuser_AdaptiveModel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Hippelheuser &amp; Elgohary, An Adaptive Non-singular Measurement Model for Angles-only Orbit Determination, AMOS 2021</w:t>
            </w:r>
          </w:p>
        </w:tc>
      </w:tr>
      <w:tr>
        <w:tc>
          <w:tcPr>
            <w:tcW w:w="0" w:type="auto"/>
          </w:tcPr>
          <w:p>
            <w:pPr>
              <w:spacing w:line="240" w:lineRule="auto" w:before="0" w:after="0"/>
              <w:pStyle w:val="Compact"/>
            </w:pPr>
            <w:r>
              <w:rPr>
                <w:sz w:val="20"/>
                <w:szCs w:val="20"/>
              </w:rPr>
              <w:t xml:space="preserve">Fu_Soldini_OrbitalMaint</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Fu &amp; Soldini, Autonomous Orbital Maintenance Using Supervised-learning-based Target Point Approach, Acta Astronautica vol 244, 2026, doi 10.1016/j.actaastro.2026.02.008</w:t>
            </w:r>
          </w:p>
        </w:tc>
      </w:tr>
      <w:tr>
        <w:tc>
          <w:tcPr>
            <w:tcW w:w="0" w:type="auto"/>
          </w:tcPr>
          <w:p>
            <w:pPr>
              <w:spacing w:line="240" w:lineRule="auto" w:before="0" w:after="0"/>
              <w:pStyle w:val="Compact"/>
            </w:pPr>
            <w:r>
              <w:rPr>
                <w:sz w:val="20"/>
                <w:szCs w:val="20"/>
              </w:rPr>
              <w:t xml:space="preserve">Tavana_OnlineMotion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Tavana et al., Online Motion Planning and Control for Autonomous On-orbit Assembly with ML-based MPC, Acta Astronautica vol 239, 2025, doi 10.1016/j.actaastro.2025.10.073</w:t>
            </w:r>
          </w:p>
        </w:tc>
      </w:tr>
      <w:tr>
        <w:tc>
          <w:tcPr>
            <w:tcW w:w="0" w:type="auto"/>
          </w:tcPr>
          <w:p>
            <w:pPr>
              <w:spacing w:line="240" w:lineRule="auto" w:before="0" w:after="0"/>
              <w:pStyle w:val="Compact"/>
            </w:pPr>
            <w:r>
              <w:rPr>
                <w:sz w:val="20"/>
                <w:szCs w:val="20"/>
              </w:rPr>
              <w:t xml:space="preserve">Kaluthantrige_HeraCNN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Kaluthantrige, Feng, Gil-Fernandez, CNN-based Image Processing for Autonomous Optical Navigation of Hera Mission, Acta Astronautica vol 211, 2023, doi 10.1016/j.actaastro.2023.05.029</w:t>
            </w:r>
          </w:p>
        </w:tc>
      </w:tr>
      <w:tr>
        <w:tc>
          <w:tcPr>
            <w:tcW w:w="0" w:type="auto"/>
          </w:tcPr>
          <w:p>
            <w:pPr>
              <w:spacing w:line="240" w:lineRule="auto" w:before="0" w:after="0"/>
              <w:pStyle w:val="Compact"/>
            </w:pPr>
            <w:r>
              <w:rPr>
                <w:sz w:val="20"/>
                <w:szCs w:val="20"/>
              </w:rPr>
              <w:t xml:space="preserve">Pirat_CubeSatDocking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Pirat, Ankersen, Walker, Gass, Vision-based Navigation for Autonomous Cooperative Docking of CubeSats, Acta Astronautica vol 146, 2018, doi 10.1016/j.actaastro.2018.01.059</w:t>
            </w:r>
          </w:p>
        </w:tc>
      </w:tr>
      <w:tr>
        <w:tc>
          <w:tcPr>
            <w:tcW w:w="0" w:type="auto"/>
          </w:tcPr>
          <w:p>
            <w:pPr>
              <w:spacing w:line="240" w:lineRule="auto" w:before="0" w:after="0"/>
              <w:pStyle w:val="Compact"/>
            </w:pPr>
            <w:r>
              <w:rPr>
                <w:sz w:val="20"/>
                <w:szCs w:val="20"/>
              </w:rPr>
              <w:t xml:space="preserve">SSC_USSF_GroundSeg_2024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Fitzgerald et al., Building Trust in Human-Machine Teaming, AMOS 2024, doi 10.64861/HWZS9386 [reported network arm]</w:t>
            </w:r>
          </w:p>
        </w:tc>
      </w:tr>
      <w:tr>
        <w:tc>
          <w:tcPr>
            <w:tcW w:w="0" w:type="auto"/>
          </w:tcPr>
          <w:p>
            <w:pPr>
              <w:spacing w:line="240" w:lineRule="auto" w:before="0" w:after="0"/>
              <w:pStyle w:val="Compact"/>
            </w:pPr>
            <w:r>
              <w:rPr>
                <w:sz w:val="20"/>
                <w:szCs w:val="20"/>
              </w:rPr>
              <w:t xml:space="preserve">MSSS_3p67m_optimized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3.67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Herz et al., Heimdall System for MSSS Sensor Tasking, AMOS 2015 [3.67m AEOS reference, MSSS site, illustrative throughput]</w:t>
            </w:r>
          </w:p>
        </w:tc>
      </w:tr>
      <w:tr>
        <w:tc>
          <w:tcPr>
            <w:tcW w:w="0" w:type="auto"/>
          </w:tcPr>
          <w:p>
            <w:pPr>
              <w:spacing w:line="240" w:lineRule="auto" w:before="0" w:after="0"/>
              <w:pStyle w:val="Compact"/>
            </w:pPr>
            <w:r>
              <w:rPr>
                <w:sz w:val="20"/>
                <w:szCs w:val="20"/>
              </w:rPr>
              <w:t xml:space="preserve">SNARE_baseline_2sites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380</w:t>
            </w:r>
          </w:p>
        </w:tc>
        <w:tc>
          <w:tcPr>
            <w:tcW w:w="0" w:type="auto"/>
          </w:tcPr>
          <w:p>
            <w:pPr>
              <w:spacing w:line="240" w:lineRule="auto" w:before="0" w:after="0"/>
              <w:pStyle w:val="Compact"/>
            </w:pPr>
            <w:r>
              <w:rPr>
                <w:sz w:val="20"/>
                <w:szCs w:val="20"/>
              </w:rPr>
              <w:t xml:space="preserve">Carden, Burchett, Reed, SNARE Decentralized Sensor Tasking baseline arm, AMOS 2021</w:t>
            </w:r>
          </w:p>
        </w:tc>
      </w:tr>
      <w:tr>
        <w:tc>
          <w:tcPr>
            <w:tcW w:w="0" w:type="auto"/>
          </w:tcPr>
          <w:p>
            <w:pPr>
              <w:spacing w:line="240" w:lineRule="auto" w:before="0" w:after="0"/>
              <w:pStyle w:val="Compact"/>
            </w:pPr>
            <w:r>
              <w:rPr>
                <w:sz w:val="20"/>
                <w:szCs w:val="20"/>
              </w:rPr>
              <w:t xml:space="preserve">Aerospace_GN_4site_sub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940</w:t>
            </w:r>
          </w:p>
        </w:tc>
        <w:tc>
          <w:tcPr>
            <w:tcW w:w="0" w:type="auto"/>
          </w:tcPr>
          <w:p>
            <w:pPr>
              <w:spacing w:line="240" w:lineRule="auto" w:before="0" w:after="0"/>
              <w:pStyle w:val="Compact"/>
            </w:pPr>
            <w:r>
              <w:rPr>
                <w:sz w:val="20"/>
                <w:szCs w:val="20"/>
              </w:rPr>
              <w:t xml:space="preserve">Britton et al., An Autonomous Geographically Distributed Ground Network that Scales, AMOS 2022 [4-site subset]</w:t>
            </w:r>
          </w:p>
        </w:tc>
      </w:tr>
      <w:tr>
        <w:tc>
          <w:tcPr>
            <w:tcW w:w="0" w:type="auto"/>
          </w:tcPr>
          <w:p>
            <w:pPr>
              <w:spacing w:line="240" w:lineRule="auto" w:before="0" w:after="0"/>
              <w:pStyle w:val="Compact"/>
            </w:pPr>
            <w:r>
              <w:rPr>
                <w:sz w:val="20"/>
                <w:szCs w:val="20"/>
              </w:rPr>
              <w:t xml:space="preserve">OrbitLogic_APS_lite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Dhingra et al., Maximizing Utility of Non-Traditional Sensor Network Data, AMOS 2021 [3-site arm]</w:t>
            </w:r>
          </w:p>
        </w:tc>
      </w:tr>
    </w:tbl>
    <w:bookmarkEnd w:id="227"/>
    <w:bookmarkStart w:id="22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obs_per_night</w:t>
            </w:r>
          </w:p>
        </w:tc>
        <w:tc>
          <w:tcPr>
            <w:tcW w:w="0" w:type="auto"/>
          </w:tcPr>
          <w:p>
            <w:pPr>
              <w:spacing w:line="240" w:lineRule="auto" w:before="0" w:after="0"/>
              <w:pStyle w:val="Compact"/>
            </w:pPr>
            <w:r>
              <w:rPr>
                <w:sz w:val="20"/>
                <w:szCs w:val="20"/>
              </w:rPr>
              <w:t xml:space="preserve">Number of resident-space-object observations a campaign returns in one operational night (count)</w:t>
            </w:r>
          </w:p>
        </w:tc>
        <w:tc>
          <w:tcPr>
            <w:tcW w:w="0" w:type="auto"/>
          </w:tcPr>
          <w:p>
            <w:pPr>
              <w:spacing w:line="240" w:lineRule="auto" w:before="0" w:after="0"/>
              <w:pStyle w:val="Compact"/>
            </w:pPr>
            <w:r>
              <w:rPr>
                <w:sz w:val="20"/>
                <w:szCs w:val="20"/>
              </w:rPr>
              <w:t xml:space="preserve">Tabulated from campaign-performance figures reported in each cited AMOS or Acta Astronautica paper</w:t>
            </w:r>
          </w:p>
        </w:tc>
      </w:tr>
      <w:tr>
        <w:tc>
          <w:tcPr>
            <w:tcW w:w="0" w:type="auto"/>
          </w:tcPr>
          <w:p>
            <w:pPr>
              <w:spacing w:line="240" w:lineRule="auto" w:before="0" w:after="0"/>
              <w:pStyle w:val="Compact"/>
            </w:pPr>
            <w:r>
              <w:rPr>
                <w:sz w:val="20"/>
                <w:szCs w:val="20"/>
              </w:rPr>
              <w:t xml:space="preserve">aperture_m</w:t>
            </w:r>
          </w:p>
        </w:tc>
        <w:tc>
          <w:tcPr>
            <w:tcW w:w="0" w:type="auto"/>
          </w:tcPr>
          <w:p>
            <w:pPr>
              <w:spacing w:line="240" w:lineRule="auto" w:before="0" w:after="0"/>
              <w:pStyle w:val="Compact"/>
            </w:pPr>
            <w:r>
              <w:rPr>
                <w:sz w:val="20"/>
                <w:szCs w:val="20"/>
              </w:rPr>
              <w:t xml:space="preserve">Primary optical aperture of the sensor or representative network sensor, in meters</w:t>
            </w:r>
          </w:p>
        </w:tc>
        <w:tc>
          <w:tcPr>
            <w:tcW w:w="0" w:type="auto"/>
          </w:tcPr>
          <w:p>
            <w:pPr>
              <w:spacing w:line="240" w:lineRule="auto" w:before="0" w:after="0"/>
              <w:pStyle w:val="Compact"/>
            </w:pPr>
            <w:r>
              <w:rPr>
                <w:sz w:val="20"/>
                <w:szCs w:val="20"/>
              </w:rPr>
              <w:t xml:space="preserve">Reported sensor specification in each cited paper</w:t>
            </w:r>
          </w:p>
        </w:tc>
      </w:tr>
      <w:tr>
        <w:tc>
          <w:tcPr>
            <w:tcW w:w="0" w:type="auto"/>
          </w:tcPr>
          <w:p>
            <w:pPr>
              <w:spacing w:line="240" w:lineRule="auto" w:before="0" w:after="0"/>
              <w:pStyle w:val="Compact"/>
            </w:pPr>
            <w:r>
              <w:rPr>
                <w:sz w:val="20"/>
                <w:szCs w:val="20"/>
              </w:rPr>
              <w:t xml:space="preserve">slew_rate_deg_s</w:t>
            </w:r>
          </w:p>
        </w:tc>
        <w:tc>
          <w:tcPr>
            <w:tcW w:w="0" w:type="auto"/>
          </w:tcPr>
          <w:p>
            <w:pPr>
              <w:spacing w:line="240" w:lineRule="auto" w:before="0" w:after="0"/>
              <w:pStyle w:val="Compact"/>
            </w:pPr>
            <w:r>
              <w:rPr>
                <w:sz w:val="20"/>
                <w:szCs w:val="20"/>
              </w:rPr>
              <w:t xml:space="preserve">Maximum mount or platform slew rate in degrees per second</w:t>
            </w:r>
          </w:p>
        </w:tc>
        <w:tc>
          <w:tcPr>
            <w:tcW w:w="0" w:type="auto"/>
          </w:tcPr>
          <w:p>
            <w:pPr>
              <w:spacing w:line="240" w:lineRule="auto" w:before="0" w:after="0"/>
              <w:pStyle w:val="Compact"/>
            </w:pPr>
            <w:r>
              <w:rPr>
                <w:sz w:val="20"/>
                <w:szCs w:val="20"/>
              </w:rPr>
              <w:t xml:space="preserve">Reported sensor specification, or platform agility number, in each cited paper</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1-4 scale: 1 manual tasking, 2 pre-computed ground schedule, 3 ground figure-of-merit optimization, 4 onboard or decentralized adaptive policy</w:t>
            </w:r>
          </w:p>
        </w:tc>
        <w:tc>
          <w:tcPr>
            <w:tcW w:w="0" w:type="auto"/>
          </w:tcPr>
          <w:p>
            <w:pPr>
              <w:spacing w:line="240" w:lineRule="auto" w:before="0" w:after="0"/>
              <w:pStyle w:val="Compact"/>
            </w:pPr>
            <w:r>
              <w:rPr>
                <w:sz w:val="20"/>
                <w:szCs w:val="20"/>
              </w:rPr>
              <w:t xml:space="preserve">Coded by candidate from the architecture description in each cited paper</w:t>
            </w:r>
          </w:p>
        </w:tc>
      </w:tr>
      <w:tr>
        <w:tc>
          <w:tcPr>
            <w:tcW w:w="0" w:type="auto"/>
          </w:tcPr>
          <w:p>
            <w:pPr>
              <w:spacing w:line="240" w:lineRule="auto" w:before="0" w:after="0"/>
              <w:pStyle w:val="Compact"/>
            </w:pPr>
            <w:r>
              <w:rPr>
                <w:sz w:val="20"/>
                <w:szCs w:val="20"/>
              </w:rPr>
              <w:t xml:space="preserve">sites_n</w:t>
            </w:r>
          </w:p>
        </w:tc>
        <w:tc>
          <w:tcPr>
            <w:tcW w:w="0" w:type="auto"/>
          </w:tcPr>
          <w:p>
            <w:pPr>
              <w:spacing w:line="240" w:lineRule="auto" w:before="0" w:after="0"/>
              <w:pStyle w:val="Compact"/>
            </w:pPr>
            <w:r>
              <w:rPr>
                <w:sz w:val="20"/>
                <w:szCs w:val="20"/>
              </w:rPr>
              <w:t xml:space="preserve">Number of geographically distinct sensor sites or platforms aggregated into the campaign</w:t>
            </w:r>
          </w:p>
        </w:tc>
        <w:tc>
          <w:tcPr>
            <w:tcW w:w="0" w:type="auto"/>
          </w:tcPr>
          <w:p>
            <w:pPr>
              <w:spacing w:line="240" w:lineRule="auto" w:before="0" w:after="0"/>
              <w:pStyle w:val="Compact"/>
            </w:pPr>
            <w:r>
              <w:rPr>
                <w:sz w:val="20"/>
                <w:szCs w:val="20"/>
              </w:rPr>
              <w:t xml:space="preserve">Reported in each cited paper</w:t>
            </w:r>
          </w:p>
        </w:tc>
      </w:tr>
    </w:tbl>
    <w:bookmarkEnd w:id="228"/>
    <w:bookmarkEnd w:id="229"/>
    <w:bookmarkStart w:id="237" w:name="X6f7339d66c4d8997e7b5fb0f856c7c88b480ecc"/>
    <w:p>
      <w:pPr>
        <w:pStyle w:val="Heading2"/>
        <w:spacing w:line="480" w:lineRule="auto"/>
      </w:pPr>
      <w:r>
        <w:t xml:space="preserve">A.2 Onboard Autonomy, Agility, and Observation Yield: An OLS Cross-Section of Earth-Observing Missions</w:t>
      </w:r>
    </w:p>
    <w:p>
      <w:pPr>
        <w:pStyle w:val="FirstParagraph"/>
        <w:spacing w:line="480" w:lineRule="auto"/>
      </w:pPr>
      <m:oMathPara>
        <m:oMathParaPr>
          <m:jc m:val="center"/>
        </m:oMathParaPr>
        <m:oMath>
          <m:r>
            <m:rPr>
              <m:sty m:val="p"/>
            </m:rPr>
            <m:t>ln</m:t>
          </m:r>
          <m:r>
            <m:rPr>
              <m:sty m:val="p"/>
            </m:rPr>
            <m:t>(</m:t>
          </m:r>
          <m:sSub>
            <m:e>
              <m:r>
                <m:rPr>
                  <m:nor/>
                  <m:sty m:val="p"/>
                </m:rPr>
                <m:t>images_per_day</m:t>
              </m:r>
            </m:e>
            <m:sub>
              <m:r>
                <m:t>i</m:t>
              </m:r>
            </m:sub>
          </m:sSub>
          <m:r>
            <m:rPr>
              <m:sty m:val="p"/>
            </m:rPr>
            <m:t>)</m:t>
          </m:r>
          <m:r>
            <m:rPr>
              <m:sty m:val="p"/>
            </m:rPr>
            <m:t>=</m:t>
          </m:r>
          <m:sSub>
            <m:e>
              <m:r>
                <m:t>β</m:t>
              </m:r>
            </m:e>
            <m:sub>
              <m:r>
                <m:t>0</m:t>
              </m:r>
            </m:sub>
          </m:sSub>
          <m:r>
            <m:rPr>
              <m:sty m:val="p"/>
            </m:rPr>
            <m:t>+</m:t>
          </m:r>
          <m:sSub>
            <m:e>
              <m:r>
                <m:t>β</m:t>
              </m:r>
            </m:e>
            <m:sub>
              <m:r>
                <m:t>1</m:t>
              </m:r>
            </m:sub>
          </m:sSub>
          <m:sSub>
            <m:e>
              <m:r>
                <m:rPr>
                  <m:nor/>
                  <m:sty m:val="p"/>
                </m:rPr>
                <m:t>autonomy_level</m:t>
              </m:r>
            </m:e>
            <m:sub>
              <m:r>
                <m:t>i</m:t>
              </m:r>
            </m:sub>
          </m:sSub>
          <m:r>
            <m:rPr>
              <m:sty m:val="p"/>
            </m:rPr>
            <m:t>+</m:t>
          </m:r>
          <m:sSub>
            <m:e>
              <m:r>
                <m:t>β</m:t>
              </m:r>
            </m:e>
            <m:sub>
              <m:r>
                <m:t>2</m:t>
              </m:r>
            </m:sub>
          </m:sSub>
          <m:sSub>
            <m:e>
              <m:r>
                <m:rPr>
                  <m:nor/>
                  <m:sty m:val="p"/>
                </m:rPr>
                <m:t>agility</m:t>
              </m:r>
            </m:e>
            <m:sub>
              <m:r>
                <m:t>i</m:t>
              </m:r>
            </m:sub>
          </m:sSub>
          <m:r>
            <m:rPr>
              <m:sty m:val="p"/>
            </m:rPr>
            <m:t>+</m:t>
          </m:r>
          <m:sSub>
            <m:e>
              <m:r>
                <m:t>β</m:t>
              </m:r>
            </m:e>
            <m:sub>
              <m:r>
                <m:t>3</m:t>
              </m:r>
            </m:sub>
          </m:sSub>
          <m:r>
            <m:rPr>
              <m:sty m:val="p"/>
            </m:rPr>
            <m:t>ln</m:t>
          </m:r>
          <m:r>
            <m:rPr>
              <m:sty m:val="p"/>
            </m:rPr>
            <m:t>(</m:t>
          </m:r>
          <m:sSub>
            <m:e>
              <m:r>
                <m:rPr>
                  <m:nor/>
                  <m:sty m:val="p"/>
                </m:rPr>
                <m:t>downlink</m:t>
              </m:r>
            </m:e>
            <m:sub>
              <m:r>
                <m:t>i</m:t>
              </m:r>
            </m:sub>
          </m:sSub>
          <m:r>
            <m:rPr>
              <m:sty m:val="p"/>
            </m:rPr>
            <m:t>)</m:t>
          </m:r>
          <m:r>
            <m:rPr>
              <m:sty m:val="p"/>
            </m:rPr>
            <m:t>+</m:t>
          </m:r>
          <m:sSub>
            <m:e>
              <m:r>
                <m:t>β</m:t>
              </m:r>
            </m:e>
            <m:sub>
              <m:r>
                <m:t>4</m:t>
              </m:r>
            </m:sub>
          </m:sSub>
          <m:sSub>
            <m:e>
              <m:r>
                <m:rPr>
                  <m:nor/>
                  <m:sty m:val="p"/>
                </m:rPr>
                <m:t>year_ioc</m:t>
              </m:r>
            </m:e>
            <m:sub>
              <m:r>
                <m:t>i</m:t>
              </m:r>
            </m:sub>
          </m:sSub>
          <m:r>
            <m:rPr>
              <m:sty m:val="p"/>
            </m:rPr>
            <m:t>+</m:t>
          </m:r>
          <m:sSub>
            <m:e>
              <m:r>
                <m:t>ε</m:t>
              </m:r>
            </m:e>
            <m:sub>
              <m:r>
                <m:t>i</m:t>
              </m:r>
            </m:sub>
          </m:sSub>
        </m:oMath>
      </m:oMathPara>
    </w:p>
    <w:bookmarkStart w:id="23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-71.2807</w:t>
            </w:r>
          </w:p>
        </w:tc>
        <w:tc>
          <w:tcPr>
            <w:tcW w:w="0" w:type="auto"/>
          </w:tcPr>
          <w:p>
            <w:pPr>
              <w:spacing w:line="240" w:lineRule="auto" w:before="0" w:after="0"/>
              <w:pStyle w:val="Compact"/>
            </w:pPr>
            <w:r>
              <w:rPr>
                <w:sz w:val="20"/>
                <w:szCs w:val="20"/>
              </w:rPr>
              <w:t xml:space="preserve">42.1652</w:t>
            </w:r>
          </w:p>
        </w:tc>
        <w:tc>
          <w:tcPr>
            <w:tcW w:w="0" w:type="auto"/>
          </w:tcPr>
          <w:p>
            <w:pPr>
              <w:spacing w:line="240" w:lineRule="auto" w:before="0" w:after="0"/>
              <w:pStyle w:val="Compact"/>
            </w:pPr>
            <w:r>
              <w:rPr>
                <w:sz w:val="20"/>
                <w:szCs w:val="20"/>
              </w:rPr>
              <w:t xml:space="preserve">-1.6905</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[-153.923, 11.3616]</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-1.0514</w:t>
            </w:r>
          </w:p>
        </w:tc>
        <w:tc>
          <w:tcPr>
            <w:tcW w:w="0" w:type="auto"/>
          </w:tcPr>
          <w:p>
            <w:pPr>
              <w:spacing w:line="240" w:lineRule="auto" w:before="0" w:after="0"/>
              <w:pStyle w:val="Compact"/>
            </w:pPr>
            <w:r>
              <w:rPr>
                <w:sz w:val="20"/>
                <w:szCs w:val="20"/>
              </w:rPr>
              <w:t xml:space="preserve">0.2931</w:t>
            </w:r>
          </w:p>
        </w:tc>
        <w:tc>
          <w:tcPr>
            <w:tcW w:w="0" w:type="auto"/>
          </w:tcPr>
          <w:p>
            <w:pPr>
              <w:spacing w:line="240" w:lineRule="auto" w:before="0" w:after="0"/>
              <w:pStyle w:val="Compact"/>
            </w:pPr>
            <w:r>
              <w:rPr>
                <w:sz w:val="20"/>
                <w:szCs w:val="20"/>
              </w:rPr>
              <w:t xml:space="preserve">[-0.5022, 0.1515]</w:t>
            </w:r>
          </w:p>
        </w:tc>
      </w:tr>
      <w:tr>
        <w:tc>
          <w:tcPr>
            <w:tcW w:w="0" w:type="auto"/>
          </w:tcPr>
          <w:p>
            <w:pPr>
              <w:spacing w:line="240" w:lineRule="auto" w:before="0" w:after="0"/>
              <w:pStyle w:val="Compact"/>
            </w:pPr>
            <w:r>
              <w:rPr>
                <w:sz w:val="20"/>
                <w:szCs w:val="20"/>
              </w:rPr>
              <w:t xml:space="preserve">agility_deg_s</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0.1265</w:t>
            </w:r>
          </w:p>
        </w:tc>
        <w:tc>
          <w:tcPr>
            <w:tcW w:w="0" w:type="auto"/>
          </w:tcPr>
          <w:p>
            <w:pPr>
              <w:spacing w:line="240" w:lineRule="auto" w:before="0" w:after="0"/>
              <w:pStyle w:val="Compact"/>
            </w:pPr>
            <w:r>
              <w:rPr>
                <w:sz w:val="20"/>
                <w:szCs w:val="20"/>
              </w:rPr>
              <w:t xml:space="preserve">-0.4778</w:t>
            </w:r>
          </w:p>
        </w:tc>
        <w:tc>
          <w:tcPr>
            <w:tcW w:w="0" w:type="auto"/>
          </w:tcPr>
          <w:p>
            <w:pPr>
              <w:spacing w:line="240" w:lineRule="auto" w:before="0" w:after="0"/>
              <w:pStyle w:val="Compact"/>
            </w:pPr>
            <w:r>
              <w:rPr>
                <w:sz w:val="20"/>
                <w:szCs w:val="20"/>
              </w:rPr>
              <w:t xml:space="preserve">0.6328</w:t>
            </w:r>
          </w:p>
        </w:tc>
        <w:tc>
          <w:tcPr>
            <w:tcW w:w="0" w:type="auto"/>
          </w:tcPr>
          <w:p>
            <w:pPr>
              <w:spacing w:line="240" w:lineRule="auto" w:before="0" w:after="0"/>
              <w:pStyle w:val="Compact"/>
            </w:pPr>
            <w:r>
              <w:rPr>
                <w:sz w:val="20"/>
                <w:szCs w:val="20"/>
              </w:rPr>
              <w:t xml:space="preserve">[-0.3083, 0.1875]</w:t>
            </w:r>
          </w:p>
        </w:tc>
      </w:tr>
      <w:tr>
        <w:tc>
          <w:tcPr>
            <w:tcW w:w="0" w:type="auto"/>
          </w:tcPr>
          <w:p>
            <w:pPr>
              <w:spacing w:line="240" w:lineRule="auto" w:before="0" w:after="0"/>
              <w:pStyle w:val="Compact"/>
            </w:pPr>
            <w:r>
              <w:rPr>
                <w:sz w:val="20"/>
                <w:szCs w:val="20"/>
              </w:rPr>
              <w:t xml:space="preserve">log_downlink_gbps</w:t>
            </w:r>
          </w:p>
        </w:tc>
        <w:tc>
          <w:tcPr>
            <w:tcW w:w="0" w:type="auto"/>
          </w:tcPr>
          <w:p>
            <w:pPr>
              <w:spacing w:line="240" w:lineRule="auto" w:before="0" w:after="0"/>
              <w:pStyle w:val="Compact"/>
            </w:pPr>
            <w:r>
              <w:rPr>
                <w:sz w:val="20"/>
                <w:szCs w:val="20"/>
              </w:rPr>
              <w:t xml:space="preserve">0.1841</w:t>
            </w:r>
          </w:p>
        </w:tc>
        <w:tc>
          <w:tcPr>
            <w:tcW w:w="0" w:type="auto"/>
          </w:tcPr>
          <w:p>
            <w:pPr>
              <w:spacing w:line="240" w:lineRule="auto" w:before="0" w:after="0"/>
              <w:pStyle w:val="Compact"/>
            </w:pPr>
            <w:r>
              <w:rPr>
                <w:sz w:val="20"/>
                <w:szCs w:val="20"/>
              </w:rPr>
              <w:t xml:space="preserve">0.1701</w:t>
            </w:r>
          </w:p>
        </w:tc>
        <w:tc>
          <w:tcPr>
            <w:tcW w:w="0" w:type="auto"/>
          </w:tcPr>
          <w:p>
            <w:pPr>
              <w:spacing w:line="240" w:lineRule="auto" w:before="0" w:after="0"/>
              <w:pStyle w:val="Compact"/>
            </w:pPr>
            <w:r>
              <w:rPr>
                <w:sz w:val="20"/>
                <w:szCs w:val="20"/>
              </w:rPr>
              <w:t xml:space="preserve">1.082</w:t>
            </w:r>
          </w:p>
        </w:tc>
        <w:tc>
          <w:tcPr>
            <w:tcW w:w="0" w:type="auto"/>
          </w:tcPr>
          <w:p>
            <w:pPr>
              <w:spacing w:line="240" w:lineRule="auto" w:before="0" w:after="0"/>
              <w:pStyle w:val="Compact"/>
            </w:pPr>
            <w:r>
              <w:rPr>
                <w:sz w:val="20"/>
                <w:szCs w:val="20"/>
              </w:rPr>
              <w:t xml:space="preserve">0.2792</w:t>
            </w:r>
          </w:p>
        </w:tc>
        <w:tc>
          <w:tcPr>
            <w:tcW w:w="0" w:type="auto"/>
          </w:tcPr>
          <w:p>
            <w:pPr>
              <w:spacing w:line="240" w:lineRule="auto" w:before="0" w:after="0"/>
              <w:pStyle w:val="Compact"/>
            </w:pPr>
            <w:r>
              <w:rPr>
                <w:sz w:val="20"/>
                <w:szCs w:val="20"/>
              </w:rPr>
              <w:t xml:space="preserve">[-0.1494, 0.5175]</w:t>
            </w:r>
          </w:p>
        </w:tc>
      </w:tr>
      <w:tr>
        <w:tc>
          <w:tcPr>
            <w:tcW w:w="0" w:type="auto"/>
          </w:tcPr>
          <w:p>
            <w:pPr>
              <w:spacing w:line="240" w:lineRule="auto" w:before="0" w:after="0"/>
              <w:pStyle w:val="Compact"/>
            </w:pPr>
            <w:r>
              <w:rPr>
                <w:sz w:val="20"/>
                <w:szCs w:val="20"/>
              </w:rPr>
              <w:t xml:space="preserve">year_ioc</w:t>
            </w:r>
          </w:p>
        </w:tc>
        <w:tc>
          <w:tcPr>
            <w:tcW w:w="0" w:type="auto"/>
          </w:tcPr>
          <w:p>
            <w:pPr>
              <w:spacing w:line="240" w:lineRule="auto" w:before="0" w:after="0"/>
              <w:pStyle w:val="Compact"/>
            </w:pPr>
            <w:r>
              <w:rPr>
                <w:sz w:val="20"/>
                <w:szCs w:val="20"/>
              </w:rPr>
              <w:t xml:space="preserve">0.039</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1.8645</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[-0.002, 0.08]</w:t>
            </w:r>
          </w:p>
        </w:tc>
      </w:tr>
    </w:tbl>
    <w:p>
      <w:pPr>
        <w:pStyle w:val="BodyText"/>
        <w:spacing w:line="480" w:lineRule="auto"/>
        <w:ind w:firstLine="720"/>
      </w:pPr>
      <w:r>
        <w:t xml:space="preserve">Fit: N = 32 R2 = 0.3213 R2_adj = 0.2208 F = 3.4081 F_p = 0.0222</w:t>
      </w:r>
    </w:p>
    <w:bookmarkEnd w:id="230"/>
    <w:bookmarkStart w:id="23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nboard autonomy level versus log daily image yield across 32 Earth-observing missions." title="" id="232" name="Picture"/>
            <a:graphic>
              <a:graphicData uri="http://schemas.openxmlformats.org/drawingml/2006/picture">
                <pic:pic>
                  <pic:nvPicPr>
                    <pic:cNvPr descr="D:/Claude_Code/brain/collegium/candidates/dissertations/JPL_INSTRUMENTS_NAV_04/research_papers/p2/paper_fig1.png" id="233" name="Picture"/>
                    <pic:cNvPicPr>
                      <a:picLocks noChangeArrowheads="1" noChangeAspect="1"/>
                    </pic:cNvPicPr>
                  </pic:nvPicPr>
                  <pic:blipFill>
                    <a:blip r:embed="rId23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Onboard autonomy level versus log daily image yield across 32 Earth-observing missions.</w:t>
      </w:r>
    </w:p>
    <w:bookmarkEnd w:id="234"/>
    <w:bookmarkStart w:id="23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year_ioc</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agility_deg_s</w:t>
            </w:r>
          </w:p>
        </w:tc>
        <w:tc>
          <w:tcPr>
            <w:tcW w:w="0" w:type="auto"/>
          </w:tcPr>
          <w:p>
            <w:pPr>
              <w:spacing w:line="240" w:lineRule="auto" w:before="0" w:after="0"/>
              <w:pStyle w:val="Compact"/>
            </w:pPr>
            <w:r>
              <w:rPr>
                <w:sz w:val="20"/>
                <w:szCs w:val="20"/>
              </w:rPr>
              <w:t xml:space="preserve">downlink_gbps</w:t>
            </w:r>
          </w:p>
        </w:tc>
        <w:tc>
          <w:tcPr>
            <w:tcW w:w="0" w:type="auto"/>
          </w:tcPr>
          <w:p>
            <w:pPr>
              <w:spacing w:line="240" w:lineRule="auto" w:before="0" w:after="0"/>
              <w:pStyle w:val="Compact"/>
            </w:pPr>
            <w:r>
              <w:rPr>
                <w:sz w:val="20"/>
                <w:szCs w:val="20"/>
              </w:rPr>
              <w:t xml:space="preserve">images_per_day</w:t>
            </w:r>
          </w:p>
        </w:tc>
        <w:tc>
          <w:tcPr>
            <w:tcW w:w="0" w:type="auto"/>
          </w:tcPr>
          <w:p>
            <w:pPr>
              <w:spacing w:line="240" w:lineRule="auto" w:before="0" w:after="0"/>
              <w:pStyle w:val="Compact"/>
            </w:pPr>
            <w:r>
              <w:rPr>
                <w:sz w:val="20"/>
                <w:szCs w:val="20"/>
              </w:rPr>
              <w:t xml:space="preserve">revisit_days</w:t>
            </w:r>
          </w:p>
        </w:tc>
        <w:tc>
          <w:tcPr>
            <w:tcW w:w="0" w:type="auto"/>
          </w:tcPr>
          <w:p>
            <w:pPr>
              <w:spacing w:line="240" w:lineRule="auto" w:before="0" w:after="0"/>
              <w:pStyle w:val="Compact"/>
            </w:pPr>
            <w:r>
              <w:rPr>
                <w:sz w:val="20"/>
                <w:szCs w:val="20"/>
              </w:rPr>
              <w:t xml:space="preserve">sensor_gsd_m</w:t>
            </w:r>
          </w:p>
        </w:tc>
        <w:tc>
          <w:tcPr>
            <w:tcW w:w="0" w:type="auto"/>
          </w:tcPr>
          <w:p>
            <w:pPr>
              <w:spacing w:line="240" w:lineRule="auto" w:before="0" w:after="0"/>
              <w:pStyle w:val="Compact"/>
            </w:pPr>
            <w:r>
              <w:rPr>
                <w:sz w:val="20"/>
                <w:szCs w:val="20"/>
              </w:rPr>
              <w:t xml:space="preserve">log_images_per_day</w:t>
            </w:r>
          </w:p>
        </w:tc>
        <w:tc>
          <w:tcPr>
            <w:tcW w:w="0" w:type="auto"/>
          </w:tcPr>
          <w:p>
            <w:pPr>
              <w:spacing w:line="240" w:lineRule="auto" w:before="0" w:after="0"/>
              <w:pStyle w:val="Compact"/>
            </w:pPr>
            <w:r>
              <w:rPr>
                <w:sz w:val="20"/>
                <w:szCs w:val="20"/>
              </w:rPr>
              <w:t xml:space="preserve">log_downlink_gbps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EO-1</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-2.2538</w:t>
            </w:r>
          </w:p>
        </w:tc>
        <w:tc>
          <w:tcPr>
            <w:tcW w:w="0" w:type="auto"/>
          </w:tcPr>
          <w:p>
            <w:pPr>
              <w:spacing w:line="240" w:lineRule="auto" w:before="0" w:after="0"/>
              <w:pStyle w:val="Compact"/>
            </w:pPr>
            <w:r>
              <w:rPr>
                <w:sz w:val="20"/>
                <w:szCs w:val="20"/>
              </w:rPr>
              <w:t xml:space="preserve">Chien et al. 2005 ASE/EO-1 Autonomous Sciencecraft Experiment, JAIS 2005; NASA NTRS 20050166689</w:t>
            </w:r>
          </w:p>
        </w:tc>
      </w:tr>
      <w:tr>
        <w:tc>
          <w:tcPr>
            <w:tcW w:w="0" w:type="auto"/>
          </w:tcPr>
          <w:p>
            <w:pPr>
              <w:spacing w:line="240" w:lineRule="auto" w:before="0" w:after="0"/>
              <w:pStyle w:val="Compact"/>
            </w:pPr>
            <w:r>
              <w:rPr>
                <w:sz w:val="20"/>
                <w:szCs w:val="20"/>
              </w:rPr>
              <w:t xml:space="preserve">Landsat-7</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6.2766</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Markham et al. 2004 IEEE TGRS 42(12); USGS Landsat-7 Data Users Handbook v2</w:t>
            </w:r>
          </w:p>
        </w:tc>
      </w:tr>
      <w:tr>
        <w:tc>
          <w:tcPr>
            <w:tcW w:w="0" w:type="auto"/>
          </w:tcPr>
          <w:p>
            <w:pPr>
              <w:spacing w:line="240" w:lineRule="auto" w:before="0" w:after="0"/>
              <w:pStyle w:val="Compact"/>
            </w:pPr>
            <w:r>
              <w:rPr>
                <w:sz w:val="20"/>
                <w:szCs w:val="20"/>
              </w:rPr>
              <w:t xml:space="preserve">Landsat-8</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0.384</w:t>
            </w:r>
          </w:p>
        </w:tc>
        <w:tc>
          <w:tcPr>
            <w:tcW w:w="0" w:type="auto"/>
          </w:tcPr>
          <w:p>
            <w:pPr>
              <w:spacing w:line="240" w:lineRule="auto" w:before="0" w:after="0"/>
              <w:pStyle w:val="Compact"/>
            </w:pPr>
            <w:r>
              <w:rPr>
                <w:sz w:val="20"/>
                <w:szCs w:val="20"/>
              </w:rPr>
              <w:t xml:space="preserve">725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6.5862</w:t>
            </w:r>
          </w:p>
        </w:tc>
        <w:tc>
          <w:tcPr>
            <w:tcW w:w="0" w:type="auto"/>
          </w:tcPr>
          <w:p>
            <w:pPr>
              <w:spacing w:line="240" w:lineRule="auto" w:before="0" w:after="0"/>
              <w:pStyle w:val="Compact"/>
            </w:pPr>
            <w:r>
              <w:rPr>
                <w:sz w:val="20"/>
                <w:szCs w:val="20"/>
              </w:rPr>
              <w:t xml:space="preserve">-0.9571</w:t>
            </w:r>
          </w:p>
        </w:tc>
        <w:tc>
          <w:tcPr>
            <w:tcW w:w="0" w:type="auto"/>
          </w:tcPr>
          <w:p>
            <w:pPr>
              <w:spacing w:line="240" w:lineRule="auto" w:before="0" w:after="0"/>
              <w:pStyle w:val="Compact"/>
            </w:pPr>
            <w:r>
              <w:rPr>
                <w:sz w:val="20"/>
                <w:szCs w:val="20"/>
              </w:rPr>
              <w:t xml:space="preserve">Roy et al. 2014 RSE 145; USGS Landsat-8 Data Users Handbook 2019</w:t>
            </w:r>
          </w:p>
        </w:tc>
      </w:tr>
      <w:tr>
        <w:tc>
          <w:tcPr>
            <w:tcW w:w="0" w:type="auto"/>
          </w:tcPr>
          <w:p>
            <w:pPr>
              <w:spacing w:line="240" w:lineRule="auto" w:before="0" w:after="0"/>
              <w:pStyle w:val="Compact"/>
            </w:pPr>
            <w:r>
              <w:rPr>
                <w:sz w:val="20"/>
                <w:szCs w:val="20"/>
              </w:rPr>
              <w:t xml:space="preserve">Landsat-9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0.384</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-0.9571</w:t>
            </w:r>
          </w:p>
        </w:tc>
        <w:tc>
          <w:tcPr>
            <w:tcW w:w="0" w:type="auto"/>
          </w:tcPr>
          <w:p>
            <w:pPr>
              <w:spacing w:line="240" w:lineRule="auto" w:before="0" w:after="0"/>
              <w:pStyle w:val="Compact"/>
            </w:pPr>
            <w:r>
              <w:rPr>
                <w:sz w:val="20"/>
                <w:szCs w:val="20"/>
              </w:rPr>
              <w:t xml:space="preserve">Masek et al. 2020 RSE 248; USGS Landsat-9 Mission Brochure 2021</w:t>
            </w:r>
          </w:p>
        </w:tc>
      </w:tr>
      <w:tr>
        <w:tc>
          <w:tcPr>
            <w:tcW w:w="0" w:type="auto"/>
          </w:tcPr>
          <w:p>
            <w:pPr>
              <w:spacing w:line="240" w:lineRule="auto" w:before="0" w:after="0"/>
              <w:pStyle w:val="Compact"/>
            </w:pPr>
            <w:r>
              <w:rPr>
                <w:sz w:val="20"/>
                <w:szCs w:val="20"/>
              </w:rPr>
              <w:t xml:space="preserve">Terra-ASTER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Yamaguchi et al. 1998 IEEE TGRS 36(4); NASA JPL ASTER User Handbook v2</w:t>
            </w:r>
          </w:p>
        </w:tc>
      </w:tr>
      <w:tr>
        <w:tc>
          <w:tcPr>
            <w:tcW w:w="0" w:type="auto"/>
          </w:tcPr>
          <w:p>
            <w:pPr>
              <w:spacing w:line="240" w:lineRule="auto" w:before="0" w:after="0"/>
              <w:pStyle w:val="Compact"/>
            </w:pPr>
            <w:r>
              <w:rPr>
                <w:sz w:val="20"/>
                <w:szCs w:val="20"/>
              </w:rPr>
              <w:t xml:space="preserve">WorldView-1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7.1701</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DigitalGlobe WorldView-1 Datasheet 2009; Ridley &amp; Fall 2007 ASPRS proc.</w:t>
            </w:r>
          </w:p>
        </w:tc>
      </w:tr>
      <w:tr>
        <w:tc>
          <w:tcPr>
            <w:tcW w:w="0" w:type="auto"/>
          </w:tcPr>
          <w:p>
            <w:pPr>
              <w:spacing w:line="240" w:lineRule="auto" w:before="0" w:after="0"/>
              <w:pStyle w:val="Compact"/>
            </w:pPr>
            <w:r>
              <w:rPr>
                <w:sz w:val="20"/>
                <w:szCs w:val="20"/>
              </w:rPr>
              <w:t xml:space="preserve">WorldView-2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975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6.8824</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DigitalGlobe WorldView-2 Datasheet 2010; Updike &amp; Comp 2010 DG technical note</w:t>
            </w:r>
          </w:p>
        </w:tc>
      </w:tr>
      <w:tr>
        <w:tc>
          <w:tcPr>
            <w:tcW w:w="0" w:type="auto"/>
          </w:tcPr>
          <w:p>
            <w:pPr>
              <w:spacing w:line="240" w:lineRule="auto" w:before="0" w:after="0"/>
              <w:pStyle w:val="Compact"/>
            </w:pPr>
            <w:r>
              <w:rPr>
                <w:sz w:val="20"/>
                <w:szCs w:val="20"/>
              </w:rPr>
              <w:t xml:space="preserve">WorldView-3</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6.5221</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Maxar WorldView-3 Datasheet 2017; Kruse &amp; Perry 2013 Remote Sens. 5(6)</w:t>
            </w:r>
          </w:p>
        </w:tc>
      </w:tr>
      <w:tr>
        <w:tc>
          <w:tcPr>
            <w:tcW w:w="0" w:type="auto"/>
          </w:tcPr>
          <w:p>
            <w:pPr>
              <w:spacing w:line="240" w:lineRule="auto" w:before="0" w:after="0"/>
              <w:pStyle w:val="Compact"/>
            </w:pPr>
            <w:r>
              <w:rPr>
                <w:sz w:val="20"/>
                <w:szCs w:val="20"/>
              </w:rPr>
              <w:t xml:space="preserve">GeoEye-1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6.5511</w:t>
            </w:r>
          </w:p>
        </w:tc>
        <w:tc>
          <w:tcPr>
            <w:tcW w:w="0" w:type="auto"/>
          </w:tcPr>
          <w:p>
            <w:pPr>
              <w:spacing w:line="240" w:lineRule="auto" w:before="0" w:after="0"/>
              <w:pStyle w:val="Compact"/>
            </w:pPr>
            <w:r>
              <w:rPr>
                <w:sz w:val="20"/>
                <w:szCs w:val="20"/>
              </w:rPr>
              <w:t xml:space="preserve">-0.3011</w:t>
            </w:r>
          </w:p>
        </w:tc>
        <w:tc>
          <w:tcPr>
            <w:tcW w:w="0" w:type="auto"/>
          </w:tcPr>
          <w:p>
            <w:pPr>
              <w:spacing w:line="240" w:lineRule="auto" w:before="0" w:after="0"/>
              <w:pStyle w:val="Compact"/>
            </w:pPr>
            <w:r>
              <w:rPr>
                <w:sz w:val="20"/>
                <w:szCs w:val="20"/>
              </w:rPr>
              <w:t xml:space="preserve">GeoEye-1 Imagery Product Guide 2009; Dial et al. 2003 PE&amp;RS 69(5)</w:t>
            </w:r>
          </w:p>
        </w:tc>
      </w:tr>
      <w:tr>
        <w:tc>
          <w:tcPr>
            <w:tcW w:w="0" w:type="auto"/>
          </w:tcPr>
          <w:p>
            <w:pPr>
              <w:spacing w:line="240" w:lineRule="auto" w:before="0" w:after="0"/>
              <w:pStyle w:val="Compact"/>
            </w:pPr>
            <w:r>
              <w:rPr>
                <w:sz w:val="20"/>
                <w:szCs w:val="20"/>
              </w:rPr>
              <w:t xml:space="preserve">QuickBird</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-1.1394</w:t>
            </w:r>
          </w:p>
        </w:tc>
        <w:tc>
          <w:tcPr>
            <w:tcW w:w="0" w:type="auto"/>
          </w:tcPr>
          <w:p>
            <w:pPr>
              <w:spacing w:line="240" w:lineRule="auto" w:before="0" w:after="0"/>
              <w:pStyle w:val="Compact"/>
            </w:pPr>
            <w:r>
              <w:rPr>
                <w:sz w:val="20"/>
                <w:szCs w:val="20"/>
              </w:rPr>
              <w:t xml:space="preserve">DigitalGlobe QuickBird Imagery Products v5 2007; Toutin 2004 PE&amp;RS 70(5)</w:t>
            </w:r>
          </w:p>
        </w:tc>
      </w:tr>
      <w:tr>
        <w:tc>
          <w:tcPr>
            <w:tcW w:w="0" w:type="auto"/>
          </w:tcPr>
          <w:p>
            <w:pPr>
              <w:spacing w:line="240" w:lineRule="auto" w:before="0" w:after="0"/>
              <w:pStyle w:val="Compact"/>
            </w:pPr>
            <w:r>
              <w:rPr>
                <w:sz w:val="20"/>
                <w:szCs w:val="20"/>
              </w:rPr>
              <w:t xml:space="preserve">IKONOS</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5.0106</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Space Imaging IKONOS Product Guide v1.5 2006; Dial 2000 ISPRS XXXIII</w:t>
            </w:r>
          </w:p>
        </w:tc>
      </w:tr>
      <w:tr>
        <w:tc>
          <w:tcPr>
            <w:tcW w:w="0" w:type="auto"/>
          </w:tcPr>
          <w:p>
            <w:pPr>
              <w:spacing w:line="240" w:lineRule="auto" w:before="0" w:after="0"/>
              <w:pStyle w:val="Compact"/>
            </w:pPr>
            <w:r>
              <w:rPr>
                <w:sz w:val="20"/>
                <w:szCs w:val="20"/>
              </w:rPr>
              <w:t xml:space="preserve">RapidEye-A</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-2.5257</w:t>
            </w:r>
          </w:p>
        </w:tc>
        <w:tc>
          <w:tcPr>
            <w:tcW w:w="0" w:type="auto"/>
          </w:tcPr>
          <w:p>
            <w:pPr>
              <w:spacing w:line="240" w:lineRule="auto" w:before="0" w:after="0"/>
              <w:pStyle w:val="Compact"/>
            </w:pPr>
            <w:r>
              <w:rPr>
                <w:sz w:val="20"/>
                <w:szCs w:val="20"/>
              </w:rPr>
              <w:t xml:space="preserve">BlackBridge RapidEye Satellite Imagery Product Specifications v6.1 2015</w:t>
            </w:r>
          </w:p>
        </w:tc>
      </w:tr>
      <w:tr>
        <w:tc>
          <w:tcPr>
            <w:tcW w:w="0" w:type="auto"/>
          </w:tcPr>
          <w:p>
            <w:pPr>
              <w:spacing w:line="240" w:lineRule="auto" w:before="0" w:after="0"/>
              <w:pStyle w:val="Compact"/>
            </w:pPr>
            <w:r>
              <w:rPr>
                <w:sz w:val="20"/>
                <w:szCs w:val="20"/>
              </w:rPr>
              <w:t xml:space="preserve">PlanetScope-Dove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-1.5141</w:t>
            </w:r>
          </w:p>
        </w:tc>
        <w:tc>
          <w:tcPr>
            <w:tcW w:w="0" w:type="auto"/>
          </w:tcPr>
          <w:p>
            <w:pPr>
              <w:spacing w:line="240" w:lineRule="auto" w:before="0" w:after="0"/>
              <w:pStyle w:val="Compact"/>
            </w:pPr>
            <w:r>
              <w:rPr>
                <w:sz w:val="20"/>
                <w:szCs w:val="20"/>
              </w:rPr>
              <w:t xml:space="preserve">Planet Labs PBC Imagery Specification 2022; Houborg &amp; McCabe 2018 RSE 209</w:t>
            </w:r>
          </w:p>
        </w:tc>
      </w:tr>
      <w:tr>
        <w:tc>
          <w:tcPr>
            <w:tcW w:w="0" w:type="auto"/>
          </w:tcPr>
          <w:p>
            <w:pPr>
              <w:spacing w:line="240" w:lineRule="auto" w:before="0" w:after="0"/>
              <w:pStyle w:val="Compact"/>
            </w:pPr>
            <w:r>
              <w:rPr>
                <w:sz w:val="20"/>
                <w:szCs w:val="20"/>
              </w:rPr>
              <w:t xml:space="preserve">SkySat-1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Planet SkySat Imagery Product Spec 2020; Murthy et al. 2014 SPIE 9241</w:t>
            </w:r>
          </w:p>
        </w:tc>
      </w:tr>
      <w:tr>
        <w:tc>
          <w:tcPr>
            <w:tcW w:w="0" w:type="auto"/>
          </w:tcPr>
          <w:p>
            <w:pPr>
              <w:spacing w:line="240" w:lineRule="auto" w:before="0" w:after="0"/>
              <w:pStyle w:val="Compact"/>
            </w:pPr>
            <w:r>
              <w:rPr>
                <w:sz w:val="20"/>
                <w:szCs w:val="20"/>
              </w:rPr>
              <w:t xml:space="preserve">SPOT-6</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Airbus SPOT 6 and 7 Imagery User Guide 2019; Astrium SPOT-6 product brief 2012</w:t>
            </w:r>
          </w:p>
        </w:tc>
      </w:tr>
      <w:tr>
        <w:tc>
          <w:tcPr>
            <w:tcW w:w="0" w:type="auto"/>
          </w:tcPr>
          <w:p>
            <w:pPr>
              <w:spacing w:line="240" w:lineRule="auto" w:before="0" w:after="0"/>
              <w:pStyle w:val="Compact"/>
            </w:pPr>
            <w:r>
              <w:rPr>
                <w:sz w:val="20"/>
                <w:szCs w:val="20"/>
              </w:rPr>
              <w:t xml:space="preserve">SPOT-7</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6.3969</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Airbus SPOT 6 and 7 Imagery User Guide 2019</w:t>
            </w:r>
          </w:p>
        </w:tc>
      </w:tr>
      <w:tr>
        <w:tc>
          <w:tcPr>
            <w:tcW w:w="0" w:type="auto"/>
          </w:tcPr>
          <w:p>
            <w:pPr>
              <w:spacing w:line="240" w:lineRule="auto" w:before="0" w:after="0"/>
              <w:pStyle w:val="Compact"/>
            </w:pPr>
            <w:r>
              <w:rPr>
                <w:sz w:val="20"/>
                <w:szCs w:val="20"/>
              </w:rPr>
              <w:t xml:space="preserve">Pleiades-1A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6.1092</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Airbus Pleiades Imagery User Guide 2012; Gleyzes et al. 2012 ISPRS Annals I-7</w:t>
            </w:r>
          </w:p>
        </w:tc>
      </w:tr>
      <w:tr>
        <w:tc>
          <w:tcPr>
            <w:tcW w:w="0" w:type="auto"/>
          </w:tcPr>
          <w:p>
            <w:pPr>
              <w:spacing w:line="240" w:lineRule="auto" w:before="0" w:after="0"/>
              <w:pStyle w:val="Compact"/>
            </w:pPr>
            <w:r>
              <w:rPr>
                <w:sz w:val="20"/>
                <w:szCs w:val="20"/>
              </w:rPr>
              <w:t xml:space="preserve">Pleiades-1B</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6.1092</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Airbus Pleiades Imagery User Guide 2012</w:t>
            </w:r>
          </w:p>
        </w:tc>
      </w:tr>
      <w:tr>
        <w:tc>
          <w:tcPr>
            <w:tcW w:w="0" w:type="auto"/>
          </w:tcPr>
          <w:p>
            <w:pPr>
              <w:spacing w:line="240" w:lineRule="auto" w:before="0" w:after="0"/>
              <w:pStyle w:val="Compact"/>
            </w:pPr>
            <w:r>
              <w:rPr>
                <w:sz w:val="20"/>
                <w:szCs w:val="20"/>
              </w:rPr>
              <w:t xml:space="preserve">Sentinel-2A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7.3778</w:t>
            </w:r>
          </w:p>
        </w:tc>
        <w:tc>
          <w:tcPr>
            <w:tcW w:w="0" w:type="auto"/>
          </w:tcPr>
          <w:p>
            <w:pPr>
              <w:spacing w:line="240" w:lineRule="auto" w:before="0" w:after="0"/>
              <w:pStyle w:val="Compact"/>
            </w:pPr>
            <w:r>
              <w:rPr>
                <w:sz w:val="20"/>
                <w:szCs w:val="20"/>
              </w:rPr>
              <w:t xml:space="preserve">-0.6539</w:t>
            </w:r>
          </w:p>
        </w:tc>
        <w:tc>
          <w:tcPr>
            <w:tcW w:w="0" w:type="auto"/>
          </w:tcPr>
          <w:p>
            <w:pPr>
              <w:spacing w:line="240" w:lineRule="auto" w:before="0" w:after="0"/>
              <w:pStyle w:val="Compact"/>
            </w:pPr>
            <w:r>
              <w:rPr>
                <w:sz w:val="20"/>
                <w:szCs w:val="20"/>
              </w:rPr>
              <w:t xml:space="preserve">ESA Sentinel-2 User Handbook 2015; Drusch et al. 2012 RSE 120</w:t>
            </w:r>
          </w:p>
        </w:tc>
      </w:tr>
      <w:tr>
        <w:tc>
          <w:tcPr>
            <w:tcW w:w="0" w:type="auto"/>
          </w:tcPr>
          <w:p>
            <w:pPr>
              <w:spacing w:line="240" w:lineRule="auto" w:before="0" w:after="0"/>
              <w:pStyle w:val="Compact"/>
            </w:pPr>
            <w:r>
              <w:rPr>
                <w:sz w:val="20"/>
                <w:szCs w:val="20"/>
              </w:rPr>
              <w:t xml:space="preserve">Sentinel-2B</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1600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7.3778</w:t>
            </w:r>
          </w:p>
        </w:tc>
        <w:tc>
          <w:tcPr>
            <w:tcW w:w="0" w:type="auto"/>
          </w:tcPr>
          <w:p>
            <w:pPr>
              <w:spacing w:line="240" w:lineRule="auto" w:before="0" w:after="0"/>
              <w:pStyle w:val="Compact"/>
            </w:pPr>
            <w:r>
              <w:rPr>
                <w:sz w:val="20"/>
                <w:szCs w:val="20"/>
              </w:rPr>
              <w:t xml:space="preserve">-0.6539</w:t>
            </w:r>
          </w:p>
        </w:tc>
        <w:tc>
          <w:tcPr>
            <w:tcW w:w="0" w:type="auto"/>
          </w:tcPr>
          <w:p>
            <w:pPr>
              <w:spacing w:line="240" w:lineRule="auto" w:before="0" w:after="0"/>
              <w:pStyle w:val="Compact"/>
            </w:pPr>
            <w:r>
              <w:rPr>
                <w:sz w:val="20"/>
                <w:szCs w:val="20"/>
              </w:rPr>
              <w:t xml:space="preserve">ESA Sentinel-2 User Handbook 2015</w:t>
            </w:r>
          </w:p>
        </w:tc>
      </w:tr>
      <w:tr>
        <w:tc>
          <w:tcPr>
            <w:tcW w:w="0" w:type="auto"/>
          </w:tcPr>
          <w:p>
            <w:pPr>
              <w:spacing w:line="240" w:lineRule="auto" w:before="0" w:after="0"/>
              <w:pStyle w:val="Compact"/>
            </w:pPr>
            <w:r>
              <w:rPr>
                <w:sz w:val="20"/>
                <w:szCs w:val="20"/>
              </w:rPr>
              <w:t xml:space="preserve">Sentinel-1A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-0.6539</w:t>
            </w:r>
          </w:p>
        </w:tc>
        <w:tc>
          <w:tcPr>
            <w:tcW w:w="0" w:type="auto"/>
          </w:tcPr>
          <w:p>
            <w:pPr>
              <w:spacing w:line="240" w:lineRule="auto" w:before="0" w:after="0"/>
              <w:pStyle w:val="Compact"/>
            </w:pPr>
            <w:r>
              <w:rPr>
                <w:sz w:val="20"/>
                <w:szCs w:val="20"/>
              </w:rPr>
              <w:t xml:space="preserve">ESA Sentinel-1 User Handbook 2013; Torres et al. 2012 RSE 120</w:t>
            </w:r>
          </w:p>
        </w:tc>
      </w:tr>
      <w:tr>
        <w:tc>
          <w:tcPr>
            <w:tcW w:w="0" w:type="auto"/>
          </w:tcPr>
          <w:p>
            <w:pPr>
              <w:spacing w:line="240" w:lineRule="auto" w:before="0" w:after="0"/>
              <w:pStyle w:val="Compact"/>
            </w:pPr>
            <w:r>
              <w:rPr>
                <w:sz w:val="20"/>
                <w:szCs w:val="20"/>
              </w:rPr>
              <w:t xml:space="preserve">TerraSAR-X</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Airbus TerraSAR-X Product Guide 2014; Werninghaus &amp; Buckreuss 2010 IEEE TGRS 48(2)</w:t>
            </w:r>
          </w:p>
        </w:tc>
      </w:tr>
      <w:tr>
        <w:tc>
          <w:tcPr>
            <w:tcW w:w="0" w:type="auto"/>
          </w:tcPr>
          <w:p>
            <w:pPr>
              <w:spacing w:line="240" w:lineRule="auto" w:before="0" w:after="0"/>
              <w:pStyle w:val="Compact"/>
            </w:pPr>
            <w:r>
              <w:rPr>
                <w:sz w:val="20"/>
                <w:szCs w:val="20"/>
              </w:rPr>
              <w:t xml:space="preserve">COSMO-SkyMed-1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5.9269</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Italian Space Agency COSMO-SkyMed Mission Description 2007; Caltagirone et al. 2007 IEEE Geosci. Remote Sens. Symp.</w:t>
            </w:r>
          </w:p>
        </w:tc>
      </w:tr>
      <w:tr>
        <w:tc>
          <w:tcPr>
            <w:tcW w:w="0" w:type="auto"/>
          </w:tcPr>
          <w:p>
            <w:pPr>
              <w:spacing w:line="240" w:lineRule="auto" w:before="0" w:after="0"/>
              <w:pStyle w:val="Compact"/>
            </w:pPr>
            <w:r>
              <w:rPr>
                <w:sz w:val="20"/>
                <w:szCs w:val="20"/>
              </w:rPr>
              <w:t xml:space="preserve">RADARSAT-2</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0.105</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-2.2538</w:t>
            </w:r>
          </w:p>
        </w:tc>
        <w:tc>
          <w:tcPr>
            <w:tcW w:w="0" w:type="auto"/>
          </w:tcPr>
          <w:p>
            <w:pPr>
              <w:spacing w:line="240" w:lineRule="auto" w:before="0" w:after="0"/>
              <w:pStyle w:val="Compact"/>
            </w:pPr>
            <w:r>
              <w:rPr>
                <w:sz w:val="20"/>
                <w:szCs w:val="20"/>
              </w:rPr>
              <w:t xml:space="preserve">MDA RADARSAT-2 Product Description 2018; Morena et al. 2004 Canadian J. Remote Sensing 30(3)</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5.8999</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Markus et al. 2017 RSE 190; NASA ICESat-2 Mission Handbook 2018</w:t>
            </w:r>
          </w:p>
        </w:tc>
      </w:tr>
      <w:tr>
        <w:tc>
          <w:tcPr>
            <w:tcW w:w="0" w:type="auto"/>
          </w:tcPr>
          <w:p>
            <w:pPr>
              <w:spacing w:line="240" w:lineRule="auto" w:before="0" w:after="0"/>
              <w:pStyle w:val="Compact"/>
            </w:pPr>
            <w:r>
              <w:rPr>
                <w:sz w:val="20"/>
                <w:szCs w:val="20"/>
              </w:rPr>
              <w:t xml:space="preserve">GOES-16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0.075</w:t>
            </w:r>
          </w:p>
        </w:tc>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7.2724</w:t>
            </w:r>
          </w:p>
        </w:tc>
        <w:tc>
          <w:tcPr>
            <w:tcW w:w="0" w:type="auto"/>
          </w:tcPr>
          <w:p>
            <w:pPr>
              <w:spacing w:line="240" w:lineRule="auto" w:before="0" w:after="0"/>
              <w:pStyle w:val="Compact"/>
            </w:pPr>
            <w:r>
              <w:rPr>
                <w:sz w:val="20"/>
                <w:szCs w:val="20"/>
              </w:rPr>
              <w:t xml:space="preserve">-2.5903</w:t>
            </w:r>
          </w:p>
        </w:tc>
        <w:tc>
          <w:tcPr>
            <w:tcW w:w="0" w:type="auto"/>
          </w:tcPr>
          <w:p>
            <w:pPr>
              <w:spacing w:line="240" w:lineRule="auto" w:before="0" w:after="0"/>
              <w:pStyle w:val="Compact"/>
            </w:pPr>
            <w:r>
              <w:rPr>
                <w:sz w:val="20"/>
                <w:szCs w:val="20"/>
              </w:rPr>
              <w:t xml:space="preserve">Schmit et al. 2017 BAMS 98(4); NOAA GOES-R Series Data Book 2019</w:t>
            </w:r>
          </w:p>
        </w:tc>
      </w:tr>
      <w:tr>
        <w:tc>
          <w:tcPr>
            <w:tcW w:w="0" w:type="auto"/>
          </w:tcPr>
          <w:p>
            <w:pPr>
              <w:spacing w:line="240" w:lineRule="auto" w:before="0" w:after="0"/>
              <w:pStyle w:val="Compact"/>
            </w:pPr>
            <w:r>
              <w:rPr>
                <w:sz w:val="20"/>
                <w:szCs w:val="20"/>
              </w:rPr>
              <w:t xml:space="preserve">Aqua-MODIS</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5.663</w:t>
            </w:r>
          </w:p>
        </w:tc>
        <w:tc>
          <w:tcPr>
            <w:tcW w:w="0" w:type="auto"/>
          </w:tcPr>
          <w:p>
            <w:pPr>
              <w:spacing w:line="240" w:lineRule="auto" w:before="0" w:after="0"/>
              <w:pStyle w:val="Compact"/>
            </w:pPr>
            <w:r>
              <w:rPr>
                <w:sz w:val="20"/>
                <w:szCs w:val="20"/>
              </w:rPr>
              <w:t xml:space="preserve">-4.5099</w:t>
            </w:r>
          </w:p>
        </w:tc>
        <w:tc>
          <w:tcPr>
            <w:tcW w:w="0" w:type="auto"/>
          </w:tcPr>
          <w:p>
            <w:pPr>
              <w:spacing w:line="240" w:lineRule="auto" w:before="0" w:after="0"/>
              <w:pStyle w:val="Compact"/>
            </w:pPr>
            <w:r>
              <w:rPr>
                <w:sz w:val="20"/>
                <w:szCs w:val="20"/>
              </w:rPr>
              <w:t xml:space="preserve">Salomonson et al. 1989 IEEE TGRS 27(2); NASA Aqua Mission Press Kit 2002</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6.6201</w:t>
            </w:r>
          </w:p>
        </w:tc>
        <w:tc>
          <w:tcPr>
            <w:tcW w:w="0" w:type="auto"/>
          </w:tcPr>
          <w:p>
            <w:pPr>
              <w:spacing w:line="240" w:lineRule="auto" w:before="0" w:after="0"/>
              <w:pStyle w:val="Compact"/>
            </w:pPr>
            <w:r>
              <w:rPr>
                <w:sz w:val="20"/>
                <w:szCs w:val="20"/>
              </w:rPr>
              <w:t xml:space="preserve">-0.478</w:t>
            </w:r>
          </w:p>
        </w:tc>
        <w:tc>
          <w:tcPr>
            <w:tcW w:w="0" w:type="auto"/>
          </w:tcPr>
          <w:p>
            <w:pPr>
              <w:spacing w:line="240" w:lineRule="auto" w:before="0" w:after="0"/>
              <w:pStyle w:val="Compact"/>
            </w:pPr>
            <w:r>
              <w:rPr>
                <w:sz w:val="20"/>
                <w:szCs w:val="20"/>
              </w:rPr>
              <w:t xml:space="preserve">Morrow et al. 2019 Frontiers Mar. Sci. 6; NASA-CNES SWOT Mission Handbook 2022</w:t>
            </w:r>
          </w:p>
        </w:tc>
      </w:tr>
      <w:tr>
        <w:tc>
          <w:tcPr>
            <w:tcW w:w="0" w:type="auto"/>
          </w:tcPr>
          <w:p>
            <w:pPr>
              <w:spacing w:line="240" w:lineRule="auto" w:before="0" w:after="0"/>
              <w:pStyle w:val="Compact"/>
            </w:pPr>
            <w:r>
              <w:rPr>
                <w:sz w:val="20"/>
                <w:szCs w:val="20"/>
              </w:rPr>
              <w:t xml:space="preserve">Pleiades-Neo-3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Airbus Pleiades Neo Imagery User Guide 2021</w:t>
            </w:r>
          </w:p>
        </w:tc>
      </w:tr>
      <w:tr>
        <w:tc>
          <w:tcPr>
            <w:tcW w:w="0" w:type="auto"/>
          </w:tcPr>
          <w:p>
            <w:pPr>
              <w:spacing w:line="240" w:lineRule="auto" w:before="0" w:after="0"/>
              <w:pStyle w:val="Compact"/>
            </w:pPr>
            <w:r>
              <w:rPr>
                <w:sz w:val="20"/>
                <w:szCs w:val="20"/>
              </w:rPr>
              <w:t xml:space="preserve">Pleiades-Neo-4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6.2146</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Airbus Pleiades Neo Imagery User Guide 2021</w:t>
            </w:r>
          </w:p>
        </w:tc>
      </w:tr>
      <w:tr>
        <w:tc>
          <w:tcPr>
            <w:tcW w:w="0" w:type="auto"/>
          </w:tcPr>
          <w:p>
            <w:pPr>
              <w:spacing w:line="240" w:lineRule="auto" w:before="0" w:after="0"/>
              <w:pStyle w:val="Compact"/>
            </w:pPr>
            <w:r>
              <w:rPr>
                <w:sz w:val="20"/>
                <w:szCs w:val="20"/>
              </w:rPr>
              <w:t xml:space="preserve">KOMPSAT-3A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6.2344</w:t>
            </w:r>
          </w:p>
        </w:tc>
        <w:tc>
          <w:tcPr>
            <w:tcW w:w="0" w:type="auto"/>
          </w:tcPr>
          <w:p>
            <w:pPr>
              <w:spacing w:line="240" w:lineRule="auto" w:before="0" w:after="0"/>
              <w:pStyle w:val="Compact"/>
            </w:pPr>
            <w:r>
              <w:rPr>
                <w:sz w:val="20"/>
                <w:szCs w:val="20"/>
              </w:rPr>
              <w:t xml:space="preserve">-0.4463</w:t>
            </w:r>
          </w:p>
        </w:tc>
        <w:tc>
          <w:tcPr>
            <w:tcW w:w="0" w:type="auto"/>
          </w:tcPr>
          <w:p>
            <w:pPr>
              <w:spacing w:line="240" w:lineRule="auto" w:before="0" w:after="0"/>
              <w:pStyle w:val="Compact"/>
            </w:pPr>
            <w:r>
              <w:rPr>
                <w:sz w:val="20"/>
                <w:szCs w:val="20"/>
              </w:rPr>
              <w:t xml:space="preserve">KARI KOMPSAT-3A Image Data Manual 2016; Lee et al. 2017 KSAS J. 45(5)</w:t>
            </w:r>
          </w:p>
        </w:tc>
      </w:tr>
      <w:tr>
        <w:tc>
          <w:tcPr>
            <w:tcW w:w="0" w:type="auto"/>
          </w:tcPr>
          <w:p>
            <w:pPr>
              <w:spacing w:line="240" w:lineRule="auto" w:before="0" w:after="0"/>
              <w:pStyle w:val="Compact"/>
            </w:pPr>
            <w:r>
              <w:rPr>
                <w:sz w:val="20"/>
                <w:szCs w:val="20"/>
              </w:rPr>
              <w:t xml:space="preserve">ALOS-2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5.9915</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JAXA ALOS-2/PALSAR-2 Product Format Description 2014; Kankaku et al. 2013 IEEE Geosci. Remote Sens. Symp.</w:t>
            </w:r>
          </w:p>
        </w:tc>
      </w:tr>
    </w:tbl>
    <w:bookmarkEnd w:id="235"/>
    <w:bookmarkStart w:id="23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log_images_per_day</w:t>
            </w:r>
          </w:p>
        </w:tc>
        <w:tc>
          <w:tcPr>
            <w:tcW w:w="0" w:type="auto"/>
          </w:tcPr>
          <w:p>
            <w:pPr>
              <w:spacing w:line="240" w:lineRule="auto" w:before="0" w:after="0"/>
              <w:pStyle w:val="Compact"/>
            </w:pPr>
            <w:r>
              <w:rPr>
                <w:sz w:val="20"/>
                <w:szCs w:val="20"/>
              </w:rPr>
              <w:t xml:space="preserve">Natural log of nominal daily image acquisitions per spacecraft</w:t>
            </w:r>
          </w:p>
        </w:tc>
        <w:tc>
          <w:tcPr>
            <w:tcW w:w="0" w:type="auto"/>
          </w:tcPr>
          <w:p>
            <w:pPr>
              <w:spacing w:line="240" w:lineRule="auto" w:before="0" w:after="0"/>
              <w:pStyle w:val="Compact"/>
            </w:pPr>
            <w:r>
              <w:rPr>
                <w:sz w:val="20"/>
                <w:szCs w:val="20"/>
              </w:rPr>
              <w:t xml:space="preserve">Mission user guides and product specifications cited in data.csv</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1-4 scale of onboard tasking autonomy (1 fixed schedule, 2 ground-uplinked re-task, 3 onboard re-task within plan, 4 onboard adaptive targeting / event response)</w:t>
            </w:r>
          </w:p>
        </w:tc>
        <w:tc>
          <w:tcPr>
            <w:tcW w:w="0" w:type="auto"/>
          </w:tcPr>
          <w:p>
            <w:pPr>
              <w:spacing w:line="240" w:lineRule="auto" w:before="0" w:after="0"/>
              <w:pStyle w:val="Compact"/>
            </w:pPr>
            <w:r>
              <w:rPr>
                <w:sz w:val="20"/>
                <w:szCs w:val="20"/>
              </w:rPr>
              <w:t xml:space="preserve">Adapted from Chien et al. 2005 EO-1 ASE framework and ESA OPS-SAT autonomy taxonomy</w:t>
            </w:r>
          </w:p>
        </w:tc>
      </w:tr>
      <w:tr>
        <w:tc>
          <w:tcPr>
            <w:tcW w:w="0" w:type="auto"/>
          </w:tcPr>
          <w:p>
            <w:pPr>
              <w:spacing w:line="240" w:lineRule="auto" w:before="0" w:after="0"/>
              <w:pStyle w:val="Compact"/>
            </w:pPr>
            <w:r>
              <w:rPr>
                <w:sz w:val="20"/>
                <w:szCs w:val="20"/>
              </w:rPr>
              <w:t xml:space="preserve">agility_deg_s</w:t>
            </w:r>
          </w:p>
        </w:tc>
        <w:tc>
          <w:tcPr>
            <w:tcW w:w="0" w:type="auto"/>
          </w:tcPr>
          <w:p>
            <w:pPr>
              <w:spacing w:line="240" w:lineRule="auto" w:before="0" w:after="0"/>
              <w:pStyle w:val="Compact"/>
            </w:pPr>
            <w:r>
              <w:rPr>
                <w:sz w:val="20"/>
                <w:szCs w:val="20"/>
              </w:rPr>
              <w:t xml:space="preserve">Maximum body-pointing slew rate in degrees per second</w:t>
            </w:r>
          </w:p>
        </w:tc>
        <w:tc>
          <w:tcPr>
            <w:tcW w:w="0" w:type="auto"/>
          </w:tcPr>
          <w:p>
            <w:pPr>
              <w:spacing w:line="240" w:lineRule="auto" w:before="0" w:after="0"/>
              <w:pStyle w:val="Compact"/>
            </w:pPr>
            <w:r>
              <w:rPr>
                <w:sz w:val="20"/>
                <w:szCs w:val="20"/>
              </w:rPr>
              <w:t xml:space="preserve">Vendor datasheets cited in data.csv</w:t>
            </w:r>
          </w:p>
        </w:tc>
      </w:tr>
      <w:tr>
        <w:tc>
          <w:tcPr>
            <w:tcW w:w="0" w:type="auto"/>
          </w:tcPr>
          <w:p>
            <w:pPr>
              <w:spacing w:line="240" w:lineRule="auto" w:before="0" w:after="0"/>
              <w:pStyle w:val="Compact"/>
            </w:pPr>
            <w:r>
              <w:rPr>
                <w:sz w:val="20"/>
                <w:szCs w:val="20"/>
              </w:rPr>
              <w:t xml:space="preserve">log_downlink_gbps</w:t>
            </w:r>
          </w:p>
        </w:tc>
        <w:tc>
          <w:tcPr>
            <w:tcW w:w="0" w:type="auto"/>
          </w:tcPr>
          <w:p>
            <w:pPr>
              <w:spacing w:line="240" w:lineRule="auto" w:before="0" w:after="0"/>
              <w:pStyle w:val="Compact"/>
            </w:pPr>
            <w:r>
              <w:rPr>
                <w:sz w:val="20"/>
                <w:szCs w:val="20"/>
              </w:rPr>
              <w:t xml:space="preserve">Natural log of nominal X-band/Ka-band downlink rate in Gbps</w:t>
            </w:r>
          </w:p>
        </w:tc>
        <w:tc>
          <w:tcPr>
            <w:tcW w:w="0" w:type="auto"/>
          </w:tcPr>
          <w:p>
            <w:pPr>
              <w:spacing w:line="240" w:lineRule="auto" w:before="0" w:after="0"/>
              <w:pStyle w:val="Compact"/>
            </w:pPr>
            <w:r>
              <w:rPr>
                <w:sz w:val="20"/>
                <w:szCs w:val="20"/>
              </w:rPr>
              <w:t xml:space="preserve">Vendor datasheets and mission handbooks</w:t>
            </w:r>
          </w:p>
        </w:tc>
      </w:tr>
      <w:tr>
        <w:tc>
          <w:tcPr>
            <w:tcW w:w="0" w:type="auto"/>
          </w:tcPr>
          <w:p>
            <w:pPr>
              <w:spacing w:line="240" w:lineRule="auto" w:before="0" w:after="0"/>
              <w:pStyle w:val="Compact"/>
            </w:pPr>
            <w:r>
              <w:rPr>
                <w:sz w:val="20"/>
                <w:szCs w:val="20"/>
              </w:rPr>
              <w:t xml:space="preserve">year_ioc</w:t>
            </w:r>
          </w:p>
        </w:tc>
        <w:tc>
          <w:tcPr>
            <w:tcW w:w="0" w:type="auto"/>
          </w:tcPr>
          <w:p>
            <w:pPr>
              <w:spacing w:line="240" w:lineRule="auto" w:before="0" w:after="0"/>
              <w:pStyle w:val="Compact"/>
            </w:pPr>
            <w:r>
              <w:rPr>
                <w:sz w:val="20"/>
                <w:szCs w:val="20"/>
              </w:rPr>
              <w:t xml:space="preserve">Year of initial operational capability</w:t>
            </w:r>
          </w:p>
        </w:tc>
        <w:tc>
          <w:tcPr>
            <w:tcW w:w="0" w:type="auto"/>
          </w:tcPr>
          <w:p>
            <w:pPr>
              <w:spacing w:line="240" w:lineRule="auto" w:before="0" w:after="0"/>
              <w:pStyle w:val="Compact"/>
            </w:pPr>
            <w:r>
              <w:rPr>
                <w:sz w:val="20"/>
                <w:szCs w:val="20"/>
              </w:rPr>
              <w:t xml:space="preserve">Mission press kits and NTRS records</w:t>
            </w:r>
          </w:p>
        </w:tc>
      </w:tr>
    </w:tbl>
    <w:bookmarkEnd w:id="236"/>
    <w:bookmarkEnd w:id="237"/>
    <w:bookmarkEnd w:id="23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23" Type="http://schemas.openxmlformats.org/officeDocument/2006/relationships/image" Target="media/rId223.png"/><Relationship Id="rId231" Type="http://schemas.openxmlformats.org/officeDocument/2006/relationships/image" Target="media/rId231.png"/><Relationship Id="rId185" Type="http://schemas.openxmlformats.org/officeDocument/2006/relationships/hyperlink" Target="https://doi.org/10.1016/j.actaastro.2018.01.059" TargetMode="External"/><Relationship Id="rId159" Type="http://schemas.openxmlformats.org/officeDocument/2006/relationships/hyperlink" Target="https://doi.org/10.1016/j.actaastro.2020.10.020" TargetMode="External"/><Relationship Id="rId218" Type="http://schemas.openxmlformats.org/officeDocument/2006/relationships/hyperlink" Target="https://doi.org/10.1016/j.actaastro.2020.12.015" TargetMode="External"/><Relationship Id="rId183" Type="http://schemas.openxmlformats.org/officeDocument/2006/relationships/hyperlink" Target="https://doi.org/10.1016/j.actaastro.2023.05.029" TargetMode="External"/><Relationship Id="rId157" Type="http://schemas.openxmlformats.org/officeDocument/2006/relationships/hyperlink" Target="https://doi.org/10.1016/j.actaastro.2023.06.004" TargetMode="External"/><Relationship Id="rId210" Type="http://schemas.openxmlformats.org/officeDocument/2006/relationships/hyperlink" Target="https://doi.org/10.1016/j.actaastro.2023.07.009" TargetMode="External"/><Relationship Id="rId214" Type="http://schemas.openxmlformats.org/officeDocument/2006/relationships/hyperlink" Target="https://doi.org/10.1016/j.actaastro.2024.04.025" TargetMode="External"/><Relationship Id="rId216" Type="http://schemas.openxmlformats.org/officeDocument/2006/relationships/hyperlink" Target="https://doi.org/10.1016/j.actaastro.2025.01.012" TargetMode="External"/><Relationship Id="rId148" Type="http://schemas.openxmlformats.org/officeDocument/2006/relationships/hyperlink" Target="https://doi.org/10.1016/j.actaastro.2025.10.018" TargetMode="External"/><Relationship Id="rId181" Type="http://schemas.openxmlformats.org/officeDocument/2006/relationships/hyperlink" Target="https://doi.org/10.1016/j.actaastro.2025.10.073" TargetMode="External"/><Relationship Id="rId179" Type="http://schemas.openxmlformats.org/officeDocument/2006/relationships/hyperlink" Target="https://doi.org/10.1016/j.actaastro.2026.02.008" TargetMode="External"/><Relationship Id="rId206" Type="http://schemas.openxmlformats.org/officeDocument/2006/relationships/hyperlink" Target="https://doi.org/10.64861/AIFZ1253" TargetMode="External"/><Relationship Id="rId154" Type="http://schemas.openxmlformats.org/officeDocument/2006/relationships/hyperlink" Target="https://doi.org/10.64861/AVJL2311" TargetMode="External"/><Relationship Id="rId174" Type="http://schemas.openxmlformats.org/officeDocument/2006/relationships/hyperlink" Target="https://doi.org/10.64861/CGYJ5883" TargetMode="External"/><Relationship Id="rId197" Type="http://schemas.openxmlformats.org/officeDocument/2006/relationships/hyperlink" Target="https://doi.org/10.64861/DDFP2152" TargetMode="External"/><Relationship Id="rId172" Type="http://schemas.openxmlformats.org/officeDocument/2006/relationships/hyperlink" Target="https://doi.org/10.64861/FCFS9502" TargetMode="External"/><Relationship Id="rId204" Type="http://schemas.openxmlformats.org/officeDocument/2006/relationships/hyperlink" Target="https://doi.org/10.64861/FLIA6056" TargetMode="External"/><Relationship Id="rId168" Type="http://schemas.openxmlformats.org/officeDocument/2006/relationships/hyperlink" Target="https://doi.org/10.64861/GPAR3562" TargetMode="External"/><Relationship Id="rId176" Type="http://schemas.openxmlformats.org/officeDocument/2006/relationships/hyperlink" Target="https://doi.org/10.64861/HWZS9386" TargetMode="External"/><Relationship Id="rId200" Type="http://schemas.openxmlformats.org/officeDocument/2006/relationships/hyperlink" Target="https://doi.org/10.64861/LCET1122" TargetMode="External"/><Relationship Id="rId202" Type="http://schemas.openxmlformats.org/officeDocument/2006/relationships/hyperlink" Target="https://doi.org/10.64861/NAKM9168" TargetMode="External"/><Relationship Id="rId166" Type="http://schemas.openxmlformats.org/officeDocument/2006/relationships/hyperlink" Target="https://doi.org/10.64861/QEDJ9012" TargetMode="External"/><Relationship Id="rId195" Type="http://schemas.openxmlformats.org/officeDocument/2006/relationships/hyperlink" Target="https://doi.org/10.64861/XQCN3213" TargetMode="External"/></Relationships>
</file>

<file path=word/_rels/footnotes.xml.rels><?xml version='1.0' encoding='UTF-8' standalone='yes'?>
<Relationships xmlns="http://schemas.openxmlformats.org/package/2006/relationships"><Relationship Id="rId185" Type="http://schemas.openxmlformats.org/officeDocument/2006/relationships/hyperlink" Target="https://doi.org/10.1016/j.actaastro.2018.01.059" TargetMode="External"/><Relationship Id="rId159" Type="http://schemas.openxmlformats.org/officeDocument/2006/relationships/hyperlink" Target="https://doi.org/10.1016/j.actaastro.2020.10.020" TargetMode="External"/><Relationship Id="rId218" Type="http://schemas.openxmlformats.org/officeDocument/2006/relationships/hyperlink" Target="https://doi.org/10.1016/j.actaastro.2020.12.015" TargetMode="External"/><Relationship Id="rId183" Type="http://schemas.openxmlformats.org/officeDocument/2006/relationships/hyperlink" Target="https://doi.org/10.1016/j.actaastro.2023.05.029" TargetMode="External"/><Relationship Id="rId157" Type="http://schemas.openxmlformats.org/officeDocument/2006/relationships/hyperlink" Target="https://doi.org/10.1016/j.actaastro.2023.06.004" TargetMode="External"/><Relationship Id="rId210" Type="http://schemas.openxmlformats.org/officeDocument/2006/relationships/hyperlink" Target="https://doi.org/10.1016/j.actaastro.2023.07.009" TargetMode="External"/><Relationship Id="rId214" Type="http://schemas.openxmlformats.org/officeDocument/2006/relationships/hyperlink" Target="https://doi.org/10.1016/j.actaastro.2024.04.025" TargetMode="External"/><Relationship Id="rId216" Type="http://schemas.openxmlformats.org/officeDocument/2006/relationships/hyperlink" Target="https://doi.org/10.1016/j.actaastro.2025.01.012" TargetMode="External"/><Relationship Id="rId148" Type="http://schemas.openxmlformats.org/officeDocument/2006/relationships/hyperlink" Target="https://doi.org/10.1016/j.actaastro.2025.10.018" TargetMode="External"/><Relationship Id="rId181" Type="http://schemas.openxmlformats.org/officeDocument/2006/relationships/hyperlink" Target="https://doi.org/10.1016/j.actaastro.2025.10.073" TargetMode="External"/><Relationship Id="rId179" Type="http://schemas.openxmlformats.org/officeDocument/2006/relationships/hyperlink" Target="https://doi.org/10.1016/j.actaastro.2026.02.008" TargetMode="External"/><Relationship Id="rId206" Type="http://schemas.openxmlformats.org/officeDocument/2006/relationships/hyperlink" Target="https://doi.org/10.64861/AIFZ1253" TargetMode="External"/><Relationship Id="rId154" Type="http://schemas.openxmlformats.org/officeDocument/2006/relationships/hyperlink" Target="https://doi.org/10.64861/AVJL2311" TargetMode="External"/><Relationship Id="rId174" Type="http://schemas.openxmlformats.org/officeDocument/2006/relationships/hyperlink" Target="https://doi.org/10.64861/CGYJ5883" TargetMode="External"/><Relationship Id="rId197" Type="http://schemas.openxmlformats.org/officeDocument/2006/relationships/hyperlink" Target="https://doi.org/10.64861/DDFP2152" TargetMode="External"/><Relationship Id="rId172" Type="http://schemas.openxmlformats.org/officeDocument/2006/relationships/hyperlink" Target="https://doi.org/10.64861/FCFS9502" TargetMode="External"/><Relationship Id="rId204" Type="http://schemas.openxmlformats.org/officeDocument/2006/relationships/hyperlink" Target="https://doi.org/10.64861/FLIA6056" TargetMode="External"/><Relationship Id="rId168" Type="http://schemas.openxmlformats.org/officeDocument/2006/relationships/hyperlink" Target="https://doi.org/10.64861/GPAR3562" TargetMode="External"/><Relationship Id="rId176" Type="http://schemas.openxmlformats.org/officeDocument/2006/relationships/hyperlink" Target="https://doi.org/10.64861/HWZS9386" TargetMode="External"/><Relationship Id="rId200" Type="http://schemas.openxmlformats.org/officeDocument/2006/relationships/hyperlink" Target="https://doi.org/10.64861/LCET1122" TargetMode="External"/><Relationship Id="rId202" Type="http://schemas.openxmlformats.org/officeDocument/2006/relationships/hyperlink" Target="https://doi.org/10.64861/NAKM9168" TargetMode="External"/><Relationship Id="rId166" Type="http://schemas.openxmlformats.org/officeDocument/2006/relationships/hyperlink" Target="https://doi.org/10.64861/QEDJ9012" TargetMode="External"/><Relationship Id="rId195" Type="http://schemas.openxmlformats.org/officeDocument/2006/relationships/hyperlink" Target="https://doi.org/10.64861/XQCN3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of Information in Observation Planning: Does Adaptive Onboard Targeting Beat Ground-Scheduled Tasking?</dc:title>
  <dc:creator>Esme Donnelly (1B-INS-083)</dc:creator>
  <cp:keywords/>
  <dcterms:created xsi:type="dcterms:W3CDTF">2026-07-02T17:52:40Z</dcterms:created>
  <dcterms:modified xsi:type="dcterms:W3CDTF">2026-07-02T17:52:40Z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