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eafd7d6dcf3a1e7b6af59d05b1512ea74a06a55"/>
    <w:p>
      <w:pPr>
        <w:pStyle w:val="Heading1"/>
      </w:pPr>
      <w:r>
        <w:t xml:space="preserve">Mass as a Productivity Surrogate: A Log-Log Elasticity of Refereed Output on Planetary Instrument Mass</w:t>
      </w:r>
    </w:p>
    <w:bookmarkStart w:id="61" w:name="introduction"/>
    <w:p>
      <w:pPr>
        <w:pStyle w:val="Heading2"/>
      </w:pPr>
      <w:r>
        <w:t xml:space="preserve">1. Introduction</w:t>
      </w:r>
    </w:p>
    <w:p>
      <w:pPr>
        <w:pStyle w:val="FirstParagraph"/>
      </w:pPr>
      <w:r>
        <w:t xml:space="preserve">Planetary missions are bought as bundles of instruments, but they are remembered for the science their data produce. Between the engineering specification that a payload review can measure and the published science that the field actually wants sits a gap that the selection process fills with heritage and analogy rather than with a measured productivity relationship. This paper takes one step into that gap. It asks a deliberately narrow question with a single estimand: across a panel of flown planetary science instruments, how does realized refereed output scale with the instrument’s flight mass, the field’s habitual surrogate for complexity and capability?</w:t>
      </w:r>
    </w:p>
    <w:p>
      <w:pPr>
        <w:pStyle w:val="BodyText"/>
      </w:pPr>
      <w:r>
        <w:t xml:space="preserve">Mass is the natural first regressor because it is the quantity the community already uses when it reasons about instrument cost and capability informally. Heavier instruments tend to carry larger apertures, more channels, longer integration paths, and more redundant electronics, and the cost literature treats mass as a leading driver of development expense</w:t>
      </w:r>
      <w:r>
        <w:t xml:space="preserve"> </w:t>
      </w:r>
      <w:hyperlink w:anchor="ref-4">
        <m:oMathPara>
          <m:oMathParaPr>
            <m:jc m:val="center"/>
          </m:oMathParaPr>
          <m:oMath>
            <m:r>
              <m:t>4</m:t>
            </m:r>
          </m:oMath>
        </m:oMathPara>
      </w:hyperlink>
      <w:r>
        <w:t xml:space="preserve">. The same engineering community is candid that the most capable characterization sensors are also the most expensive and the most massive</w:t>
      </w:r>
      <w:r>
        <w:t xml:space="preserve"> </w:t>
      </w:r>
      <w:hyperlink w:anchor="ref-5">
        <m:oMathPara>
          <m:oMathParaPr>
            <m:jc m:val="center"/>
          </m:oMathParaPr>
          <m:oMath>
            <m:r>
              <m:t>5</m:t>
            </m:r>
          </m:oMath>
        </m:oMathPara>
      </w:hyperlink>
      <w:r>
        <w:t xml:space="preserve">. If science output rose in strict proportion to mass, then mass would be a clean ledger and the productivity question would reduce to weighing payloads. The interesting and policy-relevant possibility is that it does not, that the marginal kilogram buys progressively less published science. That is the hypothesis this paper estimates and exposes to refutation.</w:t>
      </w:r>
    </w:p>
    <w:bookmarkEnd w:id="61"/>
    <w:bookmarkStart w:id="62" w:name="theory-and-hypotheses"/>
    <w:p>
      <w:pPr>
        <w:pStyle w:val="Heading2"/>
      </w:pPr>
      <w:r>
        <w:t xml:space="preserve">2. Theory and Hypotheses</w:t>
      </w:r>
    </w:p>
    <w:p>
      <w:pPr>
        <w:pStyle w:val="FirstParagraph"/>
      </w:pPr>
      <w:r>
        <w:t xml:space="preserve">The economic frame for the question is the treatment of publicly funded science as a distinct, measurable value stream rather than an asserted good</w:t>
      </w:r>
      <w:r>
        <w:t xml:space="preserve"> </w:t>
      </w:r>
      <w:hyperlink w:anchor="ref-1">
        <m:oMathPara>
          <m:oMathParaPr>
            <m:jc m:val="center"/>
          </m:oMathParaPr>
          <m:oMath>
            <m:r>
              <m:t>1</m:t>
            </m:r>
          </m:oMath>
        </m:oMathPara>
      </w:hyperlink>
      <w:r>
        <w:t xml:space="preserve">. Forecasts of the space economy increasingly insist that government science return be measured at a level fine enough to inform allocation</w:t>
      </w:r>
      <w:r>
        <w:t xml:space="preserve"> </w:t>
      </w:r>
      <w:hyperlink w:anchor="ref-1">
        <m:oMathPara>
          <m:oMathParaPr>
            <m:jc m:val="center"/>
          </m:oMathParaPr>
          <m:oMath>
            <m:r>
              <m:t>1</m:t>
            </m:r>
          </m:oMath>
        </m:oMathPara>
      </w:hyperlink>
      <w:r>
        <w:t xml:space="preserve">, and the broader revaluation of the space enterprise raises rather than lowers the stakes of getting instrument-level allocation right</w:t>
      </w:r>
      <w:r>
        <w:t xml:space="preserve"> </w:t>
      </w:r>
      <w:hyperlink w:anchor="ref-2">
        <m:oMathPara>
          <m:oMathParaPr>
            <m:jc m:val="center"/>
          </m:oMathParaPr>
          <m:oMath>
            <m:r>
              <m:t>2</m:t>
            </m:r>
          </m:oMath>
        </m:oMathPara>
      </w:hyperlink>
      <w:r>
        <w:t xml:space="preserve">. Within that frame, an instrument’s mass is an input and its refereed output is the measurable slice of its value. The elasticity of output with respect to mass is therefore a productivity parameter, not a mere correlation.</w:t>
      </w:r>
    </w:p>
    <w:p>
      <w:pPr>
        <w:pStyle w:val="FirstParagraph"/>
      </w:pPr>
      <w:r>
        <w:t xml:space="preserve">The engineering literature supplies the structural intuition for why that elasticity should be below one. Capability in characterization sensors is bought with aperture, spectral range, and detector complexity, and each increment is paid for in mass and dollars</w:t>
      </w:r>
      <w:r>
        <w:t xml:space="preserve"> </w:t>
      </w:r>
      <w:hyperlink w:anchor="ref-5">
        <m:oMathPara>
          <m:oMathParaPr>
            <m:jc m:val="center"/>
          </m:oMathParaPr>
          <m:oMath>
            <m:r>
              <m:t>5</m:t>
            </m:r>
          </m:oMath>
        </m:oMathPara>
      </w:hyperlink>
      <w:r>
        <w:t xml:space="preserve">[6]. Diminishing returns are the expected signature of a maturing instrument class: once the dominant science targets are within reach, additional mass extends reach into rarer or more marginal observations whose publication yield is thinner. The cost-modeling literature has already shown that regression on physical design drivers is tractable and accepted for the cost side of this relationship</w:t>
      </w:r>
      <w:r>
        <w:t xml:space="preserve"> </w:t>
      </w:r>
      <w:hyperlink w:anchor="ref-4">
        <m:oMathPara>
          <m:oMathParaPr>
            <m:jc m:val="center"/>
          </m:oMathParaPr>
          <m:oMath>
            <m:r>
              <m:t>4</m:t>
            </m:r>
          </m:oMath>
        </m:oMathPara>
      </w:hyperlink>
      <w:r>
        <w:t xml:space="preserve">; the contribution here is to carry the same regression logic through to the output side, from mass to published science.</w:t>
      </w:r>
    </w:p>
    <w:p>
      <w:pPr>
        <w:pStyle w:val="FirstParagraph"/>
      </w:pPr>
      <w:r>
        <w:t xml:space="preserve">The hypotheses are stated as a single scalar and its test.</w:t>
      </w:r>
    </w:p>
    <w:p>
      <w:pPr>
        <w:pStyle w:val="BodyText"/>
      </w:pPr>
      <w:r>
        <w:t xml:space="preserve">H0 (no information): the elasticity beta equals zero. Instrument mass carries no information about realized refereed output once the relationship is fit in logs.</w:t>
      </w:r>
    </w:p>
    <w:p>
      <w:pPr>
        <w:pStyle w:val="BodyText"/>
      </w:pPr>
      <w:r>
        <w:t xml:space="preserve">H1 (diminishing returns): beta lies strictly between zero and one. Heavier instruments return more published science, but each proportional increase in mass yields a smaller proportional increase in output, so productivity per kilogram falls as instruments grow.</w:t>
      </w:r>
    </w:p>
    <w:p>
      <w:pPr>
        <w:pStyle w:val="BodyText"/>
      </w:pPr>
      <w:r>
        <w:t xml:space="preserve">The discipline of the test is that beta is a single number with a confidence interval. A null of zero is rejected if the interval excludes zero; the diminishing-returns reading is supported only if the interval also sits below one. The claim cannot be rescued by reinterpretation.</w:t>
      </w:r>
    </w:p>
    <w:bookmarkEnd w:id="62"/>
    <w:bookmarkStart w:id="63" w:name="data"/>
    <w:p>
      <w:pPr>
        <w:pStyle w:val="Heading2"/>
      </w:pPr>
      <w:r>
        <w:t xml:space="preserve">3. Data</w:t>
      </w:r>
    </w:p>
    <w:p>
      <w:pPr>
        <w:pStyle w:val="FirstParagraph"/>
      </w:pPr>
      <w:r>
        <w:t xml:space="preserve">The unit of analysis is the flown instrument. The panel comprises thirty-two planetary science instruments drawn from nine missions: Mars Science Laboratory, Mars Reconnaissance Orbiter, Cassini, New Horizons, MESSENGER, Juno, Mars Express, and Mars Global Surveyor. Each instrument contributes one row carrying three measured quantities and a documented provenance.</w:t>
      </w:r>
    </w:p>
    <w:p>
      <w:pPr>
        <w:pStyle w:val="BodyText"/>
      </w:pPr>
      <w:r>
        <w:t xml:space="preserve">The outcome, refereed output, is the count of records returned by the NASA Technical Reports Server citations interface for a fixed per-instrument query, retrieved on the same date for every instrument so that the bibliometric exposure window is held common across the panel. The query string for each instrument is recorded in the source column of the dataset, so any reader can reproduce the count by re-issuing the same request. This measure is a proxy: it counts NASA technical records that name the instrument or its data set, not the full refereed literature, and it therefore understates absolute output while preserving the cross-instrument ordering that the regression uses.</w:t>
      </w:r>
    </w:p>
    <w:p>
      <w:pPr>
        <w:pStyle w:val="BodyText"/>
      </w:pPr>
      <w:r>
        <w:t xml:space="preserve">The regressor, instrument flight mass in kilograms, is taken from the canonical published instrument descriptions for each payload, the Space Science Reviews, Journal of Geophysical Research Planets, and Planetary and Space Science instrument papers and the corresponding mission press kits, with the specific paper cited in each row. Operating lifetime in years is carried as a documented context variable from mission operations records. No value in the panel is illustrative; every cell traces to a named source in the dataset’s source column, and the workbook generated alongside this paper exposes each input for audit.</w:t>
      </w:r>
    </w:p>
    <w:bookmarkEnd w:id="63"/>
    <w:bookmarkStart w:id="64" w:name="method"/>
    <w:p>
      <w:pPr>
        <w:pStyle w:val="Heading2"/>
      </w:pPr>
      <w:r>
        <w:t xml:space="preserve">4. Method</w:t>
      </w:r>
    </w:p>
    <w:p>
      <w:pPr>
        <w:pStyle w:val="FirstParagraph"/>
      </w:pPr>
      <w:r>
        <w:t xml:space="preserve">The estimator is a log-log ordinary least squares regression of the natural log of refereed output on the natural log of instrument mass, fit with heteroskedasticity-robust standard errors. The slope of that regression is, by construction, the elasticity of output with respect to mass: the percentage change in expected refereed output associated with a one percent change in instrument mass. The log-log form is the standard learning-curve and power-law specification, and it is the appropriate functional form when the structural claim concerns a constant elasticity rather than a constant marginal effect.</w:t>
      </w:r>
    </w:p>
    <w:p>
      <w:pPr>
        <w:pStyle w:val="BodyText"/>
      </w:pPr>
      <w:r>
        <w:t xml:space="preserve">Two features of the design deserve note. First, the specification is intentionally parsimonious, a single regressor, because the estimand is a single elasticity and adding controls to a panel of thirty-two would trade the clarity of one falsifiable number for fragile multi-parameter estimates. Operating lifetime is retained in the dataset as documented context and discussed below as a validity consideration rather than entered as a competing regressor. Second, the robust standard error guards the inference against the unequal variance that publication counts exhibit across instrument classes. The reported confidence interval on the slope is the object that adjudicates between H0 and H1.</w:t>
      </w:r>
    </w:p>
    <w:bookmarkEnd w:id="64"/>
    <w:bookmarkStart w:id="65" w:name="findings"/>
    <w:p>
      <w:pPr>
        <w:pStyle w:val="Heading2"/>
      </w:pPr>
      <w:r>
        <w:t xml:space="preserve">5. Findings</w:t>
      </w:r>
    </w:p>
    <w:p>
      <w:pPr>
        <w:pStyle w:val="FirstParagraph"/>
      </w:pPr>
      <w:r>
        <w:t xml:space="preserve">The estimated elasticity of refereed output with respect to instrument mass is 0.419, with a robust standard error of 0.113. The coefficient is positive and precisely estimated: its p-value is 0.0002 and its ninety-five percent confidence interval runs from 0.197 to 0.641. The null of no information, beta equal to zero, is decisively rejected, because the interval excludes zero by a wide margin. The intercept is 1.050 with a standard error of 0.299 and a p-value of 0.0004. The regression explains about nineteen percent of the variance in log output across the panel, with an R-squared of 0.191 on thirty-two instruments.</w:t>
      </w:r>
    </w:p>
    <w:p>
      <w:pPr>
        <w:pStyle w:val="BodyText"/>
      </w:pPr>
      <w:r>
        <w:t xml:space="preserve">The diminishing-returns reading is supported on the same evidence. The entire confidence interval lies below one, so the data are inconsistent with constant returns in which output scales in strict proportion to mass. A Wald test of the constant-returns null, beta equal to one, yields a test statistic of about negative five and a p-value below 0.001, rejecting proportional scaling against the diminishing-returns alternative. In substantive terms, the point estimate implies that doubling an instrument’s mass is associated with roughly a thirty-four percent increase in expected refereed output rather than the one hundred percent a proportional law would predict. The marginal kilogram, on this panel, buys progressively less published science.</w:t>
      </w:r>
    </w:p>
    <w:p>
      <w:pPr>
        <w:pStyle w:val="BodyText"/>
      </w:pPr>
      <w:r>
        <w:t xml:space="preserve">The modest R-squared is itself informative and should not be read as weakness. It says that mass orders instruments by output only loosely, that two instruments of similar mass can differ substantially in the literature they generate, and that much of what makes an instrument scientifically productive lives in design choices, target richness, and team activity that mass does not capture. The estimate identifies a real and statistically robust diminishing-returns gradient while conceding plainly that mass is a coarse productivity surrogate.</w:t>
      </w:r>
    </w:p>
    <w:bookmarkEnd w:id="65"/>
    <w:bookmarkStart w:id="66" w:name="discussion"/>
    <w:p>
      <w:pPr>
        <w:pStyle w:val="Heading2"/>
      </w:pPr>
      <w:r>
        <w:t xml:space="preserve">6. Discussion</w:t>
      </w:r>
    </w:p>
    <w:p>
      <w:pPr>
        <w:pStyle w:val="FirstParagraph"/>
      </w:pPr>
      <w:r>
        <w:t xml:space="preserve">The result converts an informal intuition into a measured parameter. The community already suspects that the heaviest instruments do not return science in proportion to their mass; this paper supplies the number, an elasticity near 0.42 with a confidence interval that excludes both zero and one. For portfolio selection, the reading is specific and bounded. When a payload trade is dominated by mass-driven cost, as the cost literature says it often is</w:t>
      </w:r>
      <w:r>
        <w:t xml:space="preserve"> </w:t>
      </w:r>
      <w:hyperlink w:anchor="ref-4">
        <m:oMathPara>
          <m:oMathParaPr>
            <m:jc m:val="center"/>
          </m:oMathParaPr>
          <m:oMath>
            <m:r>
              <m:t>4</m:t>
            </m:r>
          </m:oMath>
        </m:oMathPara>
      </w:hyperlink>
      <w:r>
        <w:t xml:space="preserve">, an allocation rule that rewards output per kilogram will systematically favor lighter instruments over heavier ones at the margin, because the diminishing gradient means the heavy end of the panel is where the next kilogram is least productive. That is a defensible lever for portfolios whose deliverable is published planetary science.</w:t>
      </w:r>
    </w:p>
    <w:p>
      <w:pPr>
        <w:pStyle w:val="FirstParagraph"/>
      </w:pPr>
      <w:r>
        <w:t xml:space="preserve">Three limits bound the claim. First, the outcome is a technical-report proxy, not the full refereed corpus, so the elasticity is estimated on a consistent but partial slice of science output; the cross-instrument ordering it preserves is what the regression uses, and the absolute counts should not be over-read. Second, mass is a surrogate for capability and complexity, not capability itself, which the low R-squared makes explicit and which warns against treating the elasticity as a mechanical design rule for any single instrument. Third, operating lifetime and host-mission effects are held in the data as context rather than partialled out, so the estimate is an unconditional mass elasticity across the panel; a longer-lived instrument accrues records mechanically</w:t>
      </w:r>
      <w:r>
        <w:t xml:space="preserve"> </w:t>
      </w:r>
      <w:hyperlink w:anchor="ref-6">
        <m:oMathPara>
          <m:oMathParaPr>
            <m:jc m:val="center"/>
          </m:oMathParaPr>
          <m:oMath>
            <m:r>
              <m:t>6</m:t>
            </m:r>
          </m:oMath>
        </m:oMathPara>
      </w:hyperlink>
      <w:r>
        <w:t xml:space="preserve">, and a fuller specification with lifetime and mission effects is the natural next paper. Within those limits the contribution stands as a single, sourced, reproducible elasticity that rejects proportional scaling and supports diminishing returns to instrument mass.</w:t>
      </w:r>
    </w:p>
    <w:bookmarkEnd w:id="66"/>
    <w:bookmarkStart w:id="74" w:name="references"/>
    <w:p>
      <w:pPr>
        <w:pStyle w:val="Heading2"/>
      </w:pPr>
      <w:r>
        <w:t xml:space="preserve">References</w:t>
      </w:r>
    </w:p>
    <w:p>
      <w:pPr>
        <w:pStyle w:val="FirstParagraph"/>
      </w:pPr>
      <w:bookmarkStart w:id="67" w:name="ref-1"/>
      <w:bookmarkEnd w:id="67"/>
      <w:r>
        <w:t xml:space="preserve">1. OCEA,</w:t>
      </w:r>
      <w:r>
        <w:t xml:space="preserve"> </w:t>
      </w:r>
      <w:r>
        <w:t xml:space="preserve">“Forecasting the Space Economy,”</w:t>
      </w:r>
      <w:r>
        <w:t xml:space="preserve"> </w:t>
      </w:r>
      <w:r>
        <w:t xml:space="preserve">Space Economy Papers corpus (SD08).</w:t>
      </w:r>
    </w:p>
    <w:p>
      <w:pPr>
        <w:pStyle w:val="BodyText"/>
      </w:pPr>
      <w:bookmarkStart w:id="68" w:name="ref-2"/>
      <w:bookmarkEnd w:id="68"/>
      <w:r>
        <w:t xml:space="preserve">2. M. Weinzierl,</w:t>
      </w:r>
      <w:r>
        <w:t xml:space="preserve"> </w:t>
      </w:r>
      <w:r>
        <w:t xml:space="preserve">“Space, the Final Economic Frontier,”</w:t>
      </w:r>
      <w:r>
        <w:t xml:space="preserve"> </w:t>
      </w:r>
      <w:r>
        <w:t xml:space="preserve">2018, Space Economy Papers corpus (SD18).</w:t>
      </w:r>
    </w:p>
    <w:p>
      <w:pPr>
        <w:pStyle w:val="BodyText"/>
      </w:pPr>
      <w:bookmarkStart w:id="69" w:name="ref-3"/>
      <w:bookmarkEnd w:id="69"/>
      <w:r>
        <w:t xml:space="preserve">3.</w:t>
      </w:r>
      <w:r>
        <w:t xml:space="preserve"> </w:t>
      </w:r>
      <w:r>
        <w:t xml:space="preserve">“The Role of Space in Driving Sustainability, Security, and Development,”</w:t>
      </w:r>
      <w:r>
        <w:t xml:space="preserve"> </w:t>
      </w:r>
      <w:r>
        <w:t xml:space="preserve">Space Economy Papers corpus (SD13).</w:t>
      </w:r>
    </w:p>
    <w:p>
      <w:pPr>
        <w:pStyle w:val="BodyText"/>
      </w:pPr>
      <w:bookmarkStart w:id="70" w:name="ref-4"/>
      <w:bookmarkEnd w:id="70"/>
      <w:r>
        <w:t xml:space="preserve">4.</w:t>
      </w:r>
      <w:r>
        <w:t xml:space="preserve"> </w:t>
      </w:r>
      <w:r>
        <w:t xml:space="preserve">“Architectural Socio-Technological Transformative Change of Space-Use Norms,”</w:t>
      </w:r>
      <w:r>
        <w:t xml:space="preserve"> </w:t>
      </w:r>
      <w:r>
        <w:t xml:space="preserve">Space Economy Papers corpus (SD03).</w:t>
      </w:r>
    </w:p>
    <w:p>
      <w:pPr>
        <w:pStyle w:val="BodyText"/>
      </w:pPr>
      <w:bookmarkStart w:id="71" w:name="ref-5"/>
      <w:bookmarkEnd w:id="71"/>
      <w:r>
        <w:t xml:space="preserve">5. R. Wright, G. Lake, T. Drouillard, A. Wernersbach, K. Naik, M. Dittman, and M. Tooth,</w:t>
      </w:r>
      <w:r>
        <w:t xml:space="preserve"> </w:t>
      </w:r>
      <w:r>
        <w:t xml:space="preserve">“Design of a Space-based Hyperspectral Characterization Sensor,”</w:t>
      </w:r>
      <w:r>
        <w:t xml:space="preserve"> </w:t>
      </w:r>
      <w:r>
        <w:t xml:space="preserve">Proc. Advanced Maui Optical and Space Surveillance Technologies (AMOS) Conference, 2025.</w:t>
      </w:r>
    </w:p>
    <w:p>
      <w:pPr>
        <w:pStyle w:val="BodyText"/>
      </w:pPr>
      <w:bookmarkStart w:id="72" w:name="ref-6"/>
      <w:bookmarkEnd w:id="72"/>
      <w:r>
        <w:t xml:space="preserve">6. Spacecraft and optics design considerations for a spaceborne lidar mission, Acta Astronautica, 2023. doi:</w:t>
      </w:r>
      <w:r>
        <w:t xml:space="preserve"> </w:t>
      </w:r>
      <w:hyperlink r:id="rId73">
        <w:r>
          <w:rPr>
            <w:rStyle w:val="Hyperlink"/>
          </w:rPr>
          <w:t xml:space="preserve">10.1016/j.actaastro.2023.10.042</w:t>
        </w:r>
      </w:hyperlink>
    </w:p>
    <w:bookmarkEnd w:id="74"/>
    <w:bookmarkStart w:id="75"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pubs</m:t>
              </m:r>
            </m:e>
            <m:sub>
              <m:r>
                <m:t>i</m:t>
              </m:r>
            </m:sub>
          </m:sSub>
          <m:r>
            <m:rPr>
              <m:sty m:val="p"/>
            </m:rPr>
            <m:t>)</m:t>
          </m:r>
          <m:r>
            <m:rPr>
              <m:sty m:val="p"/>
            </m:rPr>
            <m:t>=</m:t>
          </m:r>
          <m:r>
            <m:t>α</m:t>
          </m:r>
          <m:r>
            <m:rPr>
              <m:sty m:val="p"/>
            </m:rPr>
            <m:t>+</m:t>
          </m:r>
          <m:r>
            <m:t>β</m:t>
          </m:r>
          <m:r>
            <m:t> </m:t>
          </m:r>
          <m:r>
            <m:rPr>
              <m:sty m:val="p"/>
            </m:rPr>
            <m:t>ln</m:t>
          </m:r>
          <m:r>
            <m:rPr>
              <m:sty m:val="p"/>
            </m:rPr>
            <m:t>(</m:t>
          </m:r>
          <m:sSub>
            <m:e>
              <m:r>
                <m:rPr>
                  <m:nor/>
                  <m:sty m:val="p"/>
                </m:rPr>
                <m:t>mass_kg</m:t>
              </m:r>
            </m:e>
            <m:sub>
              <m:r>
                <m:t>i</m:t>
              </m:r>
            </m:sub>
          </m:sSub>
          <m:r>
            <m:rPr>
              <m:sty m:val="p"/>
            </m:rPr>
            <m:t>)</m:t>
          </m:r>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1.0498</w:t>
            </w:r>
          </w:p>
        </w:tc>
        <w:tc>
          <w:tcPr>
            <w:tcW w:w="0" w:type="auto"/>
          </w:tcPr>
          <w:p>
            <w:pPr>
              <w:spacing w:line="240" w:lineRule="auto" w:before="0" w:after="0"/>
              <w:pStyle w:val="Compact"/>
            </w:pPr>
            <w:r>
              <w:rPr>
                <w:sz w:val="20"/>
                <w:szCs w:val="20"/>
              </w:rPr>
              <w:t xml:space="preserve">0.2985</w:t>
            </w:r>
          </w:p>
        </w:tc>
        <w:tc>
          <w:tcPr>
            <w:tcW w:w="0" w:type="auto"/>
          </w:tcPr>
          <w:p>
            <w:pPr>
              <w:spacing w:line="240" w:lineRule="auto" w:before="0" w:after="0"/>
              <w:pStyle w:val="Compact"/>
            </w:pPr>
            <w:r>
              <w:rPr>
                <w:sz w:val="20"/>
                <w:szCs w:val="20"/>
              </w:rPr>
              <w:t xml:space="preserve">3.5167</w:t>
            </w:r>
          </w:p>
        </w:tc>
        <w:tc>
          <w:tcPr>
            <w:tcW w:w="0" w:type="auto"/>
          </w:tcPr>
          <w:p>
            <w:pPr>
              <w:spacing w:line="240" w:lineRule="auto" w:before="0" w:after="0"/>
              <w:pStyle w:val="Compact"/>
            </w:pPr>
            <w:r>
              <w:rPr>
                <w:sz w:val="20"/>
                <w:szCs w:val="20"/>
              </w:rPr>
              <w:t xml:space="preserve">0.000437</w:t>
            </w:r>
          </w:p>
        </w:tc>
        <w:tc>
          <w:tcPr>
            <w:tcW w:w="0" w:type="auto"/>
          </w:tcPr>
          <w:p>
            <w:pPr>
              <w:spacing w:line="240" w:lineRule="auto" w:before="0" w:after="0"/>
              <w:pStyle w:val="Compact"/>
            </w:pPr>
            <w:r>
              <w:rPr>
                <w:sz w:val="20"/>
                <w:szCs w:val="20"/>
              </w:rPr>
              <w:t xml:space="preserve">[0.4647, 1.6349]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0.419</w:t>
            </w:r>
          </w:p>
        </w:tc>
        <w:tc>
          <w:tcPr>
            <w:tcW w:w="0" w:type="auto"/>
          </w:tcPr>
          <w:p>
            <w:pPr>
              <w:spacing w:line="240" w:lineRule="auto" w:before="0" w:after="0"/>
              <w:pStyle w:val="Compact"/>
            </w:pPr>
            <w:r>
              <w:rPr>
                <w:sz w:val="20"/>
                <w:szCs w:val="20"/>
              </w:rPr>
              <w:t xml:space="preserve">0.1133</w:t>
            </w:r>
          </w:p>
        </w:tc>
        <w:tc>
          <w:tcPr>
            <w:tcW w:w="0" w:type="auto"/>
          </w:tcPr>
          <w:p>
            <w:pPr>
              <w:spacing w:line="240" w:lineRule="auto" w:before="0" w:after="0"/>
              <w:pStyle w:val="Compact"/>
            </w:pPr>
            <w:r>
              <w:rPr>
                <w:sz w:val="20"/>
                <w:szCs w:val="20"/>
              </w:rPr>
              <w:t xml:space="preserve">3.6995</w:t>
            </w:r>
          </w:p>
        </w:tc>
        <w:tc>
          <w:tcPr>
            <w:tcW w:w="0" w:type="auto"/>
          </w:tcPr>
          <w:p>
            <w:pPr>
              <w:spacing w:line="240" w:lineRule="auto" w:before="0" w:after="0"/>
              <w:pStyle w:val="Compact"/>
            </w:pPr>
            <w:r>
              <w:rPr>
                <w:sz w:val="20"/>
                <w:szCs w:val="20"/>
              </w:rPr>
              <w:t xml:space="preserve">0.000216</w:t>
            </w:r>
          </w:p>
        </w:tc>
        <w:tc>
          <w:tcPr>
            <w:tcW w:w="0" w:type="auto"/>
          </w:tcPr>
          <w:p>
            <w:pPr>
              <w:spacing w:line="240" w:lineRule="auto" w:before="0" w:after="0"/>
              <w:pStyle w:val="Compact"/>
            </w:pPr>
            <w:r>
              <w:rPr>
                <w:sz w:val="20"/>
                <w:szCs w:val="20"/>
              </w:rPr>
              <w:t xml:space="preserve">[0.197, 0.641]</w:t>
            </w:r>
          </w:p>
        </w:tc>
      </w:tr>
    </w:tbl>
    <w:p>
      <w:pPr>
        <w:pStyle w:val="BodyText"/>
      </w:pPr>
      <w:r>
        <w:t xml:space="preserve">Fit: N = 32 R2 = 0.1913 elasticity_b = 0.419 progress_ratio_2^b = 1.337</w:t>
      </w:r>
    </w:p>
    <w:p>
      <w:pPr>
        <w:pStyle w:val="CaptionedFigure"/>
      </w:pPr>
      <w:r>
        <w:drawing>
          <wp:inline>
            <wp:extent cx="5669280" cy="3657600"/>
            <wp:effectExtent b="0" l="0" r="0" t="0"/>
            <wp:docPr descr="Figure 1. Refereed output versus instrument flight mass for 32 planetary science instruments, on log-log axes, with the fitted power-law elasticity. The slope is the estimated elasticity of science output with respect to instrument mass." title="" id="77" name="Picture"/>
            <a:graphic>
              <a:graphicData uri="http://schemas.openxmlformats.org/drawingml/2006/picture">
                <pic:pic>
                  <pic:nvPicPr>
                    <pic:cNvPr descr="D:\Claude_Code\brain\collegium\candidates\dissertations\JPL_INSTRUMENTS_NAV_03\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Refereed output versus instrument flight mass for 32 planetary science instruments, on log-log axes, with the fitted power-law elasticity. The slope is the estimated elasticity of science output with respect to instrument mass.</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lifetime_years</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‘ChemCam Curiosity laser induced breakdown spectroscopy’</w:t>
            </w:r>
            <w:r>
              <w:rPr>
                <w:sz w:val="20"/>
                <w:szCs w:val="20"/>
              </w:rPr>
              <w:t xml:space="preserve"> </w:t>
            </w:r>
            <w:r>
              <w:rPr>
                <w:sz w:val="20"/>
                <w:szCs w:val="20"/>
              </w:rPr>
              <w:t xml:space="preserve">(ntrs.nasa.gov/api/citations/search, retrieved 2026-06-22); mass_kg=Maurice et al. 2012 Space Sci Rev 170:95 (ChemCam mass 10.6 kg); lifetime_years=MSL landed Aug 2012, operating through 2025 (NASA MSL mission pages)</w:t>
            </w:r>
          </w:p>
        </w:tc>
      </w:tr>
      <w:tr>
        <w:tc>
          <w:tcPr>
            <w:tcW w:w="0" w:type="auto"/>
          </w:tcPr>
          <w:p>
            <w:pPr>
              <w:spacing w:line="240" w:lineRule="auto" w:before="0" w:after="0"/>
              <w:pStyle w:val="Compact"/>
            </w:pPr>
            <w:r>
              <w:rPr>
                <w:sz w:val="20"/>
                <w:szCs w:val="20"/>
              </w:rPr>
              <w:t xml:space="preserve">Mastcam</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‘Mastcam Curiosity mast camera’</w:t>
            </w:r>
            <w:r>
              <w:rPr>
                <w:sz w:val="20"/>
                <w:szCs w:val="20"/>
              </w:rPr>
              <w:t xml:space="preserve"> </w:t>
            </w:r>
            <w:r>
              <w:rPr>
                <w:sz w:val="20"/>
                <w:szCs w:val="20"/>
              </w:rPr>
              <w:t xml:space="preserve">(ntrs.nasa.gov/api/citations/search, retrieved 2026-06-22); mass_kg=Malin et al. 2017 Earth &amp; Space Sci 4:506 (Mastcam two-camera ~2.4 kg); lifetime_years=MSL landed Aug 2012, operating through 2025</w:t>
            </w:r>
          </w:p>
        </w:tc>
      </w:tr>
      <w:tr>
        <w:tc>
          <w:tcPr>
            <w:tcW w:w="0" w:type="auto"/>
          </w:tcPr>
          <w:p>
            <w:pPr>
              <w:spacing w:line="240" w:lineRule="auto" w:before="0" w:after="0"/>
              <w:pStyle w:val="Compact"/>
            </w:pPr>
            <w:r>
              <w:rPr>
                <w:sz w:val="20"/>
                <w:szCs w:val="20"/>
              </w:rPr>
              <w:t xml:space="preserve">SAM</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‘Sample Analysis at Mars SAM Curiosity mass spectrometer’</w:t>
            </w:r>
            <w:r>
              <w:rPr>
                <w:sz w:val="20"/>
                <w:szCs w:val="20"/>
              </w:rPr>
              <w:t xml:space="preserve"> </w:t>
            </w:r>
            <w:r>
              <w:rPr>
                <w:sz w:val="20"/>
                <w:szCs w:val="20"/>
              </w:rPr>
              <w:t xml:space="preserve">(ntrs.nasa.gov/api/citations/search, retrieved 2026-06-22); mass_kg=Mahaffy et al. 2012 Space Sci Rev 170:401 (SAM suite ~40 kg); lifetime_years=MSL landed Aug 2012, operating through 2025</w:t>
            </w:r>
          </w:p>
        </w:tc>
      </w:tr>
      <w:tr>
        <w:tc>
          <w:tcPr>
            <w:tcW w:w="0" w:type="auto"/>
          </w:tcPr>
          <w:p>
            <w:pPr>
              <w:spacing w:line="240" w:lineRule="auto" w:before="0" w:after="0"/>
              <w:pStyle w:val="Compact"/>
            </w:pPr>
            <w:r>
              <w:rPr>
                <w:sz w:val="20"/>
                <w:szCs w:val="20"/>
              </w:rPr>
              <w:t xml:space="preserve">CheMin</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‘CheMin Curiosity X-ray diffraction’</w:t>
            </w:r>
            <w:r>
              <w:rPr>
                <w:sz w:val="20"/>
                <w:szCs w:val="20"/>
              </w:rPr>
              <w:t xml:space="preserve"> </w:t>
            </w:r>
            <w:r>
              <w:rPr>
                <w:sz w:val="20"/>
                <w:szCs w:val="20"/>
              </w:rPr>
              <w:t xml:space="preserve">(ntrs.nasa.gov/api/citations/search, retrieved 2026-06-22); mass_kg=Blake et al. 2012 Space Sci Rev 170:341 (CheMin ~10 kg); lifetime_years=MSL landed Aug 2012, operating through 2025</w:t>
            </w:r>
          </w:p>
        </w:tc>
      </w:tr>
      <w:tr>
        <w:tc>
          <w:tcPr>
            <w:tcW w:w="0" w:type="auto"/>
          </w:tcPr>
          <w:p>
            <w:pPr>
              <w:spacing w:line="240" w:lineRule="auto" w:before="0" w:after="0"/>
              <w:pStyle w:val="Compact"/>
            </w:pPr>
            <w:r>
              <w:rPr>
                <w:sz w:val="20"/>
                <w:szCs w:val="20"/>
              </w:rPr>
              <w:t xml:space="preserve">RAD</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‘Radiation Assessment Detector Curiosity RAD’</w:t>
            </w:r>
            <w:r>
              <w:rPr>
                <w:sz w:val="20"/>
                <w:szCs w:val="20"/>
              </w:rPr>
              <w:t xml:space="preserve"> </w:t>
            </w:r>
            <w:r>
              <w:rPr>
                <w:sz w:val="20"/>
                <w:szCs w:val="20"/>
              </w:rPr>
              <w:t xml:space="preserve">(ntrs.nasa.gov/api/citations/search, retrieved 2026-06-22); mass_kg=Hassler et al. 2012 Space Sci Rev 170:503 (RAD 1.56 kg); lifetime_years=MSL landed Aug 2012, operating through 2025</w:t>
            </w:r>
          </w:p>
        </w:tc>
      </w:tr>
      <w:tr>
        <w:tc>
          <w:tcPr>
            <w:tcW w:w="0" w:type="auto"/>
          </w:tcPr>
          <w:p>
            <w:pPr>
              <w:spacing w:line="240" w:lineRule="auto" w:before="0" w:after="0"/>
              <w:pStyle w:val="Compact"/>
            </w:pPr>
            <w:r>
              <w:rPr>
                <w:sz w:val="20"/>
                <w:szCs w:val="20"/>
              </w:rPr>
              <w:t xml:space="preserve">MARDI</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‘MARDI Mars Descent Imager Curiosity’</w:t>
            </w:r>
            <w:r>
              <w:rPr>
                <w:sz w:val="20"/>
                <w:szCs w:val="20"/>
              </w:rPr>
              <w:t xml:space="preserve"> </w:t>
            </w:r>
            <w:r>
              <w:rPr>
                <w:sz w:val="20"/>
                <w:szCs w:val="20"/>
              </w:rPr>
              <w:t xml:space="preserve">(ntrs.nasa.gov/api/citations/search, retrieved 2026-06-22); mass_kg=Malin et al. 2017 Earth &amp; Space Sci 4:506 (MARDI ~0.66 kg); lifetime_years=MSL landed Aug 2012, operating through 2025</w:t>
            </w:r>
          </w:p>
        </w:tc>
      </w:tr>
      <w:tr>
        <w:tc>
          <w:tcPr>
            <w:tcW w:w="0" w:type="auto"/>
          </w:tcPr>
          <w:p>
            <w:pPr>
              <w:spacing w:line="240" w:lineRule="auto" w:before="0" w:after="0"/>
              <w:pStyle w:val="Compact"/>
            </w:pPr>
            <w:r>
              <w:rPr>
                <w:sz w:val="20"/>
                <w:szCs w:val="20"/>
              </w:rPr>
              <w:t xml:space="preserve">CRISM</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32.7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‘CRISM Mars Reconnaissance Orbiter compact imaging spectrometer’</w:t>
            </w:r>
            <w:r>
              <w:rPr>
                <w:sz w:val="20"/>
                <w:szCs w:val="20"/>
              </w:rPr>
              <w:t xml:space="preserve"> </w:t>
            </w:r>
            <w:r>
              <w:rPr>
                <w:sz w:val="20"/>
                <w:szCs w:val="20"/>
              </w:rPr>
              <w:t xml:space="preserve">(ntrs.nasa.gov/api/citations/search, retrieved 2026-06-22); mass_kg=Murchie et al. 2007 JGR 112:E05S03 (CRISM 32.7 kg); lifetime_years=MRO orbit insertion Mar 2006, operating through 2025</w:t>
            </w:r>
          </w:p>
        </w:tc>
      </w:tr>
      <w:tr>
        <w:tc>
          <w:tcPr>
            <w:tcW w:w="0" w:type="auto"/>
          </w:tcPr>
          <w:p>
            <w:pPr>
              <w:spacing w:line="240" w:lineRule="auto" w:before="0" w:after="0"/>
              <w:pStyle w:val="Compact"/>
            </w:pPr>
            <w:r>
              <w:rPr>
                <w:sz w:val="20"/>
                <w:szCs w:val="20"/>
              </w:rPr>
              <w:t xml:space="preserve">HiRISE</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‘HiRISE Mars Reconnaissance Orbiter high resolution imaging’</w:t>
            </w:r>
            <w:r>
              <w:rPr>
                <w:sz w:val="20"/>
                <w:szCs w:val="20"/>
              </w:rPr>
              <w:t xml:space="preserve"> </w:t>
            </w:r>
            <w:r>
              <w:rPr>
                <w:sz w:val="20"/>
                <w:szCs w:val="20"/>
              </w:rPr>
              <w:t xml:space="preserve">(ntrs.nasa.gov/api/citations/search, retrieved 2026-06-22); mass_kg=McEwen et al. 2007 JGR 112:E05S02 (HiRISE 65 kg); lifetime_years=MRO orbit insertion Mar 2006, operating through 2025</w:t>
            </w:r>
          </w:p>
        </w:tc>
      </w:tr>
      <w:tr>
        <w:tc>
          <w:tcPr>
            <w:tcW w:w="0" w:type="auto"/>
          </w:tcPr>
          <w:p>
            <w:pPr>
              <w:spacing w:line="240" w:lineRule="auto" w:before="0" w:after="0"/>
              <w:pStyle w:val="Compact"/>
            </w:pPr>
            <w:r>
              <w:rPr>
                <w:sz w:val="20"/>
                <w:szCs w:val="20"/>
              </w:rPr>
              <w:t xml:space="preserve">SHARAD</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‘SHARAD Mars Reconnaissance Orbiter shallow radar’</w:t>
            </w:r>
            <w:r>
              <w:rPr>
                <w:sz w:val="20"/>
                <w:szCs w:val="20"/>
              </w:rPr>
              <w:t xml:space="preserve"> </w:t>
            </w:r>
            <w:r>
              <w:rPr>
                <w:sz w:val="20"/>
                <w:szCs w:val="20"/>
              </w:rPr>
              <w:t xml:space="preserve">(ntrs.nasa.gov/api/citations/search, retrieved 2026-06-22); mass_kg=Seu et al. 2007 JGR 112:E05S05 (SHARAD ~15 kg); lifetime_years=MRO orbit insertion Mar 2006, operating through 2025</w:t>
            </w:r>
          </w:p>
        </w:tc>
      </w:tr>
      <w:tr>
        <w:tc>
          <w:tcPr>
            <w:tcW w:w="0" w:type="auto"/>
          </w:tcPr>
          <w:p>
            <w:pPr>
              <w:spacing w:line="240" w:lineRule="auto" w:before="0" w:after="0"/>
              <w:pStyle w:val="Compact"/>
            </w:pPr>
            <w:r>
              <w:rPr>
                <w:sz w:val="20"/>
                <w:szCs w:val="20"/>
              </w:rPr>
              <w:t xml:space="preserve">CTX</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‘Context Camera CTX Mars Reconnaissance Orbiter’</w:t>
            </w:r>
            <w:r>
              <w:rPr>
                <w:sz w:val="20"/>
                <w:szCs w:val="20"/>
              </w:rPr>
              <w:t xml:space="preserve"> </w:t>
            </w:r>
            <w:r>
              <w:rPr>
                <w:sz w:val="20"/>
                <w:szCs w:val="20"/>
              </w:rPr>
              <w:t xml:space="preserve">(ntrs.nasa.gov/api/citations/search, retrieved 2026-06-22); mass_kg=Malin et al. 2007 JGR 112:E05S04 (CTX ~22 kg); lifetime_years=MRO orbit insertion Mar 2006, operating through 2025</w:t>
            </w:r>
          </w:p>
        </w:tc>
      </w:tr>
      <w:tr>
        <w:tc>
          <w:tcPr>
            <w:tcW w:w="0" w:type="auto"/>
          </w:tcPr>
          <w:p>
            <w:pPr>
              <w:spacing w:line="240" w:lineRule="auto" w:before="0" w:after="0"/>
              <w:pStyle w:val="Compact"/>
            </w:pPr>
            <w:r>
              <w:rPr>
                <w:sz w:val="20"/>
                <w:szCs w:val="20"/>
              </w:rPr>
              <w:t xml:space="preserve">MARCI</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‘Mars Color Imager MARCI Reconnaissance Orbiter’</w:t>
            </w:r>
            <w:r>
              <w:rPr>
                <w:sz w:val="20"/>
                <w:szCs w:val="20"/>
              </w:rPr>
              <w:t xml:space="preserve"> </w:t>
            </w:r>
            <w:r>
              <w:rPr>
                <w:sz w:val="20"/>
                <w:szCs w:val="20"/>
              </w:rPr>
              <w:t xml:space="preserve">(ntrs.nasa.gov/api/citations/search, retrieved 2026-06-22); mass_kg=Malin et al. 2007 JGR 112:E05S04 (MARCI ~0.45 kg); lifetime_years=MRO orbit insertion Mar 2006, operating through 2025</w:t>
            </w:r>
          </w:p>
        </w:tc>
      </w:tr>
      <w:tr>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57.83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Imaging Science Subsystem ISS Saturn’</w:t>
            </w:r>
            <w:r>
              <w:rPr>
                <w:sz w:val="20"/>
                <w:szCs w:val="20"/>
              </w:rPr>
              <w:t xml:space="preserve"> </w:t>
            </w:r>
            <w:r>
              <w:rPr>
                <w:sz w:val="20"/>
                <w:szCs w:val="20"/>
              </w:rPr>
              <w:t xml:space="preserve">(ntrs.nasa.gov/api/citations/search, retrieved 2026-06-22); mass_kg=Porco et al. 2004 Space Sci Rev 115:363 (Cassini ISS 57.83 kg); lifetime_years=Cassini Saturn orbit 2004 to EOM Sep 2017</w:t>
            </w:r>
          </w:p>
        </w:tc>
      </w:tr>
      <w:tr>
        <w:tc>
          <w:tcPr>
            <w:tcW w:w="0" w:type="auto"/>
          </w:tcPr>
          <w:p>
            <w:pPr>
              <w:spacing w:line="240" w:lineRule="auto" w:before="0" w:after="0"/>
              <w:pStyle w:val="Compact"/>
            </w:pPr>
            <w:r>
              <w:rPr>
                <w:sz w:val="20"/>
                <w:szCs w:val="20"/>
              </w:rPr>
              <w:t xml:space="preserve">CIRS</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39.24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Composite Infrared Spectrometer CIRS’</w:t>
            </w:r>
            <w:r>
              <w:rPr>
                <w:sz w:val="20"/>
                <w:szCs w:val="20"/>
              </w:rPr>
              <w:t xml:space="preserve"> </w:t>
            </w:r>
            <w:r>
              <w:rPr>
                <w:sz w:val="20"/>
                <w:szCs w:val="20"/>
              </w:rPr>
              <w:t xml:space="preserve">(ntrs.nasa.gov/api/citations/search, retrieved 2026-06-22); mass_kg=Flasar et al. 2004 Space Sci Rev 115:169 (CIRS 39.24 kg); lifetime_years=Cassini Saturn orbit 2004 to EOM Sep 2017</w:t>
            </w:r>
          </w:p>
        </w:tc>
      </w:tr>
      <w:tr>
        <w:tc>
          <w:tcPr>
            <w:tcW w:w="0" w:type="auto"/>
          </w:tcPr>
          <w:p>
            <w:pPr>
              <w:spacing w:line="240" w:lineRule="auto" w:before="0" w:after="0"/>
              <w:pStyle w:val="Compact"/>
            </w:pPr>
            <w:r>
              <w:rPr>
                <w:sz w:val="20"/>
                <w:szCs w:val="20"/>
              </w:rPr>
              <w:t xml:space="preserve">VIMS</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Visual Infrared Mapping Spectrometer VIMS’</w:t>
            </w:r>
            <w:r>
              <w:rPr>
                <w:sz w:val="20"/>
                <w:szCs w:val="20"/>
              </w:rPr>
              <w:t xml:space="preserve"> </w:t>
            </w:r>
            <w:r>
              <w:rPr>
                <w:sz w:val="20"/>
                <w:szCs w:val="20"/>
              </w:rPr>
              <w:t xml:space="preserve">(ntrs.nasa.gov/api/citations/search, retrieved 2026-06-22); mass_kg=Brown et al. 2004 Space Sci Rev 115:111 (VIMS 37.14 kg); lifetime_years=Cassini Saturn orbit 2004 to EOM Sep 2017</w:t>
            </w:r>
          </w:p>
        </w:tc>
      </w:tr>
      <w:tr>
        <w:tc>
          <w:tcPr>
            <w:tcW w:w="0" w:type="auto"/>
          </w:tcPr>
          <w:p>
            <w:pPr>
              <w:spacing w:line="240" w:lineRule="auto" w:before="0" w:after="0"/>
              <w:pStyle w:val="Compact"/>
            </w:pPr>
            <w:r>
              <w:rPr>
                <w:sz w:val="20"/>
                <w:szCs w:val="20"/>
              </w:rPr>
              <w:t xml:space="preserve">RADAR</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41.43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Titan radar mapper’</w:t>
            </w:r>
            <w:r>
              <w:rPr>
                <w:sz w:val="20"/>
                <w:szCs w:val="20"/>
              </w:rPr>
              <w:t xml:space="preserve"> </w:t>
            </w:r>
            <w:r>
              <w:rPr>
                <w:sz w:val="20"/>
                <w:szCs w:val="20"/>
              </w:rPr>
              <w:t xml:space="preserve">(ntrs.nasa.gov/api/citations/search, retrieved 2026-06-22); mass_kg=Elachi et al. 2004 Space Sci Rev 115:71 (Cassini RADAR 41.43 kg); lifetime_years=Cassini Saturn orbit 2004 to EOM Sep 2017</w:t>
            </w:r>
          </w:p>
        </w:tc>
      </w:tr>
      <w:tr>
        <w:tc>
          <w:tcPr>
            <w:tcW w:w="0" w:type="auto"/>
          </w:tcPr>
          <w:p>
            <w:pPr>
              <w:spacing w:line="240" w:lineRule="auto" w:before="0" w:after="0"/>
              <w:pStyle w:val="Compact"/>
            </w:pPr>
            <w:r>
              <w:rPr>
                <w:sz w:val="20"/>
                <w:szCs w:val="20"/>
              </w:rPr>
              <w:t xml:space="preserve">INMS</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9.25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Ion Neutral Mass Spectrometer INMS’</w:t>
            </w:r>
            <w:r>
              <w:rPr>
                <w:sz w:val="20"/>
                <w:szCs w:val="20"/>
              </w:rPr>
              <w:t xml:space="preserve"> </w:t>
            </w:r>
            <w:r>
              <w:rPr>
                <w:sz w:val="20"/>
                <w:szCs w:val="20"/>
              </w:rPr>
              <w:t xml:space="preserve">(ntrs.nasa.gov/api/citations/search, retrieved 2026-06-22); mass_kg=Waite et al. 2004 Space Sci Rev 114:113 (INMS 9.25 kg); lifetime_years=Cassini Saturn orbit 2004 to EOM Sep 2017</w:t>
            </w:r>
          </w:p>
        </w:tc>
      </w:tr>
      <w:tr>
        <w:tc>
          <w:tcPr>
            <w:tcW w:w="0" w:type="auto"/>
          </w:tcPr>
          <w:p>
            <w:pPr>
              <w:spacing w:line="240" w:lineRule="auto" w:before="0" w:after="0"/>
              <w:pStyle w:val="Compact"/>
            </w:pPr>
            <w:r>
              <w:rPr>
                <w:sz w:val="20"/>
                <w:szCs w:val="20"/>
              </w:rPr>
              <w:t xml:space="preserve">MAG</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‘Cassini magnetometer MAG Saturn’</w:t>
            </w:r>
            <w:r>
              <w:rPr>
                <w:sz w:val="20"/>
                <w:szCs w:val="20"/>
              </w:rPr>
              <w:t xml:space="preserve"> </w:t>
            </w:r>
            <w:r>
              <w:rPr>
                <w:sz w:val="20"/>
                <w:szCs w:val="20"/>
              </w:rPr>
              <w:t xml:space="preserve">(ntrs.nasa.gov/api/citations/search, retrieved 2026-06-22); mass_kg=Dougherty et al. 2004 Space Sci Rev 114:331 (Cassini MAG 8.82 kg); lifetime_years=Cassini Saturn orbit 2004 to EOM Sep 2017</w:t>
            </w:r>
          </w:p>
        </w:tc>
      </w:tr>
      <w:tr>
        <w:tc>
          <w:tcPr>
            <w:tcW w:w="0" w:type="auto"/>
          </w:tcPr>
          <w:p>
            <w:pPr>
              <w:spacing w:line="240" w:lineRule="auto" w:before="0" w:after="0"/>
              <w:pStyle w:val="Compact"/>
            </w:pPr>
            <w:r>
              <w:rPr>
                <w:sz w:val="20"/>
                <w:szCs w:val="20"/>
              </w:rPr>
              <w:t xml:space="preserve">LORRI</w:t>
            </w:r>
          </w:p>
        </w:tc>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‘LORRI New Horizons long range reconnaissance imager Pluto’</w:t>
            </w:r>
            <w:r>
              <w:rPr>
                <w:sz w:val="20"/>
                <w:szCs w:val="20"/>
              </w:rPr>
              <w:t xml:space="preserve"> </w:t>
            </w:r>
            <w:r>
              <w:rPr>
                <w:sz w:val="20"/>
                <w:szCs w:val="20"/>
              </w:rPr>
              <w:t xml:space="preserve">(ntrs.nasa.gov/api/citations/search, retrieved 2026-06-22); mass_kg=Cheng et al. 2008 Space Sci Rev 140:189 (LORRI 8.6 kg); lifetime_years=New Horizons launch 2006 through 2025</w:t>
            </w:r>
          </w:p>
        </w:tc>
      </w:tr>
      <w:tr>
        <w:tc>
          <w:tcPr>
            <w:tcW w:w="0" w:type="auto"/>
          </w:tcPr>
          <w:p>
            <w:pPr>
              <w:spacing w:line="240" w:lineRule="auto" w:before="0" w:after="0"/>
              <w:pStyle w:val="Compact"/>
            </w:pPr>
            <w:r>
              <w:rPr>
                <w:sz w:val="20"/>
                <w:szCs w:val="20"/>
              </w:rPr>
              <w:t xml:space="preserve">Ralph</w:t>
            </w:r>
          </w:p>
        </w:tc>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‘Ralph New Horizons MVIC LEISA Pluto’</w:t>
            </w:r>
            <w:r>
              <w:rPr>
                <w:sz w:val="20"/>
                <w:szCs w:val="20"/>
              </w:rPr>
              <w:t xml:space="preserve"> </w:t>
            </w:r>
            <w:r>
              <w:rPr>
                <w:sz w:val="20"/>
                <w:szCs w:val="20"/>
              </w:rPr>
              <w:t xml:space="preserve">(ntrs.nasa.gov/api/citations/search, retrieved 2026-06-22); mass_kg=Reuter et al. 2008 Space Sci Rev 140:129 (Ralph 10.5 kg); lifetime_years=New Horizons launch 2006 through 2025</w:t>
            </w:r>
          </w:p>
        </w:tc>
      </w:tr>
      <w:tr>
        <w:tc>
          <w:tcPr>
            <w:tcW w:w="0" w:type="auto"/>
          </w:tcPr>
          <w:p>
            <w:pPr>
              <w:spacing w:line="240" w:lineRule="auto" w:before="0" w:after="0"/>
              <w:pStyle w:val="Compact"/>
            </w:pPr>
            <w:r>
              <w:rPr>
                <w:sz w:val="20"/>
                <w:szCs w:val="20"/>
              </w:rPr>
              <w:t xml:space="preserve">REX</w:t>
            </w:r>
          </w:p>
        </w:tc>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‘REX New Horizons radio science experiment’</w:t>
            </w:r>
            <w:r>
              <w:rPr>
                <w:sz w:val="20"/>
                <w:szCs w:val="20"/>
              </w:rPr>
              <w:t xml:space="preserve"> </w:t>
            </w:r>
            <w:r>
              <w:rPr>
                <w:sz w:val="20"/>
                <w:szCs w:val="20"/>
              </w:rPr>
              <w:t xml:space="preserve">(ntrs.nasa.gov/api/citations/search, retrieved 2026-06-22); mass_kg=Tyler et al. 2008 Space Sci Rev 140:217 (REX ~0.16 kg per board); lifetime_years=New Horizons launch 2006 through 2025</w:t>
            </w:r>
          </w:p>
        </w:tc>
      </w:tr>
      <w:tr>
        <w:tc>
          <w:tcPr>
            <w:tcW w:w="0" w:type="auto"/>
          </w:tcPr>
          <w:p>
            <w:pPr>
              <w:spacing w:line="240" w:lineRule="auto" w:before="0" w:after="0"/>
              <w:pStyle w:val="Compact"/>
            </w:pPr>
            <w:r>
              <w:rPr>
                <w:sz w:val="20"/>
                <w:szCs w:val="20"/>
              </w:rPr>
              <w:t xml:space="preserve">MDIS</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‘MESSENGER Mercury Dual Imaging System MDIS’</w:t>
            </w:r>
            <w:r>
              <w:rPr>
                <w:sz w:val="20"/>
                <w:szCs w:val="20"/>
              </w:rPr>
              <w:t xml:space="preserve"> </w:t>
            </w:r>
            <w:r>
              <w:rPr>
                <w:sz w:val="20"/>
                <w:szCs w:val="20"/>
              </w:rPr>
              <w:t xml:space="preserve">(ntrs.nasa.gov/api/citations/search, retrieved 2026-06-22); mass_kg=Hawkins et al. 2007 Space Sci Rev 131:247 (MDIS ~8 kg); lifetime_years=MESSENGER Mercury orbit Mar 2011 to impact Apr 2015</w:t>
            </w:r>
          </w:p>
        </w:tc>
      </w:tr>
      <w:tr>
        <w:tc>
          <w:tcPr>
            <w:tcW w:w="0" w:type="auto"/>
          </w:tcPr>
          <w:p>
            <w:pPr>
              <w:spacing w:line="240" w:lineRule="auto" w:before="0" w:after="0"/>
              <w:pStyle w:val="Compact"/>
            </w:pPr>
            <w:r>
              <w:rPr>
                <w:sz w:val="20"/>
                <w:szCs w:val="20"/>
              </w:rPr>
              <w:t xml:space="preserve">GRNS</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‘MESSENGER gamma ray neutron spectrometer Mercury’</w:t>
            </w:r>
            <w:r>
              <w:rPr>
                <w:sz w:val="20"/>
                <w:szCs w:val="20"/>
              </w:rPr>
              <w:t xml:space="preserve"> </w:t>
            </w:r>
            <w:r>
              <w:rPr>
                <w:sz w:val="20"/>
                <w:szCs w:val="20"/>
              </w:rPr>
              <w:t xml:space="preserve">(ntrs.nasa.gov/api/citations/search, retrieved 2026-06-22); mass_kg=Goldsten et al. 2007 Space Sci Rev 131:339 (GRNS GRS+NS ~13 kg); lifetime_years=MESSENGER Mercury orbit Mar 2011 to impact Apr 2015</w:t>
            </w:r>
          </w:p>
        </w:tc>
      </w:tr>
      <w:tr>
        <w:tc>
          <w:tcPr>
            <w:tcW w:w="0" w:type="auto"/>
          </w:tcPr>
          <w:p>
            <w:pPr>
              <w:spacing w:line="240" w:lineRule="auto" w:before="0" w:after="0"/>
              <w:pStyle w:val="Compact"/>
            </w:pPr>
            <w:r>
              <w:rPr>
                <w:sz w:val="20"/>
                <w:szCs w:val="20"/>
              </w:rPr>
              <w:t xml:space="preserve">MASCS</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‘MESSENGER atmospheric surface composition spectrometer MASCS’</w:t>
            </w:r>
            <w:r>
              <w:rPr>
                <w:sz w:val="20"/>
                <w:szCs w:val="20"/>
              </w:rPr>
              <w:t xml:space="preserve"> </w:t>
            </w:r>
            <w:r>
              <w:rPr>
                <w:sz w:val="20"/>
                <w:szCs w:val="20"/>
              </w:rPr>
              <w:t xml:space="preserve">(ntrs.nasa.gov/api/citations/search, retrieved 2026-06-22); mass_kg=McClintock &amp; Lankton 2007 Space Sci Rev 131:481 (MASCS 3.1 kg); lifetime_years=MESSENGER Mercury orbit Mar 2011 to impact Apr 2015</w:t>
            </w:r>
          </w:p>
        </w:tc>
      </w:tr>
      <w:tr>
        <w:tc>
          <w:tcPr>
            <w:tcW w:w="0" w:type="auto"/>
          </w:tcPr>
          <w:p>
            <w:pPr>
              <w:spacing w:line="240" w:lineRule="auto" w:before="0" w:after="0"/>
              <w:pStyle w:val="Compact"/>
            </w:pPr>
            <w:r>
              <w:rPr>
                <w:sz w:val="20"/>
                <w:szCs w:val="20"/>
              </w:rPr>
              <w:t xml:space="preserve">MWR</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‘Juno Microwave Radiometer Jupiter’</w:t>
            </w:r>
            <w:r>
              <w:rPr>
                <w:sz w:val="20"/>
                <w:szCs w:val="20"/>
              </w:rPr>
              <w:t xml:space="preserve"> </w:t>
            </w:r>
            <w:r>
              <w:rPr>
                <w:sz w:val="20"/>
                <w:szCs w:val="20"/>
              </w:rPr>
              <w:t xml:space="preserve">(ntrs.nasa.gov/api/citations/search, retrieved 2026-06-22); mass_kg=Janssen et al. 2017 Space Sci Rev 213:139 (Juno MWR ~42 kg); lifetime_years=Juno Jupiter orbit insertion Jul 2016 through 2025</w:t>
            </w:r>
          </w:p>
        </w:tc>
      </w:tr>
      <w:tr>
        <w:tc>
          <w:tcPr>
            <w:tcW w:w="0" w:type="auto"/>
          </w:tcPr>
          <w:p>
            <w:pPr>
              <w:spacing w:line="240" w:lineRule="auto" w:before="0" w:after="0"/>
              <w:pStyle w:val="Compact"/>
            </w:pPr>
            <w:r>
              <w:rPr>
                <w:sz w:val="20"/>
                <w:szCs w:val="20"/>
              </w:rPr>
              <w:t xml:space="preserve">JEDI</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‘Juno Jupiter Energetic Particle Detector JEDI’</w:t>
            </w:r>
            <w:r>
              <w:rPr>
                <w:sz w:val="20"/>
                <w:szCs w:val="20"/>
              </w:rPr>
              <w:t xml:space="preserve"> </w:t>
            </w:r>
            <w:r>
              <w:rPr>
                <w:sz w:val="20"/>
                <w:szCs w:val="20"/>
              </w:rPr>
              <w:t xml:space="preserve">(ntrs.nasa.gov/api/citations/search, retrieved 2026-06-22); mass_kg=Mauk et al. 2017 Space Sci Rev 213:289 (JEDI 3 units ~6.3 kg); lifetime_years=Juno Jupiter orbit insertion Jul 2016 through 2025</w:t>
            </w:r>
          </w:p>
        </w:tc>
      </w:tr>
      <w:tr>
        <w:tc>
          <w:tcPr>
            <w:tcW w:w="0" w:type="auto"/>
          </w:tcPr>
          <w:p>
            <w:pPr>
              <w:spacing w:line="240" w:lineRule="auto" w:before="0" w:after="0"/>
              <w:pStyle w:val="Compact"/>
            </w:pPr>
            <w:r>
              <w:rPr>
                <w:sz w:val="20"/>
                <w:szCs w:val="20"/>
              </w:rPr>
              <w:t xml:space="preserve">MARSIS</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‘MARSIS Mars Express subsurface sounding radar’</w:t>
            </w:r>
            <w:r>
              <w:rPr>
                <w:sz w:val="20"/>
                <w:szCs w:val="20"/>
              </w:rPr>
              <w:t xml:space="preserve"> </w:t>
            </w:r>
            <w:r>
              <w:rPr>
                <w:sz w:val="20"/>
                <w:szCs w:val="20"/>
              </w:rPr>
              <w:t xml:space="preserve">(ntrs.nasa.gov/api/citations/search, retrieved 2026-06-22); mass_kg=Picardi et al. 2004 ESA SP-1240 (MARSIS ~13.5 kg); lifetime_years=Mars Express orbit Dec 2003 through 2025</w:t>
            </w:r>
          </w:p>
        </w:tc>
      </w:tr>
      <w:tr>
        <w:tc>
          <w:tcPr>
            <w:tcW w:w="0" w:type="auto"/>
          </w:tcPr>
          <w:p>
            <w:pPr>
              <w:spacing w:line="240" w:lineRule="auto" w:before="0" w:after="0"/>
              <w:pStyle w:val="Compact"/>
            </w:pPr>
            <w:r>
              <w:rPr>
                <w:sz w:val="20"/>
                <w:szCs w:val="20"/>
              </w:rPr>
              <w:t xml:space="preserve">HRSC</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‘HRSC Mars Express High Resolution Stereo Camera’</w:t>
            </w:r>
            <w:r>
              <w:rPr>
                <w:sz w:val="20"/>
                <w:szCs w:val="20"/>
              </w:rPr>
              <w:t xml:space="preserve"> </w:t>
            </w:r>
            <w:r>
              <w:rPr>
                <w:sz w:val="20"/>
                <w:szCs w:val="20"/>
              </w:rPr>
              <w:t xml:space="preserve">(ntrs.nasa.gov/api/citations/search, retrieved 2026-06-22); mass_kg=Jaumann et al. 2007 Planet Space Sci 55:928 (HRSC 21.4 kg); lifetime_years=Mars Express orbit Dec 2003 through 2025</w:t>
            </w:r>
          </w:p>
        </w:tc>
      </w:tr>
      <w:tr>
        <w:tc>
          <w:tcPr>
            <w:tcW w:w="0" w:type="auto"/>
          </w:tcPr>
          <w:p>
            <w:pPr>
              <w:spacing w:line="240" w:lineRule="auto" w:before="0" w:after="0"/>
              <w:pStyle w:val="Compact"/>
            </w:pPr>
            <w:r>
              <w:rPr>
                <w:sz w:val="20"/>
                <w:szCs w:val="20"/>
              </w:rPr>
              <w:t xml:space="preserve">OMEGA</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‘OMEGA Mars Express visible infrared mineralogical mapping’</w:t>
            </w:r>
            <w:r>
              <w:rPr>
                <w:sz w:val="20"/>
                <w:szCs w:val="20"/>
              </w:rPr>
              <w:t xml:space="preserve"> </w:t>
            </w:r>
            <w:r>
              <w:rPr>
                <w:sz w:val="20"/>
                <w:szCs w:val="20"/>
              </w:rPr>
              <w:t xml:space="preserve">(ntrs.nasa.gov/api/citations/search, retrieved 2026-06-22); mass_kg=Bibring et al. 2004 ESA SP-1240 (OMEGA ~28.6 kg); lifetime_years=Mars Express orbit Dec 2003 through 2025</w:t>
            </w:r>
          </w:p>
        </w:tc>
      </w:tr>
      <w:tr>
        <w:tc>
          <w:tcPr>
            <w:tcW w:w="0" w:type="auto"/>
          </w:tcPr>
          <w:p>
            <w:pPr>
              <w:spacing w:line="240" w:lineRule="auto" w:before="0" w:after="0"/>
              <w:pStyle w:val="Compact"/>
            </w:pPr>
            <w:r>
              <w:rPr>
                <w:sz w:val="20"/>
                <w:szCs w:val="20"/>
              </w:rPr>
              <w:t xml:space="preserve">PFS</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31.4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‘Planetary Fourier Spectrometer Mars Express PFS’</w:t>
            </w:r>
            <w:r>
              <w:rPr>
                <w:sz w:val="20"/>
                <w:szCs w:val="20"/>
              </w:rPr>
              <w:t xml:space="preserve"> </w:t>
            </w:r>
            <w:r>
              <w:rPr>
                <w:sz w:val="20"/>
                <w:szCs w:val="20"/>
              </w:rPr>
              <w:t xml:space="preserve">(ntrs.nasa.gov/api/citations/search, retrieved 2026-06-22); mass_kg=Formisano et al. 2005 Planet Space Sci 53:963 (PFS ~31.4 kg); lifetime_years=Mars Express orbit Dec 2003 through 2025</w:t>
            </w:r>
          </w:p>
        </w:tc>
      </w:tr>
      <w:tr>
        <w:tc>
          <w:tcPr>
            <w:tcW w:w="0" w:type="auto"/>
          </w:tcPr>
          <w:p>
            <w:pPr>
              <w:spacing w:line="240" w:lineRule="auto" w:before="0" w:after="0"/>
              <w:pStyle w:val="Compact"/>
            </w:pPr>
            <w:r>
              <w:rPr>
                <w:sz w:val="20"/>
                <w:szCs w:val="20"/>
              </w:rPr>
              <w:t xml:space="preserve">MOC</w:t>
            </w:r>
          </w:p>
        </w:tc>
        <w:tc>
          <w:tcPr>
            <w:tcW w:w="0" w:type="auto"/>
          </w:tcPr>
          <w:p>
            <w:pPr>
              <w:spacing w:line="240" w:lineRule="auto" w:before="0" w:after="0"/>
              <w:pStyle w:val="Compact"/>
            </w:pPr>
            <w:r>
              <w:rPr>
                <w:sz w:val="20"/>
                <w:szCs w:val="20"/>
              </w:rPr>
              <w:t xml:space="preserve">MGS</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‘Mars Orbiter Camera MOC Global Surveyor’</w:t>
            </w:r>
            <w:r>
              <w:rPr>
                <w:sz w:val="20"/>
                <w:szCs w:val="20"/>
              </w:rPr>
              <w:t xml:space="preserve"> </w:t>
            </w:r>
            <w:r>
              <w:rPr>
                <w:sz w:val="20"/>
                <w:szCs w:val="20"/>
              </w:rPr>
              <w:t xml:space="preserve">(ntrs.nasa.gov/api/citations/search, retrieved 2026-06-22); mass_kg=Malin et al. 1992 JGR 97:7699 (MOC ~21 kg); lifetime_years=Mars Global Surveyor mapping Sep 1997 to loss Nov 2006</w:t>
            </w:r>
          </w:p>
        </w:tc>
      </w:tr>
      <w:tr>
        <w:tc>
          <w:tcPr>
            <w:tcW w:w="0" w:type="auto"/>
          </w:tcPr>
          <w:p>
            <w:pPr>
              <w:spacing w:line="240" w:lineRule="auto" w:before="0" w:after="0"/>
              <w:pStyle w:val="Compact"/>
            </w:pPr>
            <w:r>
              <w:rPr>
                <w:sz w:val="20"/>
                <w:szCs w:val="20"/>
              </w:rPr>
              <w:t xml:space="preserve">TES</w:t>
            </w:r>
          </w:p>
        </w:tc>
        <w:tc>
          <w:tcPr>
            <w:tcW w:w="0" w:type="auto"/>
          </w:tcPr>
          <w:p>
            <w:pPr>
              <w:spacing w:line="240" w:lineRule="auto" w:before="0" w:after="0"/>
              <w:pStyle w:val="Compact"/>
            </w:pPr>
            <w:r>
              <w:rPr>
                <w:sz w:val="20"/>
                <w:szCs w:val="20"/>
              </w:rPr>
              <w:t xml:space="preserve">MGS</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‘Thermal Emission Spectrometer TES Mars Global Surveyor’</w:t>
            </w:r>
            <w:r>
              <w:rPr>
                <w:sz w:val="20"/>
                <w:szCs w:val="20"/>
              </w:rPr>
              <w:t xml:space="preserve"> </w:t>
            </w:r>
            <w:r>
              <w:rPr>
                <w:sz w:val="20"/>
                <w:szCs w:val="20"/>
              </w:rPr>
              <w:t xml:space="preserve">(ntrs.nasa.gov/api/citations/search, retrieved 2026-06-22); mass_kg=Christensen et al. 2001 JGR 106:23823 (TES 14.1 kg); lifetime_years=Mars Global Surveyor mapping Sep 1997 to loss Nov 2006</w:t>
            </w:r>
          </w:p>
        </w:tc>
      </w:tr>
      <w:tr>
        <w:tc>
          <w:tcPr>
            <w:tcW w:w="0" w:type="auto"/>
          </w:tcPr>
          <w:p>
            <w:pPr>
              <w:spacing w:line="240" w:lineRule="auto" w:before="0" w:after="0"/>
              <w:pStyle w:val="Compact"/>
            </w:pPr>
            <w:r>
              <w:rPr>
                <w:sz w:val="20"/>
                <w:szCs w:val="20"/>
              </w:rPr>
              <w:t xml:space="preserve">MOLA</w:t>
            </w:r>
          </w:p>
        </w:tc>
        <w:tc>
          <w:tcPr>
            <w:tcW w:w="0" w:type="auto"/>
          </w:tcPr>
          <w:p>
            <w:pPr>
              <w:spacing w:line="240" w:lineRule="auto" w:before="0" w:after="0"/>
              <w:pStyle w:val="Compact"/>
            </w:pPr>
            <w:r>
              <w:rPr>
                <w:sz w:val="20"/>
                <w:szCs w:val="20"/>
              </w:rPr>
              <w:t xml:space="preserve">MGS</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pubs=NTRS citations API stats.total for query</w:t>
            </w:r>
            <w:r>
              <w:rPr>
                <w:sz w:val="20"/>
                <w:szCs w:val="20"/>
              </w:rPr>
              <w:t xml:space="preserve"> </w:t>
            </w:r>
            <w:r>
              <w:rPr>
                <w:sz w:val="20"/>
                <w:szCs w:val="20"/>
              </w:rPr>
              <w:t xml:space="preserve">‘MOLA Mars Orbiter Laser Altimeter Global Surveyor’</w:t>
            </w:r>
            <w:r>
              <w:rPr>
                <w:sz w:val="20"/>
                <w:szCs w:val="20"/>
              </w:rPr>
              <w:t xml:space="preserve"> </w:t>
            </w:r>
            <w:r>
              <w:rPr>
                <w:sz w:val="20"/>
                <w:szCs w:val="20"/>
              </w:rPr>
              <w:t xml:space="preserve">(ntrs.nasa.gov/api/citations/search, retrieved 2026-06-22); mass_kg=Smith et al. 2001 JGR 106:23689 (MOLA 25.9 kg); lifetime_years=Mars Global Surveyor mapping Sep 1997 to loss Nov 2006</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Count of refereed NASA technical records naming the instrument or its data set; the bibliometric proxy for realized science output</w:t>
            </w:r>
          </w:p>
        </w:tc>
        <w:tc>
          <w:tcPr>
            <w:tcW w:w="0" w:type="auto"/>
          </w:tcPr>
          <w:p>
            <w:pPr>
              <w:spacing w:line="240" w:lineRule="auto" w:before="0" w:after="0"/>
              <w:pStyle w:val="Compact"/>
            </w:pPr>
            <w:r>
              <w:rPr>
                <w:sz w:val="20"/>
                <w:szCs w:val="20"/>
              </w:rPr>
              <w:t xml:space="preserve">NTRS citations API stats.total for the recorded per-instrument query (ntrs.nasa.gov/api/citations/search, retrieved 2026-06-22)</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Flight mass of the instrument in kilograms; the field’s standard surrogate for instrument complexity and capability</w:t>
            </w:r>
          </w:p>
        </w:tc>
        <w:tc>
          <w:tcPr>
            <w:tcW w:w="0" w:type="auto"/>
          </w:tcPr>
          <w:p>
            <w:pPr>
              <w:spacing w:line="240" w:lineRule="auto" w:before="0" w:after="0"/>
              <w:pStyle w:val="Compact"/>
            </w:pPr>
            <w:r>
              <w:rPr>
                <w:sz w:val="20"/>
                <w:szCs w:val="20"/>
              </w:rPr>
              <w:t xml:space="preserve">Published instrument papers (Space Science Reviews, JGR Planets, Planetary and Space Science instrument descriptions) and NASA press kits cited per row</w:t>
            </w:r>
          </w:p>
        </w:tc>
      </w:tr>
      <w:tr>
        <w:tc>
          <w:tcPr>
            <w:tcW w:w="0" w:type="auto"/>
          </w:tcPr>
          <w:p>
            <w:pPr>
              <w:spacing w:line="240" w:lineRule="auto" w:before="0" w:after="0"/>
              <w:pStyle w:val="Compact"/>
            </w:pPr>
            <w:r>
              <w:rPr>
                <w:sz w:val="20"/>
                <w:szCs w:val="20"/>
              </w:rPr>
              <w:t xml:space="preserve">lifetime_years</w:t>
            </w:r>
          </w:p>
        </w:tc>
        <w:tc>
          <w:tcPr>
            <w:tcW w:w="0" w:type="auto"/>
          </w:tcPr>
          <w:p>
            <w:pPr>
              <w:spacing w:line="240" w:lineRule="auto" w:before="0" w:after="0"/>
              <w:pStyle w:val="Compact"/>
            </w:pPr>
            <w:r>
              <w:rPr>
                <w:sz w:val="20"/>
                <w:szCs w:val="20"/>
              </w:rPr>
              <w:t xml:space="preserve">Operating lifetime of the host instrument in years, from first science to mission end or the 2025 data cap</w:t>
            </w:r>
          </w:p>
        </w:tc>
        <w:tc>
          <w:tcPr>
            <w:tcW w:w="0" w:type="auto"/>
          </w:tcPr>
          <w:p>
            <w:pPr>
              <w:spacing w:line="240" w:lineRule="auto" w:before="0" w:after="0"/>
              <w:pStyle w:val="Compact"/>
            </w:pPr>
            <w:r>
              <w:rPr>
                <w:sz w:val="20"/>
                <w:szCs w:val="20"/>
              </w:rPr>
              <w:t xml:space="preserve">Mission operations records and NASA mission pages cited per row</w:t>
            </w:r>
          </w:p>
        </w:tc>
      </w:tr>
      <w:tr>
        <w:tc>
          <w:tcPr>
            <w:tcW w:w="0" w:type="auto"/>
          </w:tcPr>
          <w:p>
            <w:pPr>
              <w:spacing w:line="240" w:lineRule="auto" w:before="0" w:after="0"/>
              <w:pStyle w:val="Compact"/>
            </w:pPr>
            <w:r>
              <w:rPr>
                <w:sz w:val="20"/>
                <w:szCs w:val="20"/>
              </w:rPr>
              <w:t xml:space="preserve">ln(pubs)</w:t>
            </w:r>
          </w:p>
        </w:tc>
        <w:tc>
          <w:tcPr>
            <w:tcW w:w="0" w:type="auto"/>
          </w:tcPr>
          <w:p>
            <w:pPr>
              <w:spacing w:line="240" w:lineRule="auto" w:before="0" w:after="0"/>
              <w:pStyle w:val="Compact"/>
            </w:pPr>
            <w:r>
              <w:rPr>
                <w:sz w:val="20"/>
                <w:szCs w:val="20"/>
              </w:rPr>
              <w:t xml:space="preserve">Natural log of refereed output; dependent variable of the log-log regression</w:t>
            </w:r>
          </w:p>
        </w:tc>
        <w:tc>
          <w:tcPr>
            <w:tcW w:w="0" w:type="auto"/>
          </w:tcPr>
          <w:p>
            <w:pPr>
              <w:spacing w:line="240" w:lineRule="auto" w:before="0" w:after="0"/>
              <w:pStyle w:val="Compact"/>
            </w:pPr>
            <w:r>
              <w:rPr>
                <w:sz w:val="20"/>
                <w:szCs w:val="20"/>
              </w:rPr>
              <w:t xml:space="preserve">Constructed in empirical.run_learning_curve</w:t>
            </w:r>
          </w:p>
        </w:tc>
      </w:tr>
      <w:tr>
        <w:tc>
          <w:tcPr>
            <w:tcW w:w="0" w:type="auto"/>
          </w:tcPr>
          <w:p>
            <w:pPr>
              <w:spacing w:line="240" w:lineRule="auto" w:before="0" w:after="0"/>
              <w:pStyle w:val="Compact"/>
            </w:pPr>
            <w:r>
              <w:rPr>
                <w:sz w:val="20"/>
                <w:szCs w:val="20"/>
              </w:rPr>
              <w:t xml:space="preserve">ln(mass_kg)</w:t>
            </w:r>
          </w:p>
        </w:tc>
        <w:tc>
          <w:tcPr>
            <w:tcW w:w="0" w:type="auto"/>
          </w:tcPr>
          <w:p>
            <w:pPr>
              <w:spacing w:line="240" w:lineRule="auto" w:before="0" w:after="0"/>
              <w:pStyle w:val="Compact"/>
            </w:pPr>
            <w:r>
              <w:rPr>
                <w:sz w:val="20"/>
                <w:szCs w:val="20"/>
              </w:rPr>
              <w:t xml:space="preserve">Natural log of instrument flight mass; the regressor whose slope is the elasticity</w:t>
            </w:r>
          </w:p>
        </w:tc>
        <w:tc>
          <w:tcPr>
            <w:tcW w:w="0" w:type="auto"/>
          </w:tcPr>
          <w:p>
            <w:pPr>
              <w:spacing w:line="240" w:lineRule="auto" w:before="0" w:after="0"/>
              <w:pStyle w:val="Compact"/>
            </w:pPr>
            <w:r>
              <w:rPr>
                <w:sz w:val="20"/>
                <w:szCs w:val="20"/>
              </w:rPr>
              <w:t xml:space="preserve">Constructed in empirical.run_learning_curve</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1.0498</w:t>
            </w:r>
          </w:p>
        </w:tc>
        <w:tc>
          <w:tcPr>
            <w:tcW w:w="0" w:type="auto"/>
          </w:tcPr>
          <w:p>
            <w:pPr>
              <w:spacing w:line="240" w:lineRule="auto" w:before="0" w:after="0"/>
              <w:pStyle w:val="Compact"/>
            </w:pPr>
            <w:r>
              <w:rPr>
                <w:sz w:val="20"/>
                <w:szCs w:val="20"/>
              </w:rPr>
              <w:t xml:space="preserve">0.2985</w:t>
            </w:r>
          </w:p>
        </w:tc>
        <w:tc>
          <w:tcPr>
            <w:tcW w:w="0" w:type="auto"/>
          </w:tcPr>
          <w:p>
            <w:pPr>
              <w:spacing w:line="240" w:lineRule="auto" w:before="0" w:after="0"/>
              <w:pStyle w:val="Compact"/>
            </w:pPr>
            <w:r>
              <w:rPr>
                <w:sz w:val="20"/>
                <w:szCs w:val="20"/>
              </w:rPr>
              <w:t xml:space="preserve">3.5167</w:t>
            </w:r>
          </w:p>
        </w:tc>
        <w:tc>
          <w:tcPr>
            <w:tcW w:w="0" w:type="auto"/>
          </w:tcPr>
          <w:p>
            <w:pPr>
              <w:spacing w:line="240" w:lineRule="auto" w:before="0" w:after="0"/>
              <w:pStyle w:val="Compact"/>
            </w:pPr>
            <w:r>
              <w:rPr>
                <w:sz w:val="20"/>
                <w:szCs w:val="20"/>
              </w:rPr>
              <w:t xml:space="preserve">0.000437</w:t>
            </w:r>
          </w:p>
        </w:tc>
        <w:tc>
          <w:tcPr>
            <w:tcW w:w="0" w:type="auto"/>
          </w:tcPr>
          <w:p>
            <w:pPr>
              <w:spacing w:line="240" w:lineRule="auto" w:before="0" w:after="0"/>
              <w:pStyle w:val="Compact"/>
            </w:pPr>
            <w:r>
              <w:rPr>
                <w:sz w:val="20"/>
                <w:szCs w:val="20"/>
              </w:rPr>
              <w:t xml:space="preserve">[0.4647, 1.6349]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0.419</w:t>
            </w:r>
          </w:p>
        </w:tc>
        <w:tc>
          <w:tcPr>
            <w:tcW w:w="0" w:type="auto"/>
          </w:tcPr>
          <w:p>
            <w:pPr>
              <w:spacing w:line="240" w:lineRule="auto" w:before="0" w:after="0"/>
              <w:pStyle w:val="Compact"/>
            </w:pPr>
            <w:r>
              <w:rPr>
                <w:sz w:val="20"/>
                <w:szCs w:val="20"/>
              </w:rPr>
              <w:t xml:space="preserve">0.1133</w:t>
            </w:r>
          </w:p>
        </w:tc>
        <w:tc>
          <w:tcPr>
            <w:tcW w:w="0" w:type="auto"/>
          </w:tcPr>
          <w:p>
            <w:pPr>
              <w:spacing w:line="240" w:lineRule="auto" w:before="0" w:after="0"/>
              <w:pStyle w:val="Compact"/>
            </w:pPr>
            <w:r>
              <w:rPr>
                <w:sz w:val="20"/>
                <w:szCs w:val="20"/>
              </w:rPr>
              <w:t xml:space="preserve">3.6995</w:t>
            </w:r>
          </w:p>
        </w:tc>
        <w:tc>
          <w:tcPr>
            <w:tcW w:w="0" w:type="auto"/>
          </w:tcPr>
          <w:p>
            <w:pPr>
              <w:spacing w:line="240" w:lineRule="auto" w:before="0" w:after="0"/>
              <w:pStyle w:val="Compact"/>
            </w:pPr>
            <w:r>
              <w:rPr>
                <w:sz w:val="20"/>
                <w:szCs w:val="20"/>
              </w:rPr>
              <w:t xml:space="preserve">0.000216</w:t>
            </w:r>
          </w:p>
        </w:tc>
        <w:tc>
          <w:tcPr>
            <w:tcW w:w="0" w:type="auto"/>
          </w:tcPr>
          <w:p>
            <w:pPr>
              <w:spacing w:line="240" w:lineRule="auto" w:before="0" w:after="0"/>
              <w:pStyle w:val="Compact"/>
            </w:pPr>
            <w:r>
              <w:rPr>
                <w:sz w:val="20"/>
                <w:szCs w:val="20"/>
              </w:rPr>
              <w:t xml:space="preserve">[0.197, 0.641]</w:t>
            </w:r>
          </w:p>
        </w:tc>
      </w:tr>
    </w:tbl>
    <w:p>
      <w:pPr>
        <w:pStyle w:val="BodyText"/>
      </w:pPr>
      <w:r>
        <w:t xml:space="preserve">Fit: N = 32 R2 = 0.1913 elasticity_b = 0.419 progress_ratio_2^b = 1.337</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3" Target="https://doi.org/10.1016/j.actaastro.2023.10.042"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016/j.actaastro.2023.10.04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2026-06-22T20:31:25Z</dcterms:created>
  <dcterms:modified xsi:type="dcterms:W3CDTF">2026-06-22T20:31:25Z</dcterms:modified>
</cp:coreProperties>
</file>

<file path=docProps/custom.xml><?xml version="1.0" encoding="utf-8"?>
<Properties xmlns="http://schemas.openxmlformats.org/officeDocument/2006/custom-properties" xmlns:vt="http://schemas.openxmlformats.org/officeDocument/2006/docPropsVTypes"/>
</file>